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Butler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AKEBIA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Akebia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6"/>
        <w:gridCol w:w="914"/>
        <w:gridCol w:w="784"/>
        <w:gridCol w:w="606"/>
        <w:gridCol w:w="340"/>
        <w:gridCol w:w="1005"/>
        <w:gridCol w:w="425"/>
        <w:gridCol w:w="650"/>
        <w:gridCol w:w="1298"/>
        <w:gridCol w:w="967"/>
        <w:gridCol w:w="11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</w:t>
            </w:r>
          </w:p>
        </w:tc>
        <w:tc>
          <w:tcPr>
            <w:tcW w:w="12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3,718,564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159,928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Dorothy Butler Revocable Trust November 20, 2007</w:t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1,500 shares of the Issuer's common stock purchased on June 30, 2026 under the Issuer's Amended and Restated 2014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were granted by the Issuer on January 31, 2023 and vest over four years: 25% of the options vested on January 31, 2024 with the remaining 75% vesting in equal quarterly installments thereafter, subject to the reporting person's continued service with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Carolyn M. Rucci, attorney-in-fact for John P. Butler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467" TargetMode="External"/><Relationship Id="rId5" Type="http://schemas.openxmlformats.org/officeDocument/2006/relationships/hyperlink" Target="http://www.sec.gov/cgi-bin/browse-edgar?action=getcompany&amp;CIK=00015170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677</Words>
  <Characters>3659</Characters>
  <CharactersWithSpaces>4250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