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180" w:right="2840" w:hanging="4172"/>
        <w:spacing w:after="0" w:line="376" w:lineRule="auto"/>
        <w:tabs>
          <w:tab w:leader="none" w:pos="51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pacing w:after="0" w:line="240" w:lineRule="exact"/>
        <w:rPr>
          <w:sz w:val="24"/>
          <w:szCs w:val="24"/>
          <w:color w:val="auto"/>
        </w:rPr>
      </w:pPr>
    </w:p>
    <w:p>
      <w:pPr>
        <w:ind w:left="4460" w:right="2520" w:hanging="4452"/>
        <w:spacing w:after="0" w:line="386" w:lineRule="auto"/>
        <w:tabs>
          <w:tab w:leader="none" w:pos="52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001-36352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AKEBIA THERAPEUTICS, INC.</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23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3"/>
              </w:rPr>
              <w:t>Delaware</w:t>
            </w: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80" w:type="dxa"/>
            <w:vAlign w:val="bottom"/>
            <w:gridSpan w:val="2"/>
          </w:tcPr>
          <w:p>
            <w:pPr>
              <w:jc w:val="right"/>
              <w:ind w:right="1379"/>
              <w:spacing w:after="0"/>
              <w:rPr>
                <w:sz w:val="20"/>
                <w:szCs w:val="20"/>
                <w:color w:val="auto"/>
              </w:rPr>
            </w:pPr>
            <w:r>
              <w:rPr>
                <w:rFonts w:ascii="Arial" w:cs="Arial" w:eastAsia="Arial" w:hAnsi="Arial"/>
                <w:sz w:val="16"/>
                <w:szCs w:val="16"/>
                <w:b w:val="1"/>
                <w:bCs w:val="1"/>
                <w:color w:val="auto"/>
              </w:rPr>
              <w:t>20-8756903</w:t>
            </w:r>
          </w:p>
        </w:tc>
      </w:tr>
      <w:tr>
        <w:trPr>
          <w:trHeight w:val="149"/>
        </w:trPr>
        <w:tc>
          <w:tcPr>
            <w:tcW w:w="2260" w:type="dxa"/>
            <w:vAlign w:val="bottom"/>
          </w:tcPr>
          <w:p>
            <w:pPr>
              <w:spacing w:after="0"/>
              <w:rPr>
                <w:sz w:val="12"/>
                <w:szCs w:val="12"/>
                <w:color w:val="auto"/>
              </w:rPr>
            </w:pPr>
          </w:p>
        </w:tc>
        <w:tc>
          <w:tcPr>
            <w:tcW w:w="232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80" w:type="dxa"/>
            <w:vAlign w:val="bottom"/>
            <w:gridSpan w:val="2"/>
          </w:tcPr>
          <w:p>
            <w:pPr>
              <w:jc w:val="center"/>
              <w:ind w:right="12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260" w:type="dxa"/>
            <w:vAlign w:val="bottom"/>
          </w:tcPr>
          <w:p>
            <w:pPr>
              <w:spacing w:after="0"/>
              <w:rPr>
                <w:sz w:val="16"/>
                <w:szCs w:val="16"/>
                <w:color w:val="auto"/>
              </w:rPr>
            </w:pPr>
          </w:p>
        </w:tc>
        <w:tc>
          <w:tcPr>
            <w:tcW w:w="232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3"/>
              </w:rPr>
              <w:t>incorporation or organization)</w:t>
            </w: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619"/>
              <w:spacing w:after="0"/>
              <w:rPr>
                <w:sz w:val="20"/>
                <w:szCs w:val="20"/>
                <w:color w:val="auto"/>
              </w:rPr>
            </w:pPr>
            <w:r>
              <w:rPr>
                <w:rFonts w:ascii="Arial" w:cs="Arial" w:eastAsia="Arial" w:hAnsi="Arial"/>
                <w:sz w:val="14"/>
                <w:szCs w:val="14"/>
                <w:b w:val="1"/>
                <w:bCs w:val="1"/>
                <w:color w:val="auto"/>
                <w:w w:val="94"/>
              </w:rPr>
              <w:t>Identification No.)</w:t>
            </w:r>
          </w:p>
        </w:tc>
      </w:tr>
      <w:tr>
        <w:trPr>
          <w:trHeight w:val="246"/>
        </w:trPr>
        <w:tc>
          <w:tcPr>
            <w:tcW w:w="4580" w:type="dxa"/>
            <w:vAlign w:val="bottom"/>
            <w:gridSpan w:val="3"/>
          </w:tcPr>
          <w:p>
            <w:pPr>
              <w:jc w:val="center"/>
              <w:ind w:left="1961"/>
              <w:spacing w:after="0"/>
              <w:rPr>
                <w:sz w:val="20"/>
                <w:szCs w:val="20"/>
                <w:color w:val="auto"/>
              </w:rPr>
            </w:pPr>
            <w:r>
              <w:rPr>
                <w:rFonts w:ascii="Arial" w:cs="Arial" w:eastAsia="Arial" w:hAnsi="Arial"/>
                <w:sz w:val="16"/>
                <w:szCs w:val="16"/>
                <w:b w:val="1"/>
                <w:bCs w:val="1"/>
                <w:color w:val="auto"/>
                <w:w w:val="95"/>
              </w:rPr>
              <w:t>245 First Street, Cambridge, MA</w:t>
            </w: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380" w:type="dxa"/>
            <w:vAlign w:val="bottom"/>
            <w:gridSpan w:val="2"/>
          </w:tcPr>
          <w:p>
            <w:pPr>
              <w:jc w:val="right"/>
              <w:ind w:right="1579"/>
              <w:spacing w:after="0"/>
              <w:rPr>
                <w:sz w:val="20"/>
                <w:szCs w:val="20"/>
                <w:color w:val="auto"/>
              </w:rPr>
            </w:pPr>
            <w:r>
              <w:rPr>
                <w:rFonts w:ascii="Arial" w:cs="Arial" w:eastAsia="Arial" w:hAnsi="Arial"/>
                <w:sz w:val="16"/>
                <w:szCs w:val="16"/>
                <w:b w:val="1"/>
                <w:bCs w:val="1"/>
                <w:color w:val="auto"/>
              </w:rPr>
              <w:t>02142</w:t>
            </w:r>
          </w:p>
        </w:tc>
      </w:tr>
      <w:tr>
        <w:trPr>
          <w:trHeight w:val="186"/>
        </w:trPr>
        <w:tc>
          <w:tcPr>
            <w:tcW w:w="4580" w:type="dxa"/>
            <w:vAlign w:val="bottom"/>
            <w:gridSpan w:val="3"/>
          </w:tcPr>
          <w:p>
            <w:pPr>
              <w:jc w:val="center"/>
              <w:ind w:left="19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80" w:type="dxa"/>
            <w:vAlign w:val="bottom"/>
            <w:gridSpan w:val="2"/>
          </w:tcPr>
          <w:p>
            <w:pPr>
              <w:jc w:val="center"/>
              <w:ind w:right="1259"/>
              <w:spacing w:after="0"/>
              <w:rPr>
                <w:sz w:val="20"/>
                <w:szCs w:val="20"/>
                <w:color w:val="auto"/>
              </w:rPr>
            </w:pPr>
            <w:r>
              <w:rPr>
                <w:rFonts w:ascii="Arial" w:cs="Arial" w:eastAsia="Arial" w:hAnsi="Arial"/>
                <w:sz w:val="14"/>
                <w:szCs w:val="14"/>
                <w:b w:val="1"/>
                <w:bCs w:val="1"/>
                <w:color w:val="auto"/>
                <w:w w:val="98"/>
              </w:rPr>
              <w:t>(Zip Code)</w:t>
            </w:r>
          </w:p>
        </w:tc>
      </w:tr>
      <w:tr>
        <w:trPr>
          <w:trHeight w:val="249"/>
        </w:trPr>
        <w:tc>
          <w:tcPr>
            <w:tcW w:w="2260" w:type="dxa"/>
            <w:vAlign w:val="bottom"/>
          </w:tcPr>
          <w:p>
            <w:pPr>
              <w:spacing w:after="0"/>
              <w:rPr>
                <w:sz w:val="21"/>
                <w:szCs w:val="21"/>
                <w:color w:val="auto"/>
              </w:rPr>
            </w:pPr>
          </w:p>
        </w:tc>
        <w:tc>
          <w:tcPr>
            <w:tcW w:w="5820" w:type="dxa"/>
            <w:vAlign w:val="bottom"/>
            <w:gridSpan w:val="6"/>
          </w:tcPr>
          <w:p>
            <w:pPr>
              <w:jc w:val="center"/>
              <w:ind w:left="1003"/>
              <w:spacing w:after="0"/>
              <w:rPr>
                <w:sz w:val="20"/>
                <w:szCs w:val="20"/>
                <w:color w:val="auto"/>
              </w:rPr>
            </w:pPr>
            <w:r>
              <w:rPr>
                <w:rFonts w:ascii="Arial" w:cs="Arial" w:eastAsia="Arial" w:hAnsi="Arial"/>
                <w:sz w:val="16"/>
                <w:szCs w:val="16"/>
                <w:b w:val="1"/>
                <w:bCs w:val="1"/>
                <w:color w:val="auto"/>
                <w:w w:val="90"/>
              </w:rPr>
              <w:t>Registrant’s telephone number, including area code: (617) 871-2098</w:t>
            </w:r>
          </w:p>
        </w:tc>
        <w:tc>
          <w:tcPr>
            <w:tcW w:w="2000" w:type="dxa"/>
            <w:vAlign w:val="bottom"/>
          </w:tcPr>
          <w:p>
            <w:pPr>
              <w:spacing w:after="0"/>
              <w:rPr>
                <w:sz w:val="21"/>
                <w:szCs w:val="21"/>
                <w:color w:val="auto"/>
              </w:rPr>
            </w:pPr>
          </w:p>
        </w:tc>
      </w:tr>
      <w:tr>
        <w:trPr>
          <w:trHeight w:val="114"/>
        </w:trPr>
        <w:tc>
          <w:tcPr>
            <w:tcW w:w="2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r>
      <w:tr>
        <w:trPr>
          <w:trHeight w:val="258"/>
        </w:trPr>
        <w:tc>
          <w:tcPr>
            <w:tcW w:w="2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2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6"/>
        </w:trPr>
        <w:tc>
          <w:tcPr>
            <w:tcW w:w="22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98"/>
        </w:trPr>
        <w:tc>
          <w:tcPr>
            <w:tcW w:w="4580" w:type="dxa"/>
            <w:vAlign w:val="bottom"/>
            <w:gridSpan w:val="3"/>
          </w:tcPr>
          <w:p>
            <w:pPr>
              <w:jc w:val="center"/>
              <w:ind w:left="1081"/>
              <w:spacing w:after="0"/>
              <w:rPr>
                <w:sz w:val="20"/>
                <w:szCs w:val="20"/>
                <w:color w:val="auto"/>
              </w:rPr>
            </w:pPr>
            <w:r>
              <w:rPr>
                <w:rFonts w:ascii="Arial" w:cs="Arial" w:eastAsia="Arial" w:hAnsi="Arial"/>
                <w:sz w:val="16"/>
                <w:szCs w:val="16"/>
                <w:b w:val="1"/>
                <w:bCs w:val="1"/>
                <w:color w:val="auto"/>
                <w:w w:val="91"/>
              </w:rPr>
              <w:t>Common Stock, par value $0.00001 per share</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r>
      <w:tr>
        <w:trPr>
          <w:trHeight w:val="270"/>
        </w:trPr>
        <w:tc>
          <w:tcPr>
            <w:tcW w:w="2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0" w:type="dxa"/>
            <w:vAlign w:val="bottom"/>
            <w:gridSpan w:val="5"/>
          </w:tcPr>
          <w:p>
            <w:pPr>
              <w:jc w:val="center"/>
              <w:ind w:right="42"/>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2000" w:type="dxa"/>
            <w:vAlign w:val="bottom"/>
          </w:tcPr>
          <w:p>
            <w:pPr>
              <w:spacing w:after="0"/>
              <w:rPr>
                <w:sz w:val="23"/>
                <w:szCs w:val="23"/>
                <w:color w:val="auto"/>
              </w:rPr>
            </w:pPr>
          </w:p>
        </w:tc>
      </w:tr>
      <w:tr>
        <w:trPr>
          <w:trHeight w:val="302"/>
        </w:trPr>
        <w:tc>
          <w:tcPr>
            <w:tcW w:w="770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380" w:type="dxa"/>
            <w:vAlign w:val="bottom"/>
          </w:tcPr>
          <w:p>
            <w:pPr>
              <w:ind w:left="80"/>
              <w:spacing w:after="0"/>
              <w:rPr>
                <w:sz w:val="20"/>
                <w:szCs w:val="20"/>
                <w:color w:val="auto"/>
              </w:rPr>
            </w:pPr>
            <w:r>
              <w:rPr>
                <w:rFonts w:ascii="Arial" w:cs="Arial" w:eastAsia="Arial" w:hAnsi="Arial"/>
                <w:sz w:val="16"/>
                <w:szCs w:val="16"/>
                <w:color w:val="auto"/>
                <w:w w:val="87"/>
              </w:rPr>
              <w:t>YES</w:t>
            </w:r>
          </w:p>
        </w:tc>
        <w:tc>
          <w:tcPr>
            <w:tcW w:w="200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70"/>
        </w:trPr>
        <w:tc>
          <w:tcPr>
            <w:tcW w:w="770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15(d) of the Act.  YES</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00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8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26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ind w:right="80"/>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46" w:lineRule="exact"/>
        <w:rPr>
          <w:sz w:val="24"/>
          <w:szCs w:val="24"/>
          <w:color w:val="auto"/>
        </w:rPr>
      </w:pPr>
    </w:p>
    <w:p>
      <w:pPr>
        <w:ind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7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508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9" w:lineRule="exact"/>
        <w:rPr>
          <w:sz w:val="24"/>
          <w:szCs w:val="24"/>
          <w:color w:val="auto"/>
        </w:rPr>
      </w:pPr>
    </w:p>
    <w:p>
      <w:pPr>
        <w:ind w:right="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7260" w:val="left"/>
          <w:tab w:leader="none" w:pos="7960" w:val="left"/>
        </w:tabs>
        <w:rPr>
          <w:sz w:val="20"/>
          <w:szCs w:val="20"/>
          <w:color w:val="auto"/>
        </w:rPr>
      </w:pPr>
      <w:r>
        <w:rPr>
          <w:rFonts w:ascii="Arial" w:cs="Arial" w:eastAsia="Arial" w:hAnsi="Arial"/>
          <w:sz w:val="16"/>
          <w:szCs w:val="16"/>
          <w:color w:val="auto"/>
        </w:rPr>
        <w:t>Indicate by check mark whether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40"/>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registrant’s Common Stock on The Nasdaq Global Market on June 30, 2018, was $534,415,547.</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15, 2019 was 117,122,262.</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Proxy Statement for the registrant’s 2019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604520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07"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80" w:type="dxa"/>
            <w:vAlign w:val="bottom"/>
            <w:gridSpan w:val="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18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Item 1.</w:t>
            </w:r>
          </w:p>
        </w:tc>
        <w:tc>
          <w:tcPr>
            <w:tcW w:w="640" w:type="dxa"/>
            <w:vAlign w:val="bottom"/>
            <w:gridSpan w:val="5"/>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21"/>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Unresolved Staff Comments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4"/>
                <w:szCs w:val="24"/>
                <w:color w:val="auto"/>
              </w:rPr>
            </w:pPr>
          </w:p>
        </w:tc>
        <w:tc>
          <w:tcPr>
            <w:tcW w:w="7380" w:type="dxa"/>
            <w:vAlign w:val="bottom"/>
            <w:gridSpan w:val="11"/>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Legal Proceedings</w:t>
              </w:r>
            </w:hyperlink>
          </w:p>
        </w:tc>
        <w:tc>
          <w:tcPr>
            <w:tcW w:w="8080" w:type="dxa"/>
            <w:vAlign w:val="bottom"/>
            <w:gridSpan w:val="16"/>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Mine Safety Disclosures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18"/>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580" w:type="dxa"/>
            <w:vAlign w:val="bottom"/>
            <w:gridSpan w:val="4"/>
          </w:tcPr>
          <w:p>
            <w:pPr>
              <w:spacing w:after="0"/>
              <w:rPr>
                <w:sz w:val="24"/>
                <w:szCs w:val="24"/>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Market for Registrant’s Common Equity, Related Stockholder Matters and Issuer Purchases of Equity Securities</w:t>
              </w:r>
            </w:hyperlink>
          </w:p>
        </w:tc>
        <w:tc>
          <w:tcPr>
            <w:tcW w:w="13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Selected Financial Data</w:t>
              </w:r>
            </w:hyperlink>
          </w:p>
        </w:tc>
        <w:tc>
          <w:tcPr>
            <w:tcW w:w="7700" w:type="dxa"/>
            <w:vAlign w:val="bottom"/>
            <w:gridSpan w:val="14"/>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Quantitative and Qualitative Disclosures About Market Risk</w:t>
              </w:r>
            </w:hyperlink>
          </w:p>
        </w:tc>
        <w:tc>
          <w:tcPr>
            <w:tcW w:w="2960" w:type="dxa"/>
            <w:vAlign w:val="bottom"/>
            <w:gridSpan w:val="4"/>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060" w:type="dxa"/>
            <w:vAlign w:val="bottom"/>
            <w:gridSpan w:val="6"/>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21"/>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Changes in and Disagreements with Accountants on Accounting and Financial Disclosure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65">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24"/>
                <w:szCs w:val="24"/>
                <w:color w:val="auto"/>
              </w:rPr>
            </w:pPr>
          </w:p>
        </w:tc>
        <w:tc>
          <w:tcPr>
            <w:tcW w:w="2940" w:type="dxa"/>
            <w:vAlign w:val="bottom"/>
            <w:gridSpan w:val="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9420" w:type="dxa"/>
            <w:vAlign w:val="bottom"/>
            <w:gridSpan w:val="21"/>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Other Information</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520" w:type="dxa"/>
            <w:vAlign w:val="bottom"/>
            <w:gridSpan w:val="3"/>
          </w:tcPr>
          <w:p>
            <w:pPr>
              <w:spacing w:after="0"/>
              <w:rPr>
                <w:sz w:val="24"/>
                <w:szCs w:val="24"/>
                <w:color w:val="auto"/>
              </w:rPr>
            </w:pP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66">
              <w:r>
                <w:rPr>
                  <w:rFonts w:ascii="Arial" w:cs="Arial" w:eastAsia="Arial" w:hAnsi="Arial"/>
                  <w:sz w:val="18"/>
                  <w:szCs w:val="18"/>
                  <w:color w:val="0000EE"/>
                  <w:w w:val="90"/>
                </w:rPr>
                <w:t>Directors, Executive Officers and Corporate Governance</w:t>
              </w:r>
            </w:hyperlink>
          </w:p>
        </w:tc>
        <w:tc>
          <w:tcPr>
            <w:tcW w:w="5320" w:type="dxa"/>
            <w:vAlign w:val="bottom"/>
            <w:gridSpan w:val="7"/>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9420" w:type="dxa"/>
            <w:vAlign w:val="bottom"/>
            <w:gridSpan w:val="21"/>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Executive Compensation</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66">
              <w:r>
                <w:rPr>
                  <w:rFonts w:ascii="Arial" w:cs="Arial" w:eastAsia="Arial" w:hAnsi="Arial"/>
                  <w:sz w:val="18"/>
                  <w:szCs w:val="18"/>
                  <w:color w:val="0000EE"/>
                  <w:w w:val="90"/>
                </w:rPr>
                <w:t>Security Ownership of Certain Beneficial Owners and Management and Related Stockholder Matters</w:t>
              </w:r>
            </w:hyperlink>
          </w:p>
        </w:tc>
        <w:tc>
          <w:tcPr>
            <w:tcW w:w="2120" w:type="dxa"/>
            <w:vAlign w:val="bottom"/>
            <w:gridSpan w:val="2"/>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66">
              <w:r>
                <w:rPr>
                  <w:rFonts w:ascii="Arial" w:cs="Arial" w:eastAsia="Arial" w:hAnsi="Arial"/>
                  <w:sz w:val="18"/>
                  <w:szCs w:val="18"/>
                  <w:color w:val="0000EE"/>
                  <w:w w:val="89"/>
                </w:rPr>
                <w:t>Certain Relationships and Related Transactions, and Director Independence</w:t>
              </w:r>
            </w:hyperlink>
          </w:p>
        </w:tc>
        <w:tc>
          <w:tcPr>
            <w:tcW w:w="3960" w:type="dxa"/>
            <w:vAlign w:val="bottom"/>
            <w:gridSpan w:val="5"/>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9420" w:type="dxa"/>
            <w:vAlign w:val="bottom"/>
            <w:gridSpan w:val="21"/>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Principal Accountant Fees and Services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67">
              <w:r>
                <w:rPr>
                  <w:rFonts w:ascii="Arial" w:cs="Arial" w:eastAsia="Arial" w:hAnsi="Arial"/>
                  <w:sz w:val="18"/>
                  <w:szCs w:val="18"/>
                  <w:color w:val="0000EE"/>
                  <w:w w:val="94"/>
                </w:rPr>
                <w:t>PART IV</w:t>
              </w:r>
            </w:hyperlink>
          </w:p>
        </w:tc>
        <w:tc>
          <w:tcPr>
            <w:tcW w:w="5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21"/>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Exhibits, Financial Statement Schedules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Form 10-K Summary</w:t>
              </w:r>
            </w:hyperlink>
          </w:p>
        </w:tc>
        <w:tc>
          <w:tcPr>
            <w:tcW w:w="6520" w:type="dxa"/>
            <w:vAlign w:val="bottom"/>
            <w:gridSpan w:val="9"/>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318"/>
        </w:trPr>
        <w:tc>
          <w:tcPr>
            <w:tcW w:w="1180" w:type="dxa"/>
            <w:vAlign w:val="bottom"/>
            <w:gridSpan w:val="6"/>
          </w:tcPr>
          <w:p>
            <w:pPr>
              <w:spacing w:after="0"/>
              <w:rPr>
                <w:rFonts w:ascii="Arial" w:cs="Arial" w:eastAsia="Arial" w:hAnsi="Arial"/>
                <w:sz w:val="18"/>
                <w:szCs w:val="18"/>
                <w:color w:val="0000EE"/>
                <w:w w:val="99"/>
              </w:rPr>
            </w:pPr>
            <w:hyperlink w:anchor="page173">
              <w:r>
                <w:rPr>
                  <w:rFonts w:ascii="Arial" w:cs="Arial" w:eastAsia="Arial" w:hAnsi="Arial"/>
                  <w:sz w:val="18"/>
                  <w:szCs w:val="18"/>
                  <w:color w:val="0000EE"/>
                  <w:w w:val="99"/>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257"/>
        </w:trPr>
        <w:tc>
          <w:tcPr>
            <w:tcW w:w="5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Annual Report on Form 10-K contains forward-looking statements that are being made pursuant to the provisions of the U.S. Private Securities Litigation Reform Act of 1995 with the intention of obtaining the benefits of the “safe harbor” provisions of that Act. These forward-looking statements may be accompanied by words such as “anticipate,” “believe,” “build,” “can,” “contemplate,” “continue,” “could,” “should,” “designed,” “estimate,” “project,” “expect,” “forecast,” “future,” “goal,” “intend,” “likely,” “may,” “plan,” “possible,” “potential,” “predict,” “strategy,” “seek,” “target,” “will,” “would,” and other words and terms of similar meaning. These forward-looking statements include, but are not limited to, statements about:</w:t>
      </w:r>
    </w:p>
    <w:p>
      <w:pPr>
        <w:spacing w:after="0" w:line="64" w:lineRule="exact"/>
        <w:rPr>
          <w:sz w:val="20"/>
          <w:szCs w:val="20"/>
          <w:color w:val="auto"/>
        </w:rPr>
      </w:pPr>
    </w:p>
    <w:p>
      <w:pPr>
        <w:ind w:left="1040" w:right="18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(i) the anticipated financial impact and potential benefits to us related to our merger with Keryx Biopharmaceuticals, Inc., or Keryx, that was completed on December 12, 2018, or the Merger, (ii) integration of the businesses subsequent to the Merger, and (iii) other matters related to the Merger;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applications of the hypoxia inducible factor, or HIF, pathway;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pipeline, including its potential, and our research activities;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benefits, safety profile, and effectiveness of our product candidates, including the potential for vadadustat to set a new standard of care in the treatment of anemia due to chronic kidney disease;</w:t>
      </w:r>
    </w:p>
    <w:p>
      <w:pPr>
        <w:spacing w:after="0" w:line="62" w:lineRule="exact"/>
        <w:rPr>
          <w:rFonts w:ascii="Arial" w:cs="Arial" w:eastAsia="Arial" w:hAnsi="Arial"/>
          <w:sz w:val="18"/>
          <w:szCs w:val="18"/>
          <w:color w:val="auto"/>
        </w:rPr>
      </w:pPr>
    </w:p>
    <w:p>
      <w:pPr>
        <w:ind w:left="1040" w:right="42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indications and market potential and acceptance of our product and product candidates, including our estimates regarding the potential market opportunity for Auryxia, vadadustat or any other product candidates and the size of eligible patient populations;</w:t>
      </w:r>
    </w:p>
    <w:p>
      <w:pPr>
        <w:spacing w:after="0" w:line="15" w:lineRule="exact"/>
        <w:rPr>
          <w:rFonts w:ascii="Arial" w:cs="Arial" w:eastAsia="Arial" w:hAnsi="Arial"/>
          <w:sz w:val="16"/>
          <w:szCs w:val="16"/>
          <w:color w:val="auto"/>
        </w:rPr>
      </w:pPr>
    </w:p>
    <w:p>
      <w:pPr>
        <w:ind w:left="1040" w:right="6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including estimates, developments and projections relating to our competitors and their products and product candidates, and our industry;</w:t>
      </w:r>
    </w:p>
    <w:p>
      <w:pPr>
        <w:spacing w:after="0" w:line="62" w:lineRule="exact"/>
        <w:rPr>
          <w:rFonts w:ascii="Arial" w:cs="Arial" w:eastAsia="Arial" w:hAnsi="Arial"/>
          <w:sz w:val="18"/>
          <w:szCs w:val="18"/>
          <w:color w:val="auto"/>
        </w:rPr>
      </w:pPr>
    </w:p>
    <w:p>
      <w:pPr>
        <w:ind w:left="1040" w:right="60" w:hanging="519"/>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projections and estimates regarding our costs, expenses, revenues, capital requirements, need for additional capital, financing our future cash needs, capital resources, cash flows, financial performance, profitability, tax obligations, liquidity, growth, contractual obligations, the period of time our cash resources and collaboration funding will fund our current operating plan, internal control over financial reporting, and disclosure controls and procedures;</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and disclosure of clinical trial data and results;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collaborators’ strategy, plans and expectations with respect to the development, manufacturing, commercialization, launch, marketing and sale of our product candidates, and the associated timing thereof;</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designs of our studies, and the type of information and data expected from our studies and the expected benefits thereof;</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or likelihood of regulatory filings and approvals, including labeling or other restrictions;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any marketing authorizations we currently hold or will obtain, including our marketing authorizations for Auryxia and our ability to complete post-marketing requirements with respect thereto;</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Auryxia or any other product candidate that may be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targeted timing of enrollment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initiation of our clinical trials and plans to conduct preclinical and clinical studies in the future;</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amounts of payments from or to our collaborators and licensees, and the anticipated arrangements and benefits under our collaboration and license agreements, including with respect to milestones and royalties;</w:t>
      </w:r>
    </w:p>
    <w:p>
      <w:pPr>
        <w:spacing w:after="0" w:line="62" w:lineRule="exact"/>
        <w:rPr>
          <w:rFonts w:ascii="Arial" w:cs="Arial" w:eastAsia="Arial" w:hAnsi="Arial"/>
          <w:sz w:val="18"/>
          <w:szCs w:val="18"/>
          <w:color w:val="auto"/>
        </w:rPr>
      </w:pPr>
    </w:p>
    <w:p>
      <w:pPr>
        <w:ind w:left="1040" w:right="74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intellectual property position, including obtaining and maintaining patents; and the timing, outcome and impact of administrative, regulatory, legal and other proceedings relating to our patents and other proprietary and intellectual property rights;</w:t>
      </w:r>
    </w:p>
    <w:p>
      <w:pPr>
        <w:spacing w:after="0" w:line="15" w:lineRule="exact"/>
        <w:rPr>
          <w:rFonts w:ascii="Arial" w:cs="Arial" w:eastAsia="Arial" w:hAnsi="Arial"/>
          <w:sz w:val="16"/>
          <w:szCs w:val="16"/>
          <w:color w:val="auto"/>
        </w:rPr>
      </w:pPr>
    </w:p>
    <w:p>
      <w:pPr>
        <w:ind w:left="1040" w:right="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reliance on third parties, including with respect to the development, manufacturing, supply and commercialization of our product and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standards and estimates, their impact, and their expected timing of completion;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periods of performance of key contracts;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facilities, lease commitments, and future availability of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coverage;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employees, including our management team, employee compensation, employee relations, and our ability to attract and retain high quality employees;</w:t>
      </w:r>
    </w:p>
    <w:p>
      <w:pPr>
        <w:spacing w:after="0" w:line="62" w:lineRule="exact"/>
        <w:rPr>
          <w:rFonts w:ascii="Arial" w:cs="Arial" w:eastAsia="Arial" w:hAnsi="Arial"/>
          <w:sz w:val="18"/>
          <w:szCs w:val="18"/>
          <w:color w:val="auto"/>
        </w:rPr>
      </w:pPr>
    </w:p>
    <w:p>
      <w:pPr>
        <w:ind w:left="1040" w:right="120" w:hanging="519"/>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implementation of our business model, current operating plan, and strategic plans for our business, product candidates and technology, and business development opportunities including potential collaborations, alliances, mergers, acquisitions or licensing of assets;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outcome and impact of current and any future legal proceedings.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These forward-looking statements involve risks and uncertainties, including those that are described in Part I, Item 1A. Risk Factors included in this Annual Report and elsewhere in this Annual Report on Form 10-K, that could cause our actual results, financial condition, performance or achievements to be materially different from those indicated in these forward-looking statements. Given these risks and uncertainties, you should not place undue reliance on these forward-looking statements. Forward-looking statements speak only as of the date of this Annual Report on Form 10-K. Except as required by law, we assume no obligation to publicly update or revise these forward-looking statements for any reason. Unless otherwise stated, our forward-looking statements do not reflect the potential impact of any future acquisitions, mergers, dispositions, joint ventures or investments we may make.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on Form 10-K also contains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this Annual Report on Form 10-K, unless otherwise stated or the context otherwise requires, references to “Akebia,” “we,” “us,” “our,” “the Company,” and similar references refer to Akebia Therapeutics, Inc. and, where appropriate, its subsidiaries, including Keryx. The trademarks, trade names and service marks appearing in this Annual Report on Form 10-K are the property of their respective owners. All website addresses given in this Annual Report on Form 10-K are for information only and are not intended to be an active link or to incorporate any website information into this document.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are a biopharmaceutical company focused on the development and commercialization of therapeutics for patients with kidney disease. On December 12, 2018, we completed a merger, or the Merger, with Keryx Biopharmaceuticals, Inc., or Keryx, combining a nephrology-focused commercial organization with our robust development organization. Following the Merger, Keryx is our wholly owned subsidiary, and we are integrating our business and Keryx’s business with the goal of positioning Akebia to realize the potential growth opportunities and synergies from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now have a commercial product and a late-stage product candidate:</w:t>
      </w:r>
    </w:p>
    <w:p>
      <w:pPr>
        <w:spacing w:after="0" w:line="113" w:lineRule="exact"/>
        <w:rPr>
          <w:sz w:val="20"/>
          <w:szCs w:val="20"/>
          <w:color w:val="auto"/>
        </w:rPr>
      </w:pPr>
    </w:p>
    <w:p>
      <w:pPr>
        <w:ind w:left="1040" w:right="20" w:hanging="519"/>
        <w:spacing w:after="0" w:line="25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Auryxia</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(ferric citrate)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approved and marketed in the United States for two indications: (1) the control of serum phosphorus levels in adult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chronic kidney disease, or CKD, on dialysis, or DD-CKD, or the Hyperphosphatemia Indication, and (2) the treatment of iron deficiency anemia, or IDA, in adult patients with CKD not on dialysis, or NDD-CKD, or the IDA Indication. Ferric citrate is also approved and marketed in Japan as an oral treatment for the improvement of hyperphosphatemia in patients with CKD, including DD-CKD and NDD-CKD, under the trade name Riona</w:t>
      </w:r>
      <w:r>
        <w:rPr>
          <w:rFonts w:ascii="Arial" w:cs="Arial" w:eastAsia="Arial" w:hAnsi="Arial"/>
          <w:sz w:val="15"/>
          <w:szCs w:val="15"/>
          <w:color w:val="auto"/>
        </w:rPr>
        <w:t>®</w:t>
      </w:r>
      <w:r>
        <w:rPr>
          <w:rFonts w:ascii="Arial" w:cs="Arial" w:eastAsia="Arial" w:hAnsi="Arial"/>
          <w:sz w:val="18"/>
          <w:szCs w:val="18"/>
          <w:color w:val="auto"/>
        </w:rPr>
        <w:t xml:space="preserve"> (ferric citrate hydrate) and approved in the European Union, or the EU, for the control of hyperphosphatemia in adult patients with CKD under the trade name Fexeric</w:t>
      </w:r>
      <w:r>
        <w:rPr>
          <w:rFonts w:ascii="Arial" w:cs="Arial" w:eastAsia="Arial" w:hAnsi="Arial"/>
          <w:sz w:val="15"/>
          <w:szCs w:val="15"/>
          <w:color w:val="auto"/>
        </w:rPr>
        <w:t>®</w:t>
      </w:r>
      <w:r>
        <w:rPr>
          <w:rFonts w:ascii="Arial" w:cs="Arial" w:eastAsia="Arial" w:hAnsi="Arial"/>
          <w:sz w:val="18"/>
          <w:szCs w:val="18"/>
          <w:color w:val="auto"/>
        </w:rPr>
        <w:t xml:space="preserve"> (ferric citrate).</w:t>
      </w:r>
    </w:p>
    <w:p>
      <w:pPr>
        <w:spacing w:after="0" w:line="83"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Vadadustat </w:t>
      </w:r>
      <w:r>
        <w:rPr>
          <w:rFonts w:ascii="Arial" w:cs="Arial" w:eastAsia="Arial" w:hAnsi="Arial"/>
          <w:sz w:val="18"/>
          <w:szCs w:val="18"/>
          <w:color w:val="auto"/>
        </w:rPr>
        <w:t>is an investigational, oral hypoxia-inducible factor prolyl hydroxylase inhibitor, or HIF-PHI, in global Phase 3 development for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indications: (1) anemia due to CKD in adult patients with DD-CKD, and (2) anemia due to CKD in adult patients with NDD-CKD. We believe vadadustat has the potential to set a new oral standard of care for patients with anemia due to CKD, subject to regulatory approval. Vadadustat’s proposed mechanism of action is designed to mimic the physiologic effect of altitude on oxygen availability. At higher altitudes, the body responds to lower oxygen availability with increased production of hypoxia-inducible factor, or HIF, which coordinates the interdependent processes of iron mobilization and stimulates endogenous production of erythropoietin, or EPO, to increase red blood cell, or RBC, production and, ultimately, improve oxygen delivery.</w:t>
      </w:r>
    </w:p>
    <w:p>
      <w:pPr>
        <w:spacing w:after="0" w:line="18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market Auryxia in the United States with our well-established, nephrology-focused commercial organization. Our Japanese sublicensee, Japan Tobacco, Inc., or JT, and its subsidiary, Torii Pharmaceutical Co., Ltd., or Torii, commercialize Riona in Japan. Fexeric is not currently marketed in the EU.</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plan to commercialize vadadustat, subject to U.S. Food and Drug Administration, or FDA, approval, in the United States with our commercial organization, while also leveraging our collaboration with Otsuka Pharmaceutical Co. Ltd., or Otsuka, and its U.S. commercial organization. We also granted Otsuka exclusive rights to commercialize vadadustat in Europe, China and certain other markets, subject to marketing approvals. In Japan and certain other countries in Asia, we granted Mitsubishi Tanabe Pharma Corporation, or MTPC, exclusive rights to commercialize vadadustat, subject to marketing approvals. In addition, we granted Vifor (International) Ltd., or Vifor Pharma, an exclusive license to sell vadadustat solely to Fresenius Kidney Care Group LLC, or FKC, which manages approximately 40% of the dialysis patients in the United States, at its U.S. dialysis clinics, subject to FDA approval of vadadustat, vadadustat’s reimbursement under a bundled reimbursement model, and a milestone payment by Vifor Pharma.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goal is to become a leading biopharmaceutical company focused on the treatment of patients with kidney disease, through the discovery, development and commercialization of innovative therapeutics. The key elements of our strategy are as follows:</w:t>
      </w:r>
    </w:p>
    <w:p>
      <w:pPr>
        <w:spacing w:after="0" w:line="76" w:lineRule="exact"/>
        <w:rPr>
          <w:sz w:val="20"/>
          <w:szCs w:val="20"/>
          <w:color w:val="auto"/>
        </w:rPr>
      </w:pPr>
    </w:p>
    <w:p>
      <w:pPr>
        <w:ind w:left="1040" w:right="12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commercial opportunity for Auryxia. </w:t>
      </w:r>
      <w:r>
        <w:rPr>
          <w:rFonts w:ascii="Arial" w:cs="Arial" w:eastAsia="Arial" w:hAnsi="Arial"/>
          <w:sz w:val="18"/>
          <w:szCs w:val="18"/>
          <w:color w:val="auto"/>
        </w:rPr>
        <w:t>We aim to gain market share in Auryxia’s Hyperphosphatemia Indication by leveraging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Auryxia’s product profile and opportunities for adoption following the release of updated clinical guidelines. We aim to gain market share and grow the market for Auryxia’s IDA Indication by offering an alternative to the existing treatment approach.</w:t>
      </w:r>
    </w:p>
    <w:p>
      <w:pPr>
        <w:spacing w:after="0" w:line="73" w:lineRule="exact"/>
        <w:rPr>
          <w:rFonts w:ascii="Arial" w:cs="Arial" w:eastAsia="Arial" w:hAnsi="Arial"/>
          <w:sz w:val="18"/>
          <w:szCs w:val="18"/>
          <w:color w:val="auto"/>
        </w:rPr>
      </w:pPr>
    </w:p>
    <w:p>
      <w:pPr>
        <w:ind w:left="1040" w:right="40" w:hanging="519"/>
        <w:spacing w:after="0" w:line="29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global development and commercialization of our late-stage product candidate, vadadustat. </w:t>
      </w:r>
      <w:r>
        <w:rPr>
          <w:rFonts w:ascii="Arial" w:cs="Arial" w:eastAsia="Arial" w:hAnsi="Arial"/>
          <w:sz w:val="16"/>
          <w:szCs w:val="16"/>
          <w:color w:val="auto"/>
        </w:rPr>
        <w:t>We believe vadadustat has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 to address limitations of injectable erythropoiesis-stimulating agents, or ESAs, and set a new standard of care for the treatment of anemia due to CKD, subject to regulatory approval. We are conducting a global Phase 3 clinical development program for vadadustat, and our collaboration partner, MTPC, is conducting a Phase 3 clinical development program for vadadustat in Japan. We believe we are well positioned to commercialize vadadustat in the United States in partnership with Otsuka and through our agreement with Vifor Pharma, subject to FDA approval. We plan to support Otsuka’s and MTPC’s commercialization of vadadustat in Europe, China and certain other markets, subject to regulatory approvals. We retained full commercial rights to vadadustat in Latin America, allowing us maximum flexibility in the region.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ind w:left="1040" w:right="120" w:hanging="519"/>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Leverage portfolio synergies between our product, Auryxia, and our product candidate, vadadustat, in CKD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there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maximize the U.S. commercial performance of Auryxia and vadadustat, subject to FDA approval and launch, by leveraging our nephrology-focused commercial organization for Auryxia and our relationships and expertise in the renal space. We also plan to explore co-development potential for Auryxia and vadadustat.</w:t>
      </w:r>
    </w:p>
    <w:p>
      <w:pPr>
        <w:spacing w:after="0" w:line="71" w:lineRule="exact"/>
        <w:rPr>
          <w:rFonts w:ascii="Arial" w:cs="Arial" w:eastAsia="Arial" w:hAnsi="Arial"/>
          <w:sz w:val="18"/>
          <w:szCs w:val="18"/>
          <w:color w:val="auto"/>
        </w:rPr>
      </w:pPr>
    </w:p>
    <w:p>
      <w:pPr>
        <w:ind w:left="1040" w:right="80" w:hanging="519"/>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pipeline and portfolio of renal therapeutics to advance care for patients with kidney disease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aim to add to our pipeline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of renal therapeutics through internal discovery and development, and through strategic transactions, such as in-licenses, collaborations and acquisitions. Our pipeline and portfolio expansion efforts will be guided by our vision to improve the health of patients with kidney disease through better disease management and novel therapeutics.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management team has extensive experience in developing and commercializing drugs for the treatment of renal and metabolic disorders, a deep understanding of the renal space and biological pathways involved in kidney disease including HIF biology, and broad business development expertise. With this management team, fully integrated capabilities spanning research, manufacturing, development and commercialization, a growing revenue stream and a strong balance sheet, we are well positioned to execute on our strategy.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Kidney Disease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Kidney disease is an area of major unmet need globally, driving massive healthcare costs and with a generally poor prognosis: eventually many patients will progress to a stage where they are dependent on dialysis, with high morbidity and a significant increase in mortality rate.</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Kidney disease can be caused by a number of distinct and concomitant factors, including cardiometabolic disorders (primarily diabetes and hypertension), genetic kidney diseases, autoimmune disorders, and aging. Given the prevalence and growth rates of these various underlying conditions, kidney disease prevalence is expected to continue to increase globally. In the United States, kidney disease significantly impacts the U.S. healthcare system, affecting more than 40 million patients and costing Medicare over $110 billion annually in 2016 for the care provided in dialysis clinics, nephrology centers and hospitals. The U.S. Department of Health and Human Services has recognized the national pandemic and partnered with the American Society of Nephrology to found the KidneyX Innovation Accelerator, a public-private partnership to improve the lives of the 850 million people worldwide currently affected by kidney diseases by accelerating innovation in the prevention, diagnosis and treatment of kidney diseases.</w:t>
      </w:r>
    </w:p>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Most of the conditions covered by the term “kidney disease” may ultimately lead to dependence on dialysis or kidney transplant for survival, causing renal failure, directly or indirectly, by accelerating the onset of CKD. Dependence on dialysis is associated with a significant increase in mortality and hospitalizations, and a significant reduction in quality of life for patients. It is our vision, in time, to provide or contribute to better alternatives for patients with kidney disease.</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 first step towards our vision, we aim to advance care for patients with CKD, which is the current focus of our pipeline and our FDA-approved product, Auryxia.</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CKD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As illustrated in the table below, CKD patients are categorized in one of five stages based on the degree of their loss of kidney function as measured by the glomerular filtration rate, or GFR, and the level of protein in the urine, referred to as albuminuria. CKD is estimated to affect approximately 37 million adults in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Stages and Prevalence of Chronic Kidney Disease in the United States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940" w:type="dxa"/>
            <w:vAlign w:val="bottom"/>
            <w:tcBorders>
              <w:top w:val="single" w:sz="8" w:color="auto"/>
              <w:left w:val="single" w:sz="8" w:color="auto"/>
              <w:right w:val="single" w:sz="8" w:color="auto"/>
            </w:tcBorders>
            <w:shd w:val="clear" w:color="auto" w:fill="B8CCE4"/>
          </w:tcPr>
          <w:p>
            <w:pPr>
              <w:spacing w:after="0"/>
              <w:rPr>
                <w:sz w:val="24"/>
                <w:szCs w:val="24"/>
                <w:color w:val="auto"/>
              </w:rPr>
            </w:pPr>
          </w:p>
        </w:tc>
        <w:tc>
          <w:tcPr>
            <w:tcW w:w="2740" w:type="dxa"/>
            <w:vAlign w:val="bottom"/>
            <w:tcBorders>
              <w:top w:val="single" w:sz="8" w:color="auto"/>
              <w:right w:val="single" w:sz="8" w:color="auto"/>
            </w:tcBorders>
            <w:shd w:val="clear" w:color="auto" w:fill="B8CCE4"/>
          </w:tcPr>
          <w:p>
            <w:pPr>
              <w:spacing w:after="0"/>
              <w:rPr>
                <w:sz w:val="24"/>
                <w:szCs w:val="24"/>
                <w:color w:val="auto"/>
              </w:rPr>
            </w:pPr>
          </w:p>
        </w:tc>
        <w:tc>
          <w:tcPr>
            <w:tcW w:w="2520" w:type="dxa"/>
            <w:vAlign w:val="bottom"/>
            <w:tcBorders>
              <w:top w:val="single" w:sz="8" w:color="auto"/>
              <w:right w:val="single" w:sz="8" w:color="auto"/>
            </w:tcBorders>
            <w:shd w:val="clear" w:color="auto" w:fill="B8CCE4"/>
          </w:tcPr>
          <w:p>
            <w:pPr>
              <w:spacing w:after="0"/>
              <w:rPr>
                <w:sz w:val="24"/>
                <w:szCs w:val="24"/>
                <w:color w:val="auto"/>
              </w:rPr>
            </w:pPr>
          </w:p>
        </w:tc>
        <w:tc>
          <w:tcPr>
            <w:tcW w:w="2500" w:type="dxa"/>
            <w:vAlign w:val="bottom"/>
            <w:tcBorders>
              <w:top w:val="single" w:sz="8" w:color="auto"/>
              <w:right w:val="single" w:sz="8" w:color="auto"/>
            </w:tcBorders>
            <w:shd w:val="clear" w:color="auto" w:fill="B8CCE4"/>
          </w:tcPr>
          <w:p>
            <w:pPr>
              <w:spacing w:after="0"/>
              <w:rPr>
                <w:sz w:val="24"/>
                <w:szCs w:val="24"/>
                <w:color w:val="auto"/>
              </w:rPr>
            </w:pPr>
          </w:p>
        </w:tc>
        <w:tc>
          <w:tcPr>
            <w:tcW w:w="2720" w:type="dxa"/>
            <w:vAlign w:val="bottom"/>
            <w:tcBorders>
              <w:top w:val="single" w:sz="8" w:color="auto"/>
              <w:right w:val="single" w:sz="8" w:color="auto"/>
            </w:tcBorders>
            <w:shd w:val="clear" w:color="auto" w:fill="B8CCE4"/>
          </w:tcPr>
          <w:p>
            <w:pPr>
              <w:ind w:left="60"/>
              <w:spacing w:after="0"/>
              <w:rPr>
                <w:sz w:val="20"/>
                <w:szCs w:val="20"/>
                <w:color w:val="auto"/>
              </w:rPr>
            </w:pPr>
            <w:r>
              <w:rPr>
                <w:rFonts w:ascii="Arial" w:cs="Arial" w:eastAsia="Arial" w:hAnsi="Arial"/>
                <w:sz w:val="16"/>
                <w:szCs w:val="16"/>
                <w:b w:val="1"/>
                <w:bCs w:val="1"/>
                <w:color w:val="auto"/>
              </w:rPr>
              <w:t>Estimated Number of U.S.</w:t>
            </w:r>
          </w:p>
        </w:tc>
      </w:tr>
      <w:tr>
        <w:trPr>
          <w:trHeight w:val="220"/>
        </w:trPr>
        <w:tc>
          <w:tcPr>
            <w:tcW w:w="940" w:type="dxa"/>
            <w:vAlign w:val="bottom"/>
            <w:tcBorders>
              <w:left w:val="single" w:sz="8" w:color="auto"/>
              <w:bottom w:val="single" w:sz="8" w:color="auto"/>
              <w:right w:val="single" w:sz="8" w:color="auto"/>
            </w:tcBorders>
            <w:shd w:val="clear" w:color="auto" w:fill="B8CCE4"/>
          </w:tcPr>
          <w:p>
            <w:pPr>
              <w:ind w:left="100"/>
              <w:spacing w:after="0"/>
              <w:rPr>
                <w:sz w:val="20"/>
                <w:szCs w:val="20"/>
                <w:color w:val="auto"/>
              </w:rPr>
            </w:pPr>
            <w:r>
              <w:rPr>
                <w:rFonts w:ascii="Arial" w:cs="Arial" w:eastAsia="Arial" w:hAnsi="Arial"/>
                <w:sz w:val="16"/>
                <w:szCs w:val="16"/>
                <w:b w:val="1"/>
                <w:bCs w:val="1"/>
                <w:color w:val="auto"/>
              </w:rPr>
              <w:t>Stage</w:t>
            </w:r>
          </w:p>
        </w:tc>
        <w:tc>
          <w:tcPr>
            <w:tcW w:w="2740" w:type="dxa"/>
            <w:vAlign w:val="bottom"/>
            <w:tcBorders>
              <w:bottom w:val="single" w:sz="8" w:color="auto"/>
              <w:right w:val="single" w:sz="8" w:color="auto"/>
            </w:tcBorders>
            <w:shd w:val="clear" w:color="auto" w:fill="B8CCE4"/>
          </w:tcPr>
          <w:p>
            <w:pPr>
              <w:ind w:left="80"/>
              <w:spacing w:after="0"/>
              <w:rPr>
                <w:sz w:val="20"/>
                <w:szCs w:val="20"/>
                <w:color w:val="auto"/>
              </w:rPr>
            </w:pPr>
            <w:r>
              <w:rPr>
                <w:rFonts w:ascii="Arial" w:cs="Arial" w:eastAsia="Arial" w:hAnsi="Arial"/>
                <w:sz w:val="16"/>
                <w:szCs w:val="16"/>
                <w:b w:val="1"/>
                <w:bCs w:val="1"/>
                <w:color w:val="auto"/>
              </w:rPr>
              <w:t>Description</w:t>
            </w:r>
          </w:p>
        </w:tc>
        <w:tc>
          <w:tcPr>
            <w:tcW w:w="2520" w:type="dxa"/>
            <w:vAlign w:val="bottom"/>
            <w:tcBorders>
              <w:bottom w:val="single" w:sz="8" w:color="auto"/>
              <w:right w:val="single" w:sz="8" w:color="auto"/>
            </w:tcBorders>
            <w:shd w:val="clear" w:color="auto" w:fill="B8CCE4"/>
          </w:tcPr>
          <w:p>
            <w:pPr>
              <w:ind w:left="80"/>
              <w:spacing w:after="0" w:line="220" w:lineRule="exact"/>
              <w:rPr>
                <w:sz w:val="20"/>
                <w:szCs w:val="20"/>
                <w:color w:val="auto"/>
              </w:rPr>
            </w:pPr>
            <w:r>
              <w:rPr>
                <w:rFonts w:ascii="Arial" w:cs="Arial" w:eastAsia="Arial" w:hAnsi="Arial"/>
                <w:sz w:val="15"/>
                <w:szCs w:val="15"/>
                <w:b w:val="1"/>
                <w:bCs w:val="1"/>
                <w:color w:val="auto"/>
              </w:rPr>
              <w:t>GFR (mL/min/1.73m</w:t>
            </w:r>
            <w:r>
              <w:rPr>
                <w:rFonts w:ascii="Arial" w:cs="Arial" w:eastAsia="Arial" w:hAnsi="Arial"/>
                <w:sz w:val="25"/>
                <w:szCs w:val="25"/>
                <w:b w:val="1"/>
                <w:bCs w:val="1"/>
                <w:color w:val="auto"/>
                <w:vertAlign w:val="superscript"/>
              </w:rPr>
              <w:t>2</w:t>
            </w:r>
            <w:r>
              <w:rPr>
                <w:rFonts w:ascii="Arial" w:cs="Arial" w:eastAsia="Arial" w:hAnsi="Arial"/>
                <w:sz w:val="15"/>
                <w:szCs w:val="15"/>
                <w:b w:val="1"/>
                <w:bCs w:val="1"/>
                <w:color w:val="auto"/>
              </w:rPr>
              <w:t>)</w:t>
            </w:r>
            <w:r>
              <w:rPr>
                <w:rFonts w:ascii="Arial" w:cs="Arial" w:eastAsia="Arial" w:hAnsi="Arial"/>
                <w:sz w:val="25"/>
                <w:szCs w:val="25"/>
                <w:b w:val="1"/>
                <w:bCs w:val="1"/>
                <w:color w:val="auto"/>
                <w:vertAlign w:val="superscript"/>
              </w:rPr>
              <w:t>a</w:t>
            </w:r>
          </w:p>
        </w:tc>
        <w:tc>
          <w:tcPr>
            <w:tcW w:w="2500" w:type="dxa"/>
            <w:vAlign w:val="bottom"/>
            <w:tcBorders>
              <w:bottom w:val="single" w:sz="8" w:color="auto"/>
              <w:right w:val="single" w:sz="8" w:color="auto"/>
            </w:tcBorders>
            <w:shd w:val="clear" w:color="auto" w:fill="B8CCE4"/>
          </w:tcPr>
          <w:p>
            <w:pPr>
              <w:ind w:left="80"/>
              <w:spacing w:after="0" w:line="220" w:lineRule="exact"/>
              <w:rPr>
                <w:sz w:val="20"/>
                <w:szCs w:val="20"/>
                <w:color w:val="auto"/>
              </w:rPr>
            </w:pPr>
            <w:r>
              <w:rPr>
                <w:rFonts w:ascii="Arial" w:cs="Arial" w:eastAsia="Arial" w:hAnsi="Arial"/>
                <w:sz w:val="15"/>
                <w:szCs w:val="15"/>
                <w:b w:val="1"/>
                <w:bCs w:val="1"/>
                <w:color w:val="auto"/>
              </w:rPr>
              <w:t>U.S. Prevalence Rates</w:t>
            </w:r>
            <w:r>
              <w:rPr>
                <w:rFonts w:ascii="Arial" w:cs="Arial" w:eastAsia="Arial" w:hAnsi="Arial"/>
                <w:sz w:val="25"/>
                <w:szCs w:val="25"/>
                <w:b w:val="1"/>
                <w:bCs w:val="1"/>
                <w:color w:val="auto"/>
                <w:vertAlign w:val="superscript"/>
              </w:rPr>
              <w:t>b, c</w:t>
            </w:r>
          </w:p>
        </w:tc>
        <w:tc>
          <w:tcPr>
            <w:tcW w:w="2720" w:type="dxa"/>
            <w:vAlign w:val="bottom"/>
            <w:tcBorders>
              <w:bottom w:val="single" w:sz="8" w:color="auto"/>
              <w:right w:val="single" w:sz="8" w:color="auto"/>
            </w:tcBorders>
            <w:shd w:val="clear" w:color="auto" w:fill="B8CCE4"/>
          </w:tcPr>
          <w:p>
            <w:pPr>
              <w:ind w:left="60"/>
              <w:spacing w:after="0" w:line="220" w:lineRule="exact"/>
              <w:rPr>
                <w:sz w:val="20"/>
                <w:szCs w:val="20"/>
                <w:color w:val="auto"/>
              </w:rPr>
            </w:pPr>
            <w:r>
              <w:rPr>
                <w:rFonts w:ascii="Arial" w:cs="Arial" w:eastAsia="Arial" w:hAnsi="Arial"/>
                <w:sz w:val="15"/>
                <w:szCs w:val="15"/>
                <w:b w:val="1"/>
                <w:bCs w:val="1"/>
                <w:color w:val="auto"/>
              </w:rPr>
              <w:t>Patients (millions)</w:t>
            </w:r>
            <w:r>
              <w:rPr>
                <w:rFonts w:ascii="Arial" w:cs="Arial" w:eastAsia="Arial" w:hAnsi="Arial"/>
                <w:sz w:val="25"/>
                <w:szCs w:val="25"/>
                <w:b w:val="1"/>
                <w:bCs w:val="1"/>
                <w:color w:val="auto"/>
                <w:vertAlign w:val="superscript"/>
              </w:rPr>
              <w:t>d, e</w:t>
            </w:r>
          </w:p>
        </w:tc>
      </w:tr>
      <w:tr>
        <w:trPr>
          <w:trHeight w:val="186"/>
        </w:trPr>
        <w:tc>
          <w:tcPr>
            <w:tcW w:w="9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Kidney damage with normal or</w:t>
            </w:r>
          </w:p>
        </w:tc>
        <w:tc>
          <w:tcPr>
            <w:tcW w:w="252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r>
      <w:tr>
        <w:trPr>
          <w:trHeight w:val="209"/>
        </w:trPr>
        <w:tc>
          <w:tcPr>
            <w:tcW w:w="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1</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increased GFR</w:t>
            </w: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≥90</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4.6%</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11.2</w:t>
            </w:r>
          </w:p>
        </w:tc>
      </w:tr>
      <w:tr>
        <w:trPr>
          <w:trHeight w:val="189"/>
        </w:trPr>
        <w:tc>
          <w:tcPr>
            <w:tcW w:w="9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Kidney damage with mildly</w:t>
            </w:r>
          </w:p>
        </w:tc>
        <w:tc>
          <w:tcPr>
            <w:tcW w:w="252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r>
      <w:tr>
        <w:trPr>
          <w:trHeight w:val="209"/>
        </w:trPr>
        <w:tc>
          <w:tcPr>
            <w:tcW w:w="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decreased GFR</w:t>
            </w: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60-89</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3.0%</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7.3</w:t>
            </w:r>
          </w:p>
        </w:tc>
      </w:tr>
      <w:tr>
        <w:trPr>
          <w:trHeight w:val="304"/>
        </w:trPr>
        <w:tc>
          <w:tcPr>
            <w:tcW w:w="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3</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Moderately decreased GFR</w:t>
            </w: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30-59</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6.7%</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16.4</w:t>
            </w:r>
          </w:p>
        </w:tc>
      </w:tr>
      <w:tr>
        <w:trPr>
          <w:trHeight w:val="304"/>
        </w:trPr>
        <w:tc>
          <w:tcPr>
            <w:tcW w:w="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4</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Severely decreased GFR</w:t>
            </w: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15-29</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0.4%</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1.0</w:t>
            </w:r>
          </w:p>
        </w:tc>
      </w:tr>
      <w:tr>
        <w:trPr>
          <w:trHeight w:val="189"/>
        </w:trPr>
        <w:tc>
          <w:tcPr>
            <w:tcW w:w="9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Kidney failure (includes non</w:t>
            </w:r>
          </w:p>
        </w:tc>
        <w:tc>
          <w:tcPr>
            <w:tcW w:w="252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r>
      <w:tr>
        <w:trPr>
          <w:trHeight w:val="209"/>
        </w:trPr>
        <w:tc>
          <w:tcPr>
            <w:tcW w:w="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5</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dialysis, dialysis and transplant)</w:t>
            </w:r>
          </w:p>
        </w:tc>
        <w:tc>
          <w:tcPr>
            <w:tcW w:w="2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&lt;15 (or dialysis)</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0.3% (calculated)</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0.7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Sources:</w:t>
      </w:r>
    </w:p>
    <w:p>
      <w:pPr>
        <w:spacing w:after="0" w:line="117" w:lineRule="exact"/>
        <w:rPr>
          <w:sz w:val="20"/>
          <w:szCs w:val="20"/>
          <w:color w:val="auto"/>
        </w:rPr>
      </w:pPr>
    </w:p>
    <w:p>
      <w:pPr>
        <w:ind w:left="1040" w:right="220" w:hanging="519"/>
        <w:spacing w:after="0" w:line="277" w:lineRule="auto"/>
        <w:tabs>
          <w:tab w:leader="none" w:pos="1040" w:val="left"/>
        </w:tabs>
        <w:numPr>
          <w:ilvl w:val="0"/>
          <w:numId w:val="8"/>
        </w:numPr>
        <w:rPr>
          <w:rFonts w:ascii="Arial" w:cs="Arial" w:eastAsia="Arial" w:hAnsi="Arial"/>
          <w:sz w:val="15"/>
          <w:szCs w:val="15"/>
          <w:color w:val="auto"/>
        </w:rPr>
      </w:pPr>
      <w:r>
        <w:rPr>
          <w:rFonts w:ascii="Arial" w:cs="Arial" w:eastAsia="Arial" w:hAnsi="Arial"/>
          <w:sz w:val="18"/>
          <w:szCs w:val="18"/>
          <w:color w:val="auto"/>
        </w:rPr>
        <w:t>GFR categories defined in the August 2012 Kidney Disease Improving Global Outcomes Clinical Practice Guideline for Anemia in Chronic Kidney Disease, p. vii.</w:t>
      </w:r>
    </w:p>
    <w:p>
      <w:pPr>
        <w:spacing w:after="0" w:line="62" w:lineRule="exact"/>
        <w:rPr>
          <w:sz w:val="20"/>
          <w:szCs w:val="20"/>
          <w:color w:val="auto"/>
        </w:rPr>
      </w:pPr>
    </w:p>
    <w:p>
      <w:pPr>
        <w:ind w:left="1040" w:right="320" w:hanging="519"/>
        <w:spacing w:after="0" w:line="277" w:lineRule="auto"/>
        <w:tabs>
          <w:tab w:leader="none" w:pos="1040" w:val="left"/>
        </w:tabs>
        <w:numPr>
          <w:ilvl w:val="0"/>
          <w:numId w:val="9"/>
        </w:numPr>
        <w:rPr>
          <w:rFonts w:ascii="Arial" w:cs="Arial" w:eastAsia="Arial" w:hAnsi="Arial"/>
          <w:sz w:val="15"/>
          <w:szCs w:val="15"/>
          <w:color w:val="auto"/>
        </w:rPr>
      </w:pPr>
      <w:r>
        <w:rPr>
          <w:rFonts w:ascii="Arial" w:cs="Arial" w:eastAsia="Arial" w:hAnsi="Arial"/>
          <w:sz w:val="18"/>
          <w:szCs w:val="18"/>
          <w:color w:val="auto"/>
        </w:rPr>
        <w:t>U.S. Prevalence Rates for Stages 1-4 based on averages of data from 2011-2012 and 2013-2014, CDC CKD Surveillance System, National Health and Nutrition Examination Survey, or NHANES.</w:t>
      </w:r>
    </w:p>
    <w:p>
      <w:pPr>
        <w:spacing w:after="0" w:line="62" w:lineRule="exact"/>
        <w:rPr>
          <w:sz w:val="20"/>
          <w:szCs w:val="20"/>
          <w:color w:val="auto"/>
        </w:rPr>
      </w:pPr>
    </w:p>
    <w:p>
      <w:pPr>
        <w:ind w:left="1040" w:right="220" w:hanging="519"/>
        <w:spacing w:after="0" w:line="342"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6"/>
          <w:szCs w:val="16"/>
          <w:color w:val="auto"/>
        </w:rPr>
        <w:t xml:space="preserve">U.S. Prevalence Rate for Stage 5 is based on a calculation using estimated number of U.S. patients with Stage 5 CKD from 2017 U.S. Renal Data System Annual Report, as set forth in this table, and U.S. population data for people 20 years and older from </w:t>
      </w:r>
      <w:r>
        <w:rPr>
          <w:rFonts w:ascii="Arial" w:cs="Arial" w:eastAsia="Arial" w:hAnsi="Arial"/>
          <w:sz w:val="16"/>
          <w:szCs w:val="16"/>
          <w:u w:val="single" w:color="auto"/>
          <w:color w:val="auto"/>
        </w:rPr>
        <w:t>www.census.gov</w:t>
      </w:r>
      <w:r>
        <w:rPr>
          <w:rFonts w:ascii="Arial" w:cs="Arial" w:eastAsia="Arial" w:hAnsi="Arial"/>
          <w:sz w:val="16"/>
          <w:szCs w:val="16"/>
          <w:color w:val="auto"/>
        </w:rPr>
        <w:t>.</w:t>
      </w:r>
    </w:p>
    <w:p>
      <w:pPr>
        <w:spacing w:after="0" w:line="16" w:lineRule="exact"/>
        <w:rPr>
          <w:sz w:val="20"/>
          <w:szCs w:val="20"/>
          <w:color w:val="auto"/>
        </w:rPr>
      </w:pPr>
    </w:p>
    <w:p>
      <w:pPr>
        <w:ind w:left="1040" w:right="260" w:hanging="519"/>
        <w:spacing w:after="0" w:line="277" w:lineRule="auto"/>
        <w:tabs>
          <w:tab w:leader="none" w:pos="10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 xml:space="preserve">Estimated Number of U.S. Patients for Stages 1-4 based on the 2017 U.S. Prevalence rates, as set forth in this table, as applied by Akebia to U.S. population data for people 20 years and older from </w:t>
      </w:r>
      <w:r>
        <w:rPr>
          <w:rFonts w:ascii="Arial" w:cs="Arial" w:eastAsia="Arial" w:hAnsi="Arial"/>
          <w:sz w:val="18"/>
          <w:szCs w:val="18"/>
          <w:u w:val="single" w:color="auto"/>
          <w:color w:val="auto"/>
        </w:rPr>
        <w:t>www.census.gov</w:t>
      </w:r>
      <w:r>
        <w:rPr>
          <w:rFonts w:ascii="Arial" w:cs="Arial" w:eastAsia="Arial" w:hAnsi="Arial"/>
          <w:sz w:val="18"/>
          <w:szCs w:val="18"/>
          <w:color w:val="auto"/>
        </w:rPr>
        <w:t>.</w:t>
      </w:r>
    </w:p>
    <w:p>
      <w:pPr>
        <w:spacing w:after="0" w:line="6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Estimated Number of U.S. End-Stage Renal Disease Patients from 2017 U.S. Renal Data System Annual Report.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prevalence and incidence of CKD is increasing in all segments of the United States population. Risk factors for the development of CKD include concomitant diseases such as hypertension, diabetes mellitus and cardiovascular disease, lifestyle factors such as tobacco use and inactivity, family history, aging and prenatal factors such as maternal diabetes mellitus, low birth weight and small-for-gestational-age status. According to an article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published in May 2013, projected worldwide population changes suggest that the potential number of cases of CKD, specifically end-stage, will increase disproportionately in countries such as Japan, China and India where the number of elderly people is increasing. This effect will be accelerated further if the growth in the prevalence of hypertension and diabetes persists, along with the associated increased risk of stroke and cardiovascular disease, and access to treatment does not improve.</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progression of CKD towards renal failure is complicated by multiple conditions which further deteriorate kidney function and the general health of patients if left untreated. Typically the prevalence of these conditions increases as CKD progresses. For instance, anemia is characterized by low hemoglobin levels and is typically associated with a worsening quality of life, increased hospitalizations and increased mortality. The prevalence of anemia increases with the severity of CKD from an estimated 20% in patients with Stage 3 NDD-CKD to an estimated 95% in patients with Stage 5 DD-CKD.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Anemia, or low hemoglobin/red blood count, in patients with CKD most commonly arises from two etiologies:</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IDA: results from low levels of iron due to abnormal iron absorption and utilization in patients with CKD.</w:t>
      </w:r>
    </w:p>
    <w:p>
      <w:pPr>
        <w:spacing w:after="0" w:line="117" w:lineRule="exact"/>
        <w:rPr>
          <w:rFonts w:ascii="Arial" w:cs="Arial" w:eastAsia="Arial" w:hAnsi="Arial"/>
          <w:sz w:val="18"/>
          <w:szCs w:val="18"/>
          <w:color w:val="auto"/>
        </w:rPr>
      </w:pPr>
    </w:p>
    <w:p>
      <w:pPr>
        <w:jc w:val="both"/>
        <w:ind w:left="1040" w:right="20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Anemia due to CKD: results from inadequate levels of EPO, a protein hormone synthesized by specialized cells in the kidney that stimulates production of red blood cells in the bone marrow. As renal function declines, the body progressively loses the ability to produce endogenous EPO.</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IDA in adult patients with NDD-CKD is an FDA-approved indication for Auryxia, and anemia due to CKD in NDD-CKD and DD-CKD patients are the two indications being investigated in Phase 3 clinical trials for vadadustat.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Hyperphosphatemia is another condition associated with CKD that is characterized by elevated serum phosphorus levels and is also typically associated with a worsening of health including increased cardiovascular risk and increased mortality. Hyperphosphatemia in DD-CKD patients is also an FDA-approved indication for Auryxia.</w:t>
      </w:r>
    </w:p>
    <w:p>
      <w:pPr>
        <w:spacing w:after="0" w:line="18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In addition to these conditions that are the current focus of our pipeline and portfolio of approved indications, there are several other disorders that have deleterious consequences on patient’s health, including hypercalcemia, hyperkalemia, hyponatremia, hypernatremia, and hyperparathyroidism. These conditions are generally not well controlled, particularly in the later stages of CKD and as patients transition to dialysis.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considering opportunities for further development and co-development of Auryxia and vadadustat in CKD patients, including in patients with later stage NDD-CKD.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When considering the clinical and commercial opportunities in CKD, it is important to take note of the contrasting market dynamics between DD-CKD and NDD-CKD.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 w:name="page8"/>
    <w:bookmarkEnd w:id="7"/>
    <w:p>
      <w:pPr>
        <w:ind w:right="80"/>
        <w:spacing w:after="0" w:line="269" w:lineRule="auto"/>
        <w:rPr>
          <w:sz w:val="20"/>
          <w:szCs w:val="20"/>
          <w:color w:val="auto"/>
        </w:rPr>
      </w:pPr>
      <w:r>
        <w:rPr>
          <w:rFonts w:ascii="Arial" w:cs="Arial" w:eastAsia="Arial" w:hAnsi="Arial"/>
          <w:sz w:val="17"/>
          <w:szCs w:val="17"/>
          <w:color w:val="auto"/>
        </w:rPr>
        <w:t>DD-CKD patients receive treatment for the various complications of CKD including anemia and hyperphosphatemia. Given the concentration of dialysis clinics in large networks, with DaVita and Fresenius Kidney Care accounting for nearly 80% of the dialysis population in the United States, treatment is usually driven by medical protocols that are rolled out across the entire network of clinics. These protocols are informed by very large data sets and when updated, result in rapid change applicable to large segments of the patient population. This is particularly true of medications covered under the End Stage Renal Disease, or ESRD, Prospective Payment System, or PPS, in Medicare, or the ESRD Bundle, a payment structure with a flat base rate per dialysis session adjusted for individual patient and facility characteristics. Dialysis-related drugs are included in the ESRD Bundle if they fall into functional categories such as anemia management and bone and mineral metabolism, except that oral-only drugs are exempted from inclusion until 2025. In a final ESRD PPS rule published in November 2018, CMS confirmed that it will expand the Transitional Drug Add-On Payment Adjustment, or TDAPA, to all new dialysis drugs approved by the FDA after January 1, 2020. The TDAPA will provide separate payment for new drugs for two years based on the drug’s Average Sales Price, ASP, that will be added to the base rate in order to facilitate the adoption of innovative therapies. Although there are several details that need clarification, the rule provides support for our assumption that new anemia treatments, including the HIF-PHI class, will be included in the ESRD Bundle and will be eligible for separate payment initially under TDAPA.</w:t>
      </w:r>
    </w:p>
    <w:p>
      <w:pPr>
        <w:spacing w:after="0" w:line="18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contrast, NDD-CKD is characterized by larger patient populations with lower treatment rates for CKD-related conditions. In addition to improving cardiovascular risk and quality of life, unmet need includes delaying the progression of CKD and therefore the transition to dialysis. Reimbursement in the non-dialysis setting aligns with traditional commercial and government payer reimbursement for outpatient drugs.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 Auryxia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Auryxia (ferric citrate) is a non-calcium, non-chewable, orally-administered tablet that was approved for marketing by the FDA in September 2014 as a phosphate binder for the Hyperphosphatemia Indication and was commercially launched in the United States shortly thereafter. In November 2017, Auryxia received marketing approval from the FDA for a second indication, the IDA Indication, and was commercially launched for this indication in the United States shortly thereafter.</w:t>
      </w:r>
    </w:p>
    <w:p>
      <w:pPr>
        <w:spacing w:after="0" w:line="21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January 2014, our Japanese sublicensee, JT, received approval from the Japanese Ministry of Health, Labour and Welfare to market ferric citrate in Japan under the trade name Riona as an oral treatment for the improvement of hyperphosphatemia in patients with CKD, including DD-CKD and NDD-CKD, and was commercially launched in Japan shortly thereafter. In September 2015, we received approval to market ferric citrate in the EU under the trade name Fexeric for the control of hyperphosphatemia in adult patients with CKD. Fexeric was also approved in the EU as a New Active Substance, or NAS, which provides 10 years of data and marketing exclusivity in the EU. Fexeric is not currently marketed in the EU, and our EU marketing authorization for Fexeric will cease to be valid on December 23, 2019 unless we commence marketing Fexeric in the EU by that date. We are exploring commercialization opportunities with third parties for Fexeric.</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licensed and sublicensed certain intellectual property rights covering Auryxia from Panion &amp; BF Biotech, Inc., or Panion. For more information regarding our intellectual property rights to Auryxia and our license agreement with Panion see Part I, Item 1. Business – Intellectual Property – Auryxia and Part I, Item 1. Business - License, Collaboration and Other Strategic Agreements – License Agreement with Panion &amp; BF Biotech, Inc. We have received four Paragraph IV certification notice letters regarding Abbreviated New Drug Applications, or ANDAs, submitted to the FDA, with the first having been received on October 31, 2018. For more information about these Paragraph IV certification notice letters and any related litigation, see Part I, Item 3. Legal Proceedings.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Hyperphosphatemia</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Hyperphosphatemia is a metabolic disorder characterized by elevated serum phosphorus levels. Phosphorus is a vital element required for most cellular processes and, in individuals with normal kidney function, excess dietary phosphorus is removed by the kidneys and excreted in urine. In adults with functioning kidneys, normal serum phosphorus levels are 2.5 to 4.5 mg/dL. In adults with DD-CKD, elevated phosphorus levels, or hyperphosphatemia, can be associated with adverse effects, including increased risk for cardiovascular disease, bone disease and death.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right="120"/>
        <w:spacing w:after="0" w:line="273" w:lineRule="auto"/>
        <w:rPr>
          <w:sz w:val="20"/>
          <w:szCs w:val="20"/>
          <w:color w:val="auto"/>
        </w:rPr>
      </w:pPr>
      <w:r>
        <w:rPr>
          <w:rFonts w:ascii="Arial" w:cs="Arial" w:eastAsia="Arial" w:hAnsi="Arial"/>
          <w:sz w:val="17"/>
          <w:szCs w:val="17"/>
          <w:color w:val="auto"/>
        </w:rPr>
        <w:t>Phosphate binders are the only interventions marketed for the treatment of hyperphosphatemia. According to the U.S. Renal Data System, or USRDS, 2018 Annual Data Report, there are approximately 511,000 adult patients in the United States with DD-CKD in 2016, of which approximately 85% were treated with a phosphate binder. Phosphate binders need to be taken with meals and snacks, and it is not uncommon for DD-CKD patients to be prescribed as many as 12 or more phosphate binder pills per day, among other medications. Patients taking phosphate binders also experience gastrointestinal tolerability issues. As a result of the pill burden and tolerability issues associated phosphate binders, prescribed phosphate binders are often intolerable for many patients, leading to lack of treatment adherence and compliance.</w:t>
      </w:r>
    </w:p>
    <w:p>
      <w:pPr>
        <w:spacing w:after="0" w:line="17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addition, in 2016 approximately 55% of patients treated with a phosphate binder were treated with a calcium-based binder, which can lead to side effects such as increased cardiovascular risk, hypercalcemia and gastrointestinal-related adverse events. Due to the risks associated with calcium-based binders, in 2017 Kidney Disease: Improving Global Outcomes, or KDIGO, recommended that clinicians limit the use of calcium-based binders. A third party market research survey of 195 nephrologists conducted in the fourth quarter of 2018 after the release of the 2017 KDIGO guidelines indicated that 51% of those surveyed anticipate decreasing their use of calcium-based binders in patients with DD-CKD.</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Lanthanum-based phosphate binders are another alternative. Lanthanum is a rare earth element and is minimally absorbed in the gastrointestinal tract. Lower level tissue deposition, particularly in bone and liver, has been observed in animals, however, the long-term, potentially harmful, effects due to the accumulation of lanthanum in these tissues have not been clearly determined.</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Aluminum-type phosphate binders were widely used in the past. However, the systemic absorption of aluminum from these agents and the potential toxicity associated with their use no longer make this type of binder a viable long-term treatment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Iron Deficiency Anemia</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Anemia is a condition characterized by abnormally low levels of hemoglobin. Hemoglobin is contained within RBCs and carries oxygen to other parts of the body. If there are too few RBCs or if hemoglobin levels are low, the cells in the body will not get enough oxygen. IDA is a common form of anemia that is caused by patients not having enough iron to manufacture healthy RBCs. Although anyone can develop IDA, IDA is particularly common in patients with NDD-CKD. IDA is associated with fatigue, lethargy, decrease quality of life, cardiovascular complications, hospitalizations and increased mortality.</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estimate that there are more than 500,000 adult patients in the United States with NDD-CKD diagnosed with IDA. Currently, there are two forms of iron therapy used to treat IDA: oral iron supplements and iron delivered via intravenous infusion, or IV iron. Oral iron is currently the first-line iron replacement therapy for most physicians; however, oral iron supplements are poorly absorbed by many patients, which may adversely impact their effectiveness, and are associated with certain side effects, such as constipation, diarrhea and cramping, that may adversely affect patient compliance. IV iron is viewed as an effective treatment; however, like other intravenous medicines, it is logistically difficult to administer in an office setting, where NDD-CKD patients are more often treated.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marketing Auryxia in the United States through our well-established, nephrology-focused sales force and commercial organization. In 2018, our sales force called on approximately 7,300 nephrologists, who represented 82% of prescriptions written for phosphate binders by nephrologists.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Auryxia, as an oral drug, is covered by Medicare only under Part D. We have gained broad access for Auryxia in the United States in both Medicare Part D and commercial channels. Auryxia is currently covered for the Hyperphosphatemia Indication in nine of the ten largest Medicare Part D plans, which provide coverage for approximately 33.6 million people, and the ten largest commercial plans and pharmacy benefit managers in the United States, which provide coverage for approximately 131.7 million people. In September 2018, the Centers for Medicare &amp; Medicaid Services, or CMS, decided that Auryxia would not be covered by Medicare for the IDA Indication. While this decision does not impact CMS coverage of the Hyperphosphatemia Indication, it requires all prescriptions for Auryxia for Medicare patients to undergo a prior authorization to ensure their use in the Hyperphosphatemia Indication. We are engaged in discussions with CMS and Medicare Part D sponsors on this matter as we believe that Auryxia should qualify for coverage under Medicare Part D of the CMS regulations for the IDA Indication.</w:t>
      </w:r>
    </w:p>
    <w:p>
      <w:pPr>
        <w:spacing w:after="0" w:line="1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JT, and its subsidiary, Torii, market Riona in Japan. We receive tiered double-digit royalties from JT and Torii based on their sales in Japan. Fexeric is not currently marketed in the EU, and our current marketing authorization for Fexeric in the EU ceases to be valid on December 23, 2019 unless we commence marketing Fexeric in the EU by that date. We are exploring commercialization opportunities with third parties for Fexeric.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Late-Stage Product Candidate: Vadadustat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Vadadustat is an investigational oral HIF-PHI product candidate, in global Phase 3 development for two indications: anemia due to CKD in adult patients with DD-CKD, and anemia due to CKD in adult patients with NDD-CKD. We believe vadadustat has the potential to set a new oral standard of care for patients with anemia due to CKD. Vadadustat’s proposed mechanism of action is designed to mimic the physiologic effect of altitude on oxygen availability. At higher altitudes, the body responds to lower oxygen availability with increased production of HIF, which coordinates the interdependent processes of iron mobilization and EPO production to increase RBC production and, ultimately, improve oxygen delivery. The significance of the HIF pathway was recognized by the 2016 Albert Lasker Basic Medical Research Award, which honored the three physician-scientists who discovered the HIF pathway and elucidated this primary oxygen sensing mechanism that is essential for survival.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Anemia due to Chronic Kidney Disease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Anemia is common in patients with CKD, and its prevalence increases with disease progression. Anemia due to CKD results from inadequate EPO levels, which negatively affect RBC production. Left untreated, anemia accelerates overall deterioration of patient health with increased morbidity and mortality. Based on third party prevalence data and company estimates, approximately 37 million people in the United States have CKD and approximately 5.7 million of these individuals suffer from anemia. Anemia due to CKD is currently treated by injectable recombinant human ESAs, such as EPOGEN</w:t>
      </w:r>
      <w:r>
        <w:rPr>
          <w:rFonts w:ascii="Arial" w:cs="Arial" w:eastAsia="Arial" w:hAnsi="Arial"/>
          <w:sz w:val="15"/>
          <w:szCs w:val="15"/>
          <w:color w:val="auto"/>
        </w:rPr>
        <w:t>®</w:t>
      </w:r>
      <w:r>
        <w:rPr>
          <w:rFonts w:ascii="Arial" w:cs="Arial" w:eastAsia="Arial" w:hAnsi="Arial"/>
          <w:sz w:val="18"/>
          <w:szCs w:val="18"/>
          <w:color w:val="auto"/>
        </w:rPr>
        <w:t xml:space="preserve"> (epoetin alfa) and Aranesp</w:t>
      </w:r>
      <w:r>
        <w:rPr>
          <w:rFonts w:ascii="Arial" w:cs="Arial" w:eastAsia="Arial" w:hAnsi="Arial"/>
          <w:sz w:val="15"/>
          <w:szCs w:val="15"/>
          <w:color w:val="auto"/>
        </w:rPr>
        <w:t>®</w:t>
      </w:r>
      <w:r>
        <w:rPr>
          <w:rFonts w:ascii="Arial" w:cs="Arial" w:eastAsia="Arial" w:hAnsi="Arial"/>
          <w:sz w:val="18"/>
          <w:szCs w:val="18"/>
          <w:color w:val="auto"/>
        </w:rPr>
        <w:t xml:space="preserve"> (darbepoetin alfa), or blood transfusion. Based on publicly available information on ESA sales and market data compiled by a third-party vendor, global sales of injectable ESAs for all uses were estimated to be approximately $6.1 billion in 2018. The vast majority of these sales were for the treatment of anemia due to CKD.</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administered to a patient, injectable ESAs provide supraphysiological levels of exogenous EPO to stimulate production of RBCs. While injectable ESAs can be effective in raising hemoglobin levels, they have the potential to cause significant side effects, and need to be injected subcutaneously or intravenously. In particular, injectable ESAs may lead to thrombosis, stroke, myocardial infarction and death. These safety concerns, which became evident starting in 2006, have led to a significant reduction in the use of injectable ESAs. Data from the USRDS 2015 Annual Data Report indicate that the collective injectable ESA treatment rate in NDD-CKD patients in the United States decreased by approximately half from 2009 to 2013. Today, anemia is either not treated or inadequately treated in the majority of NDD-CKD patients.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According to the USRDS 2018 Annual Data Report, there were approximately 511,000 patients in the United States on dialysis in 2016, of which 88% were on in-center hemodialysis and the remainder on peritoneal or home hemodialysis. ESAs are given to approximately 90% of in-center hemodialysis patients and 75% of peritoneal dialysis patients. There is an unmet need for treatment options for patients with anemia due to CKD that offer an improved safety profile, and such agents would have significant market potential.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Vadadustat Has the Potential to Set a New Standard of Care</w:t>
      </w:r>
    </w:p>
    <w:p>
      <w:pPr>
        <w:spacing w:after="0" w:line="11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We believe that, based on the HIF-PHI mechanism of action and clinical data to date, vadadustat has the potential to set a new standard of care for the treatment of anemia due to CKD. Below is a summary of the key clinical findings; further details are included below.</w:t>
      </w:r>
    </w:p>
    <w:p>
      <w:pPr>
        <w:spacing w:after="0" w:line="38" w:lineRule="exact"/>
        <w:rPr>
          <w:sz w:val="20"/>
          <w:szCs w:val="20"/>
          <w:color w:val="auto"/>
        </w:rPr>
      </w:pPr>
    </w:p>
    <w:p>
      <w:pPr>
        <w:ind w:left="900" w:right="80" w:hanging="514"/>
        <w:spacing w:after="0" w:line="28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Vadadustat stimulated endogenous EPO production. </w:t>
      </w:r>
      <w:r>
        <w:rPr>
          <w:rFonts w:ascii="Arial" w:cs="Arial" w:eastAsia="Arial" w:hAnsi="Arial"/>
          <w:sz w:val="17"/>
          <w:szCs w:val="17"/>
          <w:color w:val="auto"/>
        </w:rPr>
        <w:t>In two Phase 1 studies in normal healthy volunteers and one Phase 2 study in CKD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vadadustat increased serum EPO levels in a dose-dependent manner. Pre-dose EPO levels returned to baseline levels prior to subsequent daily dose. In these studies, vadadustat stimulated endogenous EPO production while avoiding supraphysiologic EPO levels.</w:t>
      </w:r>
    </w:p>
    <w:p>
      <w:pPr>
        <w:spacing w:after="0" w:line="57" w:lineRule="exact"/>
        <w:rPr>
          <w:rFonts w:ascii="Arial" w:cs="Arial" w:eastAsia="Arial" w:hAnsi="Arial"/>
          <w:sz w:val="17"/>
          <w:szCs w:val="17"/>
          <w:color w:val="auto"/>
        </w:rPr>
      </w:pPr>
    </w:p>
    <w:p>
      <w:pPr>
        <w:ind w:left="900" w:right="520" w:hanging="514"/>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Vadadustat significantly increased and maintained hemoglobin levels. </w:t>
      </w:r>
      <w:r>
        <w:rPr>
          <w:rFonts w:ascii="Arial" w:cs="Arial" w:eastAsia="Arial" w:hAnsi="Arial"/>
          <w:sz w:val="18"/>
          <w:szCs w:val="18"/>
          <w:color w:val="auto"/>
        </w:rPr>
        <w:t>Our Phase 2 studies in CKD subjects with anemia demonstrated that</w:t>
      </w:r>
      <w:r>
        <w:rPr>
          <w:rFonts w:ascii="Arial" w:cs="Arial" w:eastAsia="Arial" w:hAnsi="Arial"/>
          <w:sz w:val="18"/>
          <w:szCs w:val="18"/>
          <w:i w:val="1"/>
          <w:iCs w:val="1"/>
          <w:color w:val="auto"/>
        </w:rPr>
        <w:t xml:space="preserve"> </w:t>
      </w:r>
      <w:r>
        <w:rPr>
          <w:rFonts w:ascii="Arial" w:cs="Arial" w:eastAsia="Arial" w:hAnsi="Arial"/>
          <w:sz w:val="18"/>
          <w:szCs w:val="18"/>
          <w:color w:val="auto"/>
        </w:rPr>
        <w:t>vadadustat significantly increased and/or maintained hemoglobin levels.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900" w:right="200" w:hanging="514"/>
        <w:spacing w:after="0" w:line="30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Vadadustat was dosed orally once daily and three times weekly. </w:t>
      </w:r>
      <w:r>
        <w:rPr>
          <w:rFonts w:ascii="Arial" w:cs="Arial" w:eastAsia="Arial" w:hAnsi="Arial"/>
          <w:sz w:val="16"/>
          <w:szCs w:val="16"/>
          <w:color w:val="auto"/>
        </w:rPr>
        <w:t>Our Phase 2 studies showed that vadadustat can be orally dosed once daily in</w:t>
      </w:r>
      <w:r>
        <w:rPr>
          <w:rFonts w:ascii="Arial" w:cs="Arial" w:eastAsia="Arial" w:hAnsi="Arial"/>
          <w:sz w:val="16"/>
          <w:szCs w:val="16"/>
          <w:i w:val="1"/>
          <w:iCs w:val="1"/>
          <w:color w:val="auto"/>
        </w:rPr>
        <w:t xml:space="preserve"> </w:t>
      </w:r>
      <w:r>
        <w:rPr>
          <w:rFonts w:ascii="Arial" w:cs="Arial" w:eastAsia="Arial" w:hAnsi="Arial"/>
          <w:sz w:val="16"/>
          <w:szCs w:val="16"/>
          <w:color w:val="auto"/>
        </w:rPr>
        <w:t>NDD-CKD subjects with up to 20 weeks of dosing. In addition, our Phase 2 clinical study in DD-CKD subjects demonstrated that in subjects who remained on therapy, once daily oral dosing of vadadustat maintained stable hemoglobin levels in subjects converting from injectable ESA therapy over 16 weeks. This study also showed the potential for three-times weekly dosing of vadadustat in DD-CKD.</w:t>
      </w:r>
    </w:p>
    <w:p>
      <w:pPr>
        <w:spacing w:after="0" w:line="46" w:lineRule="exact"/>
        <w:rPr>
          <w:rFonts w:ascii="Arial" w:cs="Arial" w:eastAsia="Arial" w:hAnsi="Arial"/>
          <w:sz w:val="16"/>
          <w:szCs w:val="16"/>
          <w:color w:val="auto"/>
        </w:rPr>
      </w:pPr>
    </w:p>
    <w:p>
      <w:pPr>
        <w:ind w:left="900" w:right="140" w:hanging="514"/>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Vadadustat resulted in favorable changes in iron parameters. </w:t>
      </w:r>
      <w:r>
        <w:rPr>
          <w:rFonts w:ascii="Arial" w:cs="Arial" w:eastAsia="Arial" w:hAnsi="Arial"/>
          <w:sz w:val="18"/>
          <w:szCs w:val="18"/>
          <w:color w:val="auto"/>
        </w:rPr>
        <w:t>In three Phase 2 clinical studies, treatment with vadadustat was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ferritin and hepcidin and increases in total iron binding capacity. These changes are consistent with improved iron mobilization and utilization for erythropoiesis in NDD-CKD and DD-CKD subjects.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Vadadustat has the potential to stimulate erythropoiesis, avoid supraphysiologic EPO levels, and possibly reduce risk of cardiovascular and thrombotic events associated with injectable ESAs. The efficacy of vadadustat in raising/maintaining hemoglobin levels and the cardiovascular safety of vadadustat as compared with darbepoetin alfa, an injectable ESA, is being assessed in the global Phase 3 clinical program for vadadustat.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 Clinical Development – Phase 1 and Phase 2</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completed twenty-two Phase 1 and Phase 2 studies of vadadustat. These studies included healthy volunteers, NDD-CKD and DD-CKD patients, and support continued development of vadadustat.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Findings from three Phase 2 studies demonstrated that vadadustat administered daily raised and/or maintained hemoglobin levels and improved markers of iron mobilization to support erythropoiesis in CKD patients. The range of doses used in these Phase 2 studies had been previously shown, in Phase 1 studies of healthy volunteers, to stimulate endogenous EPO production while avoiding supraphysiologic EPO levels. The results from one completed Phase 1 and two Phase 2 of these studies are summarized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Study in Normal Healthy Volunteers (CI-0002)</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completed a Phase 1 randomized, double-blind, placebo-controlled, multiple-ascending dose study to evaluate the safety, tolerability, pharmacodynamics response, and pharmacokinetics of vadadustat administered for 10 days to healthy male volunteers. Dose responsive increases in reticulocytes, or immature RBCs, and hemoglobin levels were demonstrated in the study. Mean serum EPO levels increased by 36%, 48%, and 89% over baseline, at 8 to 16 hours after dosing in the vadadustat 500 mg/day, 700 mg/day, and 900 mg/day dosing groups, respectively, and returned to baseline by 24 hours after dosing. The incidence of adverse events, or AEs, was generally similar between the combined vadadustat dosing groups, which was 76.5%, and the placebo group, which was 78%. Gastrointestinal AEs occurred in 26.5% of subjects in the vadadustat groups and in no subjects on placebo, of which mild to moderate diarrhea was the most frequent AE (24%), with evidence of a dose-related effect. No serious adverse events, or SAEs, or deaths were reported in this study.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Study in Non-Dialysis CKD Subjects (CI-0007)</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completed a multi-center Phase 2b study of vadadustat in non-dialysis subjects with anemia due to CKD. This double-blind, randomized, placebo-controlled study evaluated the efficacy and safety of vadadustat over 20 weeks of dosing in 210 subjects (138 vadadustat and 72 placebo) with CKD Stages 3 to 5. Subjects were enrolled into one of three groups: (1) injectable ESA naïve with hemoglobin ≤10.5 g/dL, (2) previously treated with injectable ESA with hemoglobin ≤10.5 g/dL, or (3) actively treated with injectable ESA with hemoglobin ≥9.5 and ≤12.0 g/dL, and were randomized at a ratio of 2 to 1 to once daily vadadustat or placebo. The primary endpoint was the percentage of subjects with either a mean hemoglobin of ≥11.0 g/dL or an increase in hemoglobin by ≥1.2 g/dL from baseline. A protocol-defined dose adjustment algorithm was used to achieve the primary endpoint and to minimize hemoglobin excursions ≥13 g/dL.</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average age of subjects was 66 years; 78% of subjects had diabetes mellitus; and the mean estimated GFR was 25 mL/min/1.73m</w:t>
      </w:r>
      <w:r>
        <w:rPr>
          <w:rFonts w:ascii="Arial" w:cs="Arial" w:eastAsia="Arial" w:hAnsi="Arial"/>
          <w:sz w:val="15"/>
          <w:szCs w:val="15"/>
          <w:color w:val="auto"/>
        </w:rPr>
        <w:t>2</w:t>
      </w:r>
      <w:r>
        <w:rPr>
          <w:rFonts w:ascii="Arial" w:cs="Arial" w:eastAsia="Arial" w:hAnsi="Arial"/>
          <w:sz w:val="18"/>
          <w:szCs w:val="18"/>
          <w:color w:val="auto"/>
        </w:rPr>
        <w:t>. 54.9% of vadadustat treated subjects compared to 10.3% of placebo treated subjects met the primary endpoint (p=0.0001). Only 4.3% of subjects in the vadadustat group had any hemoglobin excursion ≥13.0 g/dL. Between Groups 1 and 2 (the two correction cohorts; ESA-naïve and ESA previously treated), mean Hb increased significantly in the vadadustat group from pre-dose average to end-of-study average (Week 19/20). In Group 3 (conversion cohorts; ESA actively treated), placebo treated subjects experienced a decline in the mean hemoglobin within the first two weeks, whereas subjects randomized to vadadustat maintained a stable hemoglobin throughout the study.</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Increases in hemoglobin in the vadadustat group were preceded by an increase in reticulocytes and accompanied by an increase in total iron binding capacity and a decrease in serum hepcidin and ferritin. There was no difference between the vadadustat and placebo groups in vascular endothelial growth factor, or VEGF, levels during the study.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6"/>
          <w:szCs w:val="16"/>
          <w:color w:val="auto"/>
        </w:rPr>
        <w:t>A similar percentage of subjects experienced an AE in the vadadustat and placebo treatment groups (vadadustat 74.6% vs. placebo 73.6%); however, the frequency of certain AEs - diarrhea, nausea, hypertension and hyperkalemia - was greater in the vadadustat arm compared to placebo. In the vadadustat arm, a higher number of subjects reported SAEs of acute and chronic renal failure compared to placebo (9.4% vs. 2.8%, respectively); however, none was considered drug-related by the investigator. The percentage of subjects who had an SAE resulting in dialysis initiation, considered to be a more objective measure of the severity of renal disease, was comparable between vadadustat and placebo groups (8.0% versus 9.7%, respectively) and the number of subjects who discontinued from the study due to AEs of worsening CKD requiring dialysis was also comparable between the vadadustat (4.3%) and placebo (5.6%) groups. One subject with multiple co-morbidities and concomitant medications, including chlorthalidone, had an SAE of liver function test, or LFT, abnormal, considered a case of drug-induced liver injury meeting the biochemical criteria of Hy’s Law, which was assessed as probably related to vadadustat. This subject made a complete recovery after vadadustat was discontinued. There were three deaths in vadadustat-treated subjects of which two cardiovascular deaths were considered to be unrelated to vadadustat and one death was attributed to myocardial ischemic and considered by the investigator to be possibly related to vadadustat; no autopsy was performed. There were no deaths in the placebo group.</w:t>
      </w:r>
    </w:p>
    <w:p>
      <w:pPr>
        <w:spacing w:after="0" w:line="1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summary, vadadustat achieved the desired outcomes of raising and maintaining hemoglobin and increasing iron mobilization, while minimizing hemoglobin excursions ≥13 g/dL. Pergola et al published the results of this study in Kidney International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Study in Dialysis-Dependent CKD Subjects (CI-0011)</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completed a multi-center, open-label, 16-week study to assess the hemoglobin response, safety, and tolerability of vadadustat in DD-CKD subjects. The study enrolled 94 hemodialysis subjects with baseline hemoglobin levels of 9-12 g/dL, who were maintained on injectable ESAs prior to study entry. Subjects were converted from injectable ESA to vadadustat, and assigned to one of three dose cohorts: 300 mg once daily; 450 mg once daily; or 450 mg three-times weekly. For each dose cohort, the average hemoglobin level at study entry was compared to the average hemoglobin level at weeks 7 and 8, and to the average hemoglobin level at weeks 15 and 16. To evaluate hemoglobin response to each of the dose regimens, during the first eight weeks of this study, subjects were to remain on the prescribed starting dose, or decreased if necessary to control hemoglobin in the target range. Beginning at week 8, the dose of vadadustat could be increased or decreased to maintain hemoglobin levels as needed. Intravenous iron use was allowed.</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underlying demographics and profiles of these CKD subjects were well-balanced across the three cohorts, and reflective of the United States DD-CKD population as reported in the literature. Average age was 58 years, with an average time on dialysis of 4.6 years. The most common cause of end-stage renal disease was diabetes mellitus and/or hypertension. Baseline hemoglobin levels were similar at 10.4-10.6 g/dL in all three cohorts and the serum ferritin levels indicated that the subjects were iron replete at study entry and throughout the study.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subjects in all three dosing cohorts (converted from ESA) who completed the study, the primary endpoint of maintaining stable mean hemoglobin levels over 16 weeks was achieved. In the sensitivity analysis using last observation carried forward to account for early discontinuations, mean Hb levels remained stable in the 300 mg daily dose cohort and modest declines were observed in the 450 mg daily and 450 mg three-times weekly dose cohorts. Post-hoc analyses indicated that baseline pre-conversion ESA dose was inversely associated with mean change in hemoglobin. Consistent with previous studies, all three starting dose regimens suggested an improvement in iron mobilization, as reflected by increases in total iron binding capacity and serum iron, and decreases in serum ferritin and hepcidin levels. Only one subject in the 300 mg once daily cohort had a single hemoglobin excursion to 13.1 g/dL.</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data support further development of vadadustat daily dosing to assess its long-term safety and efficacy in subjects on hemodialysis. These data also support further investigation of three times weekly dosing of vadadustat.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Adverse events were balanced across the three cohorts with 83% of subjects with at least one AE. There were no discernible trends in the frequency of AEs or SAEs by dose cohort. The most frequently reported AEs were nausea and diarrhea, 11.7% and 10.6%, respectively, with no apparent dose relationship. The majority of AEs were mild or moderate in severity. SAEs were reported in 13 subjects, or 13.8%, including two subjects with acute myocardial infarction considered not related to vadadustat by the investigator. No SAEs were reported as related to vadadustat and no deaths occurred during the study. Haase et al published the results of this study in Nephrology Dialysis Transplantation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Vadadustat Clinical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the current clinical program for our product candidate, vadadustat, which is in Phase 3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2915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585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Phase 1 and Phase 2 data led us to the design of our Phase 3 clinical program for vadadustat. The vadadustat Phase 3 program in DD-CKD patients with anemia due to CKD, called INNO</w:t>
      </w:r>
      <w:r>
        <w:rPr>
          <w:rFonts w:ascii="Arial" w:cs="Arial" w:eastAsia="Arial" w:hAnsi="Arial"/>
          <w:sz w:val="13"/>
          <w:szCs w:val="13"/>
          <w:color w:val="auto"/>
        </w:rPr>
        <w:t>2</w:t>
      </w:r>
      <w:r>
        <w:rPr>
          <w:rFonts w:ascii="Arial" w:cs="Arial" w:eastAsia="Arial" w:hAnsi="Arial"/>
          <w:sz w:val="16"/>
          <w:szCs w:val="16"/>
          <w:color w:val="auto"/>
        </w:rPr>
        <w:t>VATE, and in NDD-CKD patients with anemia due to CKD, called PRO</w:t>
      </w:r>
      <w:r>
        <w:rPr>
          <w:rFonts w:ascii="Arial" w:cs="Arial" w:eastAsia="Arial" w:hAnsi="Arial"/>
          <w:sz w:val="13"/>
          <w:szCs w:val="13"/>
          <w:color w:val="auto"/>
        </w:rPr>
        <w:t>2</w:t>
      </w:r>
      <w:r>
        <w:rPr>
          <w:rFonts w:ascii="Arial" w:cs="Arial" w:eastAsia="Arial" w:hAnsi="Arial"/>
          <w:sz w:val="16"/>
          <w:szCs w:val="16"/>
          <w:color w:val="auto"/>
        </w:rPr>
        <w:t>TECT, is designed to enroll up to approximately 7,600 patients evaluating once daily oral dosing of vadadustat against an injectable ESA active comparator, darbepoetin alfa. The enrollment numbers and the completion of INNO</w:t>
      </w:r>
      <w:r>
        <w:rPr>
          <w:rFonts w:ascii="Arial" w:cs="Arial" w:eastAsia="Arial" w:hAnsi="Arial"/>
          <w:sz w:val="13"/>
          <w:szCs w:val="13"/>
          <w:color w:val="auto"/>
        </w:rPr>
        <w:t>2</w:t>
      </w:r>
      <w:r>
        <w:rPr>
          <w:rFonts w:ascii="Arial" w:cs="Arial" w:eastAsia="Arial" w:hAnsi="Arial"/>
          <w:sz w:val="16"/>
          <w:szCs w:val="16"/>
          <w:color w:val="auto"/>
        </w:rPr>
        <w:t>VATE and PRO</w:t>
      </w:r>
      <w:r>
        <w:rPr>
          <w:rFonts w:ascii="Arial" w:cs="Arial" w:eastAsia="Arial" w:hAnsi="Arial"/>
          <w:sz w:val="13"/>
          <w:szCs w:val="13"/>
          <w:color w:val="auto"/>
        </w:rPr>
        <w:t>2</w:t>
      </w:r>
      <w:r>
        <w:rPr>
          <w:rFonts w:ascii="Arial" w:cs="Arial" w:eastAsia="Arial" w:hAnsi="Arial"/>
          <w:sz w:val="16"/>
          <w:szCs w:val="16"/>
          <w:color w:val="auto"/>
        </w:rPr>
        <w:t>TECT will be driven by the accrual of major adverse cardiovascular events, or MACE.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2016, the first patient was dosed in INNO</w:t>
      </w:r>
      <w:r>
        <w:rPr>
          <w:rFonts w:ascii="Arial" w:cs="Arial" w:eastAsia="Arial" w:hAnsi="Arial"/>
          <w:sz w:val="15"/>
          <w:szCs w:val="15"/>
          <w:color w:val="auto"/>
        </w:rPr>
        <w:t>2</w:t>
      </w:r>
      <w:r>
        <w:rPr>
          <w:rFonts w:ascii="Arial" w:cs="Arial" w:eastAsia="Arial" w:hAnsi="Arial"/>
          <w:sz w:val="18"/>
          <w:szCs w:val="18"/>
          <w:color w:val="auto"/>
        </w:rPr>
        <w:t>VATE. We completed enrollment in the larger of the two INNO</w:t>
      </w:r>
      <w:r>
        <w:rPr>
          <w:rFonts w:ascii="Arial" w:cs="Arial" w:eastAsia="Arial" w:hAnsi="Arial"/>
          <w:sz w:val="15"/>
          <w:szCs w:val="15"/>
          <w:color w:val="auto"/>
        </w:rPr>
        <w:t>2</w:t>
      </w:r>
      <w:r>
        <w:rPr>
          <w:rFonts w:ascii="Arial" w:cs="Arial" w:eastAsia="Arial" w:hAnsi="Arial"/>
          <w:sz w:val="18"/>
          <w:szCs w:val="18"/>
          <w:color w:val="auto"/>
        </w:rPr>
        <w:t>VATE studies, which enrolled 3,554 subjects, in February 2019, and we expect to complete enrollment in the smaller INNO</w:t>
      </w:r>
      <w:r>
        <w:rPr>
          <w:rFonts w:ascii="Arial" w:cs="Arial" w:eastAsia="Arial" w:hAnsi="Arial"/>
          <w:sz w:val="15"/>
          <w:szCs w:val="15"/>
          <w:color w:val="auto"/>
        </w:rPr>
        <w:t>2</w:t>
      </w:r>
      <w:r>
        <w:rPr>
          <w:rFonts w:ascii="Arial" w:cs="Arial" w:eastAsia="Arial" w:hAnsi="Arial"/>
          <w:sz w:val="18"/>
          <w:szCs w:val="18"/>
          <w:color w:val="auto"/>
        </w:rPr>
        <w:t>VATE study, enrolling approximately 350 subjects, by April 2019. We anticipate completing the larger of the two INNO</w:t>
      </w:r>
      <w:r>
        <w:rPr>
          <w:rFonts w:ascii="Arial" w:cs="Arial" w:eastAsia="Arial" w:hAnsi="Arial"/>
          <w:sz w:val="15"/>
          <w:szCs w:val="15"/>
          <w:color w:val="auto"/>
        </w:rPr>
        <w:t>2</w:t>
      </w:r>
      <w:r>
        <w:rPr>
          <w:rFonts w:ascii="Arial" w:cs="Arial" w:eastAsia="Arial" w:hAnsi="Arial"/>
          <w:sz w:val="18"/>
          <w:szCs w:val="18"/>
          <w:color w:val="auto"/>
        </w:rPr>
        <w:t>VATE studies in the first quarter of 2020, with completion of the smaller INNO</w:t>
      </w:r>
      <w:r>
        <w:rPr>
          <w:rFonts w:ascii="Arial" w:cs="Arial" w:eastAsia="Arial" w:hAnsi="Arial"/>
          <w:sz w:val="15"/>
          <w:szCs w:val="15"/>
          <w:color w:val="auto"/>
        </w:rPr>
        <w:t>2</w:t>
      </w:r>
      <w:r>
        <w:rPr>
          <w:rFonts w:ascii="Arial" w:cs="Arial" w:eastAsia="Arial" w:hAnsi="Arial"/>
          <w:sz w:val="18"/>
          <w:szCs w:val="18"/>
          <w:color w:val="auto"/>
        </w:rPr>
        <w:t>VATE study and availability of top-line data expected in the second quarter of 2020, subject to the accrual of MACE.</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first patient was dosed in PRO</w:t>
      </w:r>
      <w:r>
        <w:rPr>
          <w:rFonts w:ascii="Arial" w:cs="Arial" w:eastAsia="Arial" w:hAnsi="Arial"/>
          <w:sz w:val="15"/>
          <w:szCs w:val="15"/>
          <w:color w:val="auto"/>
        </w:rPr>
        <w:t>2</w:t>
      </w:r>
      <w:r>
        <w:rPr>
          <w:rFonts w:ascii="Arial" w:cs="Arial" w:eastAsia="Arial" w:hAnsi="Arial"/>
          <w:sz w:val="18"/>
          <w:szCs w:val="18"/>
          <w:color w:val="auto"/>
        </w:rPr>
        <w:t>TECT in December 2015. We expect full enrollment of PRO</w:t>
      </w:r>
      <w:r>
        <w:rPr>
          <w:rFonts w:ascii="Arial" w:cs="Arial" w:eastAsia="Arial" w:hAnsi="Arial"/>
          <w:sz w:val="15"/>
          <w:szCs w:val="15"/>
          <w:color w:val="auto"/>
        </w:rPr>
        <w:t>2</w:t>
      </w:r>
      <w:r>
        <w:rPr>
          <w:rFonts w:ascii="Arial" w:cs="Arial" w:eastAsia="Arial" w:hAnsi="Arial"/>
          <w:sz w:val="18"/>
          <w:szCs w:val="18"/>
          <w:color w:val="auto"/>
        </w:rPr>
        <w:t>TECT in 2019. We anticipate reporting top-line data for the PRO</w:t>
      </w:r>
      <w:r>
        <w:rPr>
          <w:rFonts w:ascii="Arial" w:cs="Arial" w:eastAsia="Arial" w:hAnsi="Arial"/>
          <w:sz w:val="15"/>
          <w:szCs w:val="15"/>
          <w:color w:val="auto"/>
        </w:rPr>
        <w:t>2</w:t>
      </w:r>
      <w:r>
        <w:rPr>
          <w:rFonts w:ascii="Arial" w:cs="Arial" w:eastAsia="Arial" w:hAnsi="Arial"/>
          <w:sz w:val="18"/>
          <w:szCs w:val="18"/>
          <w:color w:val="auto"/>
        </w:rPr>
        <w:t>TECT studies in mid-2020, subject to the accrual of MACE. As of December 31, 2018, we expect the remaining external aggregate contract research organization, or CRO, costs of INNO</w:t>
      </w:r>
      <w:r>
        <w:rPr>
          <w:rFonts w:ascii="Arial" w:cs="Arial" w:eastAsia="Arial" w:hAnsi="Arial"/>
          <w:sz w:val="15"/>
          <w:szCs w:val="15"/>
          <w:color w:val="auto"/>
        </w:rPr>
        <w:t>2</w:t>
      </w:r>
      <w:r>
        <w:rPr>
          <w:rFonts w:ascii="Arial" w:cs="Arial" w:eastAsia="Arial" w:hAnsi="Arial"/>
          <w:sz w:val="18"/>
          <w:szCs w:val="18"/>
          <w:color w:val="auto"/>
        </w:rPr>
        <w:t>VATE and PRO</w:t>
      </w:r>
      <w:r>
        <w:rPr>
          <w:rFonts w:ascii="Arial" w:cs="Arial" w:eastAsia="Arial" w:hAnsi="Arial"/>
          <w:sz w:val="15"/>
          <w:szCs w:val="15"/>
          <w:color w:val="auto"/>
        </w:rPr>
        <w:t>2</w:t>
      </w:r>
      <w:r>
        <w:rPr>
          <w:rFonts w:ascii="Arial" w:cs="Arial" w:eastAsia="Arial" w:hAnsi="Arial"/>
          <w:sz w:val="18"/>
          <w:szCs w:val="18"/>
          <w:color w:val="auto"/>
        </w:rPr>
        <w:t>TECT to be in the range of $190.0 million to $220.0 million.</w:t>
      </w:r>
    </w:p>
    <w:p>
      <w:pPr>
        <w:spacing w:after="0" w:line="15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both the PRO</w:t>
      </w:r>
      <w:r>
        <w:rPr>
          <w:rFonts w:ascii="Arial" w:cs="Arial" w:eastAsia="Arial" w:hAnsi="Arial"/>
          <w:sz w:val="14"/>
          <w:szCs w:val="14"/>
          <w:color w:val="auto"/>
        </w:rPr>
        <w:t>2</w:t>
      </w:r>
      <w:r>
        <w:rPr>
          <w:rFonts w:ascii="Arial" w:cs="Arial" w:eastAsia="Arial" w:hAnsi="Arial"/>
          <w:sz w:val="17"/>
          <w:szCs w:val="17"/>
          <w:color w:val="auto"/>
        </w:rPr>
        <w:t>TECT and INNO</w:t>
      </w:r>
      <w:r>
        <w:rPr>
          <w:rFonts w:ascii="Arial" w:cs="Arial" w:eastAsia="Arial" w:hAnsi="Arial"/>
          <w:sz w:val="14"/>
          <w:szCs w:val="14"/>
          <w:color w:val="auto"/>
        </w:rPr>
        <w:t>2</w:t>
      </w:r>
      <w:r>
        <w:rPr>
          <w:rFonts w:ascii="Arial" w:cs="Arial" w:eastAsia="Arial" w:hAnsi="Arial"/>
          <w:sz w:val="17"/>
          <w:szCs w:val="17"/>
          <w:color w:val="auto"/>
        </w:rPr>
        <w:t>VATE Phase 3 programs, the primary efficacy endpoint is the mean change in hemoglobin between baseline and the primary evaluation period. Non-inferiority, or NI, is achieved if the lower bound of the 95% confidence interval for the between-group difference of the mean hemoglobin change does not fall below the pre-specified NI margin. Both the PRO</w:t>
      </w:r>
      <w:r>
        <w:rPr>
          <w:rFonts w:ascii="Arial" w:cs="Arial" w:eastAsia="Arial" w:hAnsi="Arial"/>
          <w:sz w:val="14"/>
          <w:szCs w:val="14"/>
          <w:color w:val="auto"/>
        </w:rPr>
        <w:t>2</w:t>
      </w:r>
      <w:r>
        <w:rPr>
          <w:rFonts w:ascii="Arial" w:cs="Arial" w:eastAsia="Arial" w:hAnsi="Arial"/>
          <w:sz w:val="17"/>
          <w:szCs w:val="17"/>
          <w:color w:val="auto"/>
        </w:rPr>
        <w:t>TECT and INNO</w:t>
      </w:r>
      <w:r>
        <w:rPr>
          <w:rFonts w:ascii="Arial" w:cs="Arial" w:eastAsia="Arial" w:hAnsi="Arial"/>
          <w:sz w:val="14"/>
          <w:szCs w:val="14"/>
          <w:color w:val="auto"/>
        </w:rPr>
        <w:t>2</w:t>
      </w:r>
      <w:r>
        <w:rPr>
          <w:rFonts w:ascii="Arial" w:cs="Arial" w:eastAsia="Arial" w:hAnsi="Arial"/>
          <w:sz w:val="17"/>
          <w:szCs w:val="17"/>
          <w:color w:val="auto"/>
        </w:rPr>
        <w:t>VATE programs will include the primary safety endpoint of the assessment of MACE, with a comparison of vadadustat to darbepoetin alfa. MACE is defined as the composite endpoint of all-cause mortality, non-fatal myocardial infarction, or non-fatal stroke. To assess MACE, a pooled analysis of time to first MACE event from the two Phase 3 studies in each program (PRO</w:t>
      </w:r>
      <w:r>
        <w:rPr>
          <w:rFonts w:ascii="Arial" w:cs="Arial" w:eastAsia="Arial" w:hAnsi="Arial"/>
          <w:sz w:val="14"/>
          <w:szCs w:val="14"/>
          <w:color w:val="auto"/>
        </w:rPr>
        <w:t>2</w:t>
      </w:r>
      <w:r>
        <w:rPr>
          <w:rFonts w:ascii="Arial" w:cs="Arial" w:eastAsia="Arial" w:hAnsi="Arial"/>
          <w:sz w:val="17"/>
          <w:szCs w:val="17"/>
          <w:color w:val="auto"/>
        </w:rPr>
        <w:t>TECT and INNO</w:t>
      </w:r>
      <w:r>
        <w:rPr>
          <w:rFonts w:ascii="Arial" w:cs="Arial" w:eastAsia="Arial" w:hAnsi="Arial"/>
          <w:sz w:val="14"/>
          <w:szCs w:val="14"/>
          <w:color w:val="auto"/>
        </w:rPr>
        <w:t>2</w:t>
      </w:r>
      <w:r>
        <w:rPr>
          <w:rFonts w:ascii="Arial" w:cs="Arial" w:eastAsia="Arial" w:hAnsi="Arial"/>
          <w:sz w:val="17"/>
          <w:szCs w:val="17"/>
          <w:color w:val="auto"/>
        </w:rPr>
        <w:t>VATE) will be performed. NI is achieved if the upper bound of the 95% confidence interval for the hazard ratio of vadadustat to darbepoetin alfa does not exceed the pre-specified NI margin. We obtained feedback from the United States and European regulatory authorities regarding the design of these programs.</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we have initiated a Phase 2 clinical study of vadadustat, FO</w:t>
      </w:r>
      <w:r>
        <w:rPr>
          <w:rFonts w:ascii="Arial" w:cs="Arial" w:eastAsia="Arial" w:hAnsi="Arial"/>
          <w:sz w:val="15"/>
          <w:szCs w:val="15"/>
          <w:color w:val="auto"/>
        </w:rPr>
        <w:t>2</w:t>
      </w:r>
      <w:r>
        <w:rPr>
          <w:rFonts w:ascii="Arial" w:cs="Arial" w:eastAsia="Arial" w:hAnsi="Arial"/>
          <w:sz w:val="18"/>
          <w:szCs w:val="18"/>
          <w:color w:val="auto"/>
        </w:rPr>
        <w:t>RWARD-2, which will evaluate a modified approach to once-daily and three-times weekly dosing, including assessment of a vadadustat starting dose based on pre-conversion ESA dose and higher titration doses of vadadustat (750 mg and 900 mg). We expect to initiate two additional Phase 3 clinical studies of vadadustat, EXPLO</w:t>
      </w:r>
      <w:r>
        <w:rPr>
          <w:rFonts w:ascii="Arial" w:cs="Arial" w:eastAsia="Arial" w:hAnsi="Arial"/>
          <w:sz w:val="15"/>
          <w:szCs w:val="15"/>
          <w:color w:val="auto"/>
        </w:rPr>
        <w:t>2</w:t>
      </w:r>
      <w:r>
        <w:rPr>
          <w:rFonts w:ascii="Arial" w:cs="Arial" w:eastAsia="Arial" w:hAnsi="Arial"/>
          <w:sz w:val="18"/>
          <w:szCs w:val="18"/>
          <w:color w:val="auto"/>
        </w:rPr>
        <w:t>RE and TRILO</w:t>
      </w:r>
      <w:r>
        <w:rPr>
          <w:rFonts w:ascii="Arial" w:cs="Arial" w:eastAsia="Arial" w:hAnsi="Arial"/>
          <w:sz w:val="15"/>
          <w:szCs w:val="15"/>
          <w:color w:val="auto"/>
        </w:rPr>
        <w:t>2</w:t>
      </w:r>
      <w:r>
        <w:rPr>
          <w:rFonts w:ascii="Arial" w:cs="Arial" w:eastAsia="Arial" w:hAnsi="Arial"/>
          <w:sz w:val="18"/>
          <w:szCs w:val="18"/>
          <w:color w:val="auto"/>
        </w:rPr>
        <w:t>GY-2, which will evaluate modified once daily and three times weekly dosing of vadadustat, respectively. We believe data from these studies could support registration of the modified approach to once daily dosing and supplemental registration of three times weekly dosing, and further characterize vadadustat and further strengthen our potential commercial position if vadadustat is approved for marketing.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3" w:name="page14"/>
    <w:bookmarkEnd w:id="13"/>
    <w:p>
      <w:pPr>
        <w:ind w:right="380"/>
        <w:spacing w:after="0" w:line="218" w:lineRule="exact"/>
        <w:rPr>
          <w:sz w:val="20"/>
          <w:szCs w:val="20"/>
          <w:color w:val="auto"/>
        </w:rPr>
      </w:pPr>
      <w:r>
        <w:rPr>
          <w:rFonts w:ascii="Arial" w:cs="Arial" w:eastAsia="Arial" w:hAnsi="Arial"/>
          <w:sz w:val="16"/>
          <w:szCs w:val="16"/>
          <w:color w:val="auto"/>
        </w:rPr>
        <w:t>We completed a series of clinical drug-drug interaction studies largely focusing on transporter pathways evaluating vadadustat as a victim (using probe inhibitors) or perpetrator (using probe substrates) of drug interactions. No meaningful drug interactions were observed with atorvastatin (P-gp/OATP1B1 substrate), pravastatin (OATP1B1/1B3 substrate), digoxin (P-gp substrate), furosemide (OAT1/OAT3 substrate), adefovir (OAT1 substrate), cyclosporine (P</w:t>
      </w:r>
      <w:r>
        <w:rPr>
          <w:rFonts w:ascii="MS PGothic" w:cs="MS PGothic" w:eastAsia="MS PGothic" w:hAnsi="MS PGothic"/>
          <w:sz w:val="16"/>
          <w:szCs w:val="16"/>
          <w:color w:val="auto"/>
        </w:rPr>
        <w:t>‑</w:t>
      </w:r>
      <w:r>
        <w:rPr>
          <w:rFonts w:ascii="Arial" w:cs="Arial" w:eastAsia="Arial" w:hAnsi="Arial"/>
          <w:sz w:val="16"/>
          <w:szCs w:val="16"/>
          <w:color w:val="auto"/>
        </w:rPr>
        <w:t xml:space="preserve">gp/BCRP/OATP inhibitor), probenecid (OAT3 and UGT inhibitor), or rabeprazole (gastric acid-reducing agent). With concomitant administration of vadadustat, a mild-to-moderate interaction was observed with simvastatin (OATP1B1/B3 substrate), and moderate drug interactions were observed with rosuvastatin (BCRP/OATP1B1/1B3 substrate), ferrous sulfate, and sulfasalazine (BCRP substrate). In addition, in vitro drug-drug interaction studies demonstrated a very low risk of vadadustat for drug interactions due to alteration of metabolic enzyme activities, </w:t>
      </w:r>
      <w:r>
        <w:rPr>
          <w:rFonts w:ascii="Arial" w:cs="Arial" w:eastAsia="Arial" w:hAnsi="Arial"/>
          <w:sz w:val="16"/>
          <w:szCs w:val="16"/>
          <w:i w:val="1"/>
          <w:iCs w:val="1"/>
          <w:color w:val="auto"/>
        </w:rPr>
        <w:t>i.e.</w:t>
      </w:r>
      <w:r>
        <w:rPr>
          <w:rFonts w:ascii="Arial" w:cs="Arial" w:eastAsia="Arial" w:hAnsi="Arial"/>
          <w:sz w:val="16"/>
          <w:szCs w:val="16"/>
          <w:color w:val="auto"/>
        </w:rPr>
        <w:t xml:space="preserve"> cytochrome P450 or UDP-glucuronosyltransferase isoforms. No clinical drug-interaction was observed with celecoxib (CYP2C9).</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MTPC’s Phase 3 Clinical Program of Vadadustat in Japanese Patients</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March 12, 2019, we announced positive top-line results from two Phase 3 active-controlled pivotal studies evaluating vadadustat in Japanese subjects with anemia due to CKD (J01 and J03 Studies). These studies were conducted by our development and commercialization collaboration partner in Japan, MTPC. Each study, one in non-dialysis dependent subjects and one in hemodialysis-dependent subjects, met its primary endpoint. In addition, results from two Phase 3 single-arm studies conducted by MTPC in peritoneal dialysis subjects and hemodialysis subjects (J02 and J04 Studies) further support vadadustat’s potential in these indications. MTPC expects to submit a Japanese New Drug Application in 2019 for vadadustat for the treatment of anemia due to CKD.</w:t>
      </w:r>
    </w:p>
    <w:p>
      <w:pPr>
        <w:spacing w:after="0" w:line="185"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 xml:space="preserve">The Phase 3 randomized, open-label, active-controlled correction and conversion study (J01 Study) assessed the efficacy and safety of vadadustat compared to darbepoetin alfa, an ESA, in 304 Japanese non-dialysis dependent subjects with anemia due to CKD, with a treatment duration of 52 weeks. Data from the planned analysis at 24 weeks are provided. The study met its primary endpoint, with the mean hemoglobin, or Hb, level at week 20 and week 24 at 11.66 g/dL (95% CI 11.49, 11.84 g/dL) for vadadustat-treated subjects compared to 11.93 g/dL (95% CI 11.76, 12.10 g/dL) for darbepoetin alfa-treated subjects. The difference in mean Hb was -0.26 g/dL (95% CI </w:t>
      </w:r>
      <w:r>
        <w:rPr>
          <w:rFonts w:ascii="MS PGothic" w:cs="MS PGothic" w:eastAsia="MS PGothic" w:hAnsi="MS PGothic"/>
          <w:sz w:val="17"/>
          <w:szCs w:val="17"/>
          <w:color w:val="auto"/>
        </w:rPr>
        <w:t>‑</w:t>
      </w:r>
      <w:r>
        <w:rPr>
          <w:rFonts w:ascii="Arial" w:cs="Arial" w:eastAsia="Arial" w:hAnsi="Arial"/>
          <w:sz w:val="17"/>
          <w:szCs w:val="17"/>
          <w:color w:val="auto"/>
        </w:rPr>
        <w:t>0.50, -0.02 g/dL), achieving the pre-specified non-inferiority criterion of -0.75 g/dL. The incidence of adverse events, or AEs, was 72.2% in the vadadustat-treated group compared to 73.2% in the darbepoetin alfa-treated group. The most common AEs reported in vadadustat-treated subjects were nasopharyngitis (14.6%), diarrhea (10.6%), constipation (5.3%), and contusion (5.3%). The incidence of SAEs was 13.9% in the vadadustat-treated group compared to 14.4% in the darbepoetin alfa-treated group; no SAE was considered related to study drug. No deaths were reported in the vadadustat-treated group, and one fatal myocardial infarction was reported in the darbepoetin alfa-treated group, which was assessed as not related to study drug.</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Phase 3 randomized, double-blind, active-controlled conversion study (J03 Study) assessed the efficacy and safety of vadadustat compared to darbepoetin alfa in 323 Japanese hemodialysis subjects with anemia due to CKD who had been receiving ESA therapy prior to study screening, with a treatment duration of 52 weeks. Group level data at 24 weeks from this ongoing double-blind study are provided. The study met its primary endpoint, with the mean Hb level at week 20 and week 24 at 10.61 g/dL (95% CI 10.45, 10.76 g/dL) for vadadustat-treated subjects compared to 10.65 g/dL (95% CI 10.50, 10.80 g/dL) for darbepoetin alfa-treated subjects. The difference in mean Hb was -0.05 g/dL (95% CI -0.26, 0.17 g/dL), achieving the pre-specified non-inferiority criterion of -0.75 g/dL. The incidence of AEs was 89.5% in the vadadustat-treated group compared to 88.2% in the darbepoetin alfa-treated group. The most common AEs reported in vadadustat-treated subjects were nasopharyngitis (19.8%), diarrhea (10.5%), and shunt stenosis (8.0%). The incidence of SAEs was 13.0% in the vadadustat-treated group compared to 10.6% in the darbepoetin alfa-treated group; no SAE was considered related to study drug.</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Phase 3 open-label, single-arm study (J02 Study) assessed the efficacy and safety of vadadustat in 42 Japanese peritoneal dialysis subjects with anemia due to CKD, with a treatment duration of 24 weeks. The mean Hb level at week 20 and week 24 was 11.35 g/dL (95% CI 10.99, 11.70 g/dL) for vadadustat-treated subjects. Thirty-eight subjects (90.5%) experienced an AE and twelve (28.6%) experienced an SAE. One SAE of fatal myocardial ischemia was assessed as possibly related to vadadustat by the investigator.</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Phase 3 open-label, single-arm correction study (J04 Study) evaluated the safety and efficacy of vadadustat, with a treatment duration of 24 weeks, in 24 Japanese hemodialysis subjects with anemia due to CKD who had not been receiving ESA therapy prior to study screening or who underwent ESA washout during screening. The mean Hb level at week 20 and week 24 was 10.75 g/dL (95% CI 10.35, 11.14 g/dL) for vadadustat-treated subjects. Twenty-three subjects (95.8%) experienced an AE, and seven (29.2%) experienced an SAE. No SAE was assessed as related to study drug, and no deaths were reported.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plan to commercialize vadadustat, subject to FDA approval, in the United States with our well-established, nephrology-focused commercial organization, while leveraging our collaboration with Otsuka and its U.S. commercial organization. We also granted Otsuka exclusive rights to commercialize vadadustat in Europe, China and certain other markets, subject to marketing approvals. In Japan and certain other countries in Asia, we granted MTPC exclusive rights to commercialize vadadustat, subject to marketing approvals. In addition, we granted Vifor Pharma an exclusive license to sell vadadustat solely to FKC, which manages approximately 40% of the dialysis patients in the United States, at its U.S. dialysis clinics, subject to FDA approval of vadadustat, vadadustat’s reimbursement under a bundled reimbursement model, and a milestone payment by Vifor Pharma. During the term of the license agreement, Vifor Pharma may not sell to FKC or its affiliates any HIF product that competes with vadadustat in the United States. For more information about our license, collaboration and strategic agreements relating to vadadustat, see Part I, Item 1. Business – License, Collaboration and Other Strategic Agreements – Vadadustat.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Candidates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vadadustat, we are developing a HIF-based portfolio of other product candidates that target serious diseases of high unmet need. Our portfolio includes product candidates developed internally as well as in-licensed product candidates. In February 2017, we signed an exclusive agreement with Janssen Pharmaceutica NV, or Janssen, a subsidiary of Johnson &amp; Johnson, or the Janssen Agreement, for access to an extensive library of well-characterized HIF pathway compounds with potential applications across multiple therapeutic areas. Our strategic focus will be to identify and develop candidates for kidney disease indications.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neither own nor operate, and currently have no plans to own or operate, any manufacturing or distribution facilities. We currently rely on third-party contract manufacturing organizations, or CMOs, to produce all of our preclinical and clinical material and commercial supply and third-party distributors to distribute Auryxia. We expect to continue to rely on either existing or alternative distributors and CMOs to distribute our products and supply our ongoing and planned preclinical and clinical studies and for commercial production.</w:t>
      </w:r>
    </w:p>
    <w:p>
      <w:pPr>
        <w:spacing w:after="0" w:line="18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have established relationships with several CMOs under which the CMOs manufacture preclinical and clinical supplies of vadadustat drug substance and drug product and clinical and commercial supply of Auryxia drug substance and drug product. All clinical and commercial supplies are manufactured under current Good Manufacturing Practices, or cGMPs, which is a regulatory standard for the production of pharmaceuticals that will be used in humans.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Auryxia</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established CMO relationships for the supply of Auryxia to help ensure that we will have sufficient material for clinical trials and ongoing commercial sales. The drug substance for Auryxia is supplied by Siegfried Evionnaz SA (two sites) and BioVectra Inc. (one site), pursuant to supply agreements with pricing structured on a per-kilogram basis. Auryxia drug product is supplied by Patheon Manufacturing Services LLC (Thermo Fisher) (three sites) pursuant to a Master Manufacturing Service Agreement with per-bottle pricing structured on a tiered basis, with the price reduced as the product volume increases. These agreements require that we satisfy certain minimum purchase requirements, but we are not obligated to use them as our sole suppliers. In addition, we are continuing to establish the basis for long-term commercial production capabilities to supply the potential expanded demand for Auryxia in future years. For more information about our manufacturing agreements for Auryxia, see Part II, Item 7. Management’s Discussion and Analysis and Note 16 to our consolidated financial statements in Part II, Item 8. Financial Statements and Supplementary Data.</w:t>
      </w:r>
    </w:p>
    <w:p>
      <w:pPr>
        <w:spacing w:after="0" w:line="1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we continue to build inventory for the expanded commercialization of Auryxia, we intend to expand capacity to produce Auryxia under cGMP requirements. Our third party manufacturers have other clients and may have other priorities that could affect their ability to perform the work satisfactorily and/or on a timely basis. Both of these occurrences would be beyond our control.</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Auryxia is a small molecule. The synthesis of Auryxia is reliable and reproducible from starting materials available from multiple sources at commercially relevant scale. Auryxia can be readily formulated into compressed tablets with standard ingredients using common manufacturing processes. As with any supply program, obtaining raw materials and finished drug product of the required quality and quantity cannot be guaranteed, and we cannot ensure that we will be successful in this endeavor.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right="180"/>
        <w:spacing w:after="0" w:line="277" w:lineRule="auto"/>
        <w:rPr>
          <w:sz w:val="20"/>
          <w:szCs w:val="20"/>
          <w:color w:val="auto"/>
        </w:rPr>
      </w:pPr>
      <w:r>
        <w:rPr>
          <w:rFonts w:ascii="Arial" w:cs="Arial" w:eastAsia="Arial" w:hAnsi="Arial"/>
          <w:sz w:val="18"/>
          <w:szCs w:val="18"/>
          <w:color w:val="auto"/>
        </w:rPr>
        <w:t>We utilize third parties for the commercial distribution of Auryxia, including wholesale distributors and certain specialty pharmacy providers. We have also engaged Cardinal Health as the exclusive third-party logistics distribution agent for commercial sales of Auryxia.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Vadadustat</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currently have redundant supply arrangements in place for the preclinical and clinical supply of vadadustat. We intend to put supply agreements in place for commercial manufacturing of vadadustat in the near future. We plan to mitigate potential commercial supply risks for vadadustat, if any, through inventory management and redundant manufacturing arrangements for both drug substance and drug product; however, the timing of such arrangements is uncertain and may occur following the launch of vadadustat, if approved.</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Vadadustat is a small molecule. The synthesis of vadadustat is reliable and reproducible from starting materials available from multiple sources at commercially relevant scale using no unusual manufacturing equipment. Vadadustat can be readily formulated into compressed tablets with standard ingredients using common manufacturing processes. As with any supply program, obtaining raw materials and finished drug product of the required quality and quantity cannot be guaranteed and we cannot ensure that we will be successful in this endeavor.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Collaboration and Other Strategic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Auryxia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Panion &amp; BF Biotech, Inc.</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November 2005, Keryx entered into a license agreement with Panion. Under the license agreement, we acquired the exclusive worldwide rights, excluding certain Asian-Pacific countries, for the development, marketing and commercialization of ferric citrate. Under the agreement, Panion is eligible to receive from us milestone payments and royalty payments based on a mid-single digit percentage of net sales of ferric citrate in the licensed territory.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license agreement terminates upon the expiration of our obligations to pay royalties thereunder. In addition, we may terminate the license agreement (i) in its entirety or (ii) with respect to one or more countries of the territory covered by the agreement, in either case upon 90 days’ notice. We and Panion also have the right to terminate the license agreement upon the occurrence of a breach of a material provision of the license agreement, subject to certain cure provisions, or certain insolvency events.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24, 2018, prior to the consummation of the Merger, we and Keryx entered into a letter agreement with Panion, the Panion Letter Agreement, pursuant to which Panion agreed to rescind any and all prior termination threats or notices relating to the license agreement and waived its rights to terminate the license agreement based on any breach by Keryx of our obligation to use commercially reasonable efforts to commercialize Auryxia outside the United States until the parties execute an amendment to the license agreement in accordance with the terms of the Panion Letter Agreement following consummation of the Merger. These terms include establishing a joint steering committee consisting of Panion and Akebia representatives to oversee the development and commercialization of Fexeric in Europe and providing Panion with an exclusive license under Keryx-owned patents covering the rights to make, use, sell, offer for sale and import ferric citrate in certain countries in the Asia-Pacific region. The parties intend to work together to agree on a commercialization plan for Fexeric in Europe following execution of the amendment. The amendment is expected to include alternatives in the event a commercialization plan is not agreed upon, such as payment of an annual license maintenance fee to Panion or the return of European intellectual property rights to Panion. Under the terms of the Panion Letter Agreement, Panion also agreed that we will have the right, but not the obligation, to conduct any litigation against any infringer of patent rights under the license agreement on the terms agreed upon in the Panion Letter Agreement. In addition, Keryx made a $500,000 payment to Panion promptly after execution of the Panion Letter Agreement.</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period from December 12, 2018 to December 31, 2018, Panion earned $0.4 million in royalty payments relating to the sales of Auryxia in the U.S. and JT and Torii net sales of Riona in Japan, as we are required to pay a low double-digit percent of sublicense income to Panion under the terms of the license agreement, excluding any income under the JT and Torii sublicense.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Sublicense Agreement with Japan Tobacco Inc. and Torii Pharmaceutical Co., Ltd.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2007, Keryx entered into a Sublicense Agreement with JT and Torii, under which JT and Torii obtained the exclusive sublicense rights for the development and commercialization of ferric citrate in Japan. Effective June 8, 2009, Keryx entered into an Amended and Restated Sublicense Agreement, which was amended in June 2013, or the Revised Agreement, with JT and Torii, which, among other things, provided for the elimination of all significant on-going obligations under the Sublicense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right="20"/>
        <w:spacing w:after="0" w:line="288" w:lineRule="auto"/>
        <w:rPr>
          <w:sz w:val="20"/>
          <w:szCs w:val="20"/>
          <w:color w:val="auto"/>
        </w:rPr>
      </w:pPr>
      <w:r>
        <w:rPr>
          <w:rFonts w:ascii="Arial" w:cs="Arial" w:eastAsia="Arial" w:hAnsi="Arial"/>
          <w:sz w:val="16"/>
          <w:szCs w:val="16"/>
          <w:color w:val="auto"/>
        </w:rPr>
        <w:t>In January 2014, JT and Torii received manufacturing and marketing approval of ferric citrate from the Japanese Ministry of Health, Labour and Welfare. Ferric citrate, launched in May 2014 and being marketed in Japan by Torii under the brand name Riona, is indicated as an oral treatment for the improvement of hyperphosphatemia in patients with CKD, including NDD-CKD and DD-CKD. Under the terms of the license agreement with JT and Torii, we are eligible to receive royalty payments based on a tiered double-digit percentage of net sales of Riona in Japan escalating up to the mid-teens, subject to certain reductions upon expiration or termination of the Panion license agreement, and may also receive up to an additional $55.0 million upon the achievement of certain annual net sales milestones. In accordance with our revenue recognition policy, royalty revenues are recognized in the quarter that JT and Torii provide their written report and related information to us regarding sales of Riona, which generally will be one quarter following the quarter in which the underlying sales by JT and Torii occurred. We recorded $0.1 million in license revenue related to royalties earned on net sales of Riona in Japan during the period from December 12, 2018 to December 31, 2018. We record the associated mid-single digit percentage of net sales royalty expense due to Panion, the licensor of ferric citrate, in the same period as the royalty revenue from JT and Torii is recorded.</w:t>
      </w:r>
    </w:p>
    <w:p>
      <w:pPr>
        <w:spacing w:after="0" w:line="16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sublicense terminates upon the expiration of all underlying patent rights. Also, JT and Torii may terminate the sublicense agreement with or without cause upon at least six months prior written notice to us. Additionally, either party may terminate the sublicense agreement for cause upon 60 days’ prior written notice after the breach of any uncured material provision of the sublicense agreement, or after certain insolvency events.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Collaboration with Otsuka Pharmaceutical Co. Ltd.</w:t>
      </w:r>
    </w:p>
    <w:p>
      <w:pPr>
        <w:spacing w:after="0" w:line="117"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On December 18, 2016, we entered into a collaboration and license agreement with Otsuka, or the Otsuka U.S. Agreement, pursuant to which we agreed to co-exclusively collaborate with Otsuka with respect to the development and commercialization of vadadustat in the United States, subject to the approval of vadadustat by the FDA. We continue to lead the ongoing global Phase 3 development program for vadadustat. Under the Otsuka U.S. Agreement, subject to the terms of the Otsuka Funding Option, as described below, we control and retain final decision</w:t>
      </w:r>
      <w:r>
        <w:rPr>
          <w:rFonts w:ascii="MS PGothic" w:cs="MS PGothic" w:eastAsia="MS PGothic" w:hAnsi="MS PGothic"/>
          <w:sz w:val="18"/>
          <w:szCs w:val="18"/>
          <w:color w:val="auto"/>
        </w:rPr>
        <w:t>‑</w:t>
      </w:r>
      <w:r>
        <w:rPr>
          <w:rFonts w:ascii="Arial" w:cs="Arial" w:eastAsia="Arial" w:hAnsi="Arial"/>
          <w:sz w:val="18"/>
          <w:szCs w:val="18"/>
          <w:color w:val="auto"/>
        </w:rPr>
        <w:t>making authority with respect to, among other things, the development of vadadustat. Our obligations related to the conduct of the current global development plan include the associated manufacturing and supply services for vadadustat.</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terms of the Otsuka U.S. Agreement, Otsuka paid us an upfront payment of $125.0 million and we expect Otsuka to provide additional funding of $201.3 million or more, depending on the actual costs incurred, toward the vadadustat global Phase 3 development program. In addition, if the development costs exceed a certain threshold, or the Cost Threshold, then we may elect to require Otsuka to increase the aggregate percentage of the current global development costs it funds under the Otsuka U.S. Agreement and the Otsuka International Agreement, as defined below, from 52.5% to 80%, or the Otsuka Funding Option. In such event, the excess of the payments made under such election and Otsuka’s allocated share of the current global development costs is fully creditable against future payments due to us under the arrangement, provided that future payments due to us may not be reduced by more than 50% in any calendar year and any remaining creditable amount above 50% in any calendar year will be applied to subsequent future payments until fully credited. In addition, decisions regarding certain development matters will be made jointly by us and Otsuka in accordance with the procedures set forth in the Otsuka U.S. Agreement. In September 2018, we exercised the Otsuka Funding Option, which will be effective when the Cost Threshold is exceeded. We estimate that the Cost Threshold will be exceeded in the second quarter of 2019. We are eligible to receive from Otsuka up to $190.0 million in development and regulatory milestones and up to $575.0 million in specified commercial milestones.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Otsuka U.S. Agreement establishes a profit share for the commercialization of vadadustat in the United States. The parties will equally share all net sales of vadadustat in the United States, if approved, and each party will bear half of all costs in the United States, including medical affairs, commercialization and manufacturing costs.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 the Otsuka U.S. Agreement, we and Otsuka will jointly conduct, and will have equal responsibility for, all medical affairs and commercialization activities pursuant to plans agreed by the parties. We will remain responsible for manufacturing vadadustat. Additionally, the parties agreed not to promote, market or sell any competing product in the territory covered by the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International Collaboration with Otsuka Pharmaceutical Co. Ltd.</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April 25, 2017, we entered into a collaboration and license agreement with Otsuka, or the Otsuka International Agreement, pursuant to which we granted Otsuka an exclusive license for the development and commercialization of vadadustat in certain territory outside the United States. The territory covered by the Otsuka International Agreement includes the European Union, Russia, China, Australia, Canada, the Middle East and certain other countries, or the Otsuka International Territory, but excludes Latin America and previously licensed jurisdictions. Under the Otsuka International Agreement, Otsuka is responsible for certain development activities and commercializing vadadustat in the Otsuka International Territory, while we lead the ongoing global Phase 3 development program. Otsuka will fund a significant percentage of the costs of such global development program regardless of the total actual costs ultimately incurred. Subject to the terms of the Otsuka Funding Option, we retain final decision-making authority with respect to, among other things, the manufacture and supply of vadadustat in the Otsuka International Territory, the global Phase 3 development program, and the global brand strategy for vadadustat. Otsuka will have final decision-making authority with respect to certain development activities and commercialization matters in the Otsuka International Territory. Additionally, the parties agreed not to promote, market or sell any competing product in the territory covered by the agreement.</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terms of the Otsuka International Agreement, we expect Otsuka to pay us at least $249.3 million, comprised of $73.0 million that was paid upon execution of the Otsuka International Agreement and $176.3 million or more, depending on actual costs incurred, of development funding. In addition, we are eligible to receive from Otsuka up to $132.0 million in development and regulatory milestones and up to $525.0 million in commercial milestones, subject to reduction as described above. Otsuka also agreed to make tiered, escalating royalty payments ranging from low double digits up to thirty percent of net sales of vadadustat within the Otsuka International Territory. In limited circumstances, upper tier royalties may be subject to reduction if the supply price charged by us to Otsuka for vadadustat exceeds certain agreed upon thresholds, and royalty payments may also be reduced if a generic product is launched, on a country-by-country basis. Otsuka may elect to conduct additional studies of vadadustat in the European Union, subject to our right to delay such studies based on our objectives outside the Otsuka International Territory. Otsuka will pay a percentage of the costs of any such studies, and we will pay its portion of the costs in the form of a credit against future amounts due to us under the Otsuka International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Mitsubishi Tanabe Pharma Corporation</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December 11, 2015, we entered into a collaboration agreement with MTPC, or the MTPC Agreement, providing MTPC with exclusive development and commercialization rights to vadadustat in Japan and certain other Asian countries, or the MTPC Territory. In addition, we will supply vadadustat for both clinical and commercial use in the MTPC Territory, subject to MTPC’s option to manufacture commercial drug product in the MTPC Territory.</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and MTPC agreed that, instead of including Japanese patients in our global Phase 3 program for vadadustat, MTPC would be the sponsor of a Phase 3 program for vadadustat in Japan. Following consultation with the Japanese Pharmaceuticals and Medical Devices Agency, or the PMDA, MTPC initiated its Phase 3 development program for vadadustat in Japan in the fourth quarter of 2017.</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terms of the MTPC Agreement, MTPC will make payments to us of up to $245.0 million in the aggregate based on the achievement of certain development, regulatory and sales milestones, as well as tiered double-digit royalty payments of up to 20% on sales of vadadustat in the MTPC Territory, subject to reduction upon launch of a generic product on a country-by-country basis. MTPC is responsible for the costs of the Phase 3 program for vadadustat in Japan and will make no additional funding payments for our global Phase 3 program for vadadustat. Additionally, the development costs of approximately $20.5 million for our Phase 2 studies in Japan were reimbursed to us by MTPC, of which the last remaining $0.5 million was collected in the fourth quarter of 2018. We and MTPC recently announced topline data from two pivotal Phase 3 clinical studies for vadadustat in Japan.</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in September 2017 we agreed to provide MTPC with an option to access data from our global Phase 3 vadadustat program for payments to us of up to $25.0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Vifor Pharma License Agreement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May 12, 2017, we entered into a License Agreement with Vifor Pharma, or the Vifor Agreement, pursuant to which we granted Vifor Pharma an exclusive license to sell vadadustat solely to FKC, an affiliate of Fresenius Medical Care North America, in the United States, subject to the approval of vadadustat for DD-CKD patients by the FDA, inclusion of vadadustat in a bundled reimbursement model, and payment by Vifor Pharma of a $20 million milestone upon the occurrence of these two events. The Vifor Agreement is structured as a profit share arrangement between us and Vifor Pharma in which we will receive a majority of the profit from Vifor Pharma’s sales of vadadustat to FKC in the United States. We will share the milestone payment and the revenue from the profit share with Otsuka pursuant to the Otsuka U.S. Agreement. We retain all rights to commercialize vadadustat for use in the NDD-CKD market and in other dialysis organizations in the United States, which will be done in collaboration with Otsuka if approved by the FDA.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8" w:name="page19"/>
    <w:bookmarkEnd w:id="18"/>
    <w:p>
      <w:pPr>
        <w:spacing w:after="0" w:line="276" w:lineRule="auto"/>
        <w:rPr>
          <w:sz w:val="20"/>
          <w:szCs w:val="20"/>
          <w:color w:val="auto"/>
        </w:rPr>
      </w:pPr>
      <w:r>
        <w:rPr>
          <w:rFonts w:ascii="Arial" w:cs="Arial" w:eastAsia="Arial" w:hAnsi="Arial"/>
          <w:sz w:val="17"/>
          <w:szCs w:val="17"/>
          <w:color w:val="auto"/>
        </w:rPr>
        <w:t>Prior and subject to FDA approval of vadadustat, we and Vifor Pharma plan to enter into a commercial supply agreement for vadadustat pursuant to which we would supply all of Vifor Pharma’s commercial requirements for vadadustat in the United States. In addition, pursuant to the Vifor Agreement, Vifor Pharma entered into supply agreements that govern the terms pursuant to which Vifor Pharma would supply vadadustat to FKC for use in patients at its dialysis centers, subject to FDA approval; however, FKC is not obligated to utilize vadadustat in its clinics. During the term of the Vifor Agreement, Vifor Pharma will not sell to FKC or its affiliates any HIF product that competes with vadadustat in the United States.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 NV Research and License Agreement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9, 2017, we entered into a Research and License Agreement, the Janssen Agreement, pursuant to which Janssen granted us an exclusive license under certain intellectual property rights to develop and commercialize worldwide certain HIF-PH-targeted compounds.</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Under the terms of the Janssen Agreement, Janssen granted us a license for a three-year research term to conduct research on Janssen’s HIF compound portfolio, unless we elect to extend such research term for up to two additional one-year periods upon payment of an extension fee. During the research term, we may designate one or more compounds as candidates for development and commercialization. Once a compound is designated for development and commercialization, we will be solely responsible for the development and commercialization of the compound worldwide at our own cost and expense.</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terms of the Janssen Agreement, we paid an upfront payment of $1.0 million in cash to Janssen and issued a warrant to purchase 509,611 shares of our common stock, the fair value of which was approximately $3.4 million. In addition, Janssen could be eligible to receive up to an aggregate of $16.5 million from us in specified development milestone payments on a product-by-product basis. Janssen will also be eligible to receive up to $215.0 million from us in specified commercial milestones as well as tiered, escalating royalties ranging from a low to mid-single digit percentage of net sales, on a product-by-product basis and subject to reduction upon expiration of patent rights or the launch of a generic product in the territory.</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Janssen also has a right of first offer to engage in exclusive negotiations with us to develop and commercialize certain products developed by us containing compounds for the treatment of inflammatory bowel disease.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proprietary nature of, and protection for, our products, product candidates and our discovery programs, processes and know-how are important to our business. Our policy is to seek to protect our proprietary position by, among other methods, filing patent applications related to our proprietary technology, inventions and improvements that are important to the development and implementation of our business. We also rely on know-how, continuing technological innovation and potential in-licensing opportunities to develop and maintain our proprietary position. Additionally, we may benefit from a variety of statutory frameworks in the United States, Europe and other countries that provide periods of non-patent-based exclusivity for qualifying molecules. See “— Regulatory Matters.”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commercial success will depend in part on obtaining and maintaining patent protection of our current products as well as current and future product candidates, methods of their use and the methods used to develop and manufacture them, as well as successfully defending these patents against third-party challenges. Our ability to stop third parties from making, using, selling, offering to sell or importing our products depends on the extent to which we have rights under valid and enforceable patents that cover these activities.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discovery programs and processes. Even once patents successfully issue, third parties may challenge the validity, enforceability, inventorship, or scope thereof, which may result in such patents being narrowed, invalidated or held not infringed or unenforceable. For this and more comprehensive risks related to our intellectual property, please see “Risk Factors—Risks Related to Our Intellectual Property.”</w:t>
      </w:r>
    </w:p>
    <w:p>
      <w:pPr>
        <w:spacing w:after="0" w:line="182"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Individual patents extend for varying periods of time depending on the date of filing of the patent application or the date of patent issuance and the legal term of patents in the countries in which they are obtained. Generally, patents issued from applications filed in the United States are effective for 20 years from the earliest filing date of a United States non-provisional application or an international application filed under the Patent Cooperation Treaty.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international filing date. Patent term recapture for loss of term as a result of the regulatory review period is available in some foreign jurisdictions. In the United States, a patent’s term may also be lengthened by patent term adjustment, which compensates a patentee for administrative delays by the USPTO in granting a patent, or may be shortened if a patent is terminally disclaimed over an earlier</w:t>
      </w:r>
      <w:r>
        <w:rPr>
          <w:rFonts w:ascii="MS PGothic" w:cs="MS PGothic" w:eastAsia="MS PGothic" w:hAnsi="MS PGothic"/>
          <w:sz w:val="16"/>
          <w:szCs w:val="16"/>
          <w:color w:val="auto"/>
        </w:rPr>
        <w:t>‑</w:t>
      </w:r>
      <w:r>
        <w:rPr>
          <w:rFonts w:ascii="Arial" w:cs="Arial" w:eastAsia="Arial" w:hAnsi="Arial"/>
          <w:sz w:val="16"/>
          <w:szCs w:val="16"/>
          <w:color w:val="auto"/>
        </w:rPr>
        <w:t>filed patent.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6"/>
          <w:szCs w:val="16"/>
          <w:color w:val="auto"/>
        </w:rPr>
        <w:t>Changes in either the patent laws or interpretations of patent laws in the United States and other countries can diminish our ability to protect our inventions and enforce our intellectual property rights. Accordingly, we cannot predict the breadth or enforceability of claims that may be granted in our patents or in third-party patents. 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license or may receive or acquire in the future may be challenged, invalidated or circumvented, and the rights granted under any issued patents may not provide us with sufficient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 The patent positions for Auryxia and vadadustast are summarized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Auryxia Patent Portfolio</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Pursuant to our license with Panion &amp; BF Biotech, Inc., or Panion, we have the exclusive rights under a series of patents and patent applications to commercialize Auryxia worldwide, excluding certain Asian-Pacific countries. These patents and patent applications include claims directed to compositions of matter, pharmaceutical compositions, methods of treatment, as well as methods for the manufacture of Auryxia.</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patent rights include fourteen issued U.S. patents listed in the Orange Book covering the composition of matter, method of treating hyperphosphatemia, and pharmaceutical compositions of Auryxia. The expected expiration dates for these patents are between 2020 and 2030 plus any additional patent term extensions that may be available. These patents are currently being asserted against several generic companies for patent infringement. See Part I, Item 3. Legal Proceedings.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our sublicense with our Japanese partner, Japan Tobacco Inc., or JT, and its subsidiary, Torii Pharmaceutical Co. Ltd., or Torii, we have exclusively sublicensed certain Japanese patent rights to JT and Torii. These sublicensed rights include several Japanese patents and pending patent applications with composition of matter claims and methods of use claims covering Riona, the trade name under which JT and Torii market ferric citrate in Japan. The expected expiration dates for these patents are between 2022 and 2026. To date, to our knowledge, no contested proceedings or third-party claims have been lodged against any of these Japanese patents.</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November 25, 2015, a third party filed an opposition to our issued European Patent No. 1 931 689, or the ‘689 EP Patent, in the European Patent Office (“EPO”). During the oral proceedings, which took place on June 27, 2017, the Opposition Division of the EPO revoked the ‘689 EP Patent. On December 6, 2017, we filed an Appeal of the decision of the Opposition Division, which is presently pending. According to European practice, the revocation of the patent is stayed until an appeal is finally resolved. We anticipate the appeal will take a few years to resolve, during which time the patent will remain in force.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23, 2016, a third party filed an opposition to our issued European Patent No. 1 978 807, or the ’807 EP Patent, in the EPO. During the oral proceedings, which took place on June 8, 2018, the Opposition Division of the EPO maintained the ’807 EP Patent as granted. This decision resulted in the maintenance of all the claims of the patent, including claims directed to the use of ferric citrate for preventing, reversing, maintaining or delaying progression of chronic kidney disease. On November 16, 2018, the third party filed an appeal of the decision of the Opposition Division, which is presently pending. We anticipate the appeal will take a few years to resolve.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 Patent Portfolio</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hold eight issued patents covering the composition of matter, polymorph, method of treating anemia, and pharmaceutical compositions of vadadustat in the United States and additional patents issued or pending in many other major jurisdictions worldwide, including Europe, Japan, China, South Korea, Brazil, Mexico, Russia, Israel and India. The expected expiration dates for these patents are between 2027 and 2034 plus any extensions or adjustments of term available under national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80"/>
        <w:spacing w:after="0" w:line="290" w:lineRule="auto"/>
        <w:rPr>
          <w:sz w:val="20"/>
          <w:szCs w:val="20"/>
          <w:color w:val="auto"/>
        </w:rPr>
      </w:pPr>
      <w:r>
        <w:rPr>
          <w:rFonts w:ascii="Arial" w:cs="Arial" w:eastAsia="Arial" w:hAnsi="Arial"/>
          <w:sz w:val="16"/>
          <w:szCs w:val="16"/>
          <w:color w:val="auto"/>
        </w:rPr>
        <w:t>In July 2011, a third party filed an opposition to our issued European Patent No. 2044005, or the ’005 EP Patent. During the oral proceedings, which took place on April 10, 2013, the Opposition Division of the European Patent Office maintained the ’005 EP Patent based on the third auxiliary request filed during the oral proceedings. This decision resulted in the maintenance of a claim directed to a compound chosen from a group of eight compounds, including vadadustat, as well as claims to compositions and methods for treating various diseases, including, but not limited to, anemia. Both parties appealed the decision of the Opposition Division. On February 27, 2018, we withdrew the ’005 EP Patent from appeal and filed a divisional patent application to pursue a focused claims set that includes claims for vadadustat, as well as pharmaceutical compositions and methods of treating anemia. We cannot be assured that such claims in the divisional patent application will be granted by the European Patent Office. If such claims are not granted, or the scope of the claims is significantly narrowed, we may not be able to adequately protect our rights, provide sufficient exclusivity, or preserve our competitive advantage.</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September 2018, Dr. Reddy’s Laboratories Limited filed an opposition to our issued Indian Patent No. 287720, or the ’720 IN Patent, in the Indian Patent Office.</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also hold patents and patent applications directed to processes for manufacturing vadadustat, dosing regimens, formulations, and various other aspects relating to the treatment of anemia using vadadustat that are expected to expire between 2032 and 2036 exclusive of possible patent term extensions or adjustments.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patent protection, we may utilize orphan drug regulations, pediatric exclusivity or other provisions of the Food, Drug and Cosmetic Act of 1938, as amended, or FDCA, such as new chemical entity exclusivity or new formulation exclusivity, to provide market exclusivity for a drug candidate. In the United States, the FDA has the authority to grant additional data protection for approved drugs where the sponsor conducts specified testing in pediatric or adolescent populations. If granted, this pediatric exclusivity may provide an additional six months which are added to the term of data protection as well as to the term of a relevant patent, to the extent these protections have not already expired. We may also seek to utilize market exclusivities in other territories, such as in the EU. We cannot assure that our drug products or any drug candidates we may acquire or in-license, will obtain such orphan drug designation, pediatric exclusivity, new chemical entity exclusivity or any other market exclusivity in the United States, EU or any other territory, or that we will be the first to receive the respective regulatory approval for such drugs so as to be eligible for any market exclusivity protection.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patents, we rely upon unpatented know-how and continuing technological innovation to develop and maintain our competitive position. We seek to protect our proprietary information, in part, using confidentiality agreements with our collaborators, employees and consultants and invention assignment provisions in the confidentiality agreements with our employees. These agreements are designed to protect our proprietary information and, in the case of the invention assignment provisions, to grant us ownership of technologies that are developed by our employees. These agreements may be breached, and we may not have adequate remedies for any breach.</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the extent that our commercial partners, collaborators, employees and consultants use intellectual property owned by others in their work for us, disputes may arise as to the rights in related or resulting know-how and inventions.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usually not required to conduct, or submit results of, nonclinical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ANDA applicant is required to make certain certifications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 out any language regarding the patented method-of-use, rather than certify to a listed method-of-use patent.</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the applicant does not challenge the listed patents, the ANDA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from receiving the Paragraph IV certification, expiration of the patent, settlement of the lawsuit, or a decision in the infringement case that is favorable to the ANDA applicant. Also, the ANDA will not be approved until any applicable non-patent exclusivity listed in the Orange Book for the referenced product has expired.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Upon NDA approval of a new chemical entity, or NCE, which is a drug that contains an active moiety that has not been approved by the FDA in any other NDA, that drug receives five years of marketing exclusivity during which time the FDA cannot accept any ANDA seeking approval of a generic version of that drug. Certain changes to a drug, such as the addition of a new indication to the package insert, are associated with a three-year period of exclusivity during which the FDA cannot approve an ANDA for a generic drug that includes such changes.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 ANDA may be submitted one year before NCE exclusivity expires if a Paragraph IV certification is filed. If there is no listed patent in the Orange Book, there may not be a Paragraph IV certification, and, thus, no ANDA may be filed before the expiration of the exclusivity period.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August 23, 2018, Keryx submitted a Citizen Petition requesting,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FDA recognize that Auryxia is eligible for five years of NCE exclusivity based on its novel active ingredient and for three years exclusivity for the IDA Indication. On January 19, 2019, FDA responded that Auryxia is eligible for a three-year exclusivity period for the IDA Indication, which expires on November 6, 2020. FDA, however, denied the NCE exclusivity based on its determination that Auryxia contains a previously-approved active moiety (ferric cation). FDA’s decision on the Citizen Petition is subject to further review both within FDA and in the courts. On February 21, 2019, Akebia filed a Petition for Reconsideration of FDA’s decision on the NCE determination for Auryxia.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After NDA approval, owners of relevant drug patents or their agents may apply for up to a five-year patent extension for delays caused by FDA regulatory review. The allowable patent term extension is calculated as half of the drug’s testing phase which is the time between IND submission and NDA submission, and all of the review phase, which is the time between NDA submission and approval, up to a maximum of five years. The time can be shortened if the FDA determines that the applicant did not pursue approval with due diligence. The total patent term after the extension may not exceed 14 years.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2" w:name="page23"/>
    <w:bookmarkEnd w:id="22"/>
    <w:p>
      <w:pPr>
        <w:ind w:right="60"/>
        <w:spacing w:after="0" w:line="257" w:lineRule="auto"/>
        <w:rPr>
          <w:sz w:val="20"/>
          <w:szCs w:val="20"/>
          <w:color w:val="auto"/>
        </w:rPr>
      </w:pPr>
      <w:r>
        <w:rPr>
          <w:rFonts w:ascii="Arial" w:cs="Arial" w:eastAsia="Arial" w:hAnsi="Arial"/>
          <w:sz w:val="18"/>
          <w:szCs w:val="18"/>
          <w:color w:val="auto"/>
        </w:rPr>
        <w:t>We have filed applications under the patent term extension provisions of 35 U.S.C. § 156 for U.S. Patent Nos. 8,299,298, 8,093,423, 7,767,851, 5,753,706, and 8,338,642 each of which covers Auryxia for delays caused by FDA regulatory review. If granted, we can utilize the patent term extension on one of these patents, however, we cannot assure you that we can obtain any extension of the term of these patents. Upon expiration of these patents, competitors who obtain the requisite regulatory approval may potentially offer products with the same composition and/or method of use as our product, so long as the competitors do not infringe any other patents that we may own or license.</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patents that might expire before a determination regarding patent term extension, the patent owner or its agent may request an interim patent term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We have filed for and received interim patent term extension in accordance with 35 U.S.C. § 156(e)(2) for U.S. Patent No. 5,753,706, which currently has an expiration date of February 3, 2020.</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certain jurisdictions outside of the U.S., including Japan, have provisions that provide for patent term extension. In October 2014, following the regulatory approval of Riona in Japan, the Japan Patent office granted the patent term extensions filed by our sublicensee, JT, for Japanese Patents Nos. 4964585 and 4173553. As a result of the extension of patent term, Japanese Patents Nos. 4964585 and 4173553 will expire in November 2025 and November 2022,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Filings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aware of certain United States patents issued to FibroGen, Inc., or FibroGen, directed to, among other things, purportedly new methods of using previously known heterocyclic carboxamide compounds for purposes of treating or affecting specified conditions. We do not believe these currently issued FibroGen United States patents will prevent us from commercializing vadadustat in the United States for the treatment of anemia due to CKD; nor do we make any admission that any of such patents are valid or enforceable. Under United States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 We are not aware of any valid United States patents issued to FibroGen that claim methods of using any of our product candidates for purposes of inhibiting HIF-PHs for the treatment of anemia secondary to CKD.</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filed an opposition in Europe against FibroGen’s European Patent No. 1463823, or the ’823 EP Patent, and an oral proceeding took place March 8 and 9, 2016. Following the oral proceeding, the Opposition Division of the EPO ruled that the patent as granted did not meet the requirements for patentability under the European Patent Convention and, therefore, revoked the patent in its entirety. FibroGen has appealed that decision and the appeal process is expected to take several years. Likewise, with regard to the invalidity proceeding that we filed in Japan against certain claims of FibroGen’s Japanese Patent No. 4804131, or the ’131 JP Patent, which is the Japanese counterpart to the ’823 EP Patent, the Japan Patent Office, or JPO, issued a preliminary decision finding all of the challenged claims to be invalid. FibroGen subsequently amended the claims and the JPO accepted the amendments. The resulting ’131 JP Patent does not cover vadadustat or any pyridine carboxamide compounds. To date, FibroGen has been unsuccessful in its attempts to obtain a patent in the United States covering the same claim scope as it obtained initially in Europe and Japan in the ’823 EP Patent and ’131 JP Patents. In the event FibroGen were to obtain such a patent in the United States, we may decide to challenge the patent as we have done in Europe and Japan.</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On May 13, 2015, May 20, 2015 and July 6, 2015, we filed oppositions to FibroGen’s European Patent Nos. 2322155, or the ’155 EP Patent, 1633333, or the ’333 EP Patent, and 2322153, or the ’153 EP Patent requesting the patents be revoked in their entirety. These related patents claim, among other things, various compounds that either stabilize HIFα or inhibit a HIF hydroxylase or a HIF prolyl hydroxylase for treating or preventing various conditions, including, </w:t>
      </w:r>
      <w:r>
        <w:rPr>
          <w:rFonts w:ascii="Arial" w:cs="Arial" w:eastAsia="Arial" w:hAnsi="Arial"/>
          <w:sz w:val="17"/>
          <w:szCs w:val="17"/>
          <w:i w:val="1"/>
          <w:iCs w:val="1"/>
          <w:color w:val="auto"/>
        </w:rPr>
        <w:t>inter alia</w:t>
      </w:r>
      <w:r>
        <w:rPr>
          <w:rFonts w:ascii="Arial" w:cs="Arial" w:eastAsia="Arial" w:hAnsi="Arial"/>
          <w:sz w:val="17"/>
          <w:szCs w:val="17"/>
          <w:color w:val="auto"/>
        </w:rPr>
        <w:t>, iron deficiency, microcytosis associated with iron deficiency, anemia of chronic disease, anemia wherein the subject has a transferrin saturation of less than 20%, anemia refractory to treatment with exogenously administered erythropoietin, or EPO, and microcytosis in microcytic anemia. Such method of use patents do not prevent persons from using the compound for other uses, including any previously known use of the compound. In particular, these patents do not claim methods of using any of our product candidates for purposes of inhibiting hypoxia-inducible factor prolyl hydroxylases, or HIF-PHs, for the treatment of anemia secondary to CKD. While we do not believe these patents will prevent us from commercializing vadadustat for the treatment of anemia secondary to CKD, we filed these oppositions to provide us and our collaborators with maximum flexibility for developing vadadustat and our pipeline of HIF-PH compounds.</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Oppositions to the ’155 EP Patent and the ’153 EP Patent were also filed by Glaxo Group Limited, or Glaxo, and by Bayer Intellectual Property GmbH, Bayer Pharma Aktiengesellschaft, and Bayer Animal Health GmbH, or, collectively, Bayer.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With regards to the opposition that we filed in Europe against the ’333 EP Patent, an oral proceeding took place on December 8 and 9, 2016. Following the oral proceeding, the Opposition Division of the EPO ruled that the patent as granted did not meet the requirements for patentability under the European Patent Convention and, therefore, revoked the patent in its entirety. On December 9, 2016, FibroGen filed a notice to appeal the decision to revoke the ’333 EP Patent.</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oral proceedings held on May 29, 2017, regarding the ’155 EP Patent, the Opposition Division of the EPO ruled that the '155 EP Patent as granted did not meet the requirements for patentability under the European Patent Convention and, therefore, revoked the patent in its entirety. FibroGen filed a notice to appeal the decision to revoke the ’155 EP Patent on May 29, 2017.</w:t>
      </w:r>
    </w:p>
    <w:p>
      <w:pPr>
        <w:spacing w:after="0" w:line="18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Subsequently, in related oral proceedings held on May 31, 2017 and June 1, 2017 for the ’153 EP Patent, the Opposition Division of the EPO maintained the patent after FibroGen significantly narrowed the claims to an indication for which vadadustat is not intended to be developed. We and Glaxo separately filed notices to appeal the decision to maintain the ’153 EP Patent on November 9, 2017. Bayer filed a notice to appeal the decision on November 14,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pharmaceutical and biotechnology industries are highly competitive.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Auryxia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Hyperphosphatemia Competition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Auryxia is competing in the Hyperphosphatemia Indication in the United States with other FDA-approved phosphate binders such as Renagel</w:t>
      </w:r>
      <w:r>
        <w:rPr>
          <w:rFonts w:ascii="Arial" w:cs="Arial" w:eastAsia="Arial" w:hAnsi="Arial"/>
          <w:sz w:val="14"/>
          <w:szCs w:val="14"/>
          <w:color w:val="auto"/>
        </w:rPr>
        <w:t>®</w:t>
      </w:r>
      <w:r>
        <w:rPr>
          <w:rFonts w:ascii="Arial" w:cs="Arial" w:eastAsia="Arial" w:hAnsi="Arial"/>
          <w:sz w:val="17"/>
          <w:szCs w:val="17"/>
          <w:color w:val="auto"/>
        </w:rPr>
        <w:t xml:space="preserve"> (sevelamer hydrochloride) and Renvela</w:t>
      </w:r>
      <w:r>
        <w:rPr>
          <w:rFonts w:ascii="Arial" w:cs="Arial" w:eastAsia="Arial" w:hAnsi="Arial"/>
          <w:sz w:val="14"/>
          <w:szCs w:val="14"/>
          <w:color w:val="auto"/>
        </w:rPr>
        <w:t>®</w:t>
      </w:r>
      <w:r>
        <w:rPr>
          <w:rFonts w:ascii="Arial" w:cs="Arial" w:eastAsia="Arial" w:hAnsi="Arial"/>
          <w:sz w:val="17"/>
          <w:szCs w:val="17"/>
          <w:color w:val="auto"/>
        </w:rPr>
        <w:t xml:space="preserve"> (sevelamer carbonate), both marketed by Genzyme Corporation (a wholly-owned subsidiary of Sanofi), PhosLo</w:t>
      </w:r>
      <w:r>
        <w:rPr>
          <w:rFonts w:ascii="Arial" w:cs="Arial" w:eastAsia="Arial" w:hAnsi="Arial"/>
          <w:sz w:val="14"/>
          <w:szCs w:val="14"/>
          <w:color w:val="auto"/>
        </w:rPr>
        <w:t>®</w:t>
      </w:r>
      <w:r>
        <w:rPr>
          <w:rFonts w:ascii="Arial" w:cs="Arial" w:eastAsia="Arial" w:hAnsi="Arial"/>
          <w:sz w:val="17"/>
          <w:szCs w:val="17"/>
          <w:color w:val="auto"/>
        </w:rPr>
        <w:t xml:space="preserve"> and Phoslyra</w:t>
      </w:r>
      <w:r>
        <w:rPr>
          <w:rFonts w:ascii="Arial" w:cs="Arial" w:eastAsia="Arial" w:hAnsi="Arial"/>
          <w:sz w:val="14"/>
          <w:szCs w:val="14"/>
          <w:color w:val="auto"/>
        </w:rPr>
        <w:t>®</w:t>
      </w:r>
      <w:r>
        <w:rPr>
          <w:rFonts w:ascii="Arial" w:cs="Arial" w:eastAsia="Arial" w:hAnsi="Arial"/>
          <w:sz w:val="17"/>
          <w:szCs w:val="17"/>
          <w:color w:val="auto"/>
        </w:rPr>
        <w:t xml:space="preserve"> (calcium acetate), marketed by Fresenius Medical Care North America, Fosrenol</w:t>
      </w:r>
      <w:r>
        <w:rPr>
          <w:rFonts w:ascii="Arial" w:cs="Arial" w:eastAsia="Arial" w:hAnsi="Arial"/>
          <w:sz w:val="14"/>
          <w:szCs w:val="14"/>
          <w:color w:val="auto"/>
        </w:rPr>
        <w:t>®</w:t>
      </w:r>
      <w:r>
        <w:rPr>
          <w:rFonts w:ascii="Arial" w:cs="Arial" w:eastAsia="Arial" w:hAnsi="Arial"/>
          <w:sz w:val="17"/>
          <w:szCs w:val="17"/>
          <w:color w:val="auto"/>
        </w:rPr>
        <w:t xml:space="preserve"> (lanthanum carbonate), marketed by Shire Pharmaceuticals Group plc, and Velphoro</w:t>
      </w:r>
      <w:r>
        <w:rPr>
          <w:rFonts w:ascii="Arial" w:cs="Arial" w:eastAsia="Arial" w:hAnsi="Arial"/>
          <w:sz w:val="14"/>
          <w:szCs w:val="14"/>
          <w:color w:val="auto"/>
        </w:rPr>
        <w:t>®</w:t>
      </w:r>
      <w:r>
        <w:rPr>
          <w:rFonts w:ascii="Arial" w:cs="Arial" w:eastAsia="Arial" w:hAnsi="Arial"/>
          <w:sz w:val="17"/>
          <w:szCs w:val="17"/>
          <w:color w:val="auto"/>
        </w:rPr>
        <w:t xml:space="preserve"> (sucroferric oxyhydroxide), marketed by Fresenius Medical Care North America, as well as over-the-counter calcium carbonate products such as TUMS</w:t>
      </w:r>
      <w:r>
        <w:rPr>
          <w:rFonts w:ascii="Arial" w:cs="Arial" w:eastAsia="Arial" w:hAnsi="Arial"/>
          <w:sz w:val="14"/>
          <w:szCs w:val="14"/>
          <w:color w:val="auto"/>
        </w:rPr>
        <w:t>®</w:t>
      </w:r>
      <w:r>
        <w:rPr>
          <w:rFonts w:ascii="Arial" w:cs="Arial" w:eastAsia="Arial" w:hAnsi="Arial"/>
          <w:sz w:val="17"/>
          <w:szCs w:val="17"/>
          <w:color w:val="auto"/>
        </w:rPr>
        <w:t xml:space="preserve"> and metal-based options such as aluminum, lanthanum and magnesium. Many of the phosphate binders listed above are now also available in generic forms. In addition, other phosphate binders are in development, including OPKO Health Inc.’s Alpharen</w:t>
      </w:r>
      <w:r>
        <w:rPr>
          <w:rFonts w:ascii="Arial" w:cs="Arial" w:eastAsia="Arial" w:hAnsi="Arial"/>
          <w:sz w:val="14"/>
          <w:szCs w:val="14"/>
          <w:color w:val="auto"/>
        </w:rPr>
        <w:t>™</w:t>
      </w:r>
      <w:r>
        <w:rPr>
          <w:rFonts w:ascii="Arial" w:cs="Arial" w:eastAsia="Arial" w:hAnsi="Arial"/>
          <w:sz w:val="17"/>
          <w:szCs w:val="17"/>
          <w:color w:val="auto"/>
        </w:rPr>
        <w:t xml:space="preserve"> Tablets (fermagate tablets) and Ardelyx, Inc’s tenapanor, that may impact the market for Auryxia.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Iron Deficiency Anemia Competition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Auryxia is competing in the IDA Indication in the United States with over-the-counter oral iron, other prescription oral iron formulations, including ferrous gluconate, ferrous fumerate, and polysaccharide iron complex, and IV iron formulations, including Feraheme</w:t>
      </w:r>
      <w:r>
        <w:rPr>
          <w:rFonts w:ascii="Arial" w:cs="Arial" w:eastAsia="Arial" w:hAnsi="Arial"/>
          <w:sz w:val="15"/>
          <w:szCs w:val="15"/>
          <w:color w:val="auto"/>
        </w:rPr>
        <w:t>®</w:t>
      </w:r>
      <w:r>
        <w:rPr>
          <w:rFonts w:ascii="Arial" w:cs="Arial" w:eastAsia="Arial" w:hAnsi="Arial"/>
          <w:sz w:val="18"/>
          <w:szCs w:val="18"/>
          <w:color w:val="auto"/>
        </w:rPr>
        <w:t xml:space="preserve"> (ferumoxytol injection), Venofer</w:t>
      </w:r>
      <w:r>
        <w:rPr>
          <w:rFonts w:ascii="Arial" w:cs="Arial" w:eastAsia="Arial" w:hAnsi="Arial"/>
          <w:sz w:val="15"/>
          <w:szCs w:val="15"/>
          <w:color w:val="auto"/>
        </w:rPr>
        <w:t>®</w:t>
      </w:r>
      <w:r>
        <w:rPr>
          <w:rFonts w:ascii="Arial" w:cs="Arial" w:eastAsia="Arial" w:hAnsi="Arial"/>
          <w:sz w:val="18"/>
          <w:szCs w:val="18"/>
          <w:color w:val="auto"/>
        </w:rPr>
        <w:t xml:space="preserve"> (iron sucrose injection), Ferrlicit</w:t>
      </w:r>
      <w:r>
        <w:rPr>
          <w:rFonts w:ascii="Arial" w:cs="Arial" w:eastAsia="Arial" w:hAnsi="Arial"/>
          <w:sz w:val="15"/>
          <w:szCs w:val="15"/>
          <w:color w:val="auto"/>
        </w:rPr>
        <w:t>®</w:t>
      </w:r>
      <w:r>
        <w:rPr>
          <w:rFonts w:ascii="Arial" w:cs="Arial" w:eastAsia="Arial" w:hAnsi="Arial"/>
          <w:sz w:val="18"/>
          <w:szCs w:val="18"/>
          <w:color w:val="auto"/>
        </w:rPr>
        <w:t xml:space="preserve"> (sodium ferric gluconate complex in sucrose injection), Injectafer</w:t>
      </w:r>
      <w:r>
        <w:rPr>
          <w:rFonts w:ascii="Arial" w:cs="Arial" w:eastAsia="Arial" w:hAnsi="Arial"/>
          <w:sz w:val="15"/>
          <w:szCs w:val="15"/>
          <w:color w:val="auto"/>
        </w:rPr>
        <w:t>®</w:t>
      </w:r>
      <w:r>
        <w:rPr>
          <w:rFonts w:ascii="Arial" w:cs="Arial" w:eastAsia="Arial" w:hAnsi="Arial"/>
          <w:sz w:val="18"/>
          <w:szCs w:val="18"/>
          <w:color w:val="auto"/>
        </w:rPr>
        <w:t xml:space="preserve"> (ferric carboxymaltose injection), and Triferic</w:t>
      </w:r>
      <w:r>
        <w:rPr>
          <w:rFonts w:ascii="Arial" w:cs="Arial" w:eastAsia="Arial" w:hAnsi="Arial"/>
          <w:sz w:val="15"/>
          <w:szCs w:val="15"/>
          <w:color w:val="auto"/>
        </w:rPr>
        <w:t>®</w:t>
      </w:r>
      <w:r>
        <w:rPr>
          <w:rFonts w:ascii="Arial" w:cs="Arial" w:eastAsia="Arial" w:hAnsi="Arial"/>
          <w:sz w:val="18"/>
          <w:szCs w:val="18"/>
          <w:color w:val="auto"/>
        </w:rPr>
        <w:t xml:space="preserve"> (ferric pyrophosphate citrate).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other new therapies are in development for the treatment of IDA that may impact the market for Auryxia, such as Shield Therapeutics’ Ferracru</w:t>
      </w:r>
      <w:r>
        <w:rPr>
          <w:rFonts w:ascii="Arial" w:cs="Arial" w:eastAsia="Arial" w:hAnsi="Arial"/>
          <w:sz w:val="15"/>
          <w:szCs w:val="15"/>
          <w:color w:val="auto"/>
        </w:rPr>
        <w:t>®</w:t>
      </w:r>
      <w:r>
        <w:rPr>
          <w:rFonts w:ascii="Arial" w:cs="Arial" w:eastAsia="Arial" w:hAnsi="Arial"/>
          <w:sz w:val="18"/>
          <w:szCs w:val="18"/>
          <w:color w:val="auto"/>
        </w:rPr>
        <w:t xml:space="preserve"> (ferric maltol), which is currently approved in Europe for IDA and is seeking FDA approval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vadadustat is approved and launched commercially, competing branded drugs may include EPOGEN</w:t>
      </w:r>
      <w:r>
        <w:rPr>
          <w:rFonts w:ascii="Arial" w:cs="Arial" w:eastAsia="Arial" w:hAnsi="Arial"/>
          <w:sz w:val="13"/>
          <w:szCs w:val="13"/>
          <w:color w:val="auto"/>
        </w:rPr>
        <w:t>®</w:t>
      </w:r>
      <w:r>
        <w:rPr>
          <w:rFonts w:ascii="Arial" w:cs="Arial" w:eastAsia="Arial" w:hAnsi="Arial"/>
          <w:sz w:val="16"/>
          <w:szCs w:val="16"/>
          <w:color w:val="auto"/>
        </w:rPr>
        <w:t xml:space="preserve"> (epoetin alfa) and Aranesp</w:t>
      </w:r>
      <w:r>
        <w:rPr>
          <w:rFonts w:ascii="Arial" w:cs="Arial" w:eastAsia="Arial" w:hAnsi="Arial"/>
          <w:sz w:val="13"/>
          <w:szCs w:val="13"/>
          <w:color w:val="auto"/>
        </w:rPr>
        <w:t>®</w:t>
      </w:r>
      <w:r>
        <w:rPr>
          <w:rFonts w:ascii="Arial" w:cs="Arial" w:eastAsia="Arial" w:hAnsi="Arial"/>
          <w:sz w:val="16"/>
          <w:szCs w:val="16"/>
          <w:color w:val="auto"/>
        </w:rPr>
        <w:t xml:space="preserve"> (darbepoetin alfa), both commercialized by Amgen, Procrit</w:t>
      </w:r>
      <w:r>
        <w:rPr>
          <w:rFonts w:ascii="Arial" w:cs="Arial" w:eastAsia="Arial" w:hAnsi="Arial"/>
          <w:sz w:val="13"/>
          <w:szCs w:val="13"/>
          <w:color w:val="auto"/>
        </w:rPr>
        <w:t>®</w:t>
      </w:r>
      <w:r>
        <w:rPr>
          <w:rFonts w:ascii="Arial" w:cs="Arial" w:eastAsia="Arial" w:hAnsi="Arial"/>
          <w:sz w:val="16"/>
          <w:szCs w:val="16"/>
          <w:color w:val="auto"/>
        </w:rPr>
        <w:t xml:space="preserve"> (epoetin alfa) and Eprex</w:t>
      </w:r>
      <w:r>
        <w:rPr>
          <w:rFonts w:ascii="Arial" w:cs="Arial" w:eastAsia="Arial" w:hAnsi="Arial"/>
          <w:sz w:val="13"/>
          <w:szCs w:val="13"/>
          <w:color w:val="auto"/>
        </w:rPr>
        <w:t>®</w:t>
      </w:r>
      <w:r>
        <w:rPr>
          <w:rFonts w:ascii="Arial" w:cs="Arial" w:eastAsia="Arial" w:hAnsi="Arial"/>
          <w:sz w:val="16"/>
          <w:szCs w:val="16"/>
          <w:color w:val="auto"/>
        </w:rPr>
        <w:t xml:space="preserve"> (epoetin alfa), commercialized by Johnson &amp; Johnson in the United States and Europe, respectively, and Mircera</w:t>
      </w:r>
      <w:r>
        <w:rPr>
          <w:rFonts w:ascii="Arial" w:cs="Arial" w:eastAsia="Arial" w:hAnsi="Arial"/>
          <w:sz w:val="13"/>
          <w:szCs w:val="13"/>
          <w:color w:val="auto"/>
        </w:rPr>
        <w:t>®</w:t>
      </w:r>
      <w:r>
        <w:rPr>
          <w:rFonts w:ascii="Arial" w:cs="Arial" w:eastAsia="Arial" w:hAnsi="Arial"/>
          <w:sz w:val="16"/>
          <w:szCs w:val="16"/>
          <w:color w:val="auto"/>
        </w:rPr>
        <w:t xml:space="preserve"> (methoxy PEG-epoetin beta), commercialized by Vifor Pharma in the United States and Roche Holding Ltd. outside the United States. We may also face competition from potential new anemia therapies. There are several other HIF-PHI product candidates in various stages of active development for anemia indications that may be in direct competition with vadadustat if and when they are approved and launched commercially. These candidates are being developed by such companies as FibroGen, Japan Tobacco International, GlaxoSmithKline plc and Bayer HealthCare AG. FibroGen, together with its collaboration partners, Astellas Pharma Inc. and AstraZeneca PLC, is currently in global Phase 3 clinical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100"/>
        <w:spacing w:after="0" w:line="255" w:lineRule="auto"/>
        <w:rPr>
          <w:sz w:val="20"/>
          <w:szCs w:val="20"/>
          <w:color w:val="auto"/>
        </w:rPr>
      </w:pPr>
      <w:r>
        <w:rPr>
          <w:rFonts w:ascii="Arial" w:cs="Arial" w:eastAsia="Arial" w:hAnsi="Arial"/>
          <w:sz w:val="18"/>
          <w:szCs w:val="18"/>
          <w:color w:val="auto"/>
        </w:rPr>
        <w:t>development of its product candidate, roxadustat. GlaxoSmithKline plc is currently in global Phase 3 clinical development of its product candidate, daprodustat. Japan Tobacco International and Bayer HealthCare AG are currently in Phase 3 clinical development of their product candidates in Japan. Some of these product candidates may launch in certain Asian markets as early as 2019. In addition, certain companies are developing potential new therapies for renal-related diseases that could potentially reduce injectable ESA utilization and thus limit the market potential for vadadustat if they are approved and launched commercially. Other new therapies are in development for the treatment of conditions inclusive of renal anemia that may impact the market for anemia-targeted treatment.</w:t>
      </w:r>
    </w:p>
    <w:p>
      <w:pPr>
        <w:spacing w:after="0" w:line="2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biosimilar is a biologic product that is approved based on demonstrating that it is highly similar to an existing, FDA-approved branded biologic product. The patents for the existing, branded biologic product must expire in a given market before biosimilars may enter that market without risk of being sued for patent infringement. In addition, an application for a biosimilar product cannot be approved by the FDA until 12 years after the existing, branded product was approved under a Biologics License Application, or BLA. The patents for epoetin alfa, an injectable ESA, expired in 2004 in the European Union, and the remaining patents expired between 2012 and 2016 in the United States. Because injectable ESAs are biologic products, the introduction of biosimilars into the injectable ESA market in the United States will constitute additional competition for vadadustat if we are able to obtain approval for and commercially launch our product. Several biosimilar versions of injectable ESAs are available for sale in the European Union. In the United States, Pfizer’s biosimilar version of injectable ESAs, Retacrit</w:t>
      </w:r>
      <w:r>
        <w:rPr>
          <w:rFonts w:ascii="Arial" w:cs="Arial" w:eastAsia="Arial" w:hAnsi="Arial"/>
          <w:sz w:val="13"/>
          <w:szCs w:val="13"/>
          <w:color w:val="auto"/>
        </w:rPr>
        <w:t>®</w:t>
      </w:r>
      <w:r>
        <w:rPr>
          <w:rFonts w:ascii="Arial" w:cs="Arial" w:eastAsia="Arial" w:hAnsi="Arial"/>
          <w:sz w:val="16"/>
          <w:szCs w:val="16"/>
          <w:color w:val="auto"/>
        </w:rPr>
        <w:t xml:space="preserve"> (epoetin alfa-epbx), was approved by the FDA in May 2018 and launched in November 2018 by Vifor Pharma.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sales,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requirements, require the expenditure of substantial time and financial resources.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 Products in the United States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United States, the FDA approves and regulates drugs under the Federal Food, Drug, and Cosmetic Act, or FDCA, and implementing regulations. The failure to comply with applicable requirements under the FDCA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 applicant seeking approval to market and distribute a new drug product in the United States must typically undertake the following:</w:t>
      </w:r>
    </w:p>
    <w:p>
      <w:pPr>
        <w:spacing w:after="0" w:line="117" w:lineRule="exact"/>
        <w:rPr>
          <w:sz w:val="20"/>
          <w:szCs w:val="20"/>
          <w:color w:val="auto"/>
        </w:rPr>
      </w:pPr>
    </w:p>
    <w:p>
      <w:pPr>
        <w:ind w:left="1040" w:right="1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 and consistent with International Council for Harmonisation of Technical Requirements for Pharmaceuticals for Human Use, or ICH, requirements;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IND, which must be reviewed and active by the FDA before human clinical trials may begin;</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by an independent local or central institutional review board, or IRB, representing each clinical site before each clinical trial may be initiated;</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product candidate for each indication;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preparation and submission to the FDA of a new drug application, or NDA, requesting marketing for one or more proposed indications;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17" w:lineRule="exact"/>
        <w:rPr>
          <w:rFonts w:ascii="Arial" w:cs="Arial" w:eastAsia="Arial" w:hAnsi="Arial"/>
          <w:sz w:val="18"/>
          <w:szCs w:val="18"/>
          <w:color w:val="auto"/>
        </w:rPr>
      </w:pPr>
    </w:p>
    <w:p>
      <w:pPr>
        <w:ind w:left="1040" w:right="160" w:hanging="519"/>
        <w:spacing w:after="0" w:line="28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candidate, or components thereof, are produced to assess compliance with current Good Manufacturing Practices, or cGMP, requirements and to assure that the facilities, methods and controls are adequate to preserve the product candidate’s identity, strength, quality and purity;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1040" w:right="140" w:hanging="519"/>
        <w:spacing w:after="0" w:line="28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satisfactory completion of FDA audits of clinical trial sites and records to assure compliance with GCPs and good practices, or GxPs, the integrity of the clinical data and that adequate controls and oversight are in place regarding manufacturing, clinical trials, pharmacovigilance, safety, data management, vendor oversight, collection and reporting of serious adverse events and other activities;</w:t>
      </w:r>
    </w:p>
    <w:p>
      <w:pPr>
        <w:spacing w:after="0" w:line="57" w:lineRule="exact"/>
        <w:rPr>
          <w:rFonts w:ascii="Arial" w:cs="Arial" w:eastAsia="Arial" w:hAnsi="Arial"/>
          <w:sz w:val="17"/>
          <w:szCs w:val="17"/>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an NDA; and</w:t>
      </w:r>
    </w:p>
    <w:p>
      <w:pPr>
        <w:spacing w:after="0" w:line="117" w:lineRule="exact"/>
        <w:rPr>
          <w:rFonts w:ascii="Arial" w:cs="Arial" w:eastAsia="Arial" w:hAnsi="Arial"/>
          <w:sz w:val="18"/>
          <w:szCs w:val="18"/>
          <w:color w:val="auto"/>
        </w:rPr>
      </w:pPr>
    </w:p>
    <w:p>
      <w:pPr>
        <w:ind w:left="1040" w:right="10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compliance with any post-approval requirements and/or commitments, including the potential requirement to implement a risk evaluation and mitigation strategy, or REMS, and potentially post-market requirement, or PMR, and commitment, or PMC, studies.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Before an applicant begins testing a compound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in vitro and animal studies to assess the safety and activity of the product candidate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studies, among other things, are submitted to the FDA as part of an IND. Some long-term preclinical testing, such as animal tests of reproductive adverse events and carcinogenicity, and long-term toxicity studies, will likely continue after the IND is submitted through the time of the NDA submission.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IND is an exemption from the FDCA that allows an unapproved drug to be shipped through interstate commerce for use in an investigational clinical trial and a request for FDA authorization to administer an investigational drug to humans. Such authorization must be obtained prior to interstate shipment and administration of any new drug that is not the subject of an approved NDA. As a required component of the IND application, applicants must submit a protocol for each clinical trial and any subsequent protocol amendments.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submission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or require that the sponsor amend the clinical protocol to include additional safety measurements. In this case, the IND sponsor and the FDA must resolve any outstanding concerns before clinical trials can begin (or resume if the clinical trial had been ongoing at the time a clinical hold was imposed).</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 Clinical holds are imposed by the FDA whenever there is concern for patient safety and may be a result of new data, findings, or developments in clinical, nonclinical, and/or chemistry, manufacturing, and controls, or CMC.</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trial complies with certain FDA regulatory requirements in order to use the trial as support for an IND or application for marketing approval. These requirements to protect the rights, welfare, and safety of patients are also stipulated in applicable ICH guidance.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a continuing review and reapprove the trial at least annually. The IRB must review and approve, among other things, the trial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Additionally, some clinical trials are overseen by an independent group of qualified experts organized by the trial sponsor, known as a data monitoring committee, or DMC. DMCs may be charged with monitoring efficacy, safety, and/or study conduct. A DMC provides a recommendation for whether or not a clinical trial should move forward at designated check points based on available data from the trial. A recommendation by a DMC to suspend or terminate development during any phase of clinical trials can occur if it is determined that the participants or patients are being exposed to an unacceptable health risk.</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website, https://clinicaltrials.gov/.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candidate or otherwise compromise the potential development of the product candidate.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13, 2016, the 21st Century Cures Act, or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 candidates available to eligible patients as a result of the Right to Try Act, but the manufacturer must develop an internal policy and respond to patient requests according to that policy.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113" w:lineRule="exact"/>
        <w:rPr>
          <w:sz w:val="20"/>
          <w:szCs w:val="20"/>
          <w:color w:val="auto"/>
        </w:rPr>
      </w:pPr>
    </w:p>
    <w:p>
      <w:pPr>
        <w:ind w:left="1040" w:right="20" w:hanging="519"/>
        <w:spacing w:after="0" w:line="289"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Phase 1. </w:t>
      </w:r>
      <w:r>
        <w:rPr>
          <w:rFonts w:ascii="Arial" w:cs="Arial" w:eastAsia="Arial" w:hAnsi="Arial"/>
          <w:sz w:val="17"/>
          <w:szCs w:val="17"/>
          <w:color w:val="auto"/>
        </w:rPr>
        <w:t>The product candidate is initially introduced into a small number of healthy human subjects or, in certain indications such as cancer,</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the target disease or condition (e.g., cancer) and tested for safety, dosage tolerance, absorption, metabolism, distribution, excretion and, if possible, to gain an early indication of its effectiveness and to determine optimal dosage.</w:t>
      </w:r>
    </w:p>
    <w:p>
      <w:pPr>
        <w:spacing w:after="0" w:line="50" w:lineRule="exact"/>
        <w:rPr>
          <w:rFonts w:ascii="Arial" w:cs="Arial" w:eastAsia="Arial" w:hAnsi="Arial"/>
          <w:sz w:val="17"/>
          <w:szCs w:val="17"/>
          <w:color w:val="auto"/>
        </w:rPr>
      </w:pPr>
    </w:p>
    <w:p>
      <w:pPr>
        <w:ind w:left="1040" w:hanging="519"/>
        <w:spacing w:after="0" w:line="347"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Phase 2. </w:t>
      </w:r>
      <w:r>
        <w:rPr>
          <w:rFonts w:ascii="Arial" w:cs="Arial" w:eastAsia="Arial" w:hAnsi="Arial"/>
          <w:sz w:val="16"/>
          <w:szCs w:val="16"/>
          <w:color w:val="auto"/>
        </w:rPr>
        <w:t>The product candidate is administered to a limited patient population to identify possible adverse effects and safety risks, to</w:t>
      </w:r>
      <w:r>
        <w:rPr>
          <w:rFonts w:ascii="Arial" w:cs="Arial" w:eastAsia="Arial" w:hAnsi="Arial"/>
          <w:sz w:val="16"/>
          <w:szCs w:val="16"/>
          <w:b w:val="1"/>
          <w:bCs w:val="1"/>
          <w:color w:val="auto"/>
        </w:rPr>
        <w:t xml:space="preserve"> </w:t>
      </w:r>
      <w:r>
        <w:rPr>
          <w:rFonts w:ascii="Arial" w:cs="Arial" w:eastAsia="Arial" w:hAnsi="Arial"/>
          <w:sz w:val="16"/>
          <w:szCs w:val="16"/>
          <w:color w:val="auto"/>
        </w:rPr>
        <w:t>preliminarily evaluate the efficacy of the product candidate for specific targeted diseases and to determine dosage tolerance and optimal dosage.</w:t>
      </w:r>
    </w:p>
    <w:p>
      <w:pPr>
        <w:spacing w:after="0" w:line="8" w:lineRule="exact"/>
        <w:rPr>
          <w:rFonts w:ascii="Arial" w:cs="Arial" w:eastAsia="Arial" w:hAnsi="Arial"/>
          <w:sz w:val="16"/>
          <w:szCs w:val="16"/>
          <w:color w:val="auto"/>
        </w:rPr>
      </w:pPr>
    </w:p>
    <w:p>
      <w:pPr>
        <w:ind w:left="1040" w:right="160" w:hanging="519"/>
        <w:spacing w:after="0" w:line="298"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Phase 3. </w:t>
      </w:r>
      <w:r>
        <w:rPr>
          <w:rFonts w:ascii="Arial" w:cs="Arial" w:eastAsia="Arial" w:hAnsi="Arial"/>
          <w:sz w:val="16"/>
          <w:szCs w:val="16"/>
          <w:color w:val="auto"/>
        </w:rPr>
        <w:t>These clinical trials are commonly referred to as “pivotal” studies, which denote a study that presents the data that the FDA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candidate for approval, identify adverse effects, establish the overall risk-benefit profile of the product candidate and to provide adequate information for the labeling of the product candidate.</w:t>
      </w:r>
    </w:p>
    <w:p>
      <w:pPr>
        <w:spacing w:after="0" w:line="46" w:lineRule="exact"/>
        <w:rPr>
          <w:rFonts w:ascii="Arial" w:cs="Arial" w:eastAsia="Arial" w:hAnsi="Arial"/>
          <w:sz w:val="16"/>
          <w:szCs w:val="16"/>
          <w:color w:val="auto"/>
        </w:rPr>
      </w:pPr>
    </w:p>
    <w:p>
      <w:pPr>
        <w:ind w:left="1040" w:hanging="519"/>
        <w:spacing w:after="0" w:line="282"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Phase 4. </w:t>
      </w:r>
      <w:r>
        <w:rPr>
          <w:rFonts w:ascii="Arial" w:cs="Arial" w:eastAsia="Arial" w:hAnsi="Arial"/>
          <w:sz w:val="18"/>
          <w:szCs w:val="18"/>
          <w:color w:val="auto"/>
        </w:rPr>
        <w:t>Post-approval studies may be conducted after initial marketing approval. These studies are used to gain additional experience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patients in the intended therapeutic indication.</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Progress reports detailing the results of the clinical trials conducted under the IND must be submitted at least annually to the FDA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FDA or the sponsor or the data monitoring committee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Pediatric Research Equity Act of 2003, or PREA,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legislation requires the FDA to meet with drug sponsors by no later than the end-of-phase 1 meeting for serious or life-threatening diseases and by no later than ninety (90) days after the FDA’s receipt of the study plan.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by the FDA</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product candidate for one or more indications. Under federal law, the submission of most NDAs is subject to an application user fee, which for federal fiscal year 2019 is $2,588,478 for an application requiring clinical data. The sponsor of an approved NDA is also subject to an annual program fee, which for fiscal year 2019 is $309,915. Certain exceptions and waivers are available for some of these fees, such as an exception from the application fee for product candidates with orphan designation and a waiver for certain small businesses.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8" w:name="page29"/>
    <w:bookmarkEnd w:id="28"/>
    <w:p>
      <w:pPr>
        <w:ind w:right="20"/>
        <w:spacing w:after="0" w:line="270" w:lineRule="auto"/>
        <w:rPr>
          <w:sz w:val="20"/>
          <w:szCs w:val="20"/>
          <w:color w:val="auto"/>
        </w:rPr>
      </w:pPr>
      <w:r>
        <w:rPr>
          <w:rFonts w:ascii="Arial" w:cs="Arial" w:eastAsia="Arial" w:hAnsi="Arial"/>
          <w:sz w:val="17"/>
          <w:szCs w:val="17"/>
          <w:color w:val="auto"/>
        </w:rPr>
        <w:t>The FDA conducts a preliminary review of an NDA within 60 days of its receipt and strives to inform the sponsor by the 74th day after the FDA’s receipt of the submission to determine whether the application is sufficiently complete to permit substantive review. This is known as the filing decision.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certain performance goals in the review process of NDAs. Most such applications are meant to be reviewed within ten months from the date of filing, and most applications for “priority review” products are meant to be reviewed within six months of filing. A product that has been designated as a breakthrough therapy may also be eligible for review within six months if supported by clinical data at the time of submission of the NDA. The review process may be extended by the FDA for three additional months to consider new information or clarification provided by the applicant to address an outstanding deficiency identified by the FDA following the original submission.</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control testing laboratories, as well as packaging and labeling facilities.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The applicant of the NDA may also have their records, processes, procedures, training, and other aspects reviewed during an inspection. The FDA must implement a protocol to expedite review of responses to inspection reports pertaining to certain drug applications, including applications for drugs in a shortage or drugs for which approval is dependent on remediation of conditions identified in the inspection report.</w:t>
      </w:r>
    </w:p>
    <w:p>
      <w:pPr>
        <w:spacing w:after="0" w:line="16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Finally, 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drugs,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NDA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Second, in 2012, Congress enacted the Food and Drug Administration Safety and Improvement Act. This law established a new regulatory scheme allowing for expedited review of products designated as “breakthrough therapies.” A product may be designated as a breakthrough therapy if it is intended, either alone or in combination with one or more other drugs,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20"/>
        <w:spacing w:after="0" w:line="291" w:lineRule="auto"/>
        <w:rPr>
          <w:sz w:val="20"/>
          <w:szCs w:val="20"/>
          <w:color w:val="auto"/>
        </w:rPr>
      </w:pPr>
      <w:r>
        <w:rPr>
          <w:rFonts w:ascii="Arial" w:cs="Arial" w:eastAsia="Arial" w:hAnsi="Arial"/>
          <w:sz w:val="16"/>
          <w:szCs w:val="16"/>
          <w:color w:val="auto"/>
        </w:rPr>
        <w:t>Third, the FDA may designate a product for priority review if it is a drug that treats a serious condition and, if approved, would provide a significant improvement in safety or effectiveness. The FDA determines, on a case-by-case basis, whether the proposed drug represents a significant improvement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review clock goal for taking action on a marketing application from ten months to six months. For new chemical entities, or NCEs, the review clock starts after the NDA is filed with a total clock of twelve and eight months,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analyses, or information in order for the FDA to reconsider the application. This may include the requirement to conduct another clinical study or studies.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 and Commitments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conditions of NDA approval may include sponsor agreement to PMR or PMC studies, which are designed to further assess drug safety and effectiveness and may require testing and surveillance programs to monitor the safety of approved products that have been commercialized. These may include additional studies, registries, data collection, analyses, and/or information.</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80"/>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0" w:lineRule="exact"/>
        <w:rPr>
          <w:sz w:val="20"/>
          <w:szCs w:val="20"/>
          <w:color w:val="auto"/>
        </w:rPr>
      </w:pPr>
    </w:p>
    <w:p>
      <w:pPr>
        <w:ind w:left="1040" w:right="4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or complete withdrawal of the product from the market or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product candidate’s safety or effectiveness are prohibited before the product candidate is approved. After approval, a drug product generally may not be promoted for uses that are not approved by the FDA or in a manner that is inconsistent with the product’s prescribing information. 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truthful and non-misleading communication regarding off-label information, such as distributing scientific or medical journal information. In addition, companies may also promote information that it consistent with the prescribing information and have the ability to proactively speak to formulary committee members of payors regarding data for an unapproved drug or unapproved uses of an approved drug under some relatively recent guidance from the FDA. However,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the distribution of prescription pharmaceutical products and drug samples are subject to the Prescription Drug Marketing Act, or PDMA, and its implementing regulations, as well as the Drug Supply Chain Security Act, or DSCA, which regulate the distribution and tracing of prescription drugs and prescription drug samples at the federal level and set minimum standards for the regulation of drug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ind w:right="60"/>
        <w:spacing w:after="0" w:line="290"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FDA to expedite review of ‘‘competitor generic therapies’’ or drugs with inadequate generic competition, including holding meetings with or providing advice to the drug sponsor prior to submission of the application.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ind w:right="20"/>
        <w:spacing w:after="0" w:line="276"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an ANDA or 505(b)(2) applicant submitted a paragraph IV patent certification, unless the NDA sponsor or patent owner first obtains a court determination that the patent is valid and infringed by the proposed product.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 Products Outside the United States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 in the European Union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Requirements for the conduct of clinical trials in the European Union including GCP are set forth in the Clinical Trials Directive 2001/20/EC, or the Clinical Trials Directive, and the GCP Directive 2005/28/EC, or the GCP Directive. Pursuant to the Clinical Trials Directive and the GCP Directive 2005/28/EC, as amended, a system for the approval of clinical trials in the European Union has been implemented through national legislation of the EU member states. Under this system, approval must be obtained from the competent national authority of each EU member state in which a study is planned to be conducted. To this end, a clinical trial application, or CTA, is submitted to the local competent authority in each country (or member state) where the clinical trial is being conducted, which must be supported by an investigational medicinal product dossier, or IMPD, and further supporting information prescribed by Clinical Trials Directive and the GCP Directive and other applicable guidance documents. These documents may be amended and/or updated by the EC at any time. Furthermore, a clinical trial may only be started after a competent ethics committee has issued a favorable opinion on the clinical trial application in that country.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80"/>
        <w:spacing w:after="0" w:line="291" w:lineRule="auto"/>
        <w:rPr>
          <w:sz w:val="20"/>
          <w:szCs w:val="20"/>
          <w:color w:val="auto"/>
        </w:rPr>
      </w:pPr>
      <w:r>
        <w:rPr>
          <w:rFonts w:ascii="Arial" w:cs="Arial" w:eastAsia="Arial" w:hAnsi="Arial"/>
          <w:sz w:val="16"/>
          <w:szCs w:val="16"/>
          <w:color w:val="auto"/>
        </w:rPr>
        <w:t>In April 2014, the EU passed the new Clinical Trials Regulation (EU) No 536/2014, or the new Clinical Trials Regulation, which is set to replace the current Clinical Trials Directive. To ensure that the rules for clinical trials are identical throughout the European Union, the new EU clinical trials legislation was passed as a regulation that is directly applicable in all EU member states. All clinical trials performed in the European Union are required to be conducted in accordance with the Clinical Trials Directive until the new Clinical Trials Regulation becomes applicable. According to the current plans of the European Medicines Agency, or EMA, the new Clinical Trials Regulation is expected to become applicable in 2019. The Clinical Trials Directive will, however, still apply three years from the date of entry into application of the new Clinical Trials Regulation to (i) clinical trials applications submitted before the entry into application and (ii) clinical trials applications submitted within one year after the entry into application if the sponsor opts for old system.</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new Clinical Trials Regulation aims to simplify and streamline the approval of clinical trial in the European Union. The main characteristics of the regulation include: a streamlined application procedure via a single entry point, the EU portal; a single set of documents to be prepared and submitted for the application as well as simplified reporting procedures that will spare sponsors from submitting broadly identical information separately to various bodies and different member states; a harmonized procedure for the assessment of applications for clinical trials, which is divided in two parts (Part I is assessed jointly by all member states concerned, and Part II is assessed separately by each member state concerned); strictly defined deadlines for the assessment of clinical trial applications; and the involvement of the ethics committees in the assessment procedure in accordance with the national law of the member state concerned but within the overall timelines defined by the Clinical Trials Regulation.</w:t>
      </w:r>
    </w:p>
    <w:p>
      <w:pPr>
        <w:spacing w:after="0" w:line="178" w:lineRule="exact"/>
        <w:rPr>
          <w:sz w:val="20"/>
          <w:szCs w:val="20"/>
          <w:color w:val="auto"/>
        </w:rPr>
      </w:pPr>
    </w:p>
    <w:p>
      <w:pPr>
        <w:ind w:right="1580"/>
        <w:spacing w:after="0" w:line="277" w:lineRule="auto"/>
        <w:rPr>
          <w:sz w:val="20"/>
          <w:szCs w:val="20"/>
          <w:color w:val="auto"/>
        </w:rPr>
      </w:pPr>
      <w:r>
        <w:rPr>
          <w:rFonts w:ascii="Arial" w:cs="Arial" w:eastAsia="Arial" w:hAnsi="Arial"/>
          <w:sz w:val="18"/>
          <w:szCs w:val="18"/>
          <w:color w:val="auto"/>
        </w:rPr>
        <w:t>As in the United States, there are similar requirements in the European Union for posting clinical trial information online at the website, https://eudract.ema.europa.eu/, and in other countries as well.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European Union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2016, the EMA launched an initiative, the PRIority MEdicines, or PRIME, scheme, to facilitate development of product candidates in indications, often rare, for which few or no therapies currently exist. The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To obtain marketing approval of a product under EU regulatory systems, an applicant must submit a marketing authorization application, or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4" w:name="page35"/>
    <w:bookmarkEnd w:id="34"/>
    <w:p>
      <w:pPr>
        <w:ind w:right="60"/>
        <w:spacing w:after="0" w:line="291" w:lineRule="auto"/>
        <w:rPr>
          <w:sz w:val="20"/>
          <w:szCs w:val="20"/>
          <w:color w:val="auto"/>
        </w:rPr>
      </w:pPr>
      <w:r>
        <w:rPr>
          <w:rFonts w:ascii="Arial" w:cs="Arial" w:eastAsia="Arial" w:hAnsi="Arial"/>
          <w:sz w:val="16"/>
          <w:szCs w:val="16"/>
          <w:color w:val="auto"/>
        </w:rPr>
        <w:t>The decentralized procedure is available to applicants who wish to market a product in various EU member states where such product has not received marketing approval in any EU member state before.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6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Within this framework, manufacturers may seek approval of hybrid medicinal products under Article 10(3) of Directive 2001/83/EC. Hybrid applications rely, in part, on information and data from a reference product and new data from appropriate pre-clinical tests and clinical trials. Such applications are necessary when the proposed product does not meet the strict definition of a generic medicinal product, or bioavailability studies cannot be used to demonstrate bioequivalence, or there are changes in the active substance(s), therapeutic indications, strength, pharmaceutical form or route of administration of the generic product compared to the reference medicinal product. In such cases the results of tests and trials must be consistent with the data content standards required in the Annex to the Directive 2001/83/EC, as amended by Directive 2003/63/EC.</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Hybrid medicinal product applications have automatic access to the centralized procedure when the reference product was authorized for marketing via that procedure. Where the reference product was authorized via the decentralized procedure, a hybrid application may be accepted for consideration under the centralized procedure if the applicant shows that the medicinal product constitutes a significant therapeutic, scientific or technical innovation, or the granting of a community authorization for the medicinal product is in the interest of patients at the community level.</w:t>
      </w:r>
    </w:p>
    <w:p>
      <w:pPr>
        <w:spacing w:after="0" w:line="17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 marketing authorization may be granted only to an applicant established in the European Union. Regulation (EC) No. 1901/2006, or Pediatric Regulation, provides that prior to obtaining a marketing authorization in the European Union, an applicant must demonstrate compliance with all measures included in a Pediatric Investigation Plan, or PIP, approved by the Pediatric Committee of the EMA, or PDCO, covering all subsets of the pediatric population, unless the EMA has granted a product-specific waiver, class waiver, or a deferral for one or more of the measures included in the PIP.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 in the European Union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 marketing authorization is valid for five years, in principle, and it may be renewed after five years on the basis of a reevaluation of the risk-benefit balance by the EMA or by the competent authority of the relevant EU member state. To that end, the marketing authorization holder must provide the EMA or the relevant competent authority of the EU member state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 market (in the case of the centralized procedure) or on the market of the EU member state which delivered the marketing authorization within three years after authorization ceases to be valid.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Exclusivity in the European Union</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European Union, innovative medicinal products authorized in the European Union on the basis of a full marketing authorization application (as opposed to an application for marketing authorization that relies on data available in the marketing authorization dossier for another, previously approved, medicinal product) are entitled to eight years of data exclusivity. During this period, applicants for authorization of generics of these innovative products cannot rely on data contained in the marketing authorization dossier submitted for the innovative medicinal product. Innovative medicinal products are also entitled to ten years’ market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line="273" w:lineRule="auto"/>
        <w:rPr>
          <w:sz w:val="20"/>
          <w:szCs w:val="20"/>
          <w:color w:val="auto"/>
        </w:rPr>
      </w:pPr>
      <w:r>
        <w:rPr>
          <w:rFonts w:ascii="Arial" w:cs="Arial" w:eastAsia="Arial" w:hAnsi="Arial"/>
          <w:sz w:val="17"/>
          <w:szCs w:val="17"/>
          <w:color w:val="auto"/>
        </w:rPr>
        <w:t>exclusivity. During this ten-year period no generic of this medicinal product can be placed on the EU market.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Prior to obtaining a marketing authorization in the European Union, applicants must demonstrate compliance with all measures included in an EMA</w:t>
      </w:r>
      <w:r>
        <w:rPr>
          <w:rFonts w:ascii="MS PGothic" w:cs="MS PGothic" w:eastAsia="MS PGothic" w:hAnsi="MS PGothic"/>
          <w:sz w:val="17"/>
          <w:szCs w:val="17"/>
          <w:color w:val="auto"/>
        </w:rPr>
        <w:t>‑</w:t>
      </w:r>
      <w:r>
        <w:rPr>
          <w:rFonts w:ascii="Arial" w:cs="Arial" w:eastAsia="Arial" w:hAnsi="Arial"/>
          <w:sz w:val="17"/>
          <w:szCs w:val="17"/>
          <w:color w:val="auto"/>
        </w:rPr>
        <w:t>approved PIP covering all subsets of the pediatric population, unless the EMA has granted a product</w:t>
      </w:r>
      <w:r>
        <w:rPr>
          <w:rFonts w:ascii="MS PGothic" w:cs="MS PGothic" w:eastAsia="MS PGothic" w:hAnsi="MS PGothic"/>
          <w:sz w:val="17"/>
          <w:szCs w:val="17"/>
          <w:color w:val="auto"/>
        </w:rPr>
        <w:t>‑</w:t>
      </w:r>
      <w:r>
        <w:rPr>
          <w:rFonts w:ascii="Arial" w:cs="Arial" w:eastAsia="Arial" w:hAnsi="Arial"/>
          <w:sz w:val="17"/>
          <w:szCs w:val="17"/>
          <w:color w:val="auto"/>
        </w:rPr>
        <w:t>specific waiver, a class waiver, or a deferral for one or more of the measures included in the PIP. The respective requirements for all marketing authorization procedures are set forth in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 month period of qualifying patent protection through extension of the term of the Supplementary Protection Certificate.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June 23, 2016, the electorate in the United Kingdom (U.K.) voted in favor of leaving the European Union (commonly referred to as “Brexit”). Thereafter, on March 29, 2017, the country formally notified the European Union of its intention to withdraw pursuant to Article 50 of the Lisbon Treaty. The United Kingdom has a period of a maximum of two years from the date of its formal notification to negotiate the terms of its withdrawal from, and future relationship with, the European Union. If no formal withdrawal agreement is reached between the United Kingdom and the European Union, then it is expected the United Kingdom's membership of the European Union will automatically terminate two years after the submission of the notification of the United Kingdom's intention to withdraw from the European Union. Discussions between the United Kingdom and the European Union focused on finalizing withdrawal issues and transition agreements are ongoing. However, limited progress to date in these negotiations and ongoing uncertainty within the UK Government and Parliament sustains the possibility of the United Kingdom leaving the European Union on March 29, 2019 without a withdrawal agreement and associated transition period in place, which is likely to cause significant market and economic disruption.</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Since the regulatory framework for pharmaceutical products in the U.K.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U.K. It remains to be seen how, if at all, Brexit will impact regulatory requirements for product candidates and products in the U.K.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drug product does not assure that other payors will also provide coverage and reimbursement for the product, and the level of coverage and reimbursement can differ significantly from payor to payor.</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or Administration, have each indicated that it will continue to seek new legislative and/or administrative measures to control drug costs. For example, on May 11, 2018, the Administration issued a plan to lower drug prices. Under this blueprint for action, the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It is expected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7" w:name="page38"/>
    <w:bookmarkEnd w:id="37"/>
    <w:p>
      <w:pPr>
        <w:ind w:right="100"/>
        <w:spacing w:after="0" w:line="259" w:lineRule="auto"/>
        <w:rPr>
          <w:sz w:val="20"/>
          <w:szCs w:val="20"/>
          <w:color w:val="auto"/>
        </w:rPr>
      </w:pPr>
      <w:r>
        <w:rPr>
          <w:rFonts w:ascii="Arial" w:cs="Arial" w:eastAsia="Arial" w:hAnsi="Arial"/>
          <w:sz w:val="18"/>
          <w:szCs w:val="18"/>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drugs,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reporting of payments to physicians, teaching hospitals and other healthcare providers, patient privacy laws and regulations, and other healthcare laws and regulations that may constrain business and/or financial arrangements. Restrictions under applicable federal and state healthcare laws and regulations include the following:</w:t>
      </w:r>
    </w:p>
    <w:p>
      <w:pPr>
        <w:spacing w:after="0" w:line="80" w:lineRule="exact"/>
        <w:rPr>
          <w:sz w:val="20"/>
          <w:szCs w:val="20"/>
          <w:color w:val="auto"/>
        </w:rPr>
      </w:pPr>
    </w:p>
    <w:p>
      <w:pPr>
        <w:ind w:left="1040" w:right="2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1040" w:right="20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73" w:lineRule="exact"/>
        <w:rPr>
          <w:rFonts w:ascii="Arial" w:cs="Arial" w:eastAsia="Arial" w:hAnsi="Arial"/>
          <w:sz w:val="18"/>
          <w:szCs w:val="18"/>
          <w:color w:val="auto"/>
        </w:rPr>
      </w:pPr>
    </w:p>
    <w:p>
      <w:pPr>
        <w:ind w:left="1040" w:right="240" w:hanging="519"/>
        <w:spacing w:after="0" w:line="286"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57"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62" w:lineRule="exact"/>
        <w:rPr>
          <w:rFonts w:ascii="Arial" w:cs="Arial" w:eastAsia="Arial" w:hAnsi="Arial"/>
          <w:sz w:val="18"/>
          <w:szCs w:val="18"/>
          <w:color w:val="auto"/>
        </w:rPr>
      </w:pPr>
    </w:p>
    <w:p>
      <w:pPr>
        <w:ind w:left="1040" w:right="10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left="1040" w:right="100" w:hanging="519"/>
        <w:spacing w:after="0" w:line="25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(renamed the Open Payments Act), under the Patient Protection and Affordable Care Act, as amended by the Health Care Education Reconciliation Act, or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85" w:lineRule="exact"/>
        <w:rPr>
          <w:rFonts w:ascii="Arial" w:cs="Arial" w:eastAsia="Arial" w:hAnsi="Arial"/>
          <w:sz w:val="18"/>
          <w:szCs w:val="18"/>
          <w:color w:val="auto"/>
        </w:rPr>
      </w:pPr>
    </w:p>
    <w:p>
      <w:pPr>
        <w:ind w:left="1040" w:right="46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PDMA and its implementation regulations, as well as the DSCA, which regulate the distribution and tracing of prescription drugs and prescription drug samples at the federal level, and set minimum standards for the regulation of drug distributors by the states; and</w:t>
      </w:r>
    </w:p>
    <w:p>
      <w:pPr>
        <w:spacing w:after="0" w:line="15" w:lineRule="exact"/>
        <w:rPr>
          <w:rFonts w:ascii="Arial" w:cs="Arial" w:eastAsia="Arial" w:hAnsi="Arial"/>
          <w:sz w:val="16"/>
          <w:szCs w:val="16"/>
          <w:color w:val="auto"/>
        </w:rPr>
      </w:pPr>
    </w:p>
    <w:p>
      <w:pPr>
        <w:ind w:left="1040" w:right="20" w:hanging="519"/>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third-party payors, including private insurers, and state gift ban and disclosure law requirements that differ from the federal Physician Payments Sunshine Act in terms of the nature and type of transfers of value that are reportable and the types of covered recipients.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such as the Pharmaceutical Research and Manufacturers of America Code on Interactions with Health Care Professionals, known as the PhRMA Code. State and foreign laws also govern the privacy and security of health information in some circumstances, many of which differ from each other in significant ways and often are not preempted by HIPAA, thus complicating compliance efforts.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By way of example, the United States and state governments continue to propose and pass legislation designed to reduce the cost of healthcare.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right="180"/>
        <w:spacing w:after="0" w:line="277" w:lineRule="auto"/>
        <w:rPr>
          <w:sz w:val="20"/>
          <w:szCs w:val="20"/>
          <w:color w:val="auto"/>
        </w:rPr>
      </w:pPr>
      <w:r>
        <w:rPr>
          <w:rFonts w:ascii="Arial" w:cs="Arial" w:eastAsia="Arial" w:hAnsi="Arial"/>
          <w:sz w:val="18"/>
          <w:szCs w:val="18"/>
          <w:color w:val="auto"/>
        </w:rPr>
        <w:t>In March 2010, the United States Congress enacted the ACA, which, among other things, includes changes to the coverage and payment for products under government health care programs. Among the provisions of the ACA of importance to our potential drug candidates are:</w:t>
      </w:r>
    </w:p>
    <w:p>
      <w:pPr>
        <w:spacing w:after="0" w:line="62" w:lineRule="exact"/>
        <w:rPr>
          <w:sz w:val="20"/>
          <w:szCs w:val="20"/>
          <w:color w:val="auto"/>
        </w:rPr>
      </w:pPr>
    </w:p>
    <w:p>
      <w:pPr>
        <w:ind w:left="1040" w:right="10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73"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5" w:lineRule="exact"/>
        <w:rPr>
          <w:rFonts w:ascii="Arial" w:cs="Arial" w:eastAsia="Arial" w:hAnsi="Arial"/>
          <w:sz w:val="16"/>
          <w:szCs w:val="16"/>
          <w:color w:val="auto"/>
        </w:rPr>
      </w:pPr>
    </w:p>
    <w:p>
      <w:pPr>
        <w:ind w:left="1040" w:right="300" w:hanging="519"/>
        <w:spacing w:after="0" w:line="31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38" w:lineRule="exact"/>
        <w:rPr>
          <w:rFonts w:ascii="Arial" w:cs="Arial" w:eastAsia="Arial" w:hAnsi="Arial"/>
          <w:sz w:val="16"/>
          <w:szCs w:val="16"/>
          <w:color w:val="auto"/>
        </w:rPr>
      </w:pPr>
    </w:p>
    <w:p>
      <w:pPr>
        <w:ind w:left="1040" w:right="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17"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40" w:right="320" w:hanging="519"/>
        <w:spacing w:after="0" w:line="279"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Independent Payment Advisory Board, or IPAB, which has authority to recommend certain changes to the Medicare program to reduce expenditures by the program that could result in reduced payments for prescription drugs. However, the IPAB implementation has been not been clearly defined. The Affordable Care Act provided that under certain circumstances, IPAB recommendations will become law unless Congress enacts legislation that will achieve the same or greater Medicare cost savings; and</w:t>
      </w:r>
    </w:p>
    <w:p>
      <w:pPr>
        <w:spacing w:after="0" w:line="63" w:lineRule="exact"/>
        <w:rPr>
          <w:rFonts w:ascii="Arial" w:cs="Arial" w:eastAsia="Arial" w:hAnsi="Arial"/>
          <w:sz w:val="17"/>
          <w:szCs w:val="17"/>
          <w:color w:val="auto"/>
        </w:rPr>
      </w:pPr>
    </w:p>
    <w:p>
      <w:pPr>
        <w:ind w:left="1040" w:right="22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from 2011 to 2019.</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These changes include the Budget Control Act of 2011, which, among other things, led to aggregate reductions to Medicare payments to providers of up to 2% per fiscal year that started in 2013 and will stay in effect through 2024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is no longer effective in</w:t>
      </w:r>
    </w:p>
    <w:p>
      <w:pPr>
        <w:ind w:right="20"/>
        <w:spacing w:after="0" w:line="252" w:lineRule="auto"/>
        <w:rPr>
          <w:sz w:val="20"/>
          <w:szCs w:val="20"/>
          <w:color w:val="auto"/>
        </w:rPr>
      </w:pPr>
      <w:r>
        <w:rPr>
          <w:rFonts w:ascii="Arial" w:cs="Arial" w:eastAsia="Arial" w:hAnsi="Arial"/>
          <w:sz w:val="18"/>
          <w:szCs w:val="18"/>
          <w:color w:val="auto"/>
        </w:rPr>
        <w:t>2019. According to the Congressional Budget Office, the repeal of the individual mandate will cause 13 million fewer Americans to be insured by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will likely consider other legislation to replace elements of the ACA during the next Congressional session.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0" w:name="page41"/>
    <w:bookmarkEnd w:id="40"/>
    <w:p>
      <w:pPr>
        <w:spacing w:after="0" w:line="269"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Relating to Foreign Trade</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are subject to various federal and foreign laws that govern our international business practices. These laws include the FCPA which prohibits U.S. companies and their representatives from paying, offering to pay, promising, or authorizing the payment of anything of value to any foreign government official, government staff member, political party, or political candidate for the purposes of obtaining or retaining business, or to otherwise obtain favorable treatment or influence a person working in an official capacity. In many countries, the health care professionals we regularly interact with may meet the FCPA’s definition of a foreign government official. Additionally, interactions with or on the part of our partners, collaborators, contract research organizations, vendors or other agents may also implicate the FCPA. The FCPA also requires public companies to make and keep books and records that accurately and fairly reflect their transactions and to devise and maintain an adequate system of internal accounting controls. Compliance with the FCPA is expensive and difficult, particularly in countries in which corruption is a recognized problem. In addition, the FCPA presents unique challenges in the pharmaceutical industry because, in many countries, hospitals are operated by the government, and doctors and other hospital employees are considered foreign officials. Certain payments made by pharmaceutical companies to hospitals in connection with clinical trials and other work have been deemed to be improper payments to government officials and have led to FCPA enforcement actions.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international operations could also be subject to compliance with national laws of other countries, such as the United Kingdom Bribery Act. of 2010, or U.K. Bribery Act. The U.K. Bribery Act applies to any company “carrying on business” in the United Kingdom, irrespective of where the offending conduct occurs. The U.K. Bribery Act applies to bribery activities both in the public and private sector and prohibits the provision of an “advantage” intended to induce or reward “improper performance” of the recipient’s function. The failure by a company to prevent third parties from providing a bribe on its behalf could also constitute an offense. Penalties under the U.K. Bribery Act include potentially unlimited fines for companies and criminal sanctions for corporate officers under certain circumstances.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There are local antibribery and anticorruption laws in countries where we are conducting clinical trials, such as Brazil and Russia, and many of these also carry the risk of significant financial or criminal penalties. Our clinical trial operations could also result in enforcement actions by U.S., U.K., or other governmental authorities. There are also trade laws within the United States and in other regions that regulate the sale, purchase, import, export, reexport, transfer and shipment of goods, currency, products, materials, services and technology. Violations of these laws can lead to serious consequences, including substantial fines.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we had 325 employees, 324 of whom were full-time. None of our employees is represented by any collective bargaining unit. We believe that we maintain good relations with our employees.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principal executive offices are located at 245 First Street, Cambridge, Massachusetts 02142. Our telephone number is (617) 871-2098. Our website address is www.akebia.com. The information on our website or that may be accessed by links on our website is not incorporated by reference into this Form 10-K. We make available, free of charge and through our website, our Annual Reports on Form 10-K, Quarterly Reports on Form 10-Q, Current Reports on Form 8-K, and any amendments to any such reports filed or furnished pursuant to Section 13(a) or 15(d) of the Securities Exchange Act of 1934, as amended, as soon as reasonably practicable after they are electronically filed with or furnished to the U.S. Securities and Exchange Commission.</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65" w:right="379" w:bottom="1440" w:gutter="0" w:footer="0" w:header="0"/>
        </w:sectPr>
      </w:pPr>
    </w:p>
    <w:bookmarkStart w:id="42" w:name="page43"/>
    <w:bookmarkEnd w:id="42"/>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i w:val="1"/>
          <w:iCs w:val="1"/>
          <w:color w:val="auto"/>
        </w:rPr>
        <w:t>We face a variety of risks and uncertainties in our business. Additional risks and uncertainties not presently known to us or that we currently believe to be immaterial may also become important factors that affect our business. If any of the following risks occurs, our business, financial statements and future growth prospects could be materially and adversely affected.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Merger with Keryx</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fail to realize the anticipated benefits of our merger with Keryx, those benefits may take longer to realize than expected, and we may encounter significant integration difficulties and liabilities, which may have a material adverse effect on our business and financial position.</w:t>
      </w:r>
    </w:p>
    <w:p>
      <w:pPr>
        <w:spacing w:after="0" w:line="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12, 2018, we completed a merger, or the Merger, whereby Keryx Biopharmaceuticals, Inc., or Keryx, became a wholly owned subsidiary of ours. There can be no assurance that we will realize the full benefit of the anticipated synergies and cost savings relating to the Merger or that these benefits will be realized within the expected time frames or at all. Our ability to realize the anticipated benefits of the Merger will depend, to a large extent, on our ability to continue to integrate our business and Keryx’s business and realize anticipated growth opportunities and synergies. If we are unable to successfully integrate the businesses, or integrate them in a timely fashion, we may face material adverse effects including, but not limited to (i) diversion of the attention of management and key personnel and potential disruption of our ongoing business, (ii) the loss of employees, (iii) challenges of managing a larger company, including challenges of conforming standards, controls, procedures and accounting and other policies and compensation structures, (iv) difficulties in achieving anticipated cost savings, (v) declines in our results of operations, financial condition or cash flows, (vi) a decline in the market price of our common stock, and (vii) potential liabilities, adverse consequences, increased expenses or other problems associated with our company following completion of the Merger. Many of these factors are outside of our control, and any one of them could result in increased costs, decreased expected revenues and further diversion of management time and energy, which could materially impact our business, financial statements and prospects.</w:t>
      </w:r>
    </w:p>
    <w:p>
      <w:pPr>
        <w:spacing w:after="0" w:line="1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addition, following the Merger, we have become responsible for Keryx’s liabilities and obligations, including with respect to legal, financial, regulatory and compliance matters, including certain post-approval regulatory requirements with respect to Auryxia and Fexeric, and obligations under collaboration, license, supply and manufacturing agreements. These obligations will result in additional cost and investment by us and, if we have underestimated the amount of these costs and investments or if we fail to satisfy any such obligations, we may not realize the anticipated benefits of the transaction. Also, due to the Merger and ongoing integration, we may forego or delay pursuit of other opportunities that may have proven to have greater commercial potential.</w:t>
      </w:r>
    </w:p>
    <w:p>
      <w:pPr>
        <w:spacing w:after="0" w:line="15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Further, it is possible that there may be unknown, contingent or other liabilities or problems that may arise in the future, the existence and/or magnitude of which we were previously unaware. Any such liabilities or problems could have an adverse effect on our business, financial condition or results of operations.</w:t>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Lawsuits have been filed challenging the Merger and additional lawsuits may be filed in the future. Any rescission, monetary damages, or other adverse judgment could have a material adverse effect on us.</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October and November 2018, four purported shareholders of Keryx filed four separate putative class actions against Keryx and the former members of Keryx’s Board of Directors and, with respect to one action, Alpha Therapeutics Merger Sub, Inc. and Akebia, challenging the disclosures made in connection with the Merger. Among other things, the complaints seek rescission of the Merger or rescissory damages; a declaration that that the defendants violated Sections 14(a) and 20(a) of the Securities Exchange Act of 1934, as amended, or the Exchange Act, and Rule 14a-9 thereunder; and an award of plaintiffs’ costs, including reasonable allowance for attorneys’ fees and experts’ fees. In addition, in December 2018, a purported stockholder of Keryx filed a complaint against Keryx pursuant to Section 220 of the Delaware General Corporation Law, which seeks inspection of various Keryx books and records, purportedly to investigate “possible wrongdoing,” in connection with Keryx’s negotiation and approval of the Merger, as well as the independence of former members of Keryx’s Board of Directors (some of whom are current members of our Board of Directors). In addition to the production of books and records, the Section 220 action seeks costs and expenses incurred in the action, including reasonable attorneys’ fees. See Part I, Item 3. Legal Proceedings for further information relating to the lawsuits. Additional lawsuits arising out of the Merger may be filed in the future. We could be forced to expend significant resources in the defense of these lawsuits, including but not limited to, costs associated with the indemnification of Keryx and Akebia directors and officers, and the lawsuits, regardless of outcome, could have a negative effect on our reputation, stock price and results of operations. In addition, rescission of the Merger, monetary damages or other adverse judgment would have a material adverse effect on our business and financial position.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right="160"/>
        <w:spacing w:after="0" w:line="277" w:lineRule="auto"/>
        <w:rPr>
          <w:sz w:val="20"/>
          <w:szCs w:val="20"/>
          <w:color w:val="auto"/>
        </w:rPr>
      </w:pPr>
      <w:r>
        <w:rPr>
          <w:rFonts w:ascii="Arial" w:cs="Arial" w:eastAsia="Arial" w:hAnsi="Arial"/>
          <w:sz w:val="18"/>
          <w:szCs w:val="18"/>
          <w:b w:val="1"/>
          <w:bCs w:val="1"/>
          <w:i w:val="1"/>
          <w:iCs w:val="1"/>
          <w:color w:val="auto"/>
        </w:rPr>
        <w:t>Our financial statements include goodwill and other intangible assets as a result of the Merger. These assets could become impaired in the future under certain conditions.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Accounting standards in the United States require that one party to the Merger be identified as the acquirer. In accordance with these standards, the Merger was accounted for as an acquisition of all outstanding shares of Keryx common stock by us, as the acquirer, and followed the acquisition method of accounting for business combinations. Our assets and liabilities were consolidated with those of Keryx on our financial statements. We measured Keryx’s assets acquired and liabilities assumed by us at their fair values, including net tangible and identifiable intangible assets acquired and liabilities assumed, as of the consummation of the Merger. The excess of the purchase price over the fair value of Keryx’s assets and liabilities was recorded as goodwill. The Merger added approximately $384.7 million of goodwill and definite lived intangible assets to our financial statements. In accordance with generally accepted accounting principles, or GAAP, we will be required at least annually to review the carrying value of our goodwill, and for definite lived intangible assets when indicators of impairment are present, to determine if any adverse conditions exist or a change in circumstances has occurred that would indicate impairment of the value of these assets. Conditions that could indicate impairment and necessitate an evaluation of these assets include, but are not limited to, a significant adverse change in the business climate or the legal or regulatory environment within which we operate. In addition, the deterioration of a company’s market capitalization significantly below its net book value is an indicator of impairment. To the extent goodwill or other intangible assets become impaired, we may be required to incur material charges relating to such impairment. Such a potential impairment charge could have a material impact on our future operating results and financial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and cannot guarantee when, if ever, we will become profitable or attain positive cash flows.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Investment in pharmaceutical product development and commercialization is highly speculative because it entails upfront capital expenditures and significant risk that a product candidate will fail to gain marketing approval or that an approved product will not be commercially viable. Since our inception, we have devoted most of our resources to research and development, including our preclinical and clinical development activities and, following the Merger, commercialization. We have financed our operations primarily through sales of equity securities, our strategic collaborations and, following the Merger, product revenues. Prior to the Merger, we had no products approved for commercial sale and had not generated any revenue from the sale of products. We are not currently profitable and have incurred net losses each year since our inception, including net losses of $143.6 million for the year ended December 31, 2018. As of December 31, 2018, we had an accumulated deficit of $514.4 million. We cannot guarantee when, if ever, we will become profitable. Our ability to generate product revenue and achieve profitability depends significantly on our success in many areas, including the following:</w:t>
      </w:r>
    </w:p>
    <w:p>
      <w:pPr>
        <w:spacing w:after="0" w:line="58" w:lineRule="exact"/>
        <w:rPr>
          <w:sz w:val="20"/>
          <w:szCs w:val="20"/>
          <w:color w:val="auto"/>
        </w:rPr>
      </w:pPr>
    </w:p>
    <w:p>
      <w:pPr>
        <w:ind w:left="1040" w:right="1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commercializing and marketing Auryxia, vadadustat, if approved, or any other product or product candidate, including those that may be in-licensed or acquired;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completing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seeking and obtaining marketing approvals for our product candidates after completion of clinical studies and the timing of such approvals;</w:t>
      </w:r>
    </w:p>
    <w:p>
      <w:pPr>
        <w:spacing w:after="0" w:line="140" w:lineRule="exact"/>
        <w:rPr>
          <w:rFonts w:ascii="Arial" w:cs="Arial" w:eastAsia="Arial" w:hAnsi="Arial"/>
          <w:sz w:val="16"/>
          <w:szCs w:val="16"/>
          <w:color w:val="auto"/>
        </w:rPr>
      </w:pPr>
    </w:p>
    <w:p>
      <w:pPr>
        <w:ind w:left="1040" w:right="3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sustainable and scalable manufacturing processes for Auryxia, vadadustat and any other product or product candidate, including those that may be in-licensed or acquired;</w:t>
      </w:r>
    </w:p>
    <w:p>
      <w:pPr>
        <w:spacing w:after="0" w:line="62"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products that are compliant with good manufacturing practices, or GMPs, and services to support the clinical development and the market demand for our products and product candidates, including those that may be in-licensed or acquired;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and commercializing our product candidates, either directly or with a collaborator or distributor;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sufficient pricing and reimbursement for Auryxia, vadadustat and any other product or product candidate, including those that may be in-licensed or acquired from private and governmental payors;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market acceptance of Auryxia, vadadustat and any other product candidate, including those that may be in-licensed or acquired as viable treatment options;</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of any market in which Auryxia, vadadustat and any other product or product candidate, including those that may be in-licensed or acquired, receive approval and obtaining adequate market share in those markets;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any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1040" w:right="10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negotiating favorable terms in any transaction into which we may enter, including collaboration, merger, acquisition and licensing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The amount of our future net losses will depend, in part, on the rate of our future expenditures, and our financial position will depend, in part, on our product revenues and our ability to obtain funding through equity or debt financings or strategic collaborations. We expect to continue to incur significant expenses if and as we:</w:t>
      </w:r>
    </w:p>
    <w:p>
      <w:pPr>
        <w:spacing w:after="0" w:line="73" w:lineRule="exact"/>
        <w:rPr>
          <w:sz w:val="20"/>
          <w:szCs w:val="20"/>
          <w:color w:val="auto"/>
        </w:rPr>
      </w:pPr>
    </w:p>
    <w:p>
      <w:pPr>
        <w:ind w:left="1040" w:right="20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our development program of vadadustat for the treatment of anemia due to chronic kidney disease, or CKD, including PRO</w:t>
      </w:r>
      <w:r>
        <w:rPr>
          <w:rFonts w:ascii="Arial" w:cs="Arial" w:eastAsia="Arial" w:hAnsi="Arial"/>
          <w:sz w:val="15"/>
          <w:szCs w:val="15"/>
          <w:color w:val="auto"/>
        </w:rPr>
        <w:t>2</w:t>
      </w:r>
      <w:r>
        <w:rPr>
          <w:rFonts w:ascii="Arial" w:cs="Arial" w:eastAsia="Arial" w:hAnsi="Arial"/>
          <w:sz w:val="18"/>
          <w:szCs w:val="18"/>
          <w:color w:val="auto"/>
        </w:rPr>
        <w:t>TECT, INNO</w:t>
      </w:r>
      <w:r>
        <w:rPr>
          <w:rFonts w:ascii="Arial" w:cs="Arial" w:eastAsia="Arial" w:hAnsi="Arial"/>
          <w:sz w:val="15"/>
          <w:szCs w:val="15"/>
          <w:color w:val="auto"/>
        </w:rPr>
        <w:t>2</w:t>
      </w:r>
      <w:r>
        <w:rPr>
          <w:rFonts w:ascii="Arial" w:cs="Arial" w:eastAsia="Arial" w:hAnsi="Arial"/>
          <w:sz w:val="18"/>
          <w:szCs w:val="18"/>
          <w:color w:val="auto"/>
        </w:rPr>
        <w:t>VATE, FO</w:t>
      </w:r>
      <w:r>
        <w:rPr>
          <w:rFonts w:ascii="Arial" w:cs="Arial" w:eastAsia="Arial" w:hAnsi="Arial"/>
          <w:sz w:val="15"/>
          <w:szCs w:val="15"/>
          <w:color w:val="auto"/>
        </w:rPr>
        <w:t>2</w:t>
      </w:r>
      <w:r>
        <w:rPr>
          <w:rFonts w:ascii="Arial" w:cs="Arial" w:eastAsia="Arial" w:hAnsi="Arial"/>
          <w:sz w:val="18"/>
          <w:szCs w:val="18"/>
          <w:color w:val="auto"/>
        </w:rPr>
        <w:t>RWARD-2, TRILO</w:t>
      </w:r>
      <w:r>
        <w:rPr>
          <w:rFonts w:ascii="Arial" w:cs="Arial" w:eastAsia="Arial" w:hAnsi="Arial"/>
          <w:sz w:val="15"/>
          <w:szCs w:val="15"/>
          <w:color w:val="auto"/>
        </w:rPr>
        <w:t>2</w:t>
      </w:r>
      <w:r>
        <w:rPr>
          <w:rFonts w:ascii="Arial" w:cs="Arial" w:eastAsia="Arial" w:hAnsi="Arial"/>
          <w:sz w:val="18"/>
          <w:szCs w:val="18"/>
          <w:color w:val="auto"/>
        </w:rPr>
        <w:t>GY-2 and EXPLO</w:t>
      </w:r>
      <w:r>
        <w:rPr>
          <w:rFonts w:ascii="Arial" w:cs="Arial" w:eastAsia="Arial" w:hAnsi="Arial"/>
          <w:sz w:val="15"/>
          <w:szCs w:val="15"/>
          <w:color w:val="auto"/>
        </w:rPr>
        <w:t>2</w:t>
      </w:r>
      <w:r>
        <w:rPr>
          <w:rFonts w:ascii="Arial" w:cs="Arial" w:eastAsia="Arial" w:hAnsi="Arial"/>
          <w:sz w:val="18"/>
          <w:szCs w:val="18"/>
          <w:color w:val="auto"/>
        </w:rPr>
        <w:t>RE, and develop plans for and conduct the preclinical and clinical development of any other potential product candidates;</w:t>
      </w:r>
    </w:p>
    <w:p>
      <w:pPr>
        <w:spacing w:after="0" w:line="73"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commercialization activities for Auryxia and plan for the commercialization of vadadustat, if approved, and any other product candidate;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Merger-related integration activities;</w:t>
      </w:r>
    </w:p>
    <w:p>
      <w:pPr>
        <w:spacing w:after="0" w:line="117"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seek marketing approvals for our product candidates that successfully complete clinical studies, and maintain marketing approvals for Auryxia and any product candidate for which we obtain marketing approval, including complying with any post-marketing regulatory requirements;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vadadustat and any other product candidates, or any post-marketing approval studies, Phase 4 studies or any other clinical trials for Auryxia and Fexeric;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transactions, including strategic, merger, collaboration, acquisition and licensing transactions, pursuant to which we would market and develop commercial products, or develop other product candidates and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royalty, milestone or other payments under our license agreements and any future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17" w:lineRule="exact"/>
        <w:rPr>
          <w:rFonts w:ascii="Arial" w:cs="Arial" w:eastAsia="Arial" w:hAnsi="Arial"/>
          <w:sz w:val="18"/>
          <w:szCs w:val="18"/>
          <w:color w:val="auto"/>
        </w:rPr>
      </w:pPr>
    </w:p>
    <w:p>
      <w:pPr>
        <w:ind w:left="1040" w:right="50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 to create additional infrastructure and expend additional resources to support our operations as a public company, including any additional infrastructure and resources necessary to support a transition from our status as an emerging growth company;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also could be forced to expend significant resources in the defense of the pending securities class action and shareholder derivative lawsuits brought against us, Keryx and certain of Keryx’s former directors and officers, some of whom are current directors and officers of ours, and other legal proceedings, as described under Part I, Item 3. Legal Proceedings, or any other such lawsuits brought against us in the future.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commercialization, we are unable to accurately predict the timing or amount of increased expenses. The net losses we incur may fluctuate significantly from quarter to quarter and year to year, such that a period-to-period comparison of our results of operations may not be a good indication of our future performance. In any particular quarter, the progress of our clinical development and our operating results could be below the expectations of securities analysts or investors, which could cause our stock price to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5" w:name="page46"/>
    <w:bookmarkEnd w:id="45"/>
    <w:p>
      <w:pPr>
        <w:ind w:right="60"/>
        <w:spacing w:after="0" w:line="259" w:lineRule="auto"/>
        <w:rPr>
          <w:sz w:val="20"/>
          <w:szCs w:val="20"/>
          <w:color w:val="auto"/>
        </w:rPr>
      </w:pPr>
      <w:r>
        <w:rPr>
          <w:rFonts w:ascii="Arial" w:cs="Arial" w:eastAsia="Arial" w:hAnsi="Arial"/>
          <w:sz w:val="18"/>
          <w:szCs w:val="18"/>
          <w:color w:val="auto"/>
        </w:rPr>
        <w:t>Even if we succeed in receiving marketing approval for and are able to commercialize vadadustat, we will continue to incur substantial research and development and other expenditures to develop and market, if approved, any other product candidates as well as any costs relating to post-marketing requirements for Auryxia, vadadustat and any other product candidates that may receive marketing approval. Our prior losses and expected future losses have had and will continue to have an adverse effect on our stockholders’ equity and working capital.</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expenses could increase beyond expectations if we are required by the U.S. Food and Drug Administration, or FDA, the European Medicines Agency, or EMA, or other regulatory authorities, or if we otherwise believe it is necessary, to change our manufacturing processes or assays, to amend or replace our study protocols, to repeat any of our clinical trials, to perform studies in addition to, different from or larger than those currently expected, or if there are any delays in completing our clinical trials or the development of any of our product candidates. Even if our product candidates are approved for commercial sale, we anticipate incurring significant costs associated with commercializing Auryxia, vadadustat, if approved, and any other approved product candidate. In addition, our ability to generate revenue would be negatively affected if the size of our addressable patient population is not as significant as we estimate, the indication approved by regulatory authorities is narrower than we expect, or the patient population for treatment is narrowed by competition, physician choice, coverage or reimbursement, or payor or treatment guidelines. Even though we generate revenue from Auryxia and may generate revenues from the sale of any product candidates that may be approved in the future, we may never generate revenue that is significant enough to become and remain profitable, and we may need to obtain additional funding to continue operations.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December 31, 2018, our cash and cash equivalents and available for sale securities were $321.6 million. We expect to continue to expend substantial amounts for the foreseeable future continuing to commercialize Auryxia and developing and commercializing vadadustat, if approved, and any other product candidates. These expenditures will include costs associated with research and development, potentially obtaining marketing approvals and having our products manufactured, as well as marketing and selling products approved for sale, if any. In addition, other unanticipated costs may arise, including as a result of our decision to include certain elements in our development programs. Because the outcome of our current and anticipated clinical trials is highly uncertain, we cannot reasonably estimate the actual amount of funding necessary to successfully complete the development and commercialization of our product candidates. Our future capital requirements depend on many factors, including:</w:t>
      </w:r>
    </w:p>
    <w:p>
      <w:pPr>
        <w:spacing w:after="0" w:line="70" w:lineRule="exact"/>
        <w:rPr>
          <w:sz w:val="20"/>
          <w:szCs w:val="20"/>
          <w:color w:val="auto"/>
        </w:rPr>
      </w:pPr>
    </w:p>
    <w:p>
      <w:pPr>
        <w:ind w:left="1040" w:right="20" w:hanging="519"/>
        <w:spacing w:after="0" w:line="296"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 costs associated with our global Phase 3 development program for vadadustat for the treatment of anemia due to CKD. As of December 31, 2018, we expect the remaining external aggregate contract research organization, or CRO, costs of PRO</w:t>
      </w:r>
      <w:r>
        <w:rPr>
          <w:rFonts w:ascii="Arial" w:cs="Arial" w:eastAsia="Arial" w:hAnsi="Arial"/>
          <w:sz w:val="13"/>
          <w:szCs w:val="13"/>
          <w:color w:val="auto"/>
        </w:rPr>
        <w:t>2</w:t>
      </w:r>
      <w:r>
        <w:rPr>
          <w:rFonts w:ascii="Arial" w:cs="Arial" w:eastAsia="Arial" w:hAnsi="Arial"/>
          <w:sz w:val="16"/>
          <w:szCs w:val="16"/>
          <w:color w:val="auto"/>
        </w:rPr>
        <w:t>TECT and INNO</w:t>
      </w:r>
      <w:r>
        <w:rPr>
          <w:rFonts w:ascii="Arial" w:cs="Arial" w:eastAsia="Arial" w:hAnsi="Arial"/>
          <w:sz w:val="13"/>
          <w:szCs w:val="13"/>
          <w:color w:val="auto"/>
        </w:rPr>
        <w:t>2</w:t>
      </w:r>
      <w:r>
        <w:rPr>
          <w:rFonts w:ascii="Arial" w:cs="Arial" w:eastAsia="Arial" w:hAnsi="Arial"/>
          <w:sz w:val="16"/>
          <w:szCs w:val="16"/>
          <w:color w:val="auto"/>
        </w:rPr>
        <w:t>VATE, which are designed to enroll up to approximately 7,600 subjects, to be in the range of $190.0 million to $220.0 million; the estimated costs for PRO</w:t>
      </w:r>
      <w:r>
        <w:rPr>
          <w:rFonts w:ascii="Arial" w:cs="Arial" w:eastAsia="Arial" w:hAnsi="Arial"/>
          <w:sz w:val="13"/>
          <w:szCs w:val="13"/>
          <w:color w:val="auto"/>
        </w:rPr>
        <w:t>2</w:t>
      </w:r>
      <w:r>
        <w:rPr>
          <w:rFonts w:ascii="Arial" w:cs="Arial" w:eastAsia="Arial" w:hAnsi="Arial"/>
          <w:sz w:val="16"/>
          <w:szCs w:val="16"/>
          <w:color w:val="auto"/>
        </w:rPr>
        <w:t>TECT and INNO</w:t>
      </w:r>
      <w:r>
        <w:rPr>
          <w:rFonts w:ascii="Arial" w:cs="Arial" w:eastAsia="Arial" w:hAnsi="Arial"/>
          <w:sz w:val="13"/>
          <w:szCs w:val="13"/>
          <w:color w:val="auto"/>
        </w:rPr>
        <w:t>2</w:t>
      </w:r>
      <w:r>
        <w:rPr>
          <w:rFonts w:ascii="Arial" w:cs="Arial" w:eastAsia="Arial" w:hAnsi="Arial"/>
          <w:sz w:val="16"/>
          <w:szCs w:val="16"/>
          <w:color w:val="auto"/>
        </w:rPr>
        <w:t>VATE could increase significantly due to a number of factors, including changes in target enrollment and enrollment rates, accrual of major adverse cardiovascular events, or MACE, detection of unexpected safety signals, the addition of new investigative sites, modification of clinical trial protocols, performing other studies in support of the Phase 3 program, choosing to add third-party vendors to support the program, and any other factor that could delay completion of PRO</w:t>
      </w:r>
      <w:r>
        <w:rPr>
          <w:rFonts w:ascii="Arial" w:cs="Arial" w:eastAsia="Arial" w:hAnsi="Arial"/>
          <w:sz w:val="13"/>
          <w:szCs w:val="13"/>
          <w:color w:val="auto"/>
        </w:rPr>
        <w:t>2</w:t>
      </w:r>
      <w:r>
        <w:rPr>
          <w:rFonts w:ascii="Arial" w:cs="Arial" w:eastAsia="Arial" w:hAnsi="Arial"/>
          <w:sz w:val="16"/>
          <w:szCs w:val="16"/>
          <w:color w:val="auto"/>
        </w:rPr>
        <w:t>TECT and INNO</w:t>
      </w:r>
      <w:r>
        <w:rPr>
          <w:rFonts w:ascii="Arial" w:cs="Arial" w:eastAsia="Arial" w:hAnsi="Arial"/>
          <w:sz w:val="13"/>
          <w:szCs w:val="13"/>
          <w:color w:val="auto"/>
        </w:rPr>
        <w:t>2</w:t>
      </w:r>
      <w:r>
        <w:rPr>
          <w:rFonts w:ascii="Arial" w:cs="Arial" w:eastAsia="Arial" w:hAnsi="Arial"/>
          <w:sz w:val="16"/>
          <w:szCs w:val="16"/>
          <w:color w:val="auto"/>
        </w:rPr>
        <w:t>VATE;</w:t>
      </w:r>
    </w:p>
    <w:p>
      <w:pPr>
        <w:spacing w:after="0" w:line="32" w:lineRule="exact"/>
        <w:rPr>
          <w:rFonts w:ascii="Arial" w:cs="Arial" w:eastAsia="Arial" w:hAnsi="Arial"/>
          <w:sz w:val="16"/>
          <w:szCs w:val="16"/>
          <w:color w:val="auto"/>
        </w:rPr>
      </w:pPr>
    </w:p>
    <w:p>
      <w:pPr>
        <w:ind w:left="1040" w:right="5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commercialization activities for Auryxia and our product candidates, if approved for marketing, including product manufacturing, marketing, sales and distribution costs;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our meetings with the FDA, the EMA and other regulatory authorities and any consequential effects on study design, study size and resulting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or delays in enrolling patients in our clinical trials;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vadadustat and any other product candidates that we may develop or acquire, including to fund the preparation and filing of regulatory submissions with the FDA, the EMA and other regulatory authorities, if clinical studies are successful;</w:t>
      </w:r>
    </w:p>
    <w:p>
      <w:pPr>
        <w:spacing w:after="0" w:line="73"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conducting the FO</w:t>
      </w:r>
      <w:r>
        <w:rPr>
          <w:rFonts w:ascii="Arial" w:cs="Arial" w:eastAsia="Arial" w:hAnsi="Arial"/>
          <w:sz w:val="15"/>
          <w:szCs w:val="15"/>
          <w:color w:val="auto"/>
        </w:rPr>
        <w:t>2</w:t>
      </w:r>
      <w:r>
        <w:rPr>
          <w:rFonts w:ascii="Arial" w:cs="Arial" w:eastAsia="Arial" w:hAnsi="Arial"/>
          <w:sz w:val="18"/>
          <w:szCs w:val="18"/>
          <w:color w:val="auto"/>
        </w:rPr>
        <w:t>RWARD-2, TRILO</w:t>
      </w:r>
      <w:r>
        <w:rPr>
          <w:rFonts w:ascii="Arial" w:cs="Arial" w:eastAsia="Arial" w:hAnsi="Arial"/>
          <w:sz w:val="15"/>
          <w:szCs w:val="15"/>
          <w:color w:val="auto"/>
        </w:rPr>
        <w:t>2</w:t>
      </w:r>
      <w:r>
        <w:rPr>
          <w:rFonts w:ascii="Arial" w:cs="Arial" w:eastAsia="Arial" w:hAnsi="Arial"/>
          <w:sz w:val="18"/>
          <w:szCs w:val="18"/>
          <w:color w:val="auto"/>
        </w:rPr>
        <w:t>GY-2 and EXPLO</w:t>
      </w:r>
      <w:r>
        <w:rPr>
          <w:rFonts w:ascii="Arial" w:cs="Arial" w:eastAsia="Arial" w:hAnsi="Arial"/>
          <w:sz w:val="15"/>
          <w:szCs w:val="15"/>
          <w:color w:val="auto"/>
        </w:rPr>
        <w:t>2</w:t>
      </w:r>
      <w:r>
        <w:rPr>
          <w:rFonts w:ascii="Arial" w:cs="Arial" w:eastAsia="Arial" w:hAnsi="Arial"/>
          <w:sz w:val="18"/>
          <w:szCs w:val="18"/>
          <w:color w:val="auto"/>
        </w:rPr>
        <w:t>RE clinical studies or any post-marketing approval studies, Phase 4 studies or any other clinical trials for Auryxia and Fexeric;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 timing and outcome of our efforts to obtain marketing approval for vadadustat in the United States, Europe and in other jurisdictions;</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results and costs of additional preclinical, clinical, or other studies for vadadustat and Auryxia, as well as any studies of any other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left="1040" w:right="1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securing and validating commercial manufacturing of vadadustat and maintaining our manufacturing arrangements for Auryxia, or securing and validating additional arrangements;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and maintaining, defending and enforcing our intellectual property rights, including litigation costs, and the outcome of such litigation;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involved in any legal proceedings to which we are a party;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Merger-related integration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 and</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engage in transactions, including collaboration, merger, acquisition and licensing transactions pursuant to which we would develop and market commercial products, or develop other product candidates and technologies.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we expect to continue to incur additional costs associated with operating as a public company, including any additional infrastructure and resources necessary to support a transition from our status as an emerging growth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our cash resources, including the timing of committed research and development funding from our collaborators, to fund our current operating plan into the third quarter of 2020. We have based these estimates on assumptions that may prove to be wrong, and we could use our available capital resources sooner than we currently expect. Furthermore, our development milestones may not be achieved, we may not receive the anticipated funding from our collaboration partners, and we may not secure other sources of financing. If and until we can generate a sufficient amount of product revenues, we expect to finance future cash needs through public or private equity or debt offerings, payments from our collaborators, strategic transactions, or a combination of these approaches. Even if we believe we have sufficient funds for our current or future operating plans, we may seek additional capital if market conditions are favorable or if we have specific strategic objectives.</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also have a $40.0 million revolving loan facility, or the Revolving Loan Facility, with Silicon Valley Bank, or SVB. The borrowing base under the Revolving Loan Facility, or any other asset-based credit facility into which we may enter in the future, may be significantly lower than the total commitment under any such facility and therefore may limit the total amount we may be able to borrow. As of December 31, 2018, we had approximately $16.0 million in available borrowing base under the Revolving Loan Facility, of which $15.0 million had been drawn down. In addition, the Revolving Loan Facility includes certain restrictive covenants, including the requirement to maintain compliance with a liquidity ratio. Upon an event of default under the Revolving Loan Facility, SVB is entitled to accelerate and demand payment of all amounts outstanding under Revolving Loan Facility, stop advancing money or extending credit to Keryx, demand that Keryx deposit at least 105% of the face amount of any letters of credit remaining undrawn to secure all obligations thereunder, and exercise other remedies available to SVB under the Revolving Loan Facility and at law or in equity. We have determined that events of default have already occurred, and we have not obtained a formal waiver from SVB with respect to these events of default. As a result, we have classified the outstanding principal of $15.0 million as a current liability in our consolidated balance sheet as of December 31, 2018. So long as these events of default are not waived or otherwise resolved, SVB has the right to take any of the foregoing remedies. If SVB were to accelerate all of the obligations outstanding under the Revolving Loan Facility, we would be required to pay the outstanding principal and other fees to SVB, and we would no longer have access to the Revolving Loan Facility. We expect our cash resources to fund our current operating plan into the third quarter of 2020, which assumes the payment of all amounts due to SVB and no future borrowings under the Revolving Loan Facility. We cannot assure that we will be able to obtain alternative sources of financing on favorable terms or at all.</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additional fundraising efforts may divert our management’s attention away from their day-to-day activities, which may adversely affect our ability to develop and commercialize Auryxia, vadadustat and any other product candidates. Also, additional funds may not be available to us in sufficient amounts or on acceptable terms or at all. If we are unable to raise additional capital in sufficient amounts when needed or on terms acceptable to us, we may have to significantly delay, scale back or discontinue the development or commercialization of Auryxia, vadadustat and any other product candidates. Any of these events could significantly harm our business, financial condition and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ind w:right="3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and product candidates on unfavorable terms to us.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expect to finance our cash needs through product revenues, public or private equity or debt offerings, payments from our collaborators, strategic transactions, or a combination of these approaches. To the extent that we raise additional capital through the sale of equity or convertible debt securities, the ownership interests of our common stockholders will be diluted, our fixed payment obligations may increase, any such securities may have rights senior to those of our common stock, and the terms may include liquidation or other preferences and anti-dilution protections that adversely affect the rights of our common stockholders. Debt financing, if available, may involve agreements that would restrict our operations and potentially impair our competitiveness, such as limitations on our ability to incur additional debt, make capital expenditures, declare dividends, acquire, sell or license intellectual property rights, and other operating restrictions that could adversely impact our ability to conduct our business. If we raise additional funds through strategic transactions with third parties, we may have to do so at an earlier stage than otherwise would be desirable. In connection with any such strategic transactions, we may be required to relinquish valuable rights to our product and product candidates, future revenue streams or research programs or grant licenses on terms that are not favorable to us. If we are unable to raise additional funds through equity or debt financing when needed, we may be required to delay, limit, reduce or terminate our product development or commercialization efforts for Auryxia, vadadustat, or any other product candidates that we develop or acquire, or grant rights to develop and market product candidates that we would otherwise prefer to develop and market ourselves.</w:t>
      </w:r>
    </w:p>
    <w:p>
      <w:pPr>
        <w:spacing w:after="0" w:line="27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part of our business strategy, we may engage in additional strategic transactions to expand and diversify our portfolio, including through the acquisition of assets, businesses, or rights to products, product candidates or technologies or through strategic alliances or collaborations, similar to the Merger and our collaboration and license arrangements. We may not identify suitable strategic transactions, or complete such transactions in a timely manner,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may incur additional debt or assume unknown or contingent liabilities in connection therewith, and may experience losses related to our investments in such transactions. Integration of an acquired company or assets into our existing business may not be successful and may disrupt ongoing operations, require the hiring of additional personnel and the implementation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transactions may entail numerous operational, financial and legal risks,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integrating operations and personnel of any acquired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 due to changes in management and ownership;</w:t>
      </w:r>
    </w:p>
    <w:p>
      <w:pPr>
        <w:spacing w:after="0" w:line="128"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direct prior development or commercial experience and where competitors in such markets have stronger market positions;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8" w:name="page49"/>
    <w:bookmarkEnd w:id="48"/>
    <w:p>
      <w:pPr>
        <w:ind w:right="200"/>
        <w:spacing w:after="0" w:line="277" w:lineRule="auto"/>
        <w:rPr>
          <w:sz w:val="20"/>
          <w:szCs w:val="20"/>
          <w:color w:val="auto"/>
        </w:rPr>
      </w:pPr>
      <w:r>
        <w:rPr>
          <w:rFonts w:ascii="Arial" w:cs="Arial" w:eastAsia="Arial" w:hAnsi="Arial"/>
          <w:sz w:val="18"/>
          <w:szCs w:val="18"/>
          <w:color w:val="auto"/>
        </w:rPr>
        <w:t>If we are unable to successfully manage any transaction in which we may engage, our ability to develop new products and continue to expand and diversify our portfolio may be limited.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Our ability to successfully commercialize our product, Auryxia, our late-stage product candidate, vadadustat, if approved, and any other product or product candidate, including our ability to achieve their widespread market acceptance, is critical to the success of our business.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generate significant product revenue will depend almost entirely on our ability to execute on our commercialization plans and the level of market adoption for, and the continued use of, our product, Auryxia, and, if approved, our late-stage product candidate, vadadustat, by physicians, hospitals, patients, and/or healthcare payors, including government payors, consumers, managed care organizations and specialty pharmacies. If we are not successful in commercializing Auryxia and vadadustat, if approved, including achieving and maintaining an adequate level of market adoption, our profitability and our future business prospects will be adversely impacted. Market acceptance of Auryxia and any other product candidate that may be approved, including vadadustat depends on a number of other factors, including:</w:t>
      </w:r>
    </w:p>
    <w:p>
      <w:pPr>
        <w:spacing w:after="0" w:line="85"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third-party payors and governmental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trials and in the post-marketing setting;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of the disease treated by our product;</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product label approved by regulatory authorities, including any warnings or limitations that may be required on the label as a consequence of potential safety risks associated with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countries in which marketing approvals are obtained;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claims we and our collaborators are able to make regarding the safety and efficacy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physician and patient communications and education programs;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safety and efficacy of the product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receipt of marketing approvals and product launch relative to competing products and potential generic entrants;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about our products or favorable or adverse publicity about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and our collaborators’ sales, marketing and distribution efforts;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Market acceptance is critical to our ability to generate significant product revenue. In addition, any product or product candidate, if approved and commercialized, may achieve only limited market acceptance or none at all. If any of our approved products is not accepted by the market to the extent that we expect, we may not be able to generate product revenue and our business would suffer.</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Generic competitors are seeking approval of generic versions of Auryxia and the market entry of one or more generic competitors would limit Auryxia sales and have an adverse impact on our business and results of operation.</w:t>
      </w:r>
    </w:p>
    <w:p>
      <w:pPr>
        <w:spacing w:after="0" w:line="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composition and use of Auryxia are currently claimed by 14 issued patents that are listed in the FDA’s Orange Book, we cannot assure you that we will be successful in defending against third parties attempting to invalidate or design around our patents or assert that our patents are invalid or otherwise unenforceable or not infringed, or in competing against third parties introducing generic equivalents of Auryxia or any of our future products.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spacing w:after="0" w:line="271" w:lineRule="auto"/>
        <w:rPr>
          <w:sz w:val="20"/>
          <w:szCs w:val="20"/>
          <w:color w:val="auto"/>
        </w:rPr>
      </w:pPr>
      <w:r>
        <w:rPr>
          <w:rFonts w:ascii="Arial" w:cs="Arial" w:eastAsia="Arial" w:hAnsi="Arial"/>
          <w:sz w:val="17"/>
          <w:szCs w:val="17"/>
          <w:color w:val="auto"/>
        </w:rPr>
        <w:t>The Hatch-Waxman Act allows applicants seeking to market a generic equivalent of a drug product that relies, in whole or in part, on the FDA’s prior approval of a patented brand name drug, to provide notice to the holder of the New Drug Application for the brand name drug of its application, called a Paragraph IV certification notice, if the applicant is seeking to market its product prior to the expiration of the patents with claims directed to the brand name drug. After the introduction of a generic competitor, a significant percentage of the prescriptions written for a product may be filled with the generic version, resulting in a loss in sales of the branded product. To date, we have received four Paragraph IV certification notice letters regarding Abbreviated New Drug Applications, or ANDAs, submitted to the FDA requesting approval for generic versions of Auryxia tablets (210 mg iron per tablet). For more information on these Paragraph IV certification notice letters and any related litigation, see Part I, Item 3. Legal Proceedings. Generic competition for Auryxia or any of our future products could have a material adverse effect on our sales, results of operations and financial condition.</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litigation to enforce or defend intellectual property rights is complex, costly and involves significant management time. If our Orange Book listed patents are successfully challenged by a third party and a generic version of Auryxia is approved and launched, revenue from Auryxia could decline significantly which would have a material adverse effect on our sales, results of operations and financial condition.</w:t>
      </w:r>
    </w:p>
    <w:p>
      <w:pPr>
        <w:spacing w:after="0" w:line="2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maintain sales, marketing and distribution capabilities or to enter into additional agreements with third parties, we may not be successful in commercializing Auryxia or any of our product candidates if they are approved.</w:t>
      </w:r>
    </w:p>
    <w:p>
      <w:pPr>
        <w:spacing w:after="0" w:line="6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order to market Auryxia, we intend to continue to invest in sales and marketing, which will require substantial effort and significant management and financial resources. We will need to devote significant effort, in particular, to recruiting individuals with experience in the sales and marketing of pharmaceutical products. Competition for personnel with these skills is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are risks involved with maintaining our own sales, marketing and distribution capabilities, including the following:</w:t>
      </w:r>
    </w:p>
    <w:p>
      <w:pPr>
        <w:spacing w:after="0" w:line="117"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inability of sales personnel to obtain access to physicians;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expenses associated with maintaining our own sales and marketing organization.</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we are unable to maintain our own sales, marketing and distribution capabilities and our arrangements with third parties with respect to sales, marketing and distribution, or we are unsuccessful in entering into additional arrangements with third parties to sell, market and distribute our product candidates or are unable to do so on terms that are favorable to us, we will not be successful in commercializing our product candidates.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and product candidates, if approved, which could make it difficult for us to sell any approved products profitably.</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cover, as well as establish formularies or implement other mechanisms to manage utilization of products and determine reimbursement levels. Coverage and reimbursement by a third-party payor may depend upon a number of factors, including the third-party payor’s determination that use of a product is:</w:t>
      </w:r>
    </w:p>
    <w:p>
      <w:pPr>
        <w:spacing w:after="0" w:line="46"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effective.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0" w:name="page51"/>
    <w:bookmarkEnd w:id="50"/>
    <w:p>
      <w:pPr>
        <w:spacing w:after="0" w:line="285"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In the United States, there are multiple government and private third-party payors with varying coverage and reimbursement levels for pharmaceutical products. Within Medicare, for oral drugs dispensed by pharmacies and also administered in facilities, coverage and reimbursement may vary depending on the setting. The Centers for Medicare &amp; Medicaid Services, or CMS, local Medicare administrative contractors and/or Medicare Part D plans may have some responsibility for determining the medical necessity of such drugs, and therefore coverage, for different patients. Different reimbursement methodologies may apply, and CMS may have some discretion in interpreting their application in certain settings. As an oral drug, Auryxia is covered by Medicare only under Part D. In September 2018, CMS communicated to Medicare Part D sponsors that CMS does not consider Auryxia to be covered under Part D when it is used solely for the treatment of iron deficiency anemia in patients with CKD not on dialysis, or the IDA Indication. CMS does, however, consider Auryxia to be a covered Part D drug when it is used for its other FDA-approved indication: the control of serum phosphorus levels in CKD patients on dialysis, or the Hyperphosphatemia Indication. As a result, Part D sponsors now utilize a prior authorization edit or other process for all Auryxia prescriptions for Medicare beneficiaries to ensure that Auryxia is being used for the Part D covered indication. We are engaging in discussions with CMS and Part D sponsors on this matter as we believe that Auryxia should qualify for coverage under Part D of the CMS regulations when it is used for the IDA Indication. If we are unsuccessful in our efforts to obtain Part D coverage for the IDA Indication, our ability to commercialize Auryxia for this indication will be adversely impacted. While we believe that the vast majority of the Part D prescriptions written for Auryxia today are for the Hyperphosphatemia Indication and therefore will continue to be covered by Part D plans with prior authorization, the prior authorization requirement may have an adverse impact on market acceptance of Auryxia and may influence physicians’ prescribing decisions. We cannot predict the impact of the CMS determination or prior authorization changes on our operations and they could have a material adverse effect on our revenue and results of operations going forward.</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Medicaid reimbursement of drugs will also vary by state. Private third-party payor reimbursement policies may also vary and may or may not be consistent with Medicare reimbursement methodologies. Manufacturers of outpatient prescription drugs may be required to provide discounts or rebates under government healthcare programs or to certain third-party payors in order to obtain coverage of such products.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we may be required to enter into contracts with third-party payors offering rebates or discounts on our products in order to obtain favorable formulary status. We may not be able to agree upon commercially reasonable terms with such third-party payors or provide data sufficient to obtain favorable coverage and reimbursement for many reasons, including that we may be at a competitive disadvantage relative to companies with more extensive product lines. We cannot be sure that coverage or adequate reimbursement will be available for any of our product candidates. Even if we obtain coverage for any approved product, third-party payors may not establish adequate reimbursement amounts which may reduce the demand for our product and prompt us to have to reduce pricing for the products. If reimbursement is not available or is limited, we may not be able to commercialize certain of our products. In addition, in the United States third-party payors are increasingly attempting to contain healthcare costs by limiting both coverage and reimbursement levels for new drugs. As a result, significant uncertainty exists as to whether and how much reimbursement third-party payors will provide for newly approved drugs which, in turn, will put downward pressure on the pricing of drugs.</w:t>
      </w:r>
    </w:p>
    <w:p>
      <w:pPr>
        <w:spacing w:after="0" w:line="18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If vadadustat is approved and included in the fixed reimbursement model for a bundle of dialysis services, or the bundle, we would be required to enter into contracts to supply vadadustat to specific dialysis clinics, instead of through third-party payors, which we believe could be challenging. In May 2017, we entered into a license agreement pursuant to which we will grant Vifor (International) Ltd., or Vifor Pharma, an exclusive license to sell vadadustat solely to Fresenius Kidney Care Group LLC, or FKC, in the United States, subject to FDA approval and inclusion in the bundle. Under this license agreement with Vifor Pharma, or the Vifor Agreement, FKC is not obligated to utilize vadadustat in its clinics. In addition, even if FKC chooses to utilize vadadustat in its clinics in the United States, it is not restricted from utilizing other therapies for anemia due to CKD. The Vifor Agreement does not restrict us from entering into supply agreements with other dialysis clinics, such as DaVita, one of the largest operators of dialysis clinical in the United States, however, the dialysis clinics may choose not to contract with us for vadadustat or they may choose to contract with us for a limited supply of vadadustat. Although we currently believe it is likely that vadadustat will be included in the bundle, if vadadustat is not included in the bundle, then the Vifor Agreement will not become effective, and patients would access vadadustat through contracts we negotiate with third-party payors for reimbursement of vadadustat, which would be subject to the risks and uncertainties described above. Additionally, if there are updates to the recently published Transitional Drug Add-On Payment Adjustment, or TDAPA, rule that decreases the basis for reimbursement during the transition period or if TDAPA is eliminated, then our profitability may be adversely affected. We may be unable to sell vadadustat, if approved, to dialysis providers on a profitable basis if CMS significantly reduces the level of reimbursement for dialysis services and providers choose to use alternative therapies or look to negotiate their contracts with us. Our profitability may also be affected if our costs of production increase faster than increases in reimbursement levels. Adequate coverage and reimbursement of our products by government and private insurance plans is central to patient and provider acceptance of any products for which we receive marketing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some countries, including member states of the European Union, or EU,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candidates to other available products in order to obtain or maintain reimbursement or pricing approval. Publication of discounts by third-party payors or government authorities may lead to further pressure on the prices or reimbursement levels. If reimbursement of our products is unavailable or limited in scope or amount, or if pricing is set at unsatisfactory levels, the commercial launch of our product candidate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16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Recently, there has been considerable public and government scrutiny in the United States of pharmaceutical pricing and proposals to address the perceived high cost of pharmaceuticals. There have also been several recent state legislative efforts to address drug costs, which generally have focused on increasing transparency around drug costs or limiting drug prices or price increases. Adoption of new legislation at the federal or state level could affect demand for, or pricing of, our product candidates, if approved, and could diminish our ability to establish what we believe is a fair price for our products, ultimately diminishing our revenue for our products if they are approved.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Fexeric in the EU does not ensure successful commercialization and reimbursement.</w:t>
      </w:r>
    </w:p>
    <w:p>
      <w:pPr>
        <w:spacing w:after="0" w:line="13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September 23, 2015, the European Commission, or EC, approved Fexeric for the control of elevated serum phosphorus levels, or hyperphosphatemia, in adult patients with CKD, including pre-dialysis and dialysis patients. The EC also considered ferric citrate coordination complex as a New Active Substance, or NAS, which provides 10 years of data and marketing exclusivity in the EU.</w:t>
      </w: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Fexeric has never been marketed in the EU, and we do not intend to commercialize Fexeric in the EU on our own. We have not been successful in finding a suitable commercialization partner for Fexeric in the EU to date. We cannot assure you that we will be able to find a suitable commercialization partner in the EU or otherwise create value from our European rights. The EC’s approval of Fexeric in the EU was contingent on, among other things, our commencing marketing of Fexeric by September 23, 2018, however, we received an extension to March 25, 2019, and a subsequent extension to December 23, 2019. If we are unable to commence marketing Fexeric in the EU by December 23, 2019, the Fexeric approval in the EU will cease to be valid. We are working with Panion &amp; BF Biotech, Inc., or Panion, the licensor of our rights to ferric citrate to formulate a commercial plan for Fexeric in Europe. See below for additional information about our arrangements with Panion. There can be no assurances that we will successfully work with Panion with respect to the European commercialization of Fexeric in a timely manner or at all, or that the EC will not revoke its approval of Fexeric if we fail to market Fexeric by the deadline or for any other reason.</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commercial success of Fexeric is subject to the same types of risks we face with commercializing Auryxia in the United States. In addition, in European countries, pricing and payment of prescription pharmaceuticals is subject to more extensive governmental control than in the United States. Pricing negotiations with European governmental authorities can take six to twelve months or longer after the receipt of regulatory approval and product launch. If reimbursement for Fexeric is unavailable in any country in which reimbursement is sought, limited in scope or amount, or if pricing is set at or reduced to unsatisfactory levels, our ability or any potential partner’s ability to successfully commercialize Fexeric in such a country would be impacted negatively. Furthermore, if these measures prevent us or any potential partner from selling Fexeric on a profitable basis in a particular country, they could prevent the commercial launch or continued sale of Fexeric in that country. We may never commercialize Fexeric in the EU or reach or maintain profitability with respect to Fexeric in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development and commercialization of new drugs is highly competitive and subject to rapid and significant technological change. Our future success depends on our ability to demonstrate and maintain a competitive advantage with respect to the development and commercialization of our product and product candidates. Our objective is to continue to commercialize Auryxia and develop and commercialize new products with superior efficacy, convenience, tolerability and/or safety. In many cases, any approved products that we commercialize will compete with existing, market-leading products.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Auryxia is competing in the hyperphosphatemia market in the United States with other FDA-approved phosphate binders such as Renagel</w:t>
      </w:r>
      <w:r>
        <w:rPr>
          <w:rFonts w:ascii="Arial" w:cs="Arial" w:eastAsia="Arial" w:hAnsi="Arial"/>
          <w:sz w:val="14"/>
          <w:szCs w:val="14"/>
          <w:color w:val="auto"/>
        </w:rPr>
        <w:t>®</w:t>
      </w:r>
      <w:r>
        <w:rPr>
          <w:rFonts w:ascii="Arial" w:cs="Arial" w:eastAsia="Arial" w:hAnsi="Arial"/>
          <w:sz w:val="17"/>
          <w:szCs w:val="17"/>
          <w:color w:val="auto"/>
        </w:rPr>
        <w:t xml:space="preserve"> (sevelamer hydrochloride) and Renvela</w:t>
      </w:r>
      <w:r>
        <w:rPr>
          <w:rFonts w:ascii="Arial" w:cs="Arial" w:eastAsia="Arial" w:hAnsi="Arial"/>
          <w:sz w:val="14"/>
          <w:szCs w:val="14"/>
          <w:color w:val="auto"/>
        </w:rPr>
        <w:t>®</w:t>
      </w:r>
      <w:r>
        <w:rPr>
          <w:rFonts w:ascii="Arial" w:cs="Arial" w:eastAsia="Arial" w:hAnsi="Arial"/>
          <w:sz w:val="17"/>
          <w:szCs w:val="17"/>
          <w:color w:val="auto"/>
        </w:rPr>
        <w:t xml:space="preserve"> (sevelamer carbonate), both marketed by Genzyme Corporation (a wholly-owned subsidiary of Sanofi), PhosLo</w:t>
      </w:r>
      <w:r>
        <w:rPr>
          <w:rFonts w:ascii="Arial" w:cs="Arial" w:eastAsia="Arial" w:hAnsi="Arial"/>
          <w:sz w:val="14"/>
          <w:szCs w:val="14"/>
          <w:color w:val="auto"/>
        </w:rPr>
        <w:t>®</w:t>
      </w:r>
      <w:r>
        <w:rPr>
          <w:rFonts w:ascii="Arial" w:cs="Arial" w:eastAsia="Arial" w:hAnsi="Arial"/>
          <w:sz w:val="17"/>
          <w:szCs w:val="17"/>
          <w:color w:val="auto"/>
        </w:rPr>
        <w:t xml:space="preserve"> and Phoslyra</w:t>
      </w:r>
      <w:r>
        <w:rPr>
          <w:rFonts w:ascii="Arial" w:cs="Arial" w:eastAsia="Arial" w:hAnsi="Arial"/>
          <w:sz w:val="14"/>
          <w:szCs w:val="14"/>
          <w:color w:val="auto"/>
        </w:rPr>
        <w:t>®</w:t>
      </w:r>
      <w:r>
        <w:rPr>
          <w:rFonts w:ascii="Arial" w:cs="Arial" w:eastAsia="Arial" w:hAnsi="Arial"/>
          <w:sz w:val="17"/>
          <w:szCs w:val="17"/>
          <w:color w:val="auto"/>
        </w:rPr>
        <w:t xml:space="preserve"> (calcium acetate), marketed by Fresenius Medical Care North America, Fosrenol</w:t>
      </w:r>
      <w:r>
        <w:rPr>
          <w:rFonts w:ascii="Arial" w:cs="Arial" w:eastAsia="Arial" w:hAnsi="Arial"/>
          <w:sz w:val="14"/>
          <w:szCs w:val="14"/>
          <w:color w:val="auto"/>
        </w:rPr>
        <w:t>®</w:t>
      </w:r>
      <w:r>
        <w:rPr>
          <w:rFonts w:ascii="Arial" w:cs="Arial" w:eastAsia="Arial" w:hAnsi="Arial"/>
          <w:sz w:val="17"/>
          <w:szCs w:val="17"/>
          <w:color w:val="auto"/>
        </w:rPr>
        <w:t xml:space="preserve"> (lanthanum carbonate), marketed by Shire Pharmaceuticals Group plc, and Velphoro</w:t>
      </w:r>
      <w:r>
        <w:rPr>
          <w:rFonts w:ascii="Arial" w:cs="Arial" w:eastAsia="Arial" w:hAnsi="Arial"/>
          <w:sz w:val="14"/>
          <w:szCs w:val="14"/>
          <w:color w:val="auto"/>
        </w:rPr>
        <w:t>®</w:t>
      </w:r>
      <w:r>
        <w:rPr>
          <w:rFonts w:ascii="Arial" w:cs="Arial" w:eastAsia="Arial" w:hAnsi="Arial"/>
          <w:sz w:val="17"/>
          <w:szCs w:val="17"/>
          <w:color w:val="auto"/>
        </w:rPr>
        <w:t xml:space="preserve"> (sucroferric oxyhydroxide), marketed by Fresenius Medical Care North America, as well as over-the-counter calcium carbonate products such as TUMS</w:t>
      </w:r>
      <w:r>
        <w:rPr>
          <w:rFonts w:ascii="Arial" w:cs="Arial" w:eastAsia="Arial" w:hAnsi="Arial"/>
          <w:sz w:val="14"/>
          <w:szCs w:val="14"/>
          <w:color w:val="auto"/>
        </w:rPr>
        <w:t>®</w:t>
      </w:r>
      <w:r>
        <w:rPr>
          <w:rFonts w:ascii="Arial" w:cs="Arial" w:eastAsia="Arial" w:hAnsi="Arial"/>
          <w:sz w:val="17"/>
          <w:szCs w:val="17"/>
          <w:color w:val="auto"/>
        </w:rPr>
        <w:t xml:space="preserve"> and metal-based options such as aluminum, lanthanum and magnesium. Many of the phosphate binders listed above are now also available in generic forms. In addition, other phosphate binders are in development, including OPKO Health Inc.’s Alpharen</w:t>
      </w:r>
      <w:r>
        <w:rPr>
          <w:rFonts w:ascii="Arial" w:cs="Arial" w:eastAsia="Arial" w:hAnsi="Arial"/>
          <w:sz w:val="14"/>
          <w:szCs w:val="14"/>
          <w:color w:val="auto"/>
        </w:rPr>
        <w:t>™</w:t>
      </w:r>
      <w:r>
        <w:rPr>
          <w:rFonts w:ascii="Arial" w:cs="Arial" w:eastAsia="Arial" w:hAnsi="Arial"/>
          <w:sz w:val="17"/>
          <w:szCs w:val="17"/>
          <w:color w:val="auto"/>
        </w:rPr>
        <w:t xml:space="preserve"> Tablets (fermagate tablets) and Ardelyx, Inc.’s tenapanor, that may impact the market for Auryxia.</w:t>
      </w:r>
    </w:p>
    <w:p>
      <w:pPr>
        <w:spacing w:after="0" w:line="17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Auryxia is competing in the IDA market in the United States with over-the-counter oral iron, ferrous sulfate, other prescription oral iron formulations, including ferrous gluconate, ferrous fumerate, and polysaccharide iron complex, and IV iron formulations, including Feraheme</w:t>
      </w:r>
      <w:r>
        <w:rPr>
          <w:rFonts w:ascii="Arial" w:cs="Arial" w:eastAsia="Arial" w:hAnsi="Arial"/>
          <w:sz w:val="15"/>
          <w:szCs w:val="15"/>
          <w:color w:val="auto"/>
        </w:rPr>
        <w:t>®</w:t>
      </w:r>
      <w:r>
        <w:rPr>
          <w:rFonts w:ascii="Arial" w:cs="Arial" w:eastAsia="Arial" w:hAnsi="Arial"/>
          <w:sz w:val="18"/>
          <w:szCs w:val="18"/>
          <w:color w:val="auto"/>
        </w:rPr>
        <w:t xml:space="preserve"> (ferumoxytol injection), Venofer</w:t>
      </w:r>
      <w:r>
        <w:rPr>
          <w:rFonts w:ascii="Arial" w:cs="Arial" w:eastAsia="Arial" w:hAnsi="Arial"/>
          <w:sz w:val="15"/>
          <w:szCs w:val="15"/>
          <w:color w:val="auto"/>
        </w:rPr>
        <w:t>®</w:t>
      </w:r>
      <w:r>
        <w:rPr>
          <w:rFonts w:ascii="Arial" w:cs="Arial" w:eastAsia="Arial" w:hAnsi="Arial"/>
          <w:sz w:val="18"/>
          <w:szCs w:val="18"/>
          <w:color w:val="auto"/>
        </w:rPr>
        <w:t xml:space="preserve"> (iron sucrose injection), Ferrlicit</w:t>
      </w:r>
      <w:r>
        <w:rPr>
          <w:rFonts w:ascii="Arial" w:cs="Arial" w:eastAsia="Arial" w:hAnsi="Arial"/>
          <w:sz w:val="15"/>
          <w:szCs w:val="15"/>
          <w:color w:val="auto"/>
        </w:rPr>
        <w:t>®</w:t>
      </w:r>
      <w:r>
        <w:rPr>
          <w:rFonts w:ascii="Arial" w:cs="Arial" w:eastAsia="Arial" w:hAnsi="Arial"/>
          <w:sz w:val="18"/>
          <w:szCs w:val="18"/>
          <w:color w:val="auto"/>
        </w:rPr>
        <w:t xml:space="preserve"> (sodium ferric gluconate complex in sucrose injection), Injectafer</w:t>
      </w:r>
      <w:r>
        <w:rPr>
          <w:rFonts w:ascii="Arial" w:cs="Arial" w:eastAsia="Arial" w:hAnsi="Arial"/>
          <w:sz w:val="15"/>
          <w:szCs w:val="15"/>
          <w:color w:val="auto"/>
        </w:rPr>
        <w:t>®</w:t>
      </w:r>
      <w:r>
        <w:rPr>
          <w:rFonts w:ascii="Arial" w:cs="Arial" w:eastAsia="Arial" w:hAnsi="Arial"/>
          <w:sz w:val="18"/>
          <w:szCs w:val="18"/>
          <w:color w:val="auto"/>
        </w:rPr>
        <w:t xml:space="preserve"> (ferric carboxymaltose injection), and Triferic</w:t>
      </w:r>
      <w:r>
        <w:rPr>
          <w:rFonts w:ascii="Arial" w:cs="Arial" w:eastAsia="Arial" w:hAnsi="Arial"/>
          <w:sz w:val="15"/>
          <w:szCs w:val="15"/>
          <w:color w:val="auto"/>
        </w:rPr>
        <w:t>®</w:t>
      </w:r>
      <w:r>
        <w:rPr>
          <w:rFonts w:ascii="Arial" w:cs="Arial" w:eastAsia="Arial" w:hAnsi="Arial"/>
          <w:sz w:val="18"/>
          <w:szCs w:val="18"/>
          <w:color w:val="auto"/>
        </w:rPr>
        <w:t xml:space="preserve"> (ferric pyrophosphate citrate).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other new therapies are in development for the treatment of IDA that may impact the market for Auryxia, such as Shield Therapeutics’ Ferracru</w:t>
      </w:r>
      <w:r>
        <w:rPr>
          <w:rFonts w:ascii="Arial" w:cs="Arial" w:eastAsia="Arial" w:hAnsi="Arial"/>
          <w:sz w:val="15"/>
          <w:szCs w:val="15"/>
          <w:color w:val="auto"/>
        </w:rPr>
        <w:t>®</w:t>
      </w:r>
      <w:r>
        <w:rPr>
          <w:rFonts w:ascii="Arial" w:cs="Arial" w:eastAsia="Arial" w:hAnsi="Arial"/>
          <w:sz w:val="18"/>
          <w:szCs w:val="18"/>
          <w:color w:val="auto"/>
        </w:rPr>
        <w:t xml:space="preserve"> (ferric maltol), which is currently approved in Europe for IDA and is seeking FDA approval in the United States.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Furthermore, Aurxyia’s commercial opportunities may be reduced or eliminated if our competitors develop and market products that are less expensive, more effective or safer than Auryxia. Other companies have product candidates in various stages of pre-clinical or clinical development to treat diseases for which we are marketing Auryxia.</w:t>
      </w:r>
    </w:p>
    <w:p>
      <w:pPr>
        <w:spacing w:after="0" w:line="18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If vadadustat is approved and launched commercially, competing drugs may include EPOGEN</w:t>
      </w:r>
      <w:r>
        <w:rPr>
          <w:rFonts w:ascii="Arial" w:cs="Arial" w:eastAsia="Arial" w:hAnsi="Arial"/>
          <w:sz w:val="13"/>
          <w:szCs w:val="13"/>
          <w:color w:val="auto"/>
        </w:rPr>
        <w:t>®</w:t>
      </w:r>
      <w:r>
        <w:rPr>
          <w:rFonts w:ascii="Arial" w:cs="Arial" w:eastAsia="Arial" w:hAnsi="Arial"/>
          <w:sz w:val="16"/>
          <w:szCs w:val="16"/>
          <w:color w:val="auto"/>
        </w:rPr>
        <w:t xml:space="preserve"> (epoetin alfa) and Aranesp</w:t>
      </w:r>
      <w:r>
        <w:rPr>
          <w:rFonts w:ascii="Arial" w:cs="Arial" w:eastAsia="Arial" w:hAnsi="Arial"/>
          <w:sz w:val="13"/>
          <w:szCs w:val="13"/>
          <w:color w:val="auto"/>
        </w:rPr>
        <w:t>®</w:t>
      </w:r>
      <w:r>
        <w:rPr>
          <w:rFonts w:ascii="Arial" w:cs="Arial" w:eastAsia="Arial" w:hAnsi="Arial"/>
          <w:sz w:val="16"/>
          <w:szCs w:val="16"/>
          <w:color w:val="auto"/>
        </w:rPr>
        <w:t xml:space="preserve"> (darbepoetin alfa), both commercialized by Amgen, Procrit</w:t>
      </w:r>
      <w:r>
        <w:rPr>
          <w:rFonts w:ascii="Arial" w:cs="Arial" w:eastAsia="Arial" w:hAnsi="Arial"/>
          <w:sz w:val="13"/>
          <w:szCs w:val="13"/>
          <w:color w:val="auto"/>
        </w:rPr>
        <w:t>®</w:t>
      </w:r>
      <w:r>
        <w:rPr>
          <w:rFonts w:ascii="Arial" w:cs="Arial" w:eastAsia="Arial" w:hAnsi="Arial"/>
          <w:sz w:val="16"/>
          <w:szCs w:val="16"/>
          <w:color w:val="auto"/>
        </w:rPr>
        <w:t xml:space="preserve"> (epoetin alfa) and Eprex</w:t>
      </w:r>
      <w:r>
        <w:rPr>
          <w:rFonts w:ascii="Arial" w:cs="Arial" w:eastAsia="Arial" w:hAnsi="Arial"/>
          <w:sz w:val="13"/>
          <w:szCs w:val="13"/>
          <w:color w:val="auto"/>
        </w:rPr>
        <w:t>®</w:t>
      </w:r>
      <w:r>
        <w:rPr>
          <w:rFonts w:ascii="Arial" w:cs="Arial" w:eastAsia="Arial" w:hAnsi="Arial"/>
          <w:sz w:val="16"/>
          <w:szCs w:val="16"/>
          <w:color w:val="auto"/>
        </w:rPr>
        <w:t xml:space="preserve"> (epoetin alfa), commercialized by Johnson &amp; Johnson in the United States and Europe, respectively, and Mircera</w:t>
      </w:r>
      <w:r>
        <w:rPr>
          <w:rFonts w:ascii="Arial" w:cs="Arial" w:eastAsia="Arial" w:hAnsi="Arial"/>
          <w:sz w:val="13"/>
          <w:szCs w:val="13"/>
          <w:color w:val="auto"/>
        </w:rPr>
        <w:t>®</w:t>
      </w:r>
      <w:r>
        <w:rPr>
          <w:rFonts w:ascii="Arial" w:cs="Arial" w:eastAsia="Arial" w:hAnsi="Arial"/>
          <w:sz w:val="16"/>
          <w:szCs w:val="16"/>
          <w:color w:val="auto"/>
        </w:rPr>
        <w:t xml:space="preserve"> (methoxy PEG-epoetin beta), commercialized by Vifor Pharma in the United States and Roche Holding Ltd. outside the United States. We may also face competition from potential new anemia therapies. There are several other HIF-PHI product candidates in various stages of development for anemia indications that may be in direct competition with vadadustat if and when they are approved and launched commercially. These candidates are being developed by such companies as FibroGen, Japan Tobacco International, GlaxoSmithKline plc and Bayer HealthCare AG. FibroGen, together with its collaboration partners, Astellas Pharma Inc. and AstraZeneca PLC, is currently in global Phase 3 clinical development of its product candidate, roxadustat. GlaxoSmithKline plc is currently in global Phase 3 clinical development of its product candidate, daprodustat. Japan Tobacco International and Bayer HealthCare AG are currently in Phase 3 clinical development of their product candidates in Japan. Some of these product candidates may launch in certain Asian markets as early as 2019. In addition, certain companies are developing potential new therapies for renal-related diseases that could potentially reduce injectable ESA utilization and thus limit the market potential for vadadustat if they are approved and launched commercially. Other new therapies are in development for the treatment of conditions inclusive of renal anemia that may impact the market for anemia-targeted treatment.</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biosimilar is a biologic product that is approved based on demonstrating that it is highly similar to an existing, FDA-approved branded biologic product. The patents for the existing, branded biologic product must expire in a given market before biosimilars may enter that market without risk of being sued for patent infringement. In addition, an application for a biosimilar product cannot be approved by the FDA until 12 years after the existing, branded product was approved under a Biologics License Application, or BLA. The patents for epoetin alfa, an injectable ESA, expired in 2004 in the EU, and the remaining patents expired between 2012 and 2016 in the United States. Because injectable ESAs are biologic products, the introduction of biosimilars into the injectable ESA market in the United States will constitute additional competition for vadadustat if we are able to obtain approval for and commercially launch our product. Several biosimilar versions of injectable ESAs are available for sale in the EU. In the United States, Pfizer’s biosimilar version of injectable ESAs, Retacrit</w:t>
      </w:r>
      <w:r>
        <w:rPr>
          <w:rFonts w:ascii="Arial" w:cs="Arial" w:eastAsia="Arial" w:hAnsi="Arial"/>
          <w:sz w:val="14"/>
          <w:szCs w:val="14"/>
          <w:color w:val="auto"/>
        </w:rPr>
        <w:t>®</w:t>
      </w:r>
      <w:r>
        <w:rPr>
          <w:rFonts w:ascii="Arial" w:cs="Arial" w:eastAsia="Arial" w:hAnsi="Arial"/>
          <w:sz w:val="17"/>
          <w:szCs w:val="17"/>
          <w:color w:val="auto"/>
        </w:rPr>
        <w:t xml:space="preserve"> (epoetin alfa-epbx), was approved by the FDA in May 2018 and launched in November 2018.</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7"/>
          <w:szCs w:val="17"/>
          <w:color w:val="auto"/>
        </w:rPr>
        <w:t>Many of our potential competitors have significantly greater financial, manufacturing, marketing, drug development, technical and human resources than we do. Large pharmaceutical companies, in particular, have extensive experience in clinical testing, obtaining marketing approvals, recruiting patients and manufacturing pharmaceutical products. Large and established companies such as Amgen and Roche, among others, compete in the market for drug products to treat kidney disease. In particular, these companies have greater experience and expertise in conducting preclinical testing and clinical trials, obtaining marketing approvals,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are developing obsolete. Smaller and other early stage companies may also prove to be significant competitors. As a result of all of these factors, our competitors may succeed in obtaining patent protection and/or marketing approval, or discovering, developing and commercializing competitive products, before, or more effectively than, we do. If we are not able to compete effectively against potential competitors, our business will not grow and our financial condition and operations will suffer.</w:t>
      </w:r>
    </w:p>
    <w:p>
      <w:pPr>
        <w:spacing w:after="0" w:line="2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The commercialization of Riona in Japan, our efforts with respect to the potential commercialization of Fexeric in the EU and our current and future efforts with respect to the development and commercialization of our products and product candidates outside of the United States subject us to a variety of risks associated with international operations, which could materially adversely affect our business.</w:t>
      </w:r>
    </w:p>
    <w:p>
      <w:pPr>
        <w:spacing w:after="0" w:line="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Japanese sublicensee, JT, and its subsidiary, Torii, commercialize Riona as an oral treatment for the improvement of hyperphosphatemia in patients with DD-CKD and NDD-CKD in Japan. While Fexeric is not currently marked in the EU, Fexeric has received conditional marketing approval in the EU as an oral treatment for the control of hyperphosphatemia in adult patients with DD-CKD and NDD-CKD, and we are continuing efforts to find a suitable commercialization partner for Fexeric in the EU. We also granted Otsuka Pharmaceutical Co. Ltd., or Otsuka, exclusive rights to commercialize vadadustat in Europe, China and certain other markets, subject to marketing approvals. In Japan and certain other countries in Asia, we granted Mitsubishi Tanabe Pharma Corporation, or MTPC, exclusive rights to commercialize vadadustat, subject to marketing approvals. We are also conducting our global Phase 3 development with respect to vadadustat for the treatment of anemia due to CKD, and MTPC is carrying out development efforts for vadadustat in Japan. As a result of these and other activities, we are or may become subject to additional risks in developing and commercializing our product and product candidates outside the United States, including:</w:t>
      </w:r>
    </w:p>
    <w:p>
      <w:pPr>
        <w:spacing w:after="0" w:line="74"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political, regulatory, compliance and economic developments that could restrict our ability to manufacture, market and sell our products;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health care policies of foreign jurisdictions;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relationships with qualified local distributors and trading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and economic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w:t>
      </w:r>
    </w:p>
    <w:p>
      <w:pPr>
        <w:spacing w:after="0" w:line="117" w:lineRule="exact"/>
        <w:rPr>
          <w:rFonts w:ascii="Arial" w:cs="Arial" w:eastAsia="Arial" w:hAnsi="Arial"/>
          <w:sz w:val="18"/>
          <w:szCs w:val="18"/>
          <w:color w:val="auto"/>
        </w:rPr>
      </w:pPr>
    </w:p>
    <w:p>
      <w:pPr>
        <w:jc w:val="both"/>
        <w:ind w:left="1040" w:right="120" w:hanging="519"/>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distributors’ and service providers’ activities that may fall within the purview of the U.S. Foreign Corrupt Practices Act, or FCPA, the UK Bribery Act or similar local regulation;</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the EU General Data Protection Regulation, or GDPR;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and if we continue to expand our commercialization efforts, we may encounter new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Clinical Development of Vadadustat and our Other Product Candidates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In addition to Auryxia, we will continue to depend heavily on the success of our product candidate, vadadustat, which is currently in Phase 3 development. Clinical drug development involves a lengthy and expensive process with an uncertain outcome. We will incur additional costs in connection with, and may experience delays in completing, or ultimately be unable to complete, the development and commercialization of vadadustat and any other product candidates.</w:t>
      </w:r>
    </w:p>
    <w:p>
      <w:pPr>
        <w:spacing w:after="0" w:line="7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risk of failure in drug development is high. We currently have only one commercial product, Auryxia, and one product candidate, vadadustat, in clinical development, and we depend heavily on the successful commercialization of Auryxia and the successful clinical development, marketing approval and commercialization of vadadustat, which may never occur. Before obtaining marketing approval from regulatory authorities for the sale of any product candidate, we must complete preclinical development and conduct extensive clinical trials to demonstrate the safety and efficacy of our product candidates in humans. Clinical trials are expensive, difficult to design and implement, can take several years to complete, and their outcomes are inherently uncertain. Failure can occur at any time during the clinical trial process. Further, the results of preclinical studies and early clinical trials of our product candidates may not be predictive of the results of later-stage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It is impossible to predict when or if any of our product candidates will prove effective or safe in humans or will receive marketing approval.</w:t>
      </w:r>
    </w:p>
    <w:p>
      <w:pPr>
        <w:spacing w:after="0" w:line="16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may experience numerous unforeseen events during, or as a result of, clinical trials that could delay or prevent our ability to receive or maintain marketing approval or commercialize our product candidates. Our clinical trials may take longer to complete than currently anticipated, or may be delayed, suspended, required to be repeated, prematurely terminated or may not successfully demonstrate safety and/or efficacy for a variety of other reasons, such as:</w:t>
      </w:r>
    </w:p>
    <w:p>
      <w:pPr>
        <w:spacing w:after="0" w:line="39"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are greater than we anticipate;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enrollment in our clinical trials and accrual of MACE events may be slower than we anticipate, or participants may drop out of these clinical trials at a higher rate than we anticipate;</w:t>
      </w:r>
    </w:p>
    <w:p>
      <w:pPr>
        <w:spacing w:after="0" w:line="62"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contractors, such as our CRO’s, may fail to comply with regulatory requirements, perform effectively, or meet their contractual obligations to us in a timely manner, or at all, or we may fail to communicate effectively or provide the appropriate level of oversight of such third-party contractors;</w:t>
      </w:r>
    </w:p>
    <w:p>
      <w:pPr>
        <w:spacing w:after="0" w:line="73"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or quality of our starting materials, drug substance and drug product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international data monitoring committees, or IDMCs, institutional review boards, or IRBs, safety committees, or ethics committees, may require that we suspend or terminate our clinical trials for various reasons, including noncompliance with regulatory requirements, unforeseen safety issues or adverse side effects, failure to demonstrate a benefit from using our product candidate, or a finding that the participants are being exposed to unacceptable health risks;</w:t>
      </w:r>
    </w:p>
    <w:p>
      <w:pPr>
        <w:spacing w:after="0" w:line="78"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repeat a clinical trial or abandon product development programs;</w:t>
      </w:r>
    </w:p>
    <w:p>
      <w:pPr>
        <w:spacing w:after="0" w:line="62" w:lineRule="exact"/>
        <w:rPr>
          <w:rFonts w:ascii="Arial" w:cs="Arial" w:eastAsia="Arial" w:hAnsi="Arial"/>
          <w:sz w:val="18"/>
          <w:szCs w:val="18"/>
          <w:color w:val="auto"/>
        </w:rPr>
      </w:pPr>
    </w:p>
    <w:p>
      <w:pPr>
        <w:ind w:left="1040" w:right="300" w:hanging="519"/>
        <w:spacing w:after="0" w:line="342"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lack of adequate funding to continue a clinical trial, including unforeseen costs due to enrollment delays, requirements to conduct additional clinical trials or repeat a clinical trial and increased expenses associated with the services of our CROs and other third parties;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left="1040" w:right="100" w:hanging="519"/>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initiate, delay of or failure to complete a clinical trial as a result of an Investigational New Drug application, or IND, being placed on clinical hold by the FDA, the EMA, the Japanese Pharmaceuticals and Medical Devices Agency, or PMDA, or other regulatory authorities, or for other reasons;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determine to change or expand a clinical trial, including after it has begun;</w:t>
      </w:r>
    </w:p>
    <w:p>
      <w:pPr>
        <w:spacing w:after="0" w:line="117" w:lineRule="exact"/>
        <w:rPr>
          <w:rFonts w:ascii="Arial" w:cs="Arial" w:eastAsia="Arial" w:hAnsi="Arial"/>
          <w:sz w:val="18"/>
          <w:szCs w:val="18"/>
          <w:color w:val="auto"/>
        </w:rPr>
      </w:pPr>
    </w:p>
    <w:p>
      <w:pPr>
        <w:jc w:val="both"/>
        <w:ind w:left="1040" w:right="80" w:hanging="519"/>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 sites and investigators deviating from the clinical protocol, failing to conduct the trial in accordance with regulatory requirements, or dropping out of a trial, or failure by us or our CROs to communicate effectively or provide the appropriate level of oversight of such clinical sites and investigators;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in having subjects complete a clinical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clinical trial;</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clinical trial sites, many of which may already be engaged in other clinical programs;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in reaching agreement with the FDA, the EMA, PMDA or other regulatory authorities on a clinical trial design upon which we are able to execute;</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clinical trial or inability to comply with conditions imposed by a regulatory authority regarding the scope or design of a clinical trial;</w:t>
      </w:r>
    </w:p>
    <w:p>
      <w:pPr>
        <w:spacing w:after="0" w:line="62"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terms with prospective clinical trial sites and prospective CROs, the terms of which can be subject to extensive negotiation and may vary significantly among different CROs and clinical trial sites;</w:t>
      </w:r>
    </w:p>
    <w:p>
      <w:pPr>
        <w:spacing w:after="0" w:line="3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the EMA, PMDA or other regulatory authorities may require us to submit additional data or impose further requirements before permitting us to initiate a clinical trial or during an ongoing clinical trial;</w:t>
      </w:r>
    </w:p>
    <w:p>
      <w:pPr>
        <w:spacing w:after="0" w:line="62"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FDA, the EMA, PMDA or other regulatory authorities may disagree with our clinical trial design and our interpretation of data from clinical trials, or may change the requirements for approval even after it has reviewed and commented on the design for our clinical trials;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 of our clinical trials;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comply with good practice quality guidelines and regulations, or GXP, including good laboratory practice, or GLP, good clinical practice, or GCP, and current good manufacturing practice, or cGMP;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we are unable to successfully complete clinical trials of our product candidates or other studies, if the results of those trials and studies are not positive or are only modestly positive, or if there are concerns with the profile due to efficacy or safety, or if any of the factors listed above occur, the following may occur:</w:t>
      </w:r>
    </w:p>
    <w:p>
      <w:pPr>
        <w:spacing w:after="0" w:line="73" w:lineRule="exact"/>
        <w:rPr>
          <w:sz w:val="20"/>
          <w:szCs w:val="20"/>
          <w:color w:val="auto"/>
        </w:rPr>
      </w:pPr>
    </w:p>
    <w:p>
      <w:pPr>
        <w:ind w:left="1040" w:right="1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regulators may require that we conduct additional clinical trials, repeat clinical trials or conduct other studies of our product candidates beyond those that we currently contemplate;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obtain marketing approval for our product candidates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obtain approval with labeling that includes significant use or distribution restrictions or safety warnings that would reduce the potential market for our products or inhibit our ability to successfully commercialize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subject to additional post-marketing restrictions and/or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may be removed from the market after obtaining marketing approval.</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product development costs will also increase if we experience delays in preclinical and clinical development or receiving the requisite marketing approvals. Our preclinical studies or clinical trials may need to be restructured or may not be completed on schedule, or at all. Significant preclinical or clinical trial delays also could shorten any periods during which we may have the exclusive right to commercialize our product candidates or allow our competitors to bring products to market before we do. This could impair our ability to successfully commercialize our product candidates and may harm our business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ind w:right="240"/>
        <w:spacing w:after="0" w:line="308" w:lineRule="auto"/>
        <w:rPr>
          <w:sz w:val="20"/>
          <w:szCs w:val="20"/>
          <w:color w:val="auto"/>
        </w:rPr>
      </w:pPr>
      <w:r>
        <w:rPr>
          <w:rFonts w:ascii="Arial" w:cs="Arial" w:eastAsia="Arial" w:hAnsi="Arial"/>
          <w:sz w:val="17"/>
          <w:szCs w:val="17"/>
          <w:b w:val="1"/>
          <w:bCs w:val="1"/>
          <w:i w:val="1"/>
          <w:iCs w:val="1"/>
          <w:color w:val="auto"/>
        </w:rPr>
        <w:t>Even if we obtain favorable clinical results in our Phase 3 studies, we may not be able to obtain marketing approval for, or successfully commercialize, vadadustat, or we may experience significant delays in doing so, any of which would materially harm our business.</w:t>
      </w:r>
    </w:p>
    <w:p>
      <w:pPr>
        <w:spacing w:after="0" w:line="3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clinical trials of our product candidates are, and the manufacturing and marketing of our product candidates will be, subject to extensive and rigorous review and regulation by numerous governmental authorities in the United States, and in other countries where we and our collaborators intend to test and, if approved, market any product candidates. Before obtaining marketing approval for the commercial sale of any product candidate, we must demonstrate through extensive preclinical testing and clinical trials that the product candidate is safe and effective for use in each target indication. This process can take many years and marketing approval may never be achieved. Of the large number of drugs in development in the United States and in other jurisdictions, only a small percentage successfully complete the FDA’s and other jurisdictions’ marketing approval processes and are commercialized. Accordingly, even if we are able to obtain the requisite capital to continue to fund our development programs, we may be unable to successfully develop or commercialize vadadustat or any other product candidates.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Otsuka, our collaboration partner, are not permitted to market vadadustat in the United States until we receive approval from the FDA, in the EU until we receive approval from the EMA, or in any other jurisdiction until the requisite approval from regulatory authorities in such jurisdiction is received. MTPC, our collaboration partner in Asia, will not be permitted to market vadadustat in Japan without approval from the PMDA or in any other jurisdiction until the requisite approval from regulatory authorities in such jurisdiction is received. As a condition to receiving marketing approval for vadadustat, we must complete Phase 3 studies and any additional preclinical or clinical studies required by the FDA, the EMA, PMDA or other regulatory authorities. Vadadustat may not be successful in clinical trials or receive marketing approval. Further, vadadustat may not receive marketing approval even if it is successful in clinical trials.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Obtaining marketing approval in the United States and other jurisdictions is a complex, lengthy, expensive and uncertain process that typically takes many years and depends upon numerous factors, including the substantial discretion of the regulatory authorities. Even if our product candidates demonstrate safety and efficacy in clinical studies, the regulatory agencies may not complete their review processes in a timely manner, or we may not be able to obtain marketing approval. In addition, the safety concerns associated with injectable ESAs may affect the FDA’s, EMA’s, PMDA’s or other regulatory authorities’ review of the safety results of compounds in development for treatment of the same indications as injectable ESAs, including vadadustat. Further, the policies or regulations, or the type and amount of clinical data necessary to gain approval, may change during the course of a product candidate’s clinical development and may vary among jurisdictions. It is possible that vadadustat and any other product candidates will never obtain marketing approval. The FDA may delay, limit or deny approval of vadadustat or any other product candidates for many reasons including, among others:</w:t>
      </w:r>
    </w:p>
    <w:p>
      <w:pPr>
        <w:spacing w:after="0" w:line="58" w:lineRule="exact"/>
        <w:rPr>
          <w:sz w:val="20"/>
          <w:szCs w:val="20"/>
          <w:color w:val="auto"/>
        </w:rPr>
      </w:pPr>
    </w:p>
    <w:p>
      <w:pPr>
        <w:ind w:left="1040" w:right="2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to demonstrate that vadadustat is safe and effective in treating anemia due to CKD or that any other product candidate is safe and effective for its proposed indication(s) to the satisfaction of the FDA;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clinical trials may only be modestly positive, or there may be concerns with the profile due to efficacy or safety;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may require us to complete both the INNO</w:t>
      </w:r>
      <w:r>
        <w:rPr>
          <w:rFonts w:ascii="Arial" w:cs="Arial" w:eastAsia="Arial" w:hAnsi="Arial"/>
          <w:sz w:val="15"/>
          <w:szCs w:val="15"/>
          <w:color w:val="auto"/>
        </w:rPr>
        <w:t>2</w:t>
      </w:r>
      <w:r>
        <w:rPr>
          <w:rFonts w:ascii="Arial" w:cs="Arial" w:eastAsia="Arial" w:hAnsi="Arial"/>
          <w:sz w:val="18"/>
          <w:szCs w:val="18"/>
          <w:color w:val="auto"/>
        </w:rPr>
        <w:t>VATE clinical program and the PRO</w:t>
      </w:r>
      <w:r>
        <w:rPr>
          <w:rFonts w:ascii="Arial" w:cs="Arial" w:eastAsia="Arial" w:hAnsi="Arial"/>
          <w:sz w:val="15"/>
          <w:szCs w:val="15"/>
          <w:color w:val="auto"/>
        </w:rPr>
        <w:t>2</w:t>
      </w:r>
      <w:r>
        <w:rPr>
          <w:rFonts w:ascii="Arial" w:cs="Arial" w:eastAsia="Arial" w:hAnsi="Arial"/>
          <w:sz w:val="18"/>
          <w:szCs w:val="18"/>
          <w:color w:val="auto"/>
        </w:rPr>
        <w:t>TECT clinical program for vadadustat prior to filing our NDA even if one of these programs finishes in advance of the other;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we request for vadadustat or any other product candidate;</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may approve vadadustat or any other product candidate for use only in a small patient population or for fewer or more limited indications than we request;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 or repeat one or more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may grant approval contingent on the performance of costly post-marketing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CROs or vendors, may fail to comply with GXP;</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CROs that we retain to conduct our clinical trials may not perform effectively or take actions that adversely impact our clinical trials, or we may fail to communicate effectively or provide the appropriate level of oversight of our CROs;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third party manufacturers may fail to perform in accordance with the FDA’s cGMP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p>
      <w:pPr>
        <w:ind w:left="1040" w:right="1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may disagree with inclusion of data obtained from certain regions outside the United States to support the NDA for potential reasons such as differences in clinical practice from United States standards;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could deem that our financial relationships with certain principal investigators constitute a conflict of interest, such that the data from those principal investigators may not be used to support our applications;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FDA Advisory Committee or other regulatory advisory group or authority could recommend non-approval or restrictions on approval;</w:t>
      </w:r>
    </w:p>
    <w:p>
      <w:pPr>
        <w:spacing w:after="0" w:line="12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FDA’s decision-making regarding vadadustat and any other product candidates may be impacted by the results of competitors’ clinical trials and safety concerns of marketed products used to treat the same indications as the indications for which vadadustat and any other product candidates are being developed;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may not approve the manufacturing processes or facilities of third party manufacturers with whom we contract; or</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requires us to amend or submit new clinical protocols.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similar reasons may cause the EMA or PMDA or other regulatory authorities to delay, limit or deny approval of vadadustat or any other product candidate outside the United States.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If we experience delays in obtaining approval, or if we fail to obtain approval of our product candidates, the commercial prospects for our product candidates may be harmed and our ability to generate revenues will be materially impaired, which could have a material adverse effect on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find it difficult to enroll patients in our clinical studies, which could delay or prevent clinical studies of our product candidates.</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Patients may be unwilling to participate in our clinical studies of vadadustat or other product candidates because of concerns about adverse events observed with injectable ESAs, other investigational agents and commercial products in CKD or for other reasons, including competitive clinical studies for similar patient populations. In addition, patients currently receiving treatment with injectable ESAs may be reluctant to participate in a clinical trial with an investigational drug. Finally, competition for clinical trial sites may limit our access to subjects appropriate for studies of vadadustat and any other product candidates. As a result, the timeline for recruiting patients, conducting studies and obtaining marketing approval of vadadustat and any other product candidates may be delayed. These delays could result in increased costs, delays in advancing our development of vadadustat and any other product candidates, or termination of the clinical studies altogether.</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studies in a timely manner. Patient enrollment is affected by many factors, including:</w:t>
      </w:r>
    </w:p>
    <w:p>
      <w:pPr>
        <w:spacing w:after="0" w:line="62"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 and clinicians’ and patients’ perceptions as to the potential advantages of the product candidate being studied in relation to available therapies or other product candidates in development;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8" w:name="page59"/>
    <w:bookmarkEnd w:id="58"/>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trial sites and investigators failing to perform effectively;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We may not be able to initiate or continue clinical studies if we cannot enroll a sufficient number of eligible patients to participate in the clinical studies required by regulatory agencies. If we have difficulty enrolling a sufficient number of patients to conduct our clinical studies as planned, we may need to delay, limit or terminate ongoing or planned clinical studies, any of which could have a material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conduct clinical trials in some jurisdictions outside of the United States.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and our collaboration partners currently expect to seek marketing approval of vadadustat for the treatment of anemia due to CKD in markets outside the United States, including the EU and Japan. Our ability to successfully initiate, enroll and complete a clinical study in any country outside of the United States is subject to numerous additional risks unique to conducting business in jurisdictions outside the United States, including:</w:t>
      </w:r>
    </w:p>
    <w:p>
      <w:pPr>
        <w:spacing w:after="0" w:line="57"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physicians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in complying with various and complex import laws and regulations when shipping drug to certain countries; and</w:t>
      </w:r>
    </w:p>
    <w:p>
      <w:pPr>
        <w:spacing w:after="0" w:line="117"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treatments.</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Data obtained from studies conducted in the United States may not be accepted by the EMA, PMDA and other regulatory authorities outside of the United States. Also, certain jurisdictions require data from studies conducted in their country in order to obtain approval in that country. For example, in Japan, MTPC is conducting a Phase 3 program of vadadustat, which is separate from our global Phase 3 program of vadadustat.</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or our collaboration partners have difficulty conducting our clinical studies in jurisdictions outside the United States as planned, we may need to delay, limit or terminate ongoing or planned clinical studies, any of which could have a material adverse effect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Positive results from preclinical and clinical studies are not necessarily predictive of the results of any future clinical studies.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successful results from early or small clinical trials may not be replicated in later and larger clinical trials, and successful interim results from ongoing clinical studies may not be indicative of results obtained when those studies are completed. For example, our encouraging preclinical and clinical results for vadadustat thus far do not ensure that the results of any future clinical trials will demonstrate similar results. Our global Phase 3 development program for vadadustat is enrolling a larger number of subjects and will treat subjects for longer periods than our prior trials, which will result in a greater likelihood that adverse events may be observed. Due to these and other differences between our global Phase 3 development program for vadadustat and our prior trials, our positive results from preclinical and clinical studies may not be replicated in our global Phase 3 development program for vadadustat. Many companies in the biopharmaceutical industry have suffered significant setbacks in late-stage clinical trials after achieving positive results in early stage development, and we may face similar setbacks. If the results of our ongoing or future clinical trials for vadadustat or any other product candidates are inconclusive with respect to efficacy, if we do not meet our clinical endpoints with statistical significance, or if there are safety concerns or adverse events, we may be prevented from or delayed in obtaining marketing approval for vadadustat or any other product candidates.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59" w:name="page60"/>
    <w:bookmarkEnd w:id="59"/>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acquire, discover, develop and commercialize additional products or product candidates, which could impair our ability to grow.</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continue to focus a substantial amount of our efforts on the commercialization of Auryxia and the development and potential commercialization of vadadustat, a key element of our long-term growth strategy is to acquire, develop and/or market additional products and product candidates. Research programs to identify product candidates require substantial technical, financial and human resources, regardless of whether product candidates are ultimately identified. Our research and development programs may initially show promise, yet fail to yield product candidates for clinical development or commercialization for many reasons, including the following:</w:t>
      </w:r>
    </w:p>
    <w:p>
      <w:pPr>
        <w:spacing w:after="0" w:line="80"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product candidate may be shown to have harmful side effects, a lack of efficacy or otherwise does not meet applicable regulatory criteria;</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third-party patents or other exclusive rights;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3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If any of these events occurs, we may be forced to abandon our development efforts for one or more of our programs, or we may not be able to identify, discover, develop or commercialize additional product candidates, which would have a material adverse effect on our business.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for specific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our internal research capabilities are limited, we may be dependent upon other pharmaceutical and biotechnology companies, academic scientists, and other researchers to sell or license products or technology to us. The success of this strategy depends partly upon our ability to identify, select, and acquire promising product candidates and products. The process of proposing, negotiating and implementing a license or acquisition of a product candidate or an approved product is lengthy and complex. Other companies, including some with substantially greater financial, marketing and sales resources, may compete with us for the license or acquisition of a product candidate or an approved product. We have limited resources to identify and execute the acquisition or in-licensing of third-party products, businesses, and technologies and integrate them into our current infrastructure.</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we may devote resources to potential acquisitions or in-licensing opportunities that are never completed, or we may fail to realize the anticipated benefits of such efforts, including, for example, with respect to the Merger. Any product candidate that we acquire may require additional development efforts prior to commercial sale, including extensive clinical testing and approval by the FDA, the EMA, PMDA or other regulatory authorities, or post-approval testing or other requirements if approved.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achieve market acceptance or not require substantial post-marketing clinical trials.</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acquire or develop suitable potential product candidates or approved products, which could materially adversely affect our future growth and prospects. We may focus our efforts and resources on potential product candidates or other programs that ultimately prove to be unsuccessful.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right="640"/>
        <w:spacing w:after="0" w:line="277" w:lineRule="auto"/>
        <w:rPr>
          <w:sz w:val="20"/>
          <w:szCs w:val="20"/>
          <w:color w:val="auto"/>
        </w:rPr>
      </w:pPr>
      <w:r>
        <w:rPr>
          <w:rFonts w:ascii="Arial" w:cs="Arial" w:eastAsia="Arial" w:hAnsi="Arial"/>
          <w:sz w:val="18"/>
          <w:szCs w:val="18"/>
          <w:b w:val="1"/>
          <w:bCs w:val="1"/>
          <w:i w:val="1"/>
          <w:iCs w:val="1"/>
          <w:color w:val="auto"/>
        </w:rPr>
        <w:t>Auryxia, vadadustat or other products and product candidates may cause undesirable side effects or have other properties that delay or limit their commercial potential, or in the case of our product candidates, prevent their marketing approval.</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Undesirable side effects caused by our product or product candidates or competing products in development that utilize a common mechanism of action could cause us or regulatory authorities to interrupt, delay or halt clinical trials, could result in a more restrictive label or the delay, denial or withdrawal of marketing approval by the FDA or other regulatory authorities, and could lead to potential product liability claims. Results of our clinical trials could reveal a high and unacceptable severity and prevalence of side effects or unexpected characteristics.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or others identify undesirable side effects caused by Auryxia, vadadustat, or other products or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patient recruitment could be slowed, and enrolled patients may not want to complete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be unable to obtain marketing approval for our product candidates or regulatory authorities may withdraw approvals of products;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authorities may require warnings on the label such as the warning on Auryxia’s label regarding iron overload;</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Evaluation and Mitigation Strategies, or REMS, or FDA-imposed risk management plans that use risk minimization strategies to ensure that the benefits of certain prescription drugs outweigh their risks, may be required;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marketing approval and, ultimately, market acceptance of Auryxia, vadadustat or other products or product candidates, could substantially increase our costs, and could significantly impact our ability to successfully commercialize Auryxia, vadadustat, or other products and product candidates and generate revenues.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patient populations treated with Auryxia and the subjects in our clinical studies for vadadustat, have CKD, a serious disease that increases the risk of cardiovascular disease including heart attacks and stroke and, ultimately, may cause kidney failure. Many patients with CKD are elderly with comorbidities making them susceptible to significant health risks. Therefore, the likelihood of these subjects having adverse events, including serious adverse events, while participating in our studies is high. In our Phase 1 and Phase 2 studies of vadadustat, adverse events were reported. For example, in our Phase 2b study of vadadustat in non-dialysis subjects with anemia due to CKD, one subject with multiple co-morbidities and concomitant medications, including chlorthalidone, had a serious adverse event of liver function test abnormal, considered a case of drug induced liver injury meeting the biochemical criteria of Hy’s Law, which was assessed as probably related to vadadustat. Serious adverse events considered related to vadadustat and any other product candidates could have a material adverse effect on the development of such product candidates and our business as a whole. Our understanding of adverse events in prior clinical trials of our product candidates may change as we gather more information, and additional unexpected adverse events may be observed in future clinical trials.</w:t>
      </w:r>
    </w:p>
    <w:p>
      <w:pPr>
        <w:spacing w:after="0" w:line="19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most commonly reported adverse reactions in the clinical trials that supported the approval of Auryxia for the Hyperphosphatemia Indication in the United States included diarrhea (21%), discolored feces (19%), nausea (11%), constipation (8%), vomiting (7%), and cough (6%). Gastrointestinal adverse reactions were the most common reason for discontinuing Auryxia (14%) in clinical trials for the Hyperphosphatemia Indication. The most commonly reported adverse reactions in the clinical trials that supported the approval of Auryxia in the United States for the IDA Indication included discolored feces (22%), diarrhea (21%), constipation (18%), nausea (10%), abdominal pain (5%) and hyperkalemia (5%). Diarrhea was the most common reason for discontinuing Auryxia (2.6%) in clinical trials for the IDA Indication.</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Furthermore, any post-marketing clinical trials conducted, if successful, may expand the patient populations treated with Auryxia. or any other products we acquire or for which we receive marketing approval, within or outside of their current indications or patient populations, which could result in the identification of previously unknown side effects, increased frequency or severity of known side effects, or detection of unexpected safety signals. In addition, as Auryxia and any other products are commercialized, they will be used in larger patient populations and in less rigorously controlled environments than in clinical studies. As a result, regulatory authorities, healthcare practitioners, third-party payors or patients may perceive or conclude that the use of Auryxia or any other products are associated with serious adverse effects, undermining our commercialization efforts.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ind w:right="100"/>
        <w:spacing w:after="0" w:line="279" w:lineRule="auto"/>
        <w:rPr>
          <w:sz w:val="20"/>
          <w:szCs w:val="20"/>
          <w:color w:val="auto"/>
        </w:rPr>
      </w:pPr>
      <w:r>
        <w:rPr>
          <w:rFonts w:ascii="Arial" w:cs="Arial" w:eastAsia="Arial" w:hAnsi="Arial"/>
          <w:sz w:val="17"/>
          <w:szCs w:val="17"/>
          <w:color w:val="auto"/>
        </w:rPr>
        <w:t>Further, if we or others identify previously unknown side effects, if known side effects are more frequent or severe than in the past, if we or others detect unexpected safety signals for our products or product candidates, including Auryxia, vadadustat, or any product or product candidate perceived to be similar to Auryxia, vadadustat, or our other product candidates, or if any of the foregoing are perceived to have occurred, either before or after receipt of marketing approval, a number of potentially significant negative consequences could result, including:</w:t>
      </w:r>
    </w:p>
    <w:p>
      <w:pPr>
        <w:spacing w:after="0" w:line="63"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may be impaired;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approvals may be restricted or withdrawn;</w:t>
      </w:r>
    </w:p>
    <w:p>
      <w:pPr>
        <w:spacing w:after="0" w:line="117"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decide to, or be required to, send drug warnings or safety alerts to physicians, pharmacists and hospitals (or FDA or other regulatory authority may choose to issue such alerts), or we may decide to conduct a product recall or be requested to do so by the FDA or other regulatory authority;</w:t>
      </w:r>
    </w:p>
    <w:p>
      <w:pPr>
        <w:spacing w:after="0" w:line="73"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reformulation of the product, additional nonclinical or clinical studies, changes in labeling or changes to or re-approvals of manufacturing facilities may be required;</w:t>
      </w:r>
    </w:p>
    <w:p>
      <w:pPr>
        <w:spacing w:after="0" w:line="62" w:lineRule="exact"/>
        <w:rPr>
          <w:rFonts w:ascii="Arial" w:cs="Arial" w:eastAsia="Arial" w:hAnsi="Arial"/>
          <w:sz w:val="18"/>
          <w:szCs w:val="18"/>
          <w:color w:val="auto"/>
        </w:rPr>
      </w:pPr>
    </w:p>
    <w:p>
      <w:pPr>
        <w:ind w:left="1040" w:right="460" w:hanging="519"/>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may be precluded from pursuing additional development opportunities to enhance the clinical profile of a product within its indicated populations, or studying the product or product candidate in additional indications and populations or in new formulations;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government investigations or lawsuits, including class action suits, may be brought against us.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of the above occurrences could delay or prevent us from achieving or maintaining marketing approval, harm or prevent sales of Auryxia or, if approved, vadadustat or other product candidates, increase our expenses and impair or prevent our ability to successfully commercialize Auryxia, vadadustat or other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We are subject to a complex regulatory scheme that requires significant resources to ensure compliance. Failure to comply with applicable laws could subject us to government scrutiny or government enforcement, potentially resulting in costly investigations and/or fines or sanctions, or impacting our relationships with key regulatory agencies such as the FDA or the EMA.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variety of laws apply to us or may otherwise restrict our activities, including the following:</w:t>
      </w:r>
    </w:p>
    <w:p>
      <w:pPr>
        <w:spacing w:after="0" w:line="117" w:lineRule="exact"/>
        <w:rPr>
          <w:sz w:val="20"/>
          <w:szCs w:val="20"/>
          <w:color w:val="auto"/>
        </w:rPr>
      </w:pPr>
    </w:p>
    <w:p>
      <w:pPr>
        <w:ind w:left="1040" w:right="7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laws and regulations governing the conduct of preclinical and clinical studies in the United States and other countries in which we are conducting such studies;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laws and regulations in the United States and in countries in which we are interacting with health care providers, patients, patient organizations and other constituencies that prohibit promoting a drug prior to approval and/or reimbursement;</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laws and regulations of countries outside the United States that prohibit pharmaceutical companies from promoting prescription drugs to the general public;</w:t>
      </w:r>
    </w:p>
    <w:p>
      <w:pPr>
        <w:spacing w:after="0" w:line="62" w:lineRule="exact"/>
        <w:rPr>
          <w:rFonts w:ascii="Arial" w:cs="Arial" w:eastAsia="Arial" w:hAnsi="Arial"/>
          <w:sz w:val="18"/>
          <w:szCs w:val="18"/>
          <w:color w:val="auto"/>
        </w:rPr>
      </w:pPr>
    </w:p>
    <w:p>
      <w:pPr>
        <w:ind w:left="1040" w:right="20" w:hanging="519"/>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laws, regulations and industry codes that vary from country to country and govern our relationships with health care providers, patients, patient organizations, and other constituencies, prohibit certain types of gifts and entertainment, establish codes of conduct and, in some instances, require disclosure to, or approval by, regulatory authorities for us to engage in arrangements with such constituencies;</w:t>
      </w:r>
    </w:p>
    <w:p>
      <w:pPr>
        <w:spacing w:after="0" w:line="57"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anti-corruption and anti-bribery laws, including the FCPA, the UK Bribery Act and various other anti-corruption laws in countries outside of the United States;</w:t>
      </w:r>
    </w:p>
    <w:p>
      <w:pPr>
        <w:spacing w:after="0" w:line="62" w:lineRule="exact"/>
        <w:rPr>
          <w:rFonts w:ascii="Arial" w:cs="Arial" w:eastAsia="Arial" w:hAnsi="Arial"/>
          <w:sz w:val="18"/>
          <w:szCs w:val="18"/>
          <w:color w:val="auto"/>
        </w:rPr>
      </w:pPr>
    </w:p>
    <w:p>
      <w:pPr>
        <w:ind w:left="1040" w:hanging="519"/>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data privacy laws existing in the United States, the EU and other countries in which we operate, including the U.S. Health Insurance Portability and Accountability Act of 1996, or HIPAA, as amended by the Health Information Technology for Economic and Clinical Health Act, or HITECH, the GDPR, and state privacy and data protection laws, as well as state consumer protection laws;</w:t>
      </w:r>
    </w:p>
    <w:p>
      <w:pPr>
        <w:spacing w:after="0" w:line="57" w:lineRule="exact"/>
        <w:rPr>
          <w:rFonts w:ascii="Arial" w:cs="Arial" w:eastAsia="Arial" w:hAnsi="Arial"/>
          <w:sz w:val="17"/>
          <w:szCs w:val="17"/>
          <w:color w:val="auto"/>
        </w:rPr>
      </w:pPr>
    </w:p>
    <w:p>
      <w:pPr>
        <w:ind w:left="1040" w:hanging="519"/>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federal securities laws restricting the purchase or sale of any securities while in possession of material, non-public information; and</w:t>
      </w:r>
    </w:p>
    <w:p>
      <w:pPr>
        <w:spacing w:after="0" w:line="128"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international trade laws, which are laws that regulate the sale, purchase, import, export, re-export, transfer and shipment of goods, products, materials, services and technology.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2" w:name="page63"/>
    <w:bookmarkEnd w:id="62"/>
    <w:p>
      <w:pPr>
        <w:ind w:right="280"/>
        <w:spacing w:after="0" w:line="257" w:lineRule="auto"/>
        <w:rPr>
          <w:sz w:val="20"/>
          <w:szCs w:val="20"/>
          <w:color w:val="auto"/>
        </w:rPr>
      </w:pPr>
      <w:r>
        <w:rPr>
          <w:rFonts w:ascii="Arial" w:cs="Arial" w:eastAsia="Arial" w:hAnsi="Arial"/>
          <w:sz w:val="18"/>
          <w:szCs w:val="18"/>
          <w:color w:val="auto"/>
        </w:rPr>
        <w:t>Compliance with these and other applicable laws and regulations requires us to expend significant resources. Failure to comply with these laws and regulations may subject us to government investigations, penalties, damages, fines, the restructuring of our operations, or the imposition of a clinical hold, any of which could materially adversely affect our business and would result in increased costs and diversion of management attention and could delay or prevent the development, regulatory approval and commercialization of our product candidates, any of which could have a material adverse effect on our business.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delayed in obtaining, or be unable to obtain, marketing approval or reimbursement for vadadustat or any other product candidate in certain countries outside of the United States.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Regulatory authorities outside of the United States will require compliance with numerous and varying requirements. The approval procedures vary among jurisdictions and may involve requirements for additional testing, and the time required to obtain approval may differ from that required to obtain FDA approval. In addition, in many countries outside the United States, a drug product must be approved for reimbursement before it can be marketed or sold in that country. In some cases, the prices that we intend to charge for our products are also subject to approval. Approval by the FDA does not ensure approval by regulatory or reimbursement authorities outside the United States, and approval by one regulatory or reimbursement authority outside the United States does not ensure approval by the FDA or any other regulatory or reimbursement authorities. However, the failure to obtain approval or reimbursement in one jurisdiction may negatively impact our ability to obtain approval or reimbursement in another jurisdiction. The marketing approval process in countries outside of the United States may include all of the risks associated with obtaining FDA approval and, in some cases, additional risks. We may not obtain such regulatory or reimbursement approvals on a timely basis, if at all. We may not be able to file for marketing approvals and may not receive the necessary approvals to commercialize our product candidates in any market. Also, favorable pricing in certain countries depends on a number of factors, some of which are outside of our control.</w:t>
      </w:r>
    </w:p>
    <w:p>
      <w:pPr>
        <w:spacing w:after="0" w:line="18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United Kingdom formally notified the EU of its intention to withdraw pursuant to Article 50 of the Lisbon Treaty. The United Kingdom has a period of a maximum of two years from the date of its formal notification to negotiate the terms of its withdrawal from, and future relationship with, the EU. If no formal withdrawal agreement is reached between the United Kingdom and the EU, then it is expected that the United Kingdom's membership of the European Union will automatically terminate two years after the submission of the notification of the United Kingdom’s intention to withdraw from the European Union.</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Discussions between the United Kingdom and the EU focused on finalizing withdrawal issues and transition agreements are ongoing. However, limited progress to date in these negotiations and ongoing uncertainty within the UK Government and Parliament sustains the possibility of the United Kingdom leaving the EU on March 29, 2019 without a withdrawal agreement and associated transition period in place, which is likely to cause significant market and economic disruption.</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 directives and regulations, the withdrawal could materially impact the regulatory regime with respect to the approval of our product candidates in the United Kingdom or the EU. Any delay in obtaining, or an inability to obtain, any marketing approvals, as a result of Brexit or otherwise, would prevent us from commercializing our product candidates in the United Kingdom and/or the EU and restrict our ability to generate revenue and achieve and sustain profitability. If any of these outcomes occurs, we may be forced to restrict or delay efforts to seek regulatory approval in the United Kingdom and/or EU for our product candidates, which could significantly and materially harm our business.</w:t>
      </w:r>
    </w:p>
    <w:p>
      <w:pPr>
        <w:spacing w:after="0" w:line="30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Products approved for marketing are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is approved.</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Marketing approvals may be subject to limitations on the approved indicated uses for which the product may be marketed or other conditions of approval, or contain requirements for potentially costly post-marketing studies and surveillance to monitor the safety and efficacy of the product, including REMS, or registries or observational studies. For example, in connection with the FDA approvals of Auryxia, we initially committed to the FDA to conduct certain post-approval pediatric studies of Auryxia under the Pediatric Research Equity Act. With regard to our Hyperphosphatemia Indication, we committed to completing the post-approval pediatric study and submitting a final report to the FDA by December 31, 2019, which was recently extended to July 2022 by the FDA in response to our request. With regards to our IDA Indication, we committed to completing the post-approval pediatric study and submitting a final report to the FDA by January 2023. We cannot guarantee that we will be able to complete these studies and submit the final reports in a timely manner. If we are unable to complete these studies successfully, our marketing approval could be suspended or revoked, which would have a material adverse impact on our ability to commercialize Auryxia and our ability to generate revenues from Auryxia. In addition, the manufacturing processes, labeling, packaging, distribution, adverse event reporting, storage, advertising, promotion and recordkeeping for Auryxia, and any other product for which we receive regulatory approval, will be subject to extensive and ongoing regulatory requirements. These requirements include submissions of safety and other post-marketing information and reports, as well as continued compliance with cGMPs and GCPs for any clinical trials that we conduct post-approval.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3" w:name="page64"/>
    <w:bookmarkEnd w:id="63"/>
    <w:p>
      <w:pPr>
        <w:ind w:right="40"/>
        <w:spacing w:after="0" w:line="293" w:lineRule="auto"/>
        <w:rPr>
          <w:sz w:val="20"/>
          <w:szCs w:val="20"/>
          <w:color w:val="auto"/>
        </w:rPr>
      </w:pPr>
      <w:r>
        <w:rPr>
          <w:rFonts w:ascii="Arial" w:cs="Arial" w:eastAsia="Arial" w:hAnsi="Arial"/>
          <w:sz w:val="16"/>
          <w:szCs w:val="16"/>
          <w:color w:val="auto"/>
        </w:rPr>
        <w:t>Moreover, the FDA and other regulatory authorities closely regulate the post-approval marketing and promotion of drugs to ensure drugs are marketed only for the approved indications and in accordance with the provisions of the approved labeling. The FDA and other regulatory authorities impose stringent restrictions on companies’ communications regarding use of their products, and if we promote our products beyond their approved indications or inconsistent with the approved label, we may be subject to enforcement actions or prosecution arising from such activities. Violations of the U.S. Federal Food, Drug, and Cosmetic Act, or the FD&amp;C Act, relating to the promotion of prescription drugs may lead to investigations alleging violations of federal and state healthcare fraud and abuse and other laws, as well as state consumer protection laws, third-party payor actions, shareholder actions and other lawsuits.</w:t>
      </w:r>
    </w:p>
    <w:p>
      <w:pPr>
        <w:spacing w:after="0" w:line="16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the marketing, distribution, use or manufacturing of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withdrawal of the product from the market, or product recalls;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warning or untitled letters or clinical holds;</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filed by us, or suspension or revocation of product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Non-compliance with FDA, EMA, PMDA and other regulatory authorities’ requirements regarding safety monitoring or pharmacovigilance can also result in significant financial penalties.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FDA’s policies and those of other regulatory authorities may change, and additional government regulations may be enacted. We cannot predict the likelihood, nature or extent of government regulations that may arise from future legislation or administrative action, either in the United States or in other jurisdictions. If we are slow or unable to adapt to changes in existing requirements or the adoption of new requirements or policies, or are not able to maintain regulatory compliance, we may lose any marketing approval that we may have obtained and we may not achieve or sustain profitability, which would materially adversely affect our business.</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will incur significant liability if it is determined that we are promoting any “off-label” use of Auryxia or if it is determined that any of our activities violates the federal Anti-Kickback Statute.</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Physicians are permitted to prescribe drug products for uses that differ from those approved by the FDA or other applicable regulatory agencies. Although the FDA and other regulatory agencies do not regulate a physician’s choice of treatments, the FDA and other regulatory agencies do restrict manufacturer communications regarding unapproved uses of an approved drug. Companies are not permitted to promote drugs for unapproved uses or in a manner that is inconsistent with the FDA-approved labeling. There are also restrictions about making comparative or superiority claims based on safety or efficacy that are not supported by substantial evidence. Accordingly, we may not promote Auryxia in the United States for use in any indications other than the Hyperphosphatemia Indication and the IDA Indication, and all promotional claims must be consistent with the FDA-approved labeling for Auryxia. Promoting a drug off-label is a violation of the FD&amp;C Act and can give rise to liability under the federal False Claims Act, as well as under additional federal and state laws and insurance statutes. The FDA and other regulatory and enforcement authorities enforce laws and regulations prohibiting promotion of off-label uses and the promotion of products for which marketing approval has not been obtained, as well as the false advertising or misleading promotion of drugs. In addition, laws and regulations govern the distribution and tracing of prescription drugs and prescription drug samples, including the Prescription Drug Marketing Act of 1976 and the Drug Supply Chain Security Act, which regulate the distribution and tracing of prescription drugs and prescription drug samples at the U.S. federal level and set minimum standards for the regulation of drug distributors by the states. A company that is found to have improperly promoted off-label uses or to have otherwise engaged in false or misleading promotion or improper distribution of drugs will be subject to significant liability, potentially including civil and administrative remedies as well as criminal sanctions.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ind w:right="20"/>
        <w:spacing w:after="0" w:line="254"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In addition, under some relatively recent guidances from the FDA, companies may also promote information that is consistent with the prescribing information and proactively speak to formulary committee members of payors regarding data for an unapproved drug or unapproved uses of an approved drug. We intend to engage in these discussions and communicate with healthcare providers, payors and other constituencies in compliance with all applicable laws, regulatory guidance and industry best practices. Although we believe we have put in place a robust compliance program and processes designed to ensure that all such activities are performed in a legal and compliant manner, Auryxia is our first commercial product so our implementation of our compliance program in connection with commercialization activities is still relatively new.</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if a company’s activities are determined to have violated the federal Anti-Kickback Statute, this can also give rise to liability under the federal False Claims Act and such violations can result in significant fines, criminal and civil remedies, and exclusion from Medicare and Medicaid. There is increased government focus on relationships between the pharmaceutical industry and physicians, pharmacies (especially specialty pharmacies), and other sources of referrals. Common industry activities, such as speaker programs, insurance assistance and support, relationships with foundations providing copayment assistance, and relationships with patient organizations and patients are receiving increased governmental attention. If any of our relationships or activities is determined to violate applicable federal and state anti-kickback laws, false claims laws, or other laws or regulations, the company and/or company executives and other representatives could be subject to significant fines and criminal sanctions, imprisonment, and potential exclusion from Medicare and Medicaid.</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Recent efforts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Recently, there have been several executive actions taken,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an executive order, applicable to all executive agencies including the FDA, was issued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Interim guidance issued by the Office of Information and Regulatory Affairs within the Office of Management and Budget on February 2, 2017,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conducting global clinical trials in countries where corruption is prevalent. In addition, we are subject to a variety of import and export trade laws. Violations of any of these laws by our personnel or by any of our vendors or agents, such as our CROs or CMOs, could have a material adverse impact on our clinical trials and our business and could result in criminal or civil fines and sanctions.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complex laws that govern our international business practices. These laws include the FCPA, which prohibits U.S. companies and their intermediaries, such as CROs or CMOs, from making improper payments to foreign government officials for the purposes of obtaining or keeping business or to obtain any kind of advantage for the company. The FCPA also requires companies to keep accurate books and records and maintain adequate accounting controls. A number of past and recent FCPA investigations by the Department of Justice and the U.S. Securities and Exchange Commission have focused on the life sciences sector.</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Some of the countries in which we are conducting clinical trials have a history of corruption, which increases our risks of FCPA violations. In addition, the FCPA presents unique challenges in the pharmaceutical industry because in many countries hospitals are operated by the government, and doctors and other hospital employees are considered foreign government officials. Certain payments made by pharmaceutical companies, or on their behalf by CROs, to hospitals in connection with clinical trials and other work have been deemed to be improper payments to government officials and have led to FCPA enforcement 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160"/>
        <w:spacing w:after="0" w:line="259" w:lineRule="auto"/>
        <w:rPr>
          <w:sz w:val="20"/>
          <w:szCs w:val="20"/>
          <w:color w:val="auto"/>
        </w:rPr>
      </w:pPr>
      <w:r>
        <w:rPr>
          <w:rFonts w:ascii="Arial" w:cs="Arial" w:eastAsia="Arial" w:hAnsi="Arial"/>
          <w:sz w:val="18"/>
          <w:szCs w:val="18"/>
          <w:color w:val="auto"/>
        </w:rPr>
        <w:t>Additionally, the UK Bribery Act applies to our global activities and prohibits bribery of private individuals as well as public officials. The UK Bribery Act prohibits both the offering and accepting a bribe and imposes strict liability on companies for failing to prevent bribery, unless the company can show that it had “adequate procedures” in place to prevent bribery. There are also local anti-bribery and anti-corruption laws in countries where we are conducting clinical trials, and many of these also carry the risk of significant financial or criminal penalties.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also subject to trade control regulations and trade sanctions laws that restrict the movement of certain goods, currency, products, materials, services and technology to, and certain operations in, various countries or with certain persons. Our ability to transfer people and products among certain countries is subject to maintaining required licenses and complying with these laws and regulations.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internal controls, policies and procedures, and training and compliance programs we have implemented to deter prohibited practices may not be effective in preventing our employees, contractors, consultants, agents or other representatives from violating or circumventing such internal policies or violating applicable laws and regulations. The failure to comply with laws governing international business practices may impact our clinical trials, result in substantial civil or criminal penalties for us and any such individuals, including imprisonment, suspension or debarment from government contracting, withdrawal of our products, if approved, from the market, or being delisted from The Nasdaq Global Market. In addition, we may incur significant costs in implementing sufficient systems, controls and processes to ensure compliance with the aforementioned laws.</w:t>
      </w:r>
    </w:p>
    <w:p>
      <w:pPr>
        <w:spacing w:after="0" w:line="28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right="220"/>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are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23"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Auryxia and any other product candidates for which we obtain marketing approval. Our arrangements with healthcare providers, physicians and third-party payors expose us to broadly applicable fraud and abuse and other healthcare laws and regulations that may constrain the business or financial arrangements and relationships through which we market, sell and distribute Auryxia and any other product candidates for which we obtain marketing approval. In addition, we may be subject to transparency laws and patient privacy regulation by federal and state governments and by governments in foreign jurisdictions in which we conduct our business. Restrictions under applicable federal and state healthcare laws and regulations include the following:</w:t>
      </w:r>
    </w:p>
    <w:p>
      <w:pPr>
        <w:spacing w:after="0" w:line="57" w:lineRule="exact"/>
        <w:rPr>
          <w:sz w:val="20"/>
          <w:szCs w:val="20"/>
          <w:color w:val="auto"/>
        </w:rPr>
      </w:pPr>
    </w:p>
    <w:p>
      <w:pPr>
        <w:ind w:left="1040" w:right="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FD&amp;C Act which among other things, strictly regulates drug product marketing and promotion and prohibits manufacturers from marketing such products for off-label use;</w:t>
      </w:r>
    </w:p>
    <w:p>
      <w:pPr>
        <w:spacing w:after="0" w:line="62"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 and laws requiring notification of price increases;</w:t>
      </w:r>
    </w:p>
    <w:p>
      <w:pPr>
        <w:spacing w:after="0" w:line="73"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1040" w:right="100" w:hanging="519"/>
        <w:spacing w:after="0" w:line="25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80"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HIPAA, as amended by the HITECH, and their respective implementing regulations, also imposes obligations, including mandatory contractual terms, with respect to safeguarding the privacy, security and transmission of individually identifiable health information;</w:t>
      </w:r>
    </w:p>
    <w:p>
      <w:pPr>
        <w:spacing w:after="0" w:line="38" w:lineRule="exact"/>
        <w:rPr>
          <w:rFonts w:ascii="Arial" w:cs="Arial" w:eastAsia="Arial" w:hAnsi="Arial"/>
          <w:sz w:val="17"/>
          <w:szCs w:val="17"/>
          <w:color w:val="auto"/>
        </w:rPr>
      </w:pPr>
    </w:p>
    <w:p>
      <w:pPr>
        <w:ind w:left="1040" w:right="38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w:t>
      </w:r>
    </w:p>
    <w:p>
      <w:pPr>
        <w:spacing w:after="0" w:line="62" w:lineRule="exact"/>
        <w:rPr>
          <w:rFonts w:ascii="Arial" w:cs="Arial" w:eastAsia="Arial" w:hAnsi="Arial"/>
          <w:sz w:val="18"/>
          <w:szCs w:val="18"/>
          <w:color w:val="auto"/>
        </w:rPr>
      </w:pPr>
    </w:p>
    <w:p>
      <w:pPr>
        <w:ind w:left="1040" w:right="120" w:hanging="519"/>
        <w:spacing w:after="0" w:line="259"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gift ban and transparency statutes, may apply to sales or marketing arrangements and claims involving healthcare items or services reimbursed by non-governmental third-party payors, including private insurers, and which are not preempted by federal laws and often differ from state to state, thus complicating compliance efforts; and</w:t>
      </w:r>
    </w:p>
    <w:p>
      <w:pPr>
        <w:spacing w:after="0" w:line="78"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state laws restricting interactions with healthcare providers and other members of the healthcare community or requiring pharmaceutical manufacturers to implement certain compliance standards.</w:t>
      </w:r>
    </w:p>
    <w:p>
      <w:pPr>
        <w:spacing w:after="0" w:line="17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Because of the breadth of these U.S. laws, and their non-U.S. equivalents, and the narrowness of the statutory exceptions and safe harbors available, it is possible that some of our business activities could be subject to challenge under one or more of such laws. In addition, recent healthcare reforms have strengthened these laws. For example, the Health Care Reform Act, among other things, amended the intent requirement of the federal anti-kickback law. A person or entity no longer needs to have actual knowledge of the statute or specific intent to violate the law. The Health Care Reform Act also amended the False Claims Act, such that violations of the anti-kickback statute are now deemed violations of the False Claims Act.</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such as the Pharmaceutical Research and Manufacturers of America Code on Interactions with Health Care Professionals, known as the PhRMA Code.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7" w:name="page68"/>
    <w:bookmarkEnd w:id="67"/>
    <w:p>
      <w:pPr>
        <w:spacing w:after="0" w:line="291"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7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Auryxia and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such as Auryxia.</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Auryxia and any other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obtain for Auryxia and may obtain for any of our product candidates that are approved for sale, are the following:</w:t>
      </w:r>
    </w:p>
    <w:p>
      <w:pPr>
        <w:spacing w:after="0" w:line="79"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(and 70% starting January 1, 2019) point-of-sale discounts off negotiated prices;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ind w:right="8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which will remain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Auryxia or any product candidates for which we may obtain regulatory approval or the frequency with which Auryxia and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82"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5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With the enactment of the Tax Cuts and Jobs Act of 2017, Congress repealed the “individual mandate.” The repeal of this provision, which requires most Americans to carry a minimal level of health insurance, will become effective in 2019. According to the Congressional Budget Office, the repeal of the individual mandate will cause an estimated 13 million fewer Americans to be insured in 2027 and premiums in insurance markets may rise. Additionally,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close the coverage gap in most Medicare drug plans, commonly referred to as the “donut hole”. Further, each chamber of the U.S. Congress has put forth multiple bills designed to repeal or repeal and replace portions of the ACA. Although none of these measures has been enacted by Congress to date, Congress may consider other legislation to repeal and replace elements of the ACA.</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current administration has also taken executive actions to undermine or delay implementation of the ACA. Since January 2017, the President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the U.S. Court of Appeals for the Federal Circuit ruled that the federal government was not required to pay more than $12 billion in ACA risk corridor payments to third-party payors who argued that such payments were owed to them. The effects of this gap in reimbursement on third-party payors, providers, and potentially our business, are not yet known.</w:t>
      </w:r>
    </w:p>
    <w:p>
      <w:pPr>
        <w:spacing w:after="0" w:line="17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members of U.S. Congress and the current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Including measures to permit Medicare Part D plans to negotiate the price of certain drugs under Medicare Part B, to allow some states to negotiate drug prices under Medicaid, and to eliminate cost sharing for generic drugs for low-income patients.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ind w:right="20"/>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For example, on May 11, 2018, the current administration issued a plan to lower drug prices. Under this blueprint for action, the current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Medicare Part D plan sponsors more negotiation power with drug makers, examine which Medicare Part B drug prices could be negotiated by Medicare Part D plans, improve the design of the Medicare Part B Competitive Acquisition Program, update Medicare’s drug-pricing dashboard to increase transparency, prohibit Medicare Part D contracts that include “gag rules” that prevent pharmacists from informing patients when they could pay less out-of-pocket by not using insurance, and require that Medicare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or put pressure on our product pricing.</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It is likely that federal and state legislatures within the United States and foreign governments will continue to consider changes to existing healthcare legislation. We expect that additional state and federal healthcare reform measures will be adopted in the future, any of which could limit the amounts that federal and state governments will pay for healthcare products and services, which could result in reduced demand for Auryxia and any product candidates for which we receive marketing approval or additional pricing pressures.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0" w:lineRule="exact"/>
        <w:rPr>
          <w:sz w:val="20"/>
          <w:szCs w:val="20"/>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demand for Auryxia and any products candidates for which we receive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and maintain coverage and reimbursement approval for Auryxia or any other approved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r>
        <w:rPr>
          <w:rFonts w:ascii="Arial" w:cs="Arial" w:eastAsia="Arial" w:hAnsi="Arial"/>
          <w:sz w:val="18"/>
          <w:szCs w:val="18"/>
          <w:color w:val="auto"/>
        </w:rPr>
        <w:t>.</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use and disposal of these materials and wastes. We cannot eliminate the risk of contamination or injury from these materials. In the event of contamination or injury resulting from the use of hazardous materials by our employees, contractors or consultants,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licensor of certain intellectual property relating to Auryxia terminates, modifies or threatens to terminate existing contracts or relationships with us, our business may be materially harmed.</w:t>
      </w:r>
    </w:p>
    <w:p>
      <w:pPr>
        <w:spacing w:after="0" w:line="6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do not own the rights to our product, Auryxia. We have licensed and sublicensed the rights, patent or otherwise, to Auryxia from a third-party, Panion, who in turn licenses certain rights to Auryxia from one of the inventors of Auryxia. The license agreement with Panion requires us to meet development milestones and imposes development and commercialization due diligence requirements on us. In addition, under the license agreement, we must pay royalties based on a mid-single digit percentage of net sales of product resulting from the licensed technologies, including Auryxia and pay the patent filing, prosecution and maintenance costs related to the license. If we do not meet our obligations in a timely manner, or if we otherwise breach the terms of our license agreement, Panion could terminate the agreement, and we would lose the rights to Auryxia. For example, following announcement of the Merger, Panion notified Keryx in writing that Panion would terminate the license agreement on November 21, 2018 if Keryx did not cure the breach alleged by Panion, specifically, that Keryx failed to use commercially reasonable best efforts to commercialize Auryxia outside the United States. Keryx disagreed with Panion’s claims, and the parties entered discussions to resolve this dispute. On October 24, 2018, prior to the consummation of the Merger, we, Keryx and Panion entered into a letter agreement, or the Panion Letter Agreement, pursuant to which Panion agreed to rescind any and all prior termination threats or notices relating to the license agreement and waived its rights to terminate the license agreement based on any breach by us of our obligation to use commercially reasonable efforts to commercialize Auryxia outside the United States until the parties execute an amendment to the license agreement, in accordance with the terms of the Panion Letter Agreement, following consummation of the Merger. These terms of the amendment to the license agreement include establishing a joint steering committee consisting of Panion and our representatives to oversee the development and commercialization of Fexeric in Europe and providing Panion with an exclusive license under Keryx-owned patents covering the rights to make, use, sell, offer for sale and import ferric citrate in certain countries in the Asia-Pacific region. The parties intend to work together to agree on a commercialization plan for Fexeric in Europe following execution of the amendment to the license agreement. The amendment to the license agreement is expected to include alternatives in the event a commercialization plan is not agreed upon, such as payment of an annual license maintenance fee to Panion or the return of European intellectual property rights to Panion. In addition, under the terms of the Panion Letter Agreement, Panion has agreed that we will have the right, but not the obligation, to conduct any litigation against any infringer of patent rights under the license agreement on the terms agreed upon in the Panion Letter Agreement. Keryx made a $500,000 payment to Panion in connection with the execution of the Panion Letter Agreement. Even though we entered into the Panion Letter Agreement, there are no assurances that we will successfully negotiate with Panion with respect to the regulatory and commercial plans for Fexeric in Europe, that an amendment to the license agreement will be entered into or that Panion will not allege other breaches of the license agreement or otherwise attempt to terminate the license agreement in the future.</w:t>
      </w:r>
    </w:p>
    <w:p>
      <w:pPr>
        <w:spacing w:after="0" w:line="3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if Panion breaches its agreement with the inventor from whom it licenses rights to Auryxia, Panion could lose its license, which could impair or delay our ability to develop and commercialize Auryxia.</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From time to time, we may have disagreements with Panion, or Panion may have disagreements with the inventor from whom it licenses rights to Auryxia, regarding the terms of the agreements or ownership of proprietary rights, which could impact the commercialization of Auryxia, could require or result in litigation or arbitration, which would be time-consuming and expensive, could lead to the termination of our license agreement with Panion, or force us to negotiate a revised or new license agreement on terms less favorable than the original. In addition, in the event that the owners and/or licensors of the rights we license were to enter into bankruptcy or similar proceedings, we could potentially lose our rights to Auryxia or our rights could otherwise be adversely affected, which could prevent us from continuing to commercialize Auryxia.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ind w:right="18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preclinical and clinical studies for our product candidates. If they do not successfully carry out their contractual duties, comply with regulatory requirements or meet expected deadlines, we may not be able to commercialize Auryxia or obtain marketing approval for or commercialize vadadustat or any other product candidates, and our business could be substantially harmed.</w:t>
      </w:r>
    </w:p>
    <w:p>
      <w:pPr>
        <w:spacing w:after="0" w:line="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the ability to independently conduct preclinical and clinical trials. We are currently relying, and expect to continue to rely, on third parties, such as CROs, clinical data management organizations, medical institutions and clinical investigators, to conduct our current and future preclinical studies and our clinical trials, including our global Phase 3 development program for vadadustat. The third parties on whom we rely may fail to perform effectively, or terminate their engagement with us, for a number of reasons, including the following:</w:t>
      </w:r>
    </w:p>
    <w:p>
      <w:pPr>
        <w:spacing w:after="0" w:line="79" w:lineRule="exact"/>
        <w:rPr>
          <w:sz w:val="20"/>
          <w:szCs w:val="20"/>
          <w:color w:val="auto"/>
        </w:rPr>
      </w:pPr>
    </w:p>
    <w:p>
      <w:pPr>
        <w:ind w:left="1040" w:right="16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quantity or accuracy of the data obtained by the third parties is compromised due to their failure to adhere to clinical trial protocols or to regulatory requirements, or if the third parties otherwise fail to comply with clinical trial protocols, perform effectively or meet expected deadlines;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third parties experience staffing difficulties;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we fail to communicate effectively or provide the appropriate level of oversight;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third parties undergo changes in priorities or corporate structure or become financially distressed;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they form relationships with other entities, some of which may be our competitors.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Any of these events could cause our preclinical and clinical trials, including post-approval clinical trials, to be extended, delayed, suspended, required to be repeated or terminated, or we may receive untitled warning letters or be the subject of an enforcement action which could result in our failing to obtain marketing approval of vadadustat or any other product candidates on a timely basis, or at all, or fail to maintain marketing approval of Auryxia or any other approved products, any of which would adversely affect our business operations. In addition, if the third parties on whom we rely fail to perform effectively or terminate their engagement with us, we may need to enter into alternative arrangements, which could delay, perhaps significantly, the continued commercialization of Auryxia and the development and commercialization of vadadustat and any other product candidates.</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Even though we do not directly control the third parties on whom we rely to conduct our preclinical and clinical trials and therefore cannot guarantee the satisfactory and timely performance of their obligations to us, we are nevertheless responsible for ensuring that each of our clinical trials is conducted in accordance with the applicable protocol, legal and regulatory requirements, including GXP requirements, and scientific standards, and our reliance on these third parties, including CROs, will not relieve us of our regulatory responsibilities. If we or any of our CROs, their subcontractors, or clinical trial sites fail to comply with applicable GXP requirements, the clinical data generated in our clinical trials may be deemed unreliable or insufficient, our clinical trials could be put on hold, and/or the FDA, the EMA or other regulatory authorities may require us to perform additional clinical trials before approving our marketing applications. In addition, our clinical trials must be conducted with drug product that meets certain specifications and is manufactured under applicable cGMP regulations. These requirements include, among other things, quality control, quality assurance, and the satisfactory maintenance of records and documentation.</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rely on third parties to store and distribute drug supplies for our clinical trials. Any performance failure on the part of our distributors could delay clinical development or marketing approval of our product candidates or commercialization of our products, resulting in additional costs and depriving us of potential product revenue. In addition, we are using an active comparator in our PRO</w:t>
      </w:r>
      <w:r>
        <w:rPr>
          <w:rFonts w:ascii="Arial" w:cs="Arial" w:eastAsia="Arial" w:hAnsi="Arial"/>
          <w:sz w:val="15"/>
          <w:szCs w:val="15"/>
          <w:color w:val="auto"/>
        </w:rPr>
        <w:t>2</w:t>
      </w:r>
      <w:r>
        <w:rPr>
          <w:rFonts w:ascii="Arial" w:cs="Arial" w:eastAsia="Arial" w:hAnsi="Arial"/>
          <w:sz w:val="18"/>
          <w:szCs w:val="18"/>
          <w:color w:val="auto"/>
        </w:rPr>
        <w:t>TECT and INNO</w:t>
      </w:r>
      <w:r>
        <w:rPr>
          <w:rFonts w:ascii="Arial" w:cs="Arial" w:eastAsia="Arial" w:hAnsi="Arial"/>
          <w:sz w:val="15"/>
          <w:szCs w:val="15"/>
          <w:color w:val="auto"/>
        </w:rPr>
        <w:t>2</w:t>
      </w:r>
      <w:r>
        <w:rPr>
          <w:rFonts w:ascii="Arial" w:cs="Arial" w:eastAsia="Arial" w:hAnsi="Arial"/>
          <w:sz w:val="18"/>
          <w:szCs w:val="18"/>
          <w:color w:val="auto"/>
        </w:rPr>
        <w:t>VATE clinical programs for vadadustat. If our distributors are unable to obtain sufficient supply of the active comparator for any reason, or supply active comparator to clinical trial sites in a timely manner, our clinical trials may be extended, delayed, suspended or terminated.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ind w:right="240"/>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all aspects of our product manufacturing. If they do not successfully carry out their contractual duties, comply with regulatory requirements or meet expected deadlines, we may not be able to continue commercializing Auryxia or obtain marketing approval for or commercialize vadadustat or any other product candidates, and our business could be substantially harmed.</w:t>
      </w:r>
    </w:p>
    <w:p>
      <w:pPr>
        <w:spacing w:after="0" w:line="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do not have any manufacturing facilities and do not expect to independently manufacture any product or product candidates. We currently rely on third party manufacturers to produce all of our commercial, preclinical and clinical material supply. We expect to continue to rely on existing or alternative third party manufacturers to supply our ongoing and planned preclinical and clinical trials and for commercial production. We currently have multiple suppliers of Auryxia’s drug substance and one supplier with three approved sites for the supply of Auryxia drug product. If any of our suppliers were to limit or terminate production, or otherwise fail to meet the quality or delivery requirements needed to supply Auryxia at adequate levels, we could experience losses of revenue which could materially and adversely impact our results of operations. We plan to enter into agreements with third party manufacturers to manufacture commercial quantities of drug substance and drug product for vadadustat; however, we may not be able to negotiate these agreements at commercially reasonable terms. For example, a contract manufacturer may require a substantial financial commitment, including but not limited to a commitment to fund the purchase of a new facility or equipment. Our reliance on third party manufacturers increases the risk that we will not have sufficient quantities of our product candidates or the ability to obtain such quantities at an acceptable cost or quality, which could delay, prevent or impair our development or commercialization efforts.</w:t>
      </w:r>
    </w:p>
    <w:p>
      <w:pPr>
        <w:spacing w:after="0" w:line="1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result of the large quantity of materials required for Auryxia production and the large quantities of Auryxia tablets that are required for our commercial success, the commercial viability of Auryxia will also depend on adequate supply of starting materials that meet quality, quantity and cost standards and the ability of our contract manufacturers to continually produce drug substance and finished drug product on a commercial scale. Failure to achieve and maintain these levels of supply can jeopardize and prevent the successful commercialization of Auryxia. Moreover, issues that may arise in our scale-up and technology transfer of Auryxia and continued commercial scale manufacture of Auryxia may lead to significant delays in our development and commercial timelines and negatively impact our financial performance. For example, a production-related issue resulted in an interruption in the supply of Auryxia in the third and fourth quarters of 2016. This supply interruption negatively impacted Keryx’s revenues in 2016. Although this supply interruption was resolved and actions designed to prevent future interruptions in the supply of Auryxia have been taken, any future supply interruptions for Auryxia or any of our product candidates for which we receive marketing approval would negatively and materially impact our reputation and financial condition.</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any of our third-party manufacturers cannot perform as agreed, including a misappropriation of our proprietary information, or if they terminate their engagements with us, we may be forced to manufacture the materials ourselves, for which we currently do not have the capabilities or resources, or enter into agreements with other third party manufacturers, which we may not be able to do on favorable or reasonable terms, if at all. In some cases, there may be a limited number of qualified replacement manufacturers, or the technical skills, or equipment required to manufacture a product or product candidate may be unique or proprietary to the original manufacturer and we may have difficulty transferring such skills or technology to another third party or a feasible alternative may not exist. These factors would increase our reliance on such manufacturer or require us to obtain a license from such manufacturer in order to have another third party manufacture Auryxia or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continue to commercialize or satisfy patient demand for Auryxia or any other product candidate for which we receive marketing approval, or develop and receive marketing approval for our product candidates in a timely manner or within budget.</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facilities and processes used by our third party manufacturers to manufacture Auryxia may be inspected by the FDA and other regulatory authorities at any time, and the facilities and processes used by our third party manufacturers to manufacture our product candidates will be inspected by the FDA, the EMA and other regulatory authorities prior to or after we submit our marketing application. We do not control the manufacturing processes of, and are completely dependent on, our third party manufacturers for compliance with cGMP requirements for manufacture of certain starting materials, drug substance and finished drug product. If our third party manufacturers cannot successfully manufacture material that conforms to our specifications and regulatory requirements, we will not be able to maintain marketing approval for Auryxia or secure and/or maintain marketing approval for our product candidates. In addition, we have no control over the ability of our third party manufacturers to maintain adequate quality control, quality assurance and qualified personnel. If the FDA, the EMA or other regulatory authorities do not approve the facilities being used to manufacture f our product candidates, or if they withdraw any approval of the facilities being used to manufacture Auryxia or any other product candidates for which we receive marketing approval, we may need to find alternative manufacturing facilities, which would significantly impact our ability to continue commercializing Auryxia or develop, obtain marketing approval for or market our product candidates, if approved. Moreover, the failure of our third party manufacturers to comply with applicable regulations could result in sanctions being imposed on us, including clinical holds, fines, injunctions, civil penalties, delays, suspension or withdrawal of approvals, license revocation, seizures or recalls of Auryxia or our product candidates operating restrictions or criminal prosecutions, any of which could significantly and adversely affect the supply of Auryxia or our product candidates. Also, if our starting materials,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3" w:name="page74"/>
    <w:bookmarkEnd w:id="73"/>
    <w:p>
      <w:pPr>
        <w:spacing w:after="0" w:line="293" w:lineRule="auto"/>
        <w:rPr>
          <w:sz w:val="20"/>
          <w:szCs w:val="20"/>
          <w:color w:val="auto"/>
        </w:rPr>
      </w:pPr>
      <w:r>
        <w:rPr>
          <w:rFonts w:ascii="Arial" w:cs="Arial" w:eastAsia="Arial" w:hAnsi="Arial"/>
          <w:sz w:val="16"/>
          <w:szCs w:val="16"/>
          <w:color w:val="auto"/>
        </w:rPr>
        <w:t>drug substance or drug product are damaged or lost while in our third party manufacturers’ control, it may impact our ability to supply our products or product candidates and we may incur significant financial harm. In addition, Auryxia and our product candidates may compete with other products and product candidates and products for access to third party manufacturing facilities. A third party manufacturer may also encounter delays brought on by sudden internal resource constraints, labor disputes, or shifting regulatory protocols. Certain of these third party manufacturing facilities may be contractually prohibited from manufacturing our product candidates or products, due to exclusivity provisions in agreements with our competitors. There are a limited number of manufacturers that operate under cGMP regulations and are capable of manufacturing Auryxia and our product candidates for us.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current and anticipated future dependence on third parties for the manufacture of Auryxia and our product candidates may adversely affect our ability to continue to commercialize Auryxia or any product candidates that receive marketing approval on a timely and competitive basis and any future profit margins.</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Third party manufacturers may be unable to successfully scale-up manufacturing of our product candidates in sufficient quality and quantity, which would delay or prevent us from developing our product candidates and commercializing approved products.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order to complete our development of and commercialize, if approved, vadadustat and any other product candidates, we will need to work with third party manufacturers to manufacture them in large quantities. Our current and future third party manufacturers may be unable to successfully achieve commercial scale production of vadadustat or increase the manufacturing capacity of any other product candidates for the conduct of clinical trials and commercialization in a timely or cost-effective manner, if at all. In addition, quality issues may arise during scale-up activities. Any changes in our manufacturing processes as a result of scaling up may result in the need to obtain additional marketing approvals. If our third party manufacturers are unable to achieve commercial scale production or there is a need for additional marketing approvals of vadadustat or any other product candidates, or if there are difficulties in increasing the manufacturing capacity for any other product candidates, the development, marketing approval and commercialization of that product candidate may be delayed or infeasible, or ongoing commercialization may be unsuccessful, any of which could significantly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of our manufacturers could materially harm our business.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currently have redundant supply arrangements in place for the commercial supply of Auryxia and the preclinical and clinical supply of vadadustat. While we intend to put redundant supply arrangements in place for commercial manufacturing of vadadustat, we may be unsuccessful in doing so due to a number of factors, including that we may not be able to negotiate binding agreements at commercially reasonable terms. Even if we are ultimately successful in entering into redundant supply arrangements for commercial manufacturing of vadadustat, the timing of such arrangements is uncertain.</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do not know whether our third party manufacturers will be able to meet our demand, either because of the nature of our agreements with those third party manufacturers, or, in some cases, our limited experience with those third party manufacturers or our relative importance as a customer to those third party manufacturers. It may be difficult for us to assess their ability to timely meet our demand in the future based on past performance. While our current third party manufacturers have generally met our demand for their products on a timely basis in the past, they may subordinate our needs in the future to their other customers.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are unsuccessful in implementing redundant supply arrangements for commercial quantities of vadadustat or if our commercial supply arrangements for Auryxia are terminated, or if any of our third party manufacturers is unable to fulfill the terms of their agreements with us, are subject to regulatory review, or cease their operations for any reason, it could result in delays to our marketing approval and risk that we would not have sufficient quantities of our product candidates and products for clinical trials and commercialization.</w:t>
      </w: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vadadustat and Auryxia. If our collaborations are not successful or if our collaborators terminate their agreements with us, we may not be able to capitalize on the market potential of Auryxia and vadadustat, and our business could be materially harmed.</w:t>
      </w:r>
    </w:p>
    <w:p>
      <w:pPr>
        <w:spacing w:after="0" w:line="7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sublicensed the rights to commercialize Riona, the trade name for ferric citrate in Japan, to Japan Tobacco, Inc., or JT, and its subsidiary Torii Pharmaceutical Co., Ltd., or Torii, in Japan. We entered into collaboration agreements with Otsuka to develop and commercialize vadadustat in the United States, Europe, China and certain other territories. We also entered into a collaboration agreement with MTPC to develop and commercialize vadadustat in Japan and certain other Asian countries. We may form or seek other strategic alliances, joint ventures, or collaborations, or enter into additional licensing arrangements with third parties that we believe will complement or augment our commercialization efforts with respect to Auryxia and our development and commercialization efforts with respect to vadadustat and any other product candidates. Our likely collaborators for any collaboration arrangements include large and mid-size pharmaceutical companies, regional and national pharmaceutical companies and biotechnology companies.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ind w:right="700"/>
        <w:spacing w:after="0" w:line="277" w:lineRule="auto"/>
        <w:rPr>
          <w:sz w:val="20"/>
          <w:szCs w:val="20"/>
          <w:color w:val="auto"/>
        </w:rPr>
      </w:pPr>
      <w:r>
        <w:rPr>
          <w:rFonts w:ascii="Arial" w:cs="Arial" w:eastAsia="Arial" w:hAnsi="Arial"/>
          <w:sz w:val="18"/>
          <w:szCs w:val="18"/>
          <w:color w:val="auto"/>
        </w:rPr>
        <w:t>We may not be able to maintain our collaborations and our collaborations may not be successful due to a number of important factors, including the following:</w:t>
      </w:r>
    </w:p>
    <w:p>
      <w:pPr>
        <w:spacing w:after="0" w:line="62"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40" w:right="200" w:hanging="519"/>
        <w:spacing w:after="0" w:line="259"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in accordance with the terms of the collaborations and, if terminated, may make it difficult for us to attract new collaborators or adversely affect how we are perceived in scientific and financial communities, and may result in a need for additional capital and expansion of our internal capabilities to pursue further development or commercialization of the applicable products and product candidates;</w:t>
      </w:r>
    </w:p>
    <w:p>
      <w:pPr>
        <w:spacing w:after="0" w:line="78" w:lineRule="exact"/>
        <w:rPr>
          <w:rFonts w:ascii="Arial" w:cs="Arial" w:eastAsia="Arial" w:hAnsi="Arial"/>
          <w:sz w:val="18"/>
          <w:szCs w:val="18"/>
          <w:color w:val="auto"/>
        </w:rPr>
      </w:pPr>
    </w:p>
    <w:p>
      <w:pPr>
        <w:jc w:val="both"/>
        <w:ind w:left="1040" w:right="140" w:hanging="519"/>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permitted by the terms of the collaborations, collaborators may elect not to continue or renew development or commercialization programs based on clinical trial results, changes in their strategic focus, availability of funding or other external factors such as a business combination that diverts resources or creates competing priorities;</w:t>
      </w:r>
    </w:p>
    <w:p>
      <w:pPr>
        <w:spacing w:after="0" w:line="73" w:lineRule="exact"/>
        <w:rPr>
          <w:rFonts w:ascii="Arial" w:cs="Arial" w:eastAsia="Arial" w:hAnsi="Arial"/>
          <w:sz w:val="18"/>
          <w:szCs w:val="18"/>
          <w:color w:val="auto"/>
        </w:rPr>
      </w:pPr>
    </w:p>
    <w:p>
      <w:pPr>
        <w:jc w:val="both"/>
        <w:ind w:left="1040" w:right="100" w:hanging="519"/>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permitted by the terms of the collaborations, 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our products may not commit sufficient resources to their marketing and distribution;</w:t>
      </w:r>
    </w:p>
    <w:p>
      <w:pPr>
        <w:spacing w:after="0" w:line="128" w:lineRule="exact"/>
        <w:rPr>
          <w:rFonts w:ascii="Arial" w:cs="Arial" w:eastAsia="Arial" w:hAnsi="Arial"/>
          <w:sz w:val="17"/>
          <w:szCs w:val="17"/>
          <w:color w:val="auto"/>
        </w:rPr>
      </w:pPr>
    </w:p>
    <w:p>
      <w:pPr>
        <w:ind w:left="1040" w:right="680" w:hanging="519"/>
        <w:spacing w:after="0" w:line="342"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permitted by the terms of the collaboration, we and our collaborator may have a difference of opinion regarding the development or commercialization strategy for a particular product, and our collaborator may have ultimate decision making authority;</w:t>
      </w:r>
    </w:p>
    <w:p>
      <w:pPr>
        <w:spacing w:after="0" w:line="15" w:lineRule="exact"/>
        <w:rPr>
          <w:rFonts w:ascii="Arial" w:cs="Arial" w:eastAsia="Arial" w:hAnsi="Arial"/>
          <w:sz w:val="16"/>
          <w:szCs w:val="16"/>
          <w:color w:val="auto"/>
        </w:rPr>
      </w:pPr>
    </w:p>
    <w:p>
      <w:pPr>
        <w:ind w:left="1040" w:right="660" w:hanging="519"/>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activities related to research, development or commercialization of Auryxia, vadadustat and any other product candidates, or that result in costly litigation or arbitration that diverts management attention and resources;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collaborations may not lead to development or commercialization of products and product candidates in the most efficient manner or at all;</w:t>
      </w:r>
    </w:p>
    <w:p>
      <w:pPr>
        <w:spacing w:after="0" w:line="140" w:lineRule="exact"/>
        <w:rPr>
          <w:rFonts w:ascii="Arial" w:cs="Arial" w:eastAsia="Arial" w:hAnsi="Arial"/>
          <w:sz w:val="16"/>
          <w:szCs w:val="16"/>
          <w:color w:val="auto"/>
        </w:rPr>
      </w:pPr>
    </w:p>
    <w:p>
      <w:pPr>
        <w:ind w:left="1040" w:right="320" w:hanging="519"/>
        <w:spacing w:after="0" w:line="312"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significant change in the senior management team, a change in the financial condition or a change in the business operations, including a change in control or internal corporate restructuring, of any of our collaborators, could result in delayed timelines, re-prioritization of our programs, decreasing resources or funding allocated to support our programs, or termination of the collaborations; and</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of these events occurs, the market potential of our products and product candidates could be reduced, and our business could be materially harmed. We also cannot be certain that, following a collaboration, the benefits of the collaboration will outweigh the potential risks.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require substantial additional cash to fund the continued commercialization of Auryxia and the development and potential commercialization of vadadustat and any other product candidates. We may decide to enter into additional collaborations for the development and commercialization of vadadustat or Auryxia. Any of these relationships may require us to incur non-recurring and other charges, increase our near and long-term expenditures, issue securities that dilute our existing stockholders, or disrupt our management and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entering into additional collaborations as a result of many factors including the following:</w:t>
      </w:r>
    </w:p>
    <w:p>
      <w:pPr>
        <w:spacing w:after="0" w:line="117"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in seeking appropriate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reduced number of potential collaborators due to recent business combinations in the pharmaceutical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inability to negotiate collaborations on acceptable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inability to negotiate collaborations on a timely basis;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potential collaborator’s evaluation of our product 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potential collaborator’s resources and expertise;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due to an existing collaboration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75" w:name="page76"/>
    <w:bookmarkEnd w:id="75"/>
    <w:p>
      <w:pPr>
        <w:spacing w:after="0" w:line="273" w:lineRule="auto"/>
        <w:rPr>
          <w:sz w:val="20"/>
          <w:szCs w:val="20"/>
          <w:color w:val="auto"/>
        </w:rPr>
      </w:pPr>
      <w:r>
        <w:rPr>
          <w:rFonts w:ascii="Arial" w:cs="Arial" w:eastAsia="Arial" w:hAnsi="Arial"/>
          <w:sz w:val="17"/>
          <w:szCs w:val="17"/>
          <w:color w:val="auto"/>
        </w:rPr>
        <w:t>If we are unable to enter into additional collaborations, we may have to curtail the commercialization of the product or the development of the product candidate on which we are seeking to collaborate, reduce or delay its development program or other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commercialize Auryxia or develop or commercialize our product candidates.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 if we enter into additional collaboration agreements and strategic partnerships or license our intellectual property, we may not be able to maintain them or they may be unsuccessful, which could delay our timelines or otherwise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third parties may be able to use our intellectual property, which could adversely affect our ability to compete in the market.</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 success will depend in part on our ability, and the ability of our licensors, to obtain and maintain patent protection on our drug product and technologies, and to successfully defend these patents against third-party challenges. We seek to protect our proprietary products and technology by filing patent applications in the United States and certain foreign jurisdictions. The process for obtaining patent protection is expensive and time consuming, and we may not be able to file and prosecute all necessary or desirable patent applications in a cost effective or timely manner. In addition, we may fail to identify patentable subject matter early enough to obtain patent protection. Further, license agreements with third parties may not allow us to control the preparation, filing and prosecution of patent applications, or the maintenance or enforcement of patents. Such third parties may decide not to enforce such patents or enforce such patents without our involvement. Thus, these patent applications and patents may not under these circumstances, be prosecuted or enforced in a manner consistent with the best interests of the company.</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pending patent applications may not issue as patents and may not issue in all countries in which we develop, manufacture or potentially sell our product(s) or in countries where others develop, manufacture and potentially sell products using our technologies. Moreover, our pending patent applications, if issued as patents, may not provide additional protection for our product.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No consistent policy regarding the breadth of claims allowed in pharmaceutical and biotechnology patents has emerged to date. Changes in the patent laws or the interpretation of the patent laws in the United States and other jurisdictions may diminish the value of our patents or narrow the scope of our patent protection. Accordingly, the patents we own or license may not be sufficiently broad to prevent others from practicing our technologies or from developing competing products. Furthermore, others may independently develop similar or alternative drug products or technologies or design around our patented drug product and technologies which may have an adverse effect on our business. If our competitors prepare and file patent applications in the United States that claim technology also claimed by us, we may have to participate in interference or derivation proceedings in front of the U.S. Patent and Trademark Office, or USPTO, to determine priority of invention, which could result in substantial cost, even if the eventual outcome is favorable to us. Because of the extensive time required for development, testing and regulatory review of a potential product, it is possible that any related patent may expire prior to, or remain in existence for only a short period following, commercialization, thus reducing any advantage of the patent. The patents we own or license may be challenged or invalidated or may fail to provide us with any competitive advantage. Since we have licensed or sublicensed many patents from third parties, we may not be able to enforce such licensed patents against third-party infringers without the cooperation of the patent owner and the licensor, which may not be forthcoming. In addition, we may not be successful or timely in obtaining any patents for which we submit applications.</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Additionally, the laws of foreign countries may not protect our intellectual property rights to the same extent as do the laws of the United States. For example, claims in a patent application directed to methods of treatment of the human body are not patentable or are restricted in many non-U.S. countries. Further, we may not pursue or obtain patent protection in all major markets. In addition, in jurisdictions outside the United States where we own or license patent rights, we may be unable to prevent unlicensed parties from selling or importing products or technologies derived elsewhere using our proprietary technology.</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Generally, the first to file a patent application is entitled to the patent if all other requirements of patentability are met. However, prior to March 16, 2013, in the United States, the first to invent was entitled to the patent. Since publications of discoveries in the scientific literature often lag behind the actual discoveries, and patent applications in the United States and other jurisdictions are typically not published until 18 months after filing, or in some cases not at all, we cannot know with certainty whether we were the first to make the inventions claimed in our patents or pending patent applications, or that we were the first to file for patent protection of such inventions. Moreover, the laws enacted by the Leahy-Smith America Invents Act of 2011, or the Act, which reformed certain patent laws in the United States, introduce procedures that permit competitors to challenge our patents in the USPTO after grant, including inter partes review and post grant review. Similar laws exist outside of the United States. The laws of the European Patent Convention, for example, provide for post-grant opposition procedures that permit competitors to challenge, or oppose, our European patents administratively at the European Patent Office.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6" w:name="page77"/>
    <w:bookmarkEnd w:id="76"/>
    <w:p>
      <w:pPr>
        <w:ind w:right="40"/>
        <w:spacing w:after="0" w:line="257" w:lineRule="auto"/>
        <w:rPr>
          <w:sz w:val="20"/>
          <w:szCs w:val="20"/>
          <w:color w:val="auto"/>
        </w:rPr>
      </w:pPr>
      <w:r>
        <w:rPr>
          <w:rFonts w:ascii="Arial" w:cs="Arial" w:eastAsia="Arial" w:hAnsi="Arial"/>
          <w:sz w:val="18"/>
          <w:szCs w:val="18"/>
          <w:color w:val="auto"/>
        </w:rPr>
        <w:t>On November 25, 2015, a third party filed an opposition to our issued European Patent No. 1 931 689, or the ‘689 EP Patent, which covers Fexeric. During the oral proceedings, which took place on June 27, 2017, the Opposition Division of the European Patent Office, or EPO, revoked the ‘689 EP Patent. On December 6, 2017, we filed an appeal of the decision of the Opposition Division, which is presently pending. According to European practice, the revocation of the patent is stayed until an appeal is finally resolved. We anticipate the appeal will take a few years to resolve, during which time the patent will remain in force.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23, 2016, a third party filed an opposition to our issued European Patent No. 1 978 807, or the ’807 EP Patent, which covers Fexeric. During the oral proceedings, which took place on June 8, 2018, the Opposition Division of the EPO maintained the ’807 EP Patent as granted. This decision resulted in the maintenance of all of the claims of the patent, including claims directed to the use of ferric citrate for preventing, reversing, maintaining or delaying progression of chronic kidney disease. On November 16, 2018, the third party filed an appeal of the decision of the Opposition Division, which is presently pending. We anticipate the appeal will take a few years to resolve.</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2011, a third party filed an opposition to our issued European patents, European Patent No. 2044005, or the ’005 EP Patent, which covers vadadustat. During the oral proceedings, which took place on April 10, 2013, the Opposition Division of the European Patent Office decided to maintain certain claims of the patent directed to a compound chosen from a group of eight compounds, including vadadustat, as well as claims to compositions and methods for treating various diseases including, but not limited to, anemia. Both parties appealed the decision of the Opposition Division. On February 27, 2018, we withdrew the ’005 EP Patent from appeal and filed a divisional patent application to pursue a focused claim set that includes claims for vadadustat, as well as pharmaceutical compositions and methods of treating anemia. We cannot be assured that such claims in the divisional application will be granted by the European Patent Office. If such claims are not granted, or the scope of the claims is significantly narrowed, we may not be able to adequately protect our rights, provide sufficient exclusivity, or preserve our competitive advantage.</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become involved in addressing patentability objections based on third-party submission of references, or we may become involved in defending our patent rights in oppositions, derivation proceedings, reexamination, inter partes review, post grant review, interference proceedings or other patent office proceedings or litigation, in the United States or elsewhere, challenging our patent rights or the patent rights of others. An adverse result in any such proceeding or litigation could reduce the scope of, or invalidate, our patent rights, allow third parties to commercialize our technology or products and compete directly with us, without payment to us.</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licensed patents may be challenged on such a basis in the courts or patent offices in the United States and abroad. As a result of such challenges, we may lose exclusivity or freedom-to-operate or patent claims may be narrowed, invalidated or held unenforceable, in whole or in part, which could limit our ability to prevent third parties from using or commercializing similar or identical products, or limit the duration of the patent protection for our products.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patents protecting our product candidate might expire before or shortly after such candidate is commercialized. Thus, our patent portfolio may not provide sufficient rights to exclude others from commercializing products similar or identical to ours.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also rely on trade secrets and know-how to protect our intellectual property where we believe patent protection is not appropriate or obtainable. Trade secrets are difficult to protect. While we require our employees, licensees, collaborators and consultants to enter into confidentiality agreements, this may not be sufficient to adequately protect our trade secrets or other proprietary information. In addition, we share ownership and publication rights to data relating to our drug product and technologies with our research collaborators and scientific advisors. If we cannot maintain the confidentiality of this information, our ability to receive patent protection or protect our trade secrets or other proprietary information will be at risk.</w:t>
      </w: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intellectual property that we own or have licensed relating to our product, Auryxia, is limited, which could adversely affect our ability to compete in the market and adversely affect the value of Auryxia.</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patent rights that we own or have licensed relating to Auryxia are limited in ways that may affect our ability to exclude third parties from competing against us. For example, a third-party may design around our owned or licensed composition of matter patent claims or not market a product for methods of use covered by our owned or licensed patents.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7" w:name="page78"/>
    <w:bookmarkEnd w:id="77"/>
    <w:p>
      <w:pPr>
        <w:ind w:right="60"/>
        <w:spacing w:after="0" w:line="270" w:lineRule="auto"/>
        <w:rPr>
          <w:sz w:val="20"/>
          <w:szCs w:val="20"/>
          <w:color w:val="auto"/>
        </w:rPr>
      </w:pPr>
      <w:r>
        <w:rPr>
          <w:rFonts w:ascii="Arial" w:cs="Arial" w:eastAsia="Arial" w:hAnsi="Arial"/>
          <w:sz w:val="17"/>
          <w:szCs w:val="17"/>
          <w:color w:val="auto"/>
        </w:rPr>
        <w:t>Obtaining proof of direct infringement by a competitor for a method of use patent requires us to demonstrate that the competitors make and market a product for the patented use(s). Alternatively, we can prove that our competitors induce or contribute to others in engaging in direct infringement. Proving that a competitor contributes to, or induces, infringement of a patented method by another has additional proof requirements. For example, proving inducement of infringement requires proof of intent by the competitor. If we are required to defend ourselves against claims or to protect our own proprietary rights against others, it could result in substantial costs to us and the distraction of our management. An adverse ruling in any litigation or administrative proceeding could prevent us from marketing and selling Auryxia, increase the risk that a generic or other similar version of Auryxia could enter the market to compete with Auryxia, limit our development and commercialization of Auryxia, or otherwise harm our competitive position and result in additional significant costs. In addition, any successful claim of infringement asserted against us could subject us to monetary damages or injunction, which could prevent us from making or selling Auryxia. We also may be required to obtain licenses to use the relevant technology. Such licenses may not be available on commercially reasonable terms, if at all.</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Moreover, physicians may prescribe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any limitations of our patent protection described above may adversely affect the value of our drug product and may inhibit our ability to obtain a collaboration partner at terms acceptable to us, if at all.</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United States, the FDA has the authority to grant additional regulatory exclusivity protection for approved drugs where the sponsor conducts specified testing in pediatric or adolescent populations. If granted, this pediatric exclusivity may provide an additional six months which are added to the term of any non-patent exclusivity that has been awarded as well as to the regulatory protection related to the term of a relevant patent, to the extent these protections have not already expired.</w:t>
      </w:r>
    </w:p>
    <w:p>
      <w:pPr>
        <w:spacing w:after="0" w:line="18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addition to patent protection, we may utilize, if granted by the FDA, pediatric exclusivity or other provisions of the FDCA such as new chemical entity, or NCE, exclusivity, or exclusivity for a new use or new formulation, to provide non-patent market exclusivity for a drug product. The FDCA provides a five-year period of non-patent exclusivity within the United States to the first applicant to gain approval of a new drug application, or NDA, for an NCE. A drug is an NCE if the FDA has not previously approved any other new drug containing the same active moiety, which consists of the molecule(s) or ion(s) responsible for the action of the drug substance (but not including those portions of the molecule that cause it to be a salt or ester or which are not bound to the molecule by covalent or similar bonds). During the exclusivity period, the FDA may not accept for review an ANDA or a 505(b)(2) NDA submitted by another company for another version of such drug where the applicant does not own or have a legal right of reference to all the data required for approval. However, an ANDA or 505(b)(2) NDA that references an NDA product with NCE exclusivity may be submitted after four years if it contains a certification of patent invalidity or non-infringement. 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The three-year exclusivity period, unlike five-year exclusivity, does not prevent the submission of a competing ANDA or 505(b)(2) NDA. Instead, it only prevents the FDA from granting final approval to such a product until expiration of the exclusivity period. Five-year and three-year exclusivity will not delay the submission (in the case of five-year exclusivity) or the approval (in the case of three-year exclusivity) of a full NDA submitted under section 505(b)</w:t>
      </w:r>
    </w:p>
    <w:p>
      <w:pPr>
        <w:spacing w:after="0" w:line="1" w:lineRule="exact"/>
        <w:rPr>
          <w:sz w:val="20"/>
          <w:szCs w:val="20"/>
          <w:color w:val="auto"/>
        </w:rPr>
      </w:pPr>
    </w:p>
    <w:p>
      <w:pPr>
        <w:ind w:right="100" w:firstLine="8"/>
        <w:spacing w:after="0" w:line="290"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of the FDCA; however, an applicant submitting a full NDA would be required to conduct all of its own studies needed to independently support a finding of safety and effectiveness for the proposed product, or have a full right of reference to all studies not conducted by the applicant.</w:t>
      </w:r>
    </w:p>
    <w:p>
      <w:pPr>
        <w:spacing w:after="0" w:line="1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On August 23, 2018, Keryx submitted a Citizen Petition requesting,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FDA recognize that Auryxia is eligible for five years of new chemical entity, or NCE, exclusivity based on its novel active ingredient and for three years exclusivity for the IDA Indication. On January 19, 2019, FDA responded that Auryxia is eligible for a three-year exclusivity period for the IDA Indication, which expires on November 6, 2020. FDA, however, denied the NCE exclusivity based on its determination that Auryxia contains a previously-approved active moiety (ferric cation). FDA’s decision on the Citizen Petition is subject to further review both within FDA and in the courts. On February 21, 2019, we filed a Petition for Reconsideration of FDA’s decision on the NCE determination for Auryxia.</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assure that Auryxia or any drug candidates we may acquire or in-license will obtain such pediatric exclusivity, NCE exclusivity or any other market exclusivity in the United States, EU or any other territory, or that we will be the first to receive the respective regulatory approval for such drugs so as to be eligible for any market exclusivity protection. We also cannot assure that Auryxia or any drug candidates we may acquire or in-license will obtain patent term extension.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Because we rely on third parties to assist with research, development and manufacture of our product candidates, we must, at times, share trade secrets with them. We seek to protect our proprietary technology in part by entering into confidentiality agreements and, if applicable, services agreements, material transfer agreements, consulting agreements, research agreements or other similar agreements with our advisors, employees, third-party contractors, collaborators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information becomes known by our competitors, is inadvertently incorporated into the technology of others, or is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with which we may collaborate will usually expect to be granted rights to publish data arising out of such collaboration. We often grant such rights, provided that we are notified in advance and given the opportunity to delay publication for a limited time period in order for us to secure patent protection of intellectual property rights arising from the collaboration and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or independent development or disclosure or publication of information by any of our employees, advisors, consultants, third-party contractors or collaborators. A competitor’s discovery of our trade secrets would impair our competitive position and have an adverse impact on our business.</w:t>
      </w:r>
    </w:p>
    <w:p>
      <w:pPr>
        <w:spacing w:after="0" w:line="2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may be costly and time consuming and may delay or harm our drug discovery, development and commercialization efforts.</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be forced to initiate litigation to enforce our contractual and intellectual property rights, or we may be sued by third parties asserting claims based on contract, tort or intellectual property infringement. In addition, third parties may have or may obtain patents in the future and claim that our product or any other technologies infringe their patents. If we are required to defend against suits brought by third parties, or if we sue third parties to protect our rights, we may be required to pay substantial litigation costs, and our management’s attention may be diverted from operating our business. In addition, any legal action against our licensor or us that seeks damages or an injunction of our commercial activities relating to our product or other technologies could subject us to monetary liability, a temporary or permanent injunction preventing the development, marketing and sale of our product or such technologies, and/or require our licensor or us to obtain a license to continue to use our product or other technologies. We cannot predict whether our licensor or we would prevail in any of these types of actions or that any required license would be made available on commercially acceptable terms, if at all.</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have in the past and may in the future become a party to, or be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a result of the Merger, our portfolio now includes a commercial product,</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Auryxia. Consequently, there is an increased possibility of a patent infringement claim against us. We attempt to ensure that our product candidates and the methods we employ to manufacture them, as well as the methods for their use which we intend to promote, do not infringe other parties’ patents and other proprietary rights. There can be no assurance they do not, however, and competitors or other parties may assert that we infringe their proprietary rights in any event.</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 parties may hold or obtain patents or other intellectual property rights and allege in the future that the use of our products or product candidates infringes these patents or intellectual property rights, or that we are employing their proprietary technology without authorization. We do not believe that there are any currently issued U.S. patents that will prevent us from commercializing Auryxia or vadadustat; nor do we make any admission that any of such patents are valid, enforceable or infringed.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ind w:right="140"/>
        <w:spacing w:after="0" w:line="273" w:lineRule="auto"/>
        <w:rPr>
          <w:sz w:val="20"/>
          <w:szCs w:val="20"/>
          <w:color w:val="auto"/>
        </w:rPr>
      </w:pPr>
      <w:r>
        <w:rPr>
          <w:rFonts w:ascii="Arial" w:cs="Arial" w:eastAsia="Arial" w:hAnsi="Arial"/>
          <w:sz w:val="17"/>
          <w:szCs w:val="17"/>
          <w:color w:val="auto"/>
        </w:rPr>
        <w:t>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 We are not aware of any valid U.S. patents issued to FibroGen, or any other person, that claim methods of using any of our product candidates for purposes of inhibiting hypoxia-inducible factor prolyl hydroxylases, or HIF-PHs, for the treatment of anemia due to CKD. For example, we are aware of certain patents that have been acquired by FibroGen directed to certain heterocyclic carboxamide compounds that are described as inhibitors of prolyl-4-hydroxylase. Those patents, however, are believed to have expired as of December 2014.</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FibroGen has also filed other patent applications in the U.S. and other countries directed to purportedly new methods of using such previously known heterocyclic carboxamide compounds for purposes of treating or affecting specified conditions, and some of these applications have since issued as patents. To the extent any such patents issue or have been issued, we may initiate opposition or other legal proceedings with respect to such patents. We discuss the status of the opposition and/or invalidation proceedings against certain FibroGen patents in Part I, Item 3. Legal Proceedings of this Annual Report on Form 10-K.</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There may be other patents of FibroGen or patents of other third parties of which we are currently unaware with claims to compounds,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Third parties, including FibroGen, may in the future claim that our product candidates and other technologies infringe upon their patents and may challenge our ability to commercialize vadadustat. Parties making claims against us may seek and obtain injunctive or other equitable relief, which could effectively block our ability to continue to commercialize Auryxia or further develop and commercialize vadadustat or any other product candidates. If any third-party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 or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including patient selection methods,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products or product candidates. Should a license to a third-party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products or product candidates may be impaired or delayed, which could in turn significantly harm our business.</w:t>
      </w:r>
    </w:p>
    <w:p>
      <w:pPr>
        <w:spacing w:after="0" w:line="1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29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are currently involved in patent infringement lawsuits and opposition and invalidity proceedings and may in the future be involved in additional lawsuits or administrative proceedings to challenge the patents of our competitors or to protect or enforce our patents, which could be expensive, time consuming, and unsuccessful.</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Competitors may infringe our patents or misappropriate our trade secrets or confidential information. To counter infringement or unauthorized use, we may be required to file infringement or misappropriation claims, which can be expensive and time-consuming. We may not be able to prevent infringement of our patents or misappropriation of our trade secrets or confidential information, particularly in countries where the laws may not protect those rights as fully as in the United States.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held not infringed and could put our patent applications at risk of not issuing.</w:t>
      </w:r>
    </w:p>
    <w:p>
      <w:pPr>
        <w:spacing w:after="0" w:line="18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addition, there may be a challenge or dispute regarding inventorship or ownership of patents or applications currently identified as being owned by or licensed to us. Defense of these claims, regardless of their merit, would involve substantial litigation expense and would be a substantial diversion of employee resources from our business. Interference proceedings provoked by third parties or brought by the US PTO may be necessary to determine the priority of inventions with respect to our patents or patent applications.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spacing w:after="0" w:line="255" w:lineRule="auto"/>
        <w:rPr>
          <w:sz w:val="20"/>
          <w:szCs w:val="20"/>
          <w:color w:val="auto"/>
        </w:rPr>
      </w:pPr>
      <w:r>
        <w:rPr>
          <w:rFonts w:ascii="Arial" w:cs="Arial" w:eastAsia="Arial" w:hAnsi="Arial"/>
          <w:sz w:val="18"/>
          <w:szCs w:val="18"/>
          <w:color w:val="auto"/>
        </w:rPr>
        <w:t>Various administrative proceedings are also available for challenging patents, including interference, reexamination, inter partes review, and post-grant review proceedings before the US PTO or oppositions and other comparable proceedings in foreign jurisdictions. An unfavorable outcome in any current or future proceeding in which we are challenging third-party patents could require us to cease using the patented technology or to attempt to license rights to it from the prevailing party. Our business could be harmed if the prevailing party does not offer us a license on commercially reasonable terms or at all. Even if we are successful, participation in interference or other administrative proceedings before the US PTO or a foreign patent office may result in substantial costs and distract our management and other employees.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example, we are currently involved in patent infringement lawsuits against several generic companies in the District Courts of Delaware and West Virginia. In addition, we are currently involved in opposition or invalidation proceedings in the European Patent Office, the Japan Patent Office, the Canadian Federal Court and the United Kingdom Patents Court. These proceedings may be ongoing for a number of years and may involve substantial expense and diversion of employee resources from our business. In addition, we may become involved in additional opposition proceedings or other legal or administrative proceedings in the future. For more information, see the other risk factors under “Risks Related to our Intellectual Property” and Part I, Item 3. Legal Proceedings of this Annual Report on Form 10-K.</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and some administrative proceedings, there is a risk that some of our confidential information could be compromised by disclosure during discovery.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5"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 PTO and foreign patent agencies in several stages over the lifetime of the patent. The US PTO and governmental patent agencies in other jurisdictions also require compliance with a number of procedural, documentary, fee payment (such as annuities) and other similar provisions during the patent application process. While an inadvertent lapse in many cases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received confidential and proprietary information from potential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Consequently, the breadth of our intellectual property rights in some countries outside the United States may be less extensive than those in the United States. In addition, the laws of some countries do not protect intellectual property rights to the same extent as laws in the United States. As a result,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ind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countries outside of the United States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attract, keep and motivate senior management and key personnel, we may be unable to successfully develop vadadustat and commercialize Auryxia.</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also highly dependent on our executives, certain members of our senior management and certain members of our commercial organization. The loss of the services of our executives, senior managers or other key employees, including employees in our commercial organization, could impede the achievement of our research, development and commercialization objectives and seriously harm our ability to successfully implement our business strategy. Furthermore, replacing executives, senior managers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retain or motivate these key personnel on acceptable terms given the intense competition among numerous biopharmaceutical companies for similar personnel, particularly in our geographic region.</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also experience competition for the hiring of personnel from universities and research institutions. In addition, we rely on contractors, consultants and advisors, including scientific and clinical advisors, to assist us in formulating and executing our research and development and commercialization strategy. Our contractors, consultants and advisors may become employed by companies other than ours and may have commitments with other entities that may limit their availability to us. If we are unable to continue to attract and retain high quality personnel, our ability to grow and pursue our business strategy will be limited.</w:t>
      </w:r>
    </w:p>
    <w:p>
      <w:pPr>
        <w:spacing w:after="0" w:line="296"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product candidate or indication and fail to capitalize on products, product candidates or indications that may be more profitable or for which there is a greater likelihood of success.</w:t>
      </w:r>
    </w:p>
    <w:p>
      <w:pPr>
        <w:spacing w:after="0" w:line="3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Because we have limited financial and managerial resources, we focus on products, research programs and product candidates for specific indications. As a result, we may forgo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Security breaches and unauthorized use of our IT systems and information, or the IT systems or information in the possession of our collaborators and other third-parties, could damage the integrity of our clinical studies, impact our regulatory filings, compromise our ability to protect our intellectual property, and subject us to regulatory actions that could result in significant fines or other penalties.</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our collaborators, contractors and other third-parties rely significantly upon information technology, and any failure, inadequacy, interruption or security lapse of that technology, including any cyber security incidents, could harm our ability to operate our business effectively. In addition, we, and our collaborators, contractors and other third parties rely on information technology networks and systems, including the Internet, to process, transmit and store clinical trial data, patient information, and other electronic information, and manage or support a variety of business processes, including operational and financial transactions and records, personal identifying information, payroll data and workforce scheduling information. We purchase some of our information technology from vendors, on whom our systems depend. We rely on commercially available systems, software, tools and monitoring to provide security for the processing, transmission and storage of company and customer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ind w:right="80"/>
        <w:spacing w:after="0" w:line="302" w:lineRule="auto"/>
        <w:rPr>
          <w:sz w:val="20"/>
          <w:szCs w:val="20"/>
          <w:color w:val="auto"/>
        </w:rPr>
      </w:pPr>
      <w:r>
        <w:rPr>
          <w:rFonts w:ascii="Arial" w:cs="Arial" w:eastAsia="Arial" w:hAnsi="Arial"/>
          <w:sz w:val="16"/>
          <w:szCs w:val="16"/>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subjects and business partners. In particular, we rely on CROs and other third parties to store and manage information from our clinical trials. We also rely on third parties to manage patient information for Auryxia. The secure maintenance of this sensitive information is critical to our business and reputation.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Companies and other entities and individuals have been increasingly subject to a wide variety of security incidents, cyber-attacks and other attempts to gain unauthorized access to systems and information. These threats can come from a variety of sources, ranging in sophistication from individual hackers to state-sponsored attacks. Cyber threats may be broadly targeted, or they may be custom-crafted against our information systems or those of our vendors or third-party service providers. A security breach, cyber-attack or unauthorized access of our clinical data or other data could damage the integrity of our clinical trials, impact our regulatory filings, cause significant risk to our business, compromise our ability to protect our intellectual property, and subject us to regulatory actions, including under the GDPR discussed elsewhere in these risk factors and the privacy or security rules under federal, state, or other international laws protecting confidential information, that could be expensive to defend and could result in significant fines or other penalties. Cyber-attacks can include malware, computer viruses, hacking or other unauthorized access or other significant compromise of our computer, communications and related systems. Although we take steps to manage and avoid these risks and to be prepared to respond to attacks, our preventive and any remedial actions may not be successful and no such measures can eliminate the possibility of the systems improper functioning or the improper access or disclosure of confidential or personally identifiable information such as in the event of cyber-attacks. Security breaches, whether through physical or electronic break-ins, computer viruses, ransomware, impersonation of authorized users, attacks by hackers or other means, can create system disruptions or shutdowns or the unauthorized disclosure of confidential information.</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Likewise, although we believe our collaborators, vendors and service providers, such as our CROs, take steps to manage and avoid information security risks and respond to attacks, we may be vulnerable to attacks against our collaborators, vendors or service providers, and we may not have adequate contractual remedies against such collaborators, vendors and service providers in such event. Additionally, outside parties may attempt to fraudulently induce employees, collaborators, or other contractors to disclose sensitive information or take other actions, including making fraudulent payments or downloading malware, by using “spoofing” and “phishing” emails or other types of attacks. Our employees may be targeted by such fraudulent activities. Outside parties may also subject us to distributed denial of services attacks or introduce viruses or other malware through “trojan horse” programs to our users’ computers in order to gain access to our systems and the data stored therein. In the recent past, cyber-attacks have become more prevalent and much harder to detect and defend against and, because the techniques used to obtain unauthorized access, disable or degrade service, or sabotage systems change frequently and continuously become more sophisticated, often are not recognized until launched against a target and may be difficult to detect for a long time, we may be unable to anticipate these techniques or to implement adequate preventive or detective measures, and we might not immediately detect such incidents and the damage caused by such incidents.</w:t>
      </w:r>
    </w:p>
    <w:p>
      <w:pPr>
        <w:spacing w:after="0" w:line="1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Such attacks, whether successful or unsuccessful, or other compromises with respect to our information security and the measures we implement to prevent, detect and respond to them, could result in our incurring significant costs related to, for example, rebuilding internal systems, defending against litigation, responding to regulatory inquiries or actions, paying damages or fines, or taking other remedial steps with respect to third parties, divert the attention of our management and key information technology resources, disrupt key business operations, harm our reputation and deter business partners from working with us. A compromise with respect to our information security could lead to public exposure of personal information of our clinical trial subjects, Auryxia patients and others, and publicity about information security. Publicity about vulnerabilities and attempted or successful incursions could damage the integrity of our studies or delay their completion. If a compromise to our information security were to occur and cause interruptions in our operations, it could result in a disruption of our development programs and our business operations, whether due to a loss of our trade secrets or other proprietary information or other similar disruptions. For example, any loss of clinical trial data could result in delays in our regulatory approval efforts for our product candidates and significantly increase our costs to recover or reproduce the data. In addition, such attacks could compromise our ability to protect our trade secrets and proprietary information from unauthorized access or misappropriation and a loss of, or damage to, our data or marketing applications. Inappropriate public disclosure of confidential or proprietary information could subject us to liability and cause delays in our product research, development and commercialization efforts. We currently do not maintain cybersecurity insurance to protect against losses due to security breaches.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 failure to maintain proper functionality and security of our internal computer and information systems could result in a loss of, or damage to, our data or marketing applications or inappropriate disclosure of confidential or proprietary information, interrupt our operations, damage our reputation, subject us to liability claims or regulatory penalties, under a variety of federal, state or other applicable privacy laws, such as HIPAA, the GDPR, or state data protection laws, harm our competitive position and delay the further development and commercialization of our products and product candidates, or impact our relationships with Auryxia patients.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ind w:right="1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and vendors may engage in misconduct or other improper activities, including non-compliance with regulatory standards and requirements and insider trading.</w:t>
      </w:r>
    </w:p>
    <w:p>
      <w:pPr>
        <w:spacing w:after="0" w:line="6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applicable laws, including the following:</w:t>
      </w:r>
    </w:p>
    <w:p>
      <w:pPr>
        <w:spacing w:after="0" w:line="73" w:lineRule="exact"/>
        <w:rPr>
          <w:sz w:val="20"/>
          <w:szCs w:val="20"/>
          <w:color w:val="auto"/>
        </w:rPr>
      </w:pPr>
    </w:p>
    <w:p>
      <w:pPr>
        <w:ind w:left="1040" w:right="20" w:hanging="519"/>
        <w:spacing w:after="0" w:line="308"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FDA and other healthcare authorities’ regulations, including those laws that require the reporting of true, complete and accurate information to regulatory authorities, and those prohibiting the promotion of unapproved drugs or approved drugs for an unapproved use;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quality standards, including GXP;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their non-U.S. equivalents;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anti-bribery and anti-corruption laws, such as the FCPA and the UK Bribery Act or country-specific anti-bribery or anti-corruption laws, as well as various import and export laws and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laws that require the reporting of true and accurate financial information and data;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 securities laws and regulations and their non-U.S. equivalents.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These laws and regulations may restrict or prohibit a wide range of pricing, discounting, marketing and promotion, sales commission, customer incentive programs and other business arrangements.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or if any such action is instituted against our employees, consultants, vendors or principal investigators,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curtailment of our operations, disclosure of our confidential information and imprisonment, any of which could adversely affect our ability to operate our business and our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we commercialize Auryxia and advance our product candidates through clinical trials and commercialization, we have expanded and may need to further expand our clinical, medical, regulatory, manufacturing, marketing and sales capabilities or contract with third parties to provide these capabilities for us. In addition, we may encounter difficulties in managing the expanded operations of a larger and more complex company following the Merger as well as challenges associated with managing an increasingly diversified business.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strategic collaborations for the commercialization of Riona and the development and commercialization of vadadustat. As our operations expand, we expect that we will need to manage additional relationships with various strategic collaborators, consultants, vendors, suppliers and other third parties. Future growth will impose significant added responsibilities on members of management.</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in connection with the Merger, we have experienced and may to continue to experience significant growth in our employee base for sales, marketing, operational, managerial, financial, human resources, compliance, drug development, quality, regulatory and medical affairs and other areas. This growth has imposed and will continue to impose significant added responsibilities on members of management, including the need to recruit, hire, retain, motivate and integrate additional employees, including employees who joined us in connection with the Merger. Also, our management may have to divert a disproportionate amount of its attention away from our day-to-day activities and devote a substantial amount of time to managing these growth activities, including the integration of Keryx’s business with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ind w:right="20"/>
        <w:spacing w:after="0" w:line="289" w:lineRule="auto"/>
        <w:rPr>
          <w:sz w:val="20"/>
          <w:szCs w:val="20"/>
          <w:color w:val="auto"/>
        </w:rPr>
      </w:pPr>
      <w:r>
        <w:rPr>
          <w:rFonts w:ascii="Arial" w:cs="Arial" w:eastAsia="Arial" w:hAnsi="Arial"/>
          <w:sz w:val="16"/>
          <w:szCs w:val="16"/>
          <w:color w:val="auto"/>
        </w:rPr>
        <w:t>Our future financial performance and our ability to commercialize Auryxia and vadadustat or any other product candidate, if approved, and to compete effectively will depend, in part, on our ability to manage any future growth effectively. To manage our recent and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In addition, we may need to adjust the size of our workforce as a result of changes to our expectations for our business, which can result in diversion of management attention, disruptions to our business, and related expenses. The physical expansion of our operations may lead to significant costs and may divert our management and business development resources. Any inability to manage growth could delay the execution of our business plans or disrupt our operations. We may not be able to accomplish these tasks, and our failure to accomplish any of them could prevent us from successfully growing our company or realizing the anticipated benefits of the Merger.</w:t>
      </w:r>
    </w:p>
    <w:p>
      <w:pPr>
        <w:spacing w:after="0" w:line="2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 and product candidates.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face an inherent risk of product liability as a result of the use of our products commercially, and clinical testing of our product candidates, and we will face an even greater risk if we commercialize any additional products in the future. For example, we may be sued if any of our products or product candidates allegedly causes injury or is found to be otherwise unsuitable during product testing, manufacturing, marketing or sale. Any such product liability claims may include allegations of defects in manufacturing, defects in design, a failure to warn of dangers inherent in the product or product candidate, negligence, strict liability and breach of warranties. Claims could also be asserted under state consumer protection acts. If we cannot successfully defend ourselves against product liability claims, we may incur substantial liabilities or be required to limit commercialization of our products and product candidates. Even a successful defense would require significant financial and management resources. Regardless of the merits or eventual outcome, product liability claims may result in:</w:t>
      </w:r>
    </w:p>
    <w:p>
      <w:pPr>
        <w:spacing w:after="0" w:line="84" w:lineRule="exact"/>
        <w:rPr>
          <w:sz w:val="20"/>
          <w:szCs w:val="20"/>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demand for any product 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inability to continue to develop a product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 recalls or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demand for a product or product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inability to commercialize any product or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that we believe is appropriate for our company.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insufficient or no coverage. If we have to pay any amounts awarded by a court or negotiated in a settlement that exceed our coverage limitations or that are not covered by our insurance, we may not have, or be able to obtain, sufficient capital to pay such amounts. In addition, insurance coverage is becoming increasingly expensive, and we may not be able to maintain insurance coverage at a reasonable cost. We also may not be able to obtain additional insurance coverage that will be adequate to cover product liability risks that may arise. Consequently, a product liability claim may result in losses that could be material to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in the Jumpstart Our Business Startups Act of 2012. As a result, take advantage of certain reduced disclosure requirements.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will remain an emerging growth company until December 31, 2019.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57" w:lineRule="exact"/>
        <w:rPr>
          <w:sz w:val="20"/>
          <w:szCs w:val="20"/>
          <w:color w:val="auto"/>
        </w:rPr>
      </w:pPr>
    </w:p>
    <w:p>
      <w:pPr>
        <w:ind w:left="1040" w:hanging="519"/>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obtaining shareholder approval of any golden parachute payments not previously approved.</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are subject to the same new or revised accounting standards as other public companies that are not emerging growth companies.</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satisfy the requirements of Section 404 of the Sarbanes-Oxley Act or our internal control over financial reporting is not effective, the reliability of our financial statements may be questioned and our stock price may suffer.</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Section 404 of the Sarbanes-Oxley Act requires any company subject to the reporting requirements of the U.S. securities laws to do a comprehensive evaluation of its and its consolidated subsidiaries’ internal controls over financial reporting. Additionally, Section 404(b), which is applicable as of 12/31/2019, requires our independent auditors to opine on the design and operating effectiveness of our internal controls over financial reporting. The rules governing the standards that must be met for management to assess our internal controls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controls over financial reporting or our auditors identify material weaknesses in our internal controls, investor confidence in our financial results may weaken and our stock price may suffer.</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stock price has been and may continue to be volatile, which could result in substantial losses for purchasers of our common stock and lawsuits against us and our officers and directors.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stock price has been and will likely continue to be volatile. The stock market in general and the market for smaller pharmaceutical and biotechnology companies in particular have experienced extreme volatility that has often been unrelated to the operating performance of particular companies. Since our initial public offering in March 2014, the price of our common stock as reported on The Nasdaq Global Market has ranged from a low of $5.20 on December 24, 2018 to a high of $31.00 on June 20, 2014. The market price of shares of our common stock could be subject to wide fluctuations in response to many risk factors listed in this section, developments related to and results of our clinical studies, developments related to our regulatory submissions, developments related to our ability to commercialize Auryxia and any other approved product candidates, announcements by us or our competitors of significant mergers, acquisitions, licenses, strategic collaborations, joint ventures, collaborations or capital commitments, negative publicity around Auryxia, vadadustat or any other product or product candidate, the results of competitive clinical trials, products or technologies, regulatory or legal developments in the United States and other countries, developments or disputes concerning patent applications, issued patents or other proprietary rights, the recruitment or departure of key personnel, the level of expenses related to Auryxia, vadadustat or any other product or product candidate or clinical development programs,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pharmaceutical and biotechnology sectors, general economic, industry and market conditions and others beyond our control. As a result of this volatility, our shareholders may not be able to sell their common stock at or above the price at which they purchased 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6" w:name="page87"/>
    <w:bookmarkEnd w:id="86"/>
    <w:p>
      <w:pPr>
        <w:spacing w:after="0" w:line="255" w:lineRule="auto"/>
        <w:rPr>
          <w:sz w:val="20"/>
          <w:szCs w:val="20"/>
          <w:color w:val="auto"/>
        </w:rPr>
      </w:pPr>
      <w:r>
        <w:rPr>
          <w:rFonts w:ascii="Arial" w:cs="Arial" w:eastAsia="Arial" w:hAnsi="Arial"/>
          <w:sz w:val="18"/>
          <w:szCs w:val="18"/>
          <w:color w:val="auto"/>
        </w:rPr>
        <w:t>In addition, companies that have experienced volatility in the market price of their stock have frequently been the subject of securities class action and shareholder derivative litigation. See Part I, Item 3. Legal Proceedings for information concerning securities class action and shareholder derivative lawsuits initiated against us, Keryx and certain current and former directors and officers of ours and Keryx’s. In addition, we could be the target of other such litigation in the future. Class action and shareholder derivative lawsuits, whether successful or not, could result in substantial costs, damage or settlement awards and a diversion of our management’s resources and attention from running our business, which could materially harm our reputation, financial condition and results of operations.</w:t>
      </w:r>
    </w:p>
    <w:p>
      <w:pPr>
        <w:spacing w:after="0" w:line="301"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The issuance of additional shares of our common stock or the sale of shares of our common stock by any of our directors, officers or significant shareholders will dilute our shareholders’ ownership interest in Akebia and may cause the market price of our common stock to decline.</w:t>
      </w:r>
    </w:p>
    <w:p>
      <w:pPr>
        <w:spacing w:after="0" w:line="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such shares, could reduce the market price of our common stock.</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Baupost Group Securities, L.L.C., or Baupost, beneficially owns approximately 21% of our outstanding common stock, and our former director Muneer Satter owns approximately 3% of our outstanding common stock. Subject to certain restrictions, Baupost and Mr. Satter are able to sell their shares of common stock in the public market from time to time without registering them, subject to certain limitations on the timing, amount and method of those sales imposed by Rule 144 under the Securities Act of 1933, as amended. In addition, pursuant to our registration rights agreement with Baupost and our Fourth Amended and Restated Investor Rights Agreement, as amended, with Mr. Satter, Baupost and Mr. Satter have the right, subject to certain conditions and with certain exceptions, to require us to file registration statements covering the shares common stock they own or to include their shares in registration statements that we may file or in public offerings of our shares of common stock. Following their registration and sale under the applicable registration statement, those shares would become freely tradable. By exercising their registration rights and selling a large number of shares of common stock, Baupost and Mr. Satter could cause the price of our common stock to decline.</w:t>
      </w:r>
    </w:p>
    <w:p>
      <w:pPr>
        <w:spacing w:after="0" w:line="1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a significant number of shares that are subject to outstanding options, restricted stock units and warrants, and in the future we may issue additional options, restricted stock units, warrants or other derivative securities convertible into our common stock. The exercise or vesting of any such options, restricted stock units, warrants or other derivative securities, and the subsequent sale of the underlying common stock, could cause a further decline in our stock price. These sales also might make it difficult for us to sell equity securities in the future at a time and at a price that we deem appropriate. Also, the Merger was financed by the issuance of shares of our common stock to shareholders of Keryx, comprising approximately 50.6% of our issued and outstanding shares of common stock, calculated based on our fully diluted market capitalization as of the date of signing the Agreement and Plan of Merger relating to the Merger. Keryx shareholders may decide not to hold the shares of our common stock they received in the Merger. Other Keryx shareholders, such as funds with limitations on the amount of stock they are permitted to hold in individual issuers, may be required to sell the shares of our common stock they received in the Merger. Such sales of our common stock could result in higher than average trading volume and may cause the market price for our common stock to decline.</w:t>
      </w:r>
    </w:p>
    <w:p>
      <w:pPr>
        <w:spacing w:after="0" w:line="17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addition, we currently have on file with the SEC universal shelf registration statements, which allow us to offer and sell certain registered securities, such as common stock, preferred stock, warrants and units, from time to time pursuant to one or more offerings at prices and terms to be determined at the time of sale. Also, on May 23, 2016, we entered into a sales agreement with Cantor Fitzgerald, pursuant to which, from time to time, we may offer and sell through Cantor Fitzgerald up to an aggregate of $75.0 million of the common stock pursuant to one or more “at the market,” or ATM, offerings. In addition, with our prior written approval, Cantor Fitzgerald may sell these shares of common stock by any other method permitted by law, including in privately negotiated transactions. As of December 31, 2018, we have sold $41.0 million of our common stock pursuant to two ATM facilities.</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Sales of substantial amounts of shares of our common stock or other securities by our employees or our other shareholders or by us pursuant to the ATM, under our universal shelf registration statements or otherwise could dilute our stockholders, lower the market price of our common stock and impair our ability to raise capital through the sale of equity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7" w:name="page88"/>
    <w:bookmarkEnd w:id="87"/>
    <w:p>
      <w:pPr>
        <w:ind w:right="120"/>
        <w:spacing w:after="0" w:line="277" w:lineRule="auto"/>
        <w:rPr>
          <w:sz w:val="20"/>
          <w:szCs w:val="20"/>
          <w:color w:val="auto"/>
        </w:rPr>
      </w:pPr>
      <w:r>
        <w:rPr>
          <w:rFonts w:ascii="Arial" w:cs="Arial" w:eastAsia="Arial" w:hAnsi="Arial"/>
          <w:sz w:val="18"/>
          <w:szCs w:val="18"/>
          <w:b w:val="1"/>
          <w:bCs w:val="1"/>
          <w:i w:val="1"/>
          <w:iCs w:val="1"/>
          <w:color w:val="auto"/>
        </w:rPr>
        <w:t>Insiders and significant stockholders could cause us to take actions that may not be, or refrain from taking actions that may be, in our best interest or in the best interest of all of our stockholders.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28, 2019, we believe that our directors and executive officers, together with their affiliates, beneficially owned, in the aggregate, approximately 3% of our outstanding common stock, In addition, we have certain significant stockholders, including Baupost, which owns approximately 21% of our outstanding common stock. As a result, if certain significant stockholders were to choose to act together, they would be able to control all matters submitted to our stockholders for approval, as well as our management and affairs, such as:</w:t>
      </w:r>
    </w:p>
    <w:p>
      <w:pPr>
        <w:spacing w:after="0" w:line="79" w:lineRule="exact"/>
        <w:rPr>
          <w:sz w:val="20"/>
          <w:szCs w:val="20"/>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composition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adoption of amendments to our Ninth Amended and Restated Certificate of Incorporation and Amended and Restated By-Laws;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approval of mergers or sales of substantially all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capital structure and financing;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approval of contracts between us and these shareholders or their affiliates, which could involve conflicts of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concentration of ownership could harm the market price of our common stock by:</w:t>
      </w:r>
    </w:p>
    <w:p>
      <w:pPr>
        <w:spacing w:after="0" w:line="117" w:lineRule="exact"/>
        <w:rPr>
          <w:sz w:val="20"/>
          <w:szCs w:val="20"/>
          <w:color w:val="auto"/>
        </w:rPr>
      </w:pPr>
    </w:p>
    <w:p>
      <w:pPr>
        <w:ind w:left="1040" w:right="24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and making some transactions more difficult or impossible without the support of these stockholders, even if such transactions are beneficial to other stockholders;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entrenching our management or our Board of Directors.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Moreover, the interests of these stockholders may conflict with the interests of other stockholders, and we may be required to engage in transactions that may not be agreeable to or in the best interest of us or other stockholders.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initiatives and corporate governance practices.</w:t>
      </w:r>
    </w:p>
    <w:p>
      <w:pPr>
        <w:spacing w:after="0" w:line="62"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As a public company, and particularly following December 31, 2019 when we will no longer be an “emerging growth company”, we will continue to incur significant legal, accounting and other expenses. The Sarbanes-Oxley Act of 2002, or the SOX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continue to devote a substantial amount of time to these compliance initiatives. Moreover, these rules and regulations will increase our legal and financial compliance costs and make some activities more time-consuming and costly, especially since we will no longer be an “emerging growth company” after December 31, 2019 and we will therefore no longer be able to take advantage of certain exemptions from various reporting requirements that are applicable to public companies that are “emerging growth companies”.</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cannot predict or estimate the amount of additional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w:t>
      </w:r>
    </w:p>
    <w:p>
      <w:pPr>
        <w:spacing w:after="0" w:line="2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as and when required, conducted in connection with Section 404 of the SOX, or Section 404, or any subsequent testing by our independent registered public accounting firm, as and when required, may reveal deficiencies in our internal control over financial reporting that are deemed to be material weaknesses or that may require prospective or retroactive changes to our financial statements or identify other areas for further attention or improvement. As a larger company following the Merger, implementing and maintaining effective controls may require more resources, and we may encounter internal control integration difficulties.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8" w:name="page89"/>
    <w:bookmarkEnd w:id="88"/>
    <w:p>
      <w:pPr>
        <w:ind w:right="40"/>
        <w:spacing w:after="0" w:line="270" w:lineRule="auto"/>
        <w:rPr>
          <w:sz w:val="20"/>
          <w:szCs w:val="20"/>
          <w:color w:val="auto"/>
        </w:rPr>
      </w:pPr>
      <w:r>
        <w:rPr>
          <w:rFonts w:ascii="Arial" w:cs="Arial" w:eastAsia="Arial" w:hAnsi="Arial"/>
          <w:sz w:val="17"/>
          <w:szCs w:val="17"/>
          <w:color w:val="auto"/>
        </w:rPr>
        <w:t>Pursuant to Section 404, are required to furnish a report by our management on our internal control over financial reporting. However, as an “emerging growth company”, we have not been required to include an attestation report on internal control over financial reporting issued by our independent registered public accounting firm until we are no longer an emerging growth company as of January 1, 2020.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86"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Provisions in our organizational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Ninth Amended and Restated Certificate of Incorporation,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certain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right="52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right="12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a supermajority vote of 75% of the holders of our capital stock entitled to vote or the majority vote of our Board of Directors to amend our Amended and Restated By-Laws;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a supermajority vote of 85% of the holders of our capital stock entitled to vote to amend the classification of our Board of Directors and to amend certain other provisions of our Ninth Amended and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changes in control or changes in our management.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Any provision of our Ninth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Section 382 of the Code, a corporation that undergoes an “ownership change” is subject to limitations on its ability to utilize its pre-change net operating losses, or NOLs, to offset future taxable income. On December 12, 2018, we completed the Merger, which we believe has resulted in a change in control under Section 382 of the Code, or Section 382. Future changes in our stock ownership, many of which are outside of our control, could result in an additional ownership change under Section 382. As a result, if we earn net taxable income, our ability to use our pre-change NOL carryforwards to offset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our ability to utilize our NOLs is conditioned upon our attaining profitability and generating U.S. taxable income. As described above under “—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income necessary to utilize our NOLs. A valuation allowance has been provided for the entire amount of our NOLs.</w:t>
      </w:r>
    </w:p>
    <w:p>
      <w:pPr>
        <w:spacing w:after="0" w:line="295"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b w:val="1"/>
          <w:bCs w:val="1"/>
          <w:i w:val="1"/>
          <w:iCs w:val="1"/>
          <w:color w:val="auto"/>
        </w:rPr>
        <w:t>Our Ninth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Ninth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Ninth Amended and Restated Certificate of Incorporation or our Amended and Restated By-Laws, or (4) any other action asserting a claim against us that is governed by the internal affairs doctrine. Under our Ninth Amended and Restated Certificate of Incorporation,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Any person or entity purchasing or otherwise acquiring any interest in shares of our capital stock shall be deemed to have notice of and to have consented to the provisions of our Ninth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Ninth Amended and Restated Certificate of Incorporation inapplicable to, or unenforceable with respect to,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are currently subject to securities class action litigation and other legal proceedings, which could result in substantial costs and divert management's attention, and we could be subject to additional securities class actions, shareholder derivative lawsuits and other legal proceedings.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subject to securities class action litigation and other legal proceedings as described in Part I, Item 3. Legal Proceedings. In</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addition, securities class action and derivative lawsuits and other legal proceedings are often brought against companies for any of the risks described in this Annual Report on Form 10-K following a decline in the market price of their securities. In connection with any litigation or other legal proceedings, we could incur substantial costs, and such costs and any related settlements or judgments may not be covered by insurance. We could also suffer an adverse impact on our reputation and a diversion of management’s attention and resources, which could have a material adverse effect on our business.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development and growth of our business. In addition, the terms of our current or future debt agreements may preclude us from paying dividends. As a result, capital appreciation, if any, of our common stock will be our stockholders’ sole source of gain for the foreseeable future.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corporate headquarters are located in Cambridge, Massachusetts. We currently lease approximately 65,167 square feet of office and lab space in Cambridge, Massachusetts, and 27,300 square feet of office space in Boston, Massachusetts. Excluding renewal options, the lease for the Cambridge, Massachusetts office space expires on September 11, 2026, the lease for the Cambridge, Massachusetts lab space expires on November 30, 2021, and the lease for the Boston, Massachusetts office space expires on February 28, 2023. By the end of 2019, we plan to move employees based in our Boston office to our Cambridge office and sublet our Boston office. We believe that our existing facilities are adequate to meet our current needs, and that suitable additional alternative spaces will be available in the future on commercially reasonable terms for our future growth.</w:t>
      </w:r>
    </w:p>
    <w:p>
      <w:pPr>
        <w:spacing w:after="0" w:line="3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 Relating to our Merger with Keryx</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28, 2018, we entered into an Agreement and Plan of Merger with Keryx Biopharmaceuticals, Inc., or Keryx, and Alpha Therapeutics Merger Sub, Inc., or the Merger Sub, pursuant to which the Merger Sub would merge with and into Keryx, with Keryx becoming a wholly owned subsidiary of ours, or the Merger. On December 12, 2018, we completed the Merger. In October and November 2018, four purported shareholders of Keryx filed four separate putative class actions, or the Merger Securities Actions, against Keryx, a former officer and director of Keryx (Jodie P. Morrison, who is now a director of ours), former directors of Keryx (Kevin J. Cameron, Mark J. Enyedy, Steven C. Gilman, Michael T. Heffernan, Daniel P. Regan and Michael Rogers, some of whom are current members of our Board of Directors), and, with respect to one action, the Merger Sub and Akebia, challenging the disclosures made in connection with the Merger. The complaints in the Merger Securities Actions generally allege that the registration statement filed in connection with the Merger failed to disclose certain allegedly material information in violation of Section 14(a) and 20(a) of the Securities Exchange Act of 1934, as amended, or the Exchange Act, and Rule 14a-9 promulgated thereunder. The alleged omissions relate to (i) certain financial projections for Keryx and Akebia and certain financial analyses performed by our advisors; (ii) certain terms relating to the engagement of one of Keryx’s advisors; and (iii) any alleged negotiations that may have taken place regarding which individuals would serve on our Board of Directors after consummation of the Merger as well as future employment of officers. Each of the complaints seeks to enjoin the defendants from proceeding with the Merger; however, none of the plaintiffs filed a motion seeking such relief before the Merger was consummated. The complaints also seek rescission of the Merger or rescissory damages, a declaration that that the defendants violated Sections 14(a) and 20(a) of the Exchange Act and Rule 14a-9 thereunder, and an award of plaintiffs’ costs, including reasonable allowance for attorneys’ fees and experts’ fees.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Three of the Merger Securities Actions are pending in the United States District Court for the District of Delaware, or the Delaware District Court: Corwin v. Keryx Biopharmaceuticals, Inc., et al. (filed October 16, 2018); Van Hulst v. Keryx Biopharmaceuticals, Inc., et al. (filed October 24, 2018); and Andreula v. Keryx Biopharmaceuticals, Inc., et al. (filed November 1, 2018). On January 4, 2019, plaintiff John Andreula filed a motion to consolidate the three actions pending in the Delaware District Court and appoint himself as lead plaintiff. The Delaware District Court has yet to rule on that motion. The fourth Merger Securities Action was filed in the United States District Court for the District of Massachusetts, or the Massachusetts District Court: Rosenblatt v. Keryx Biopharmaceuticals, Inc., et al. (filed October 23, 2018). The plaintiff in the Rosenblatt action filed a notice of voluntary dismissal of the action without prejudice, on February 19, 2019.</w:t>
      </w:r>
    </w:p>
    <w:p>
      <w:pPr>
        <w:spacing w:after="0" w:line="20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December 10, 2018, a purported stockholder of Keryx, Michael J. Donnelly, filed a complaint against Keryx pursuant to Section 220 of the Delaware General Corporation Law in the Delaware Court of Chancery, captioned Donnelly v. Keryx Biopharmaceuticals, Inc., or the Donnelly Action. The Donnelly Action seeks inspection of various Keryx books and records, purportedly to investigate “possible wrongdoing,” in connection with Keryx’s negotiation and approval of the Merger, as well as the independence of former members of Keryx’s Board of Directors, some of whom are current members of our Board of Directors. In addition to the production of books and records, the Donnelly Action seeks costs and expenses incurred in the action, including reasonable attorneys’ fees. On January 31, 2019, Keryx answered the complaint in the Donnelly Action. To date, no schedule has been ordered in the Donnelly Action.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Shareholder Litigation Relating to Auryxia Supply</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Four putative class action lawsuits have been filed against Keryx and certain of its former officers (Gregory P. Madison, Scott A. Holmes, Ron Bentsur, and James Oliviero) and consolidated in the Massachusetts District Court, captioned Karth v. Keryx Biopharmaceuticals, Inc., et al. (filed October 26, 2016, with an amended complaint filed on February 27, 2017). Plaintiffs seek to represent all stockholders who purchased shares of Keryx common stock between May 8, 2013 and August 1, 2016. The complaint alleges that Keryx and the named individual defendants violated Sections 10(b) and/or 20(a) of the Exchange Act and Rule 10b-5 promulgated thereunder by making allegedly false and/or misleading statements concerning Keryx, its supplier relationships, and future prospects, and that the allegedly misleading statements were not made known to the market until Keryx’s August 1, 2016 announcement of an interruption in its supply of Auryxia. By order dated July 19, 2018, the Massachusetts District Court granted in part and denied in part the defendants’ motion to dismiss the complaint. The parties are presently engaged in discovery. No trial date has been set.</w:t>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Two stockholder derivative complaints also were filed on December 16, 2016 against Keryx and certain of its former officers (Gregory P. Madison, Scott A. Holmes, Ron Bentsur and James Oliviero) certain of its former directors (Kevin J. Cameron, Daniel P. Regan, Steven C. Gilman, Michael Rogers Michael P. Tarnok, Joseph Feczko, Jack Kaye Wyche Fowler, Jr. and John P. Butler), some of whom are current directors and officers of ours, in the Superior Court of Massachusetts, one captioned Venkat Vara Prasad Malledi v. Keryx Biopharmaceuticals, Inc., et al., and one captioned James Anderson v. Keryx Biopharmaceuticals, Inc., et al.. Each of these two complaints generally alleges breach of fiduciary duty, unjust enrichment, abuse of control, mismanagement and corporate waste. On June 27, 2017, the Superior Court of Massachusetts granted the parties’ motion to consolidate and stay the derivative litigations. All of the complaints seek unspecified damages, interest, attorneys’ fees, and other costs.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deny any allegations of wrongdoing and intend to vigorously defend against the shareholder lawsuits described in this section. There is no assurance, however, that we will be successful in the defense of these lawsuits or that insurance will be available or adequate to fund any settlement or judgment or the litigation costs of these actions. Moreover, we are unable to predict the outcome or reasonably estimate a range of possible losses at this time. A resolution of these lawsuits in a manner adverse to us, however, could have a material effect on our financial position and results of operations in the period in which a particular lawsuit is resolved.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Relating to Auryxia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ANDA Litigation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October 31, 2018, November 6, 2018, December 24, 2018 and February 4, 2019, Keryx received Paragraph IV certification notice letters regarding Abbreviated New Drug Applications, or ANDAs, submitted to the U.S. Food and Drug Administration, or FDA, by Lupin Atlantis Holdings SA, or Lupin, Teva Pharmaceuticals USA, Inc., or Teva, Chemo Research S.L., or Chemo, and Mylan Pharmaceuticals Inc., or Mylan, respectively, requesting approval for generic versions of Auryxia tablets (210 mg iron per tablet). On December 13, 2018, Keryx and its licensors, Panion &amp; BF Biotech, Inc., or Panion, and Chen Hsing Hsu, M.D., filed a complaint for patent infringement against Lupin and Lupin Ltd., or the Lupin Defendants, in the Delaware District Court, arising from Lupin’s ANDA filing with the FDA. On December 19, 2018, Keryx and Panion filed a complaint for patent infringement against Teva and Teva Pharmaceutical Industries Limited, or the Teva Defendants, in the Delaware District Court arising from Teva’s ANDA filing with the FDA. On February 1, 2019, Keryx, Panion and Dr. Hsu filed a complaint for patent infringement against Chemo and Insud Pharma S.A., or the Chemo Defendants, in the Delaware District Court arising from Chemo’s ANDA filing with the FDA. On March 15, 2019, Keryx, Panion and Dr. Hsu filed a complaint for patent infringement against Mylan in the United States District Court for the Northern District of West Virginia of arising from Mylan’s ANDA filing with the FDA.</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timely filing of these lawsuits in accordance with the relevant statute, a 30-month stay of approval will be imposed by the FDA on Lupin’s, Teva’s, Chemo’s and Mylan’s ANDAs, which stays are expected to remain in effect until April 2021, May 2021, June 2021 and August 2021, respectively, absent an earlier judgment by the court in each of these lawsuits finding the patents at issue invalid, unenforceable or not infringed. We and the other plaintiffs in each of these lawsuits are seeking, among other relief, an order that the effective date of FDA approval of the ANDA be a date no earlier than the expiration of each of the patents at issue and equitable relief enjoining the Lupin Defendants, the Teva Defendants, the Chemo Defendants and Mylan from infringing these patents.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Proceedings Against Patents Covering Auryxia</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25, 2015, a third party filed an opposition to our issued European Patent No. 1 931 689, or the ‘689 EP Patent, in the European Patent Office, or the EPO. During the oral proceedings, which took place on June 27, 2017, the Opposition Division of the EPO revoked the ‘689 EP Patent. On December 6, 2017, we filed an appeal of the decision of the Opposition Division of the EPO, which is presently pending. According to European practice, the revocation of the patent is stayed until an appeal is finally resolved. We anticipate the appeal will take a few years to resolve, during which time the patent will remain in force.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ind w:right="60"/>
        <w:spacing w:after="0" w:line="257" w:lineRule="auto"/>
        <w:rPr>
          <w:sz w:val="20"/>
          <w:szCs w:val="20"/>
          <w:color w:val="auto"/>
        </w:rPr>
      </w:pPr>
      <w:r>
        <w:rPr>
          <w:rFonts w:ascii="Arial" w:cs="Arial" w:eastAsia="Arial" w:hAnsi="Arial"/>
          <w:sz w:val="18"/>
          <w:szCs w:val="18"/>
          <w:color w:val="auto"/>
        </w:rPr>
        <w:t>On December 23, 2016, a third party filed an opposition to our issued European Patent No. 1 978 807, or the ’807 EP Patent, in the EPO. During the oral proceedings, which took place on June 8, 2018, the Opposition Division of the EPO maintained the ’807 EP Patent as granted. This decision resulted in the maintenance of all of the claims of the patent, including claims directed to the use of ferric citrate for preventing, reversing, maintaining or delaying progression of chronic kidney disease. On November 16, 2018, the third party filed an appeal of the decision of the Opposition Division of the EPO, which is presently pending. We anticipate the appeal will take a few years to resolve.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Relating to Vadadustat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Proceedings Against Patents Covering Vadadustat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2011, a third party filed an opposition to our issued European Patent No. 2044005, or the ’005 EP Patent, in the EPO. During the oral proceedings, which took place on April 10, 2013, the Opposition Division of the EPO maintained the ’005 EP Patent. This decision resulted in the maintenance of a claim directed to a compound chosen from a group of eight compounds, including vadadustat, as well as claims to compositions and methods for treating various diseases, including, but not limited to, anemia. Both parties appealed the decision of the Opposition Division of the EPO. On February 27, 2018, we withdrew the ’005 EP Patent from appeal and filed a divisional patent application to pursue a focused claim set that includes claims for vadadustat, as well as pharmaceutical compositions and methods of treating anemia.</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September 2018, Dr. Reddy’s Laboratories Limited filed an opposition to our issued Indian Patent No. 287720, or the ’720 IN Patent, in the Indian Patent Office.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and Invalidity Proceedings Against FibroGen, Inc.</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filed an opposition in the EPO against FibroGen, Inc.’s, or FibroGen’s, European Patent No. 1463823, or the ’823 EP Patent on December 5, 2013, and an oral proceeding took place March 8 and 9, 2016. Following the oral proceeding, the Opposition Division of EPO ruled that the patent as granted did not meet the requirements for patentability under the European Patent Convention and, therefore, revoked the patent in its entirety. FibroGen has appealed that decision. Likewise, we also filed an invalidity proceeding before the Japan Patent Office, or JPO, on June 2, 2014 against certain claims of FibroGen’s Japanese Patent No. 4804131, or the ’131 JP Patent, which is the Japanese counterpart to the ’823 EP Patent, and the JPO issued a preliminary decision finding all of the challenged claims to be invalid. FibroGen subsequently amended the claims and the JPO accepted the amendments. The resulting ’131 JP Patent does not cover vadadustat or any pyridine carboxamide compounds. To date, FibroGen has been unsuccessful in its attempts to obtain a patent in the United States covering the same claim scope as it obtained initially in Europe and Japan in the ’823 EP Patent and ’131 JP Patent. In the event FibroGen were to obtain such a patent in the United States, we may decide to challenge the patent as we have done in Europe and Japan.</w:t>
      </w:r>
    </w:p>
    <w:p>
      <w:pPr>
        <w:spacing w:after="0" w:line="1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May 13, 2015, May 20, 2015 and July 6, 2015, we filed oppositions to FibroGen’s European Patent Nos. 2322155, or the ’155 EP Patent, 1633333, or the ’333 EP Patent, and 2322153, or the ’153 EP Patent in the EPO, respectively, requesting the patents be revoked in their entirety. These related patents claim, among other things, various compounds that either stabilize HIFα or inhibit a HIF hydroxylase or a HIF prolyl hydroxylase, or HIF-PH, for treating or preventing various conditions, including, among other things, iron deficiency, microcytosis associated with iron deficiency, anemia of chronic disease, anemia wherein the subject has a transferrin saturation of less than 20%, anemia refractory to treatment with exogenously administered erythropoietin and microcytosis in microcytic anemia. Such method of use patents do not prevent persons from using the compound for other uses, including any previously known use of the compound. In particular, these patents do not claim methods of using any of our product candidates for purposes of inhibiting HIF-PH for the treatment of anemia due to chronic kidney disease, or CKD. While we do not believe these patents will prevent us from commercializing vadadustat for the treatment of anemia due to CKD, we filed these oppositions to provide us and our collaborators with maximum flexibility for developing vadadustat and our pipeline of HIF-PHI compounds.</w:t>
      </w: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Oppositions to the ’155 EP Patent and the ’153 EP Patent were also filed in the EPO by Glaxo Group Limited, or Glaxo, and by Bayer Intellectual Property GmbH, Bayer Pharma Aktiengesellschaft, and Bayer Animal Health GmbH, or, collectively Bayer.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regard to the opposition that we filed in Europe against the ’333 EP Patent, an oral proceeding took place on December 8 and 9, 2016. Following the oral proceeding, the Opposition Division of the EPO ruled that the patent as granted did not meet the requirements for patentability under the European Patent Convention and, therefore, revoked the patent in its entirety. On December 9, 2016, FibroGen filed a notice to appeal the decision to revoke the ’333 EP Patent.</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oral proceedings held on May 29, 2017, regarding the ’155 EP Patent, the European Opposition Division ruled that the ’155 EP Patent as granted did not meet the requirements for patentability under the European Patent Convention and, therefore, revoked the patent in its entirety. FibroGen filed a notice to appeal the decision to revoke the ’155 EP Patent on May 29,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93" w:name="page94"/>
    <w:bookmarkEnd w:id="93"/>
    <w:p>
      <w:pPr>
        <w:jc w:val="both"/>
        <w:ind w:right="80"/>
        <w:spacing w:after="0" w:line="312" w:lineRule="auto"/>
        <w:rPr>
          <w:sz w:val="20"/>
          <w:szCs w:val="20"/>
          <w:color w:val="auto"/>
        </w:rPr>
      </w:pPr>
      <w:r>
        <w:rPr>
          <w:rFonts w:ascii="Arial" w:cs="Arial" w:eastAsia="Arial" w:hAnsi="Arial"/>
          <w:sz w:val="16"/>
          <w:szCs w:val="16"/>
          <w:color w:val="auto"/>
        </w:rPr>
        <w:t>Subsequently, in related oral proceedings held on May 31, 2017 and June 1, 2017 for the ’153 EP Patent, the Opposition Division of the EPO maintained the patent after FibroGen significantly narrowed the claims to an indication for which vadadustat is not intended to be developed. We and Glaxo separately filed notices to appeal the decision to maintain the ’153 EP Patent on November 9, 2017. Bayer filed a notice to appeal the decision on November 14, 2017.</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On May 21, 2018, we filed a Statement of Claim in Canadian Federal Court to challenge the validity of three of FibroGen’s HIF-related patents in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 2467689, CA 2468083, and CA 2526496.</w:t>
      </w:r>
    </w:p>
    <w:p>
      <w:pPr>
        <w:spacing w:after="0" w:line="2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June 22, 2018, we and our collaboration partner in Japan, Mitsubishi Tanabe Pharma Corporation, or MTPC, jointly filed a Request for Trial before the JPO to challenge the validity of one of FibroGen’s HIF-related patents in Japan, JP4845728. On July 20, 2018 and August 13, 2018, we and MTPC jointly filed a Request for Trial before the JPO to challenge the validity of two additional FibroGen HIF-related patents in Japan, JP5474872 and JP5474741, respectively.</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13, 2018, we and our collaboration partner, Otsuka Pharmaceutical Company Limited, filed Particulars of Claim in the Patents Court of the United Kingdom, or the UK, to challenge the validity of FibroGen, Inc.’s six HIF-related patents in the UK: the ’823 EP Patent (UK), the ’333 EP Patent (UK), the ’153 EP Patent (UK), the ’155 EP Patent (UK), European Patent (UK) No. 2,289,531, or the ’531 EP Patent (UK), and European Patent (UK) No. 2,298,301, or the ’301 EP Patent (UK). On December 21, 2018, GlaxoSmithKline UK Limited and GlaxoSmithKline Intellectual Property (No. 2) Limited, or collectively Glaxo UK, also filed Particulars of Claim in the Patents Court of the United Kingdom to challenge the validity of the ’153 EP Patent (UK) and the ’155 EP Patent (UK).</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94" w:name="page95"/>
    <w:bookmarkEnd w:id="94"/>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right="150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rPr>
          <w:sz w:val="20"/>
          <w:szCs w:val="20"/>
          <w:color w:val="auto"/>
        </w:rPr>
      </w:pPr>
      <w:r>
        <w:rPr>
          <w:rFonts w:ascii="Arial" w:cs="Arial" w:eastAsia="Arial" w:hAnsi="Arial"/>
          <w:sz w:val="18"/>
          <w:szCs w:val="18"/>
          <w:color w:val="auto"/>
        </w:rPr>
        <w:t>Our common stock is traded on The Nasdaq Global Market under the symbol “AKBA”.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At March 1, 2019, there were approximately 24 holders of record of our common stock.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earnings, if any, for use in our business and do not anticipate paying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plans for expansion.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Stock Performance Graph</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following performance graph and related information shall not be deemed to be “soliciting material” or “filed” with the SEC or subject to Regulation 14A or 14C, or to the liabilities of Section 18 of the Exchange Act, except to the extent that we specifically request that this information be treated as soliciting material or we specifically incorporate it by reference into a filing under the Securities Act of 1933, as amended, or the Exchange Act.</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95" w:name="page96"/>
    <w:bookmarkEnd w:id="95"/>
    <w:p>
      <w:pPr>
        <w:jc w:val="both"/>
        <w:spacing w:after="0" w:line="286" w:lineRule="auto"/>
        <w:rPr>
          <w:sz w:val="20"/>
          <w:szCs w:val="20"/>
          <w:color w:val="auto"/>
        </w:rPr>
      </w:pPr>
      <w:r>
        <w:rPr>
          <w:rFonts w:ascii="Arial" w:cs="Arial" w:eastAsia="Arial" w:hAnsi="Arial"/>
          <w:sz w:val="17"/>
          <w:szCs w:val="17"/>
          <w:color w:val="auto"/>
        </w:rPr>
        <w:t>Set forth below is a graph comparing the total cumulative returns of Akebia Therapeutics, Inc., the Nasdaq Composite Index and the Nasdaq Biotechnology Index. The graph assumes $100 was invested on March 20, 2014 in our common stock and each of the indices and that all dividends, if any, are reinvested. The performance shown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182880</wp:posOffset>
            </wp:positionV>
            <wp:extent cx="6165850" cy="32759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65850"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3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Information required by Part II, Item 5. Market for Registrant’s Common Equity, Related Stockholder Matters and Issuer Purchasers of Equity Securities regarding our equity compensation plans is incorporated herein by reference to Part III, Item 12. Security Ownership of Certain Beneficial Owners and Management and Related Stockholder Matters.</w:t>
      </w: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96" w:name="page97"/>
    <w:bookmarkEnd w:id="96"/>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selected consolidated financial data set forth below for the years ended December 31, 2018, 2017 and 2016 and as of December 31, 2018 and 2017 are derived from our audited consolidated financial statements, which are included elsewhere in this Annual Report on Form 10-K. The selected consolidated financial data for the years ended December 31, 2015 and 2014 and as of December 31, 2016, 2015 and 2014 are derived from our audited consolidated financial statements that are not included elsewhere in this Annual Report on Form 10-K. You should read these data together with “Management’s Discussion and Analysis of Financial Condition and Results of Operations” and our consolidated financial statements and related notes included elsewhere in this Annual Report on Form 10-K under the captions “Financial Statements and Supplementary Data.” The selected financial data in this section are not intended to replace our consolidated financial statements and related notes and are qualified in their entirety by the consolidated financial statements and related notes included elsewhere in this Annual Report on Form 10-K. Our historical results for any prior period are not necessarily indicative of results to be expected in any future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1"/>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 xml:space="preserve">(as revised) </w:t>
            </w:r>
            <w:r>
              <w:rPr>
                <w:rFonts w:ascii="Arial" w:cs="Arial" w:eastAsia="Arial" w:hAnsi="Arial"/>
                <w:sz w:val="12"/>
                <w:szCs w:val="12"/>
                <w:b w:val="1"/>
                <w:bCs w:val="1"/>
                <w:color w:val="auto"/>
                <w:w w:val="93"/>
              </w:rPr>
              <w:t>(2)</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revenue, net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License, collaboration and other revenue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200,918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181,227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181,227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137,995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(73,671)</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(135,747)</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(60,716)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Accretion on preferred stock</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(86,899)</w:t>
            </w: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color w:val="auto"/>
              </w:rPr>
              <w:t>Net loss applicable to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(143,588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(73,671)</w:t>
            </w:r>
          </w:p>
        </w:tc>
        <w:tc>
          <w:tcPr>
            <w:tcW w:w="2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(60,716)</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(123,933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applicable to common stockholders—</w:t>
            </w: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number of common shares used in</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net loss per share applicable to common stockholders—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58,038,252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43,500,795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37,716,949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26,469,170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15,406,386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460" w:hanging="512"/>
        <w:spacing w:after="0" w:line="274"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Note 2 of the notes to our consolidated financial statements appearing elsewhere in this Annual Report on Form 10-K for a description of the method used to calculate basic and diluted net loss per share of common stock.</w:t>
      </w:r>
    </w:p>
    <w:p>
      <w:pPr>
        <w:ind w:left="520" w:hanging="512"/>
        <w:spacing w:after="0"/>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Revenue amount for the year ended December 31, 2017 has been revised to reflect the adoption of ASC 606, with full retrospective application.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5"/>
              <w:spacing w:after="0" w:line="155"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and cash equivalents and available for sale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321,640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317,792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260,343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138,454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108,918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202,582</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217,250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182,053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129,149</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996,540</w:t>
            </w:r>
          </w:p>
        </w:tc>
        <w:tc>
          <w:tcPr>
            <w:tcW w:w="32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364,247</w:t>
            </w:r>
          </w:p>
        </w:tc>
        <w:tc>
          <w:tcPr>
            <w:tcW w:w="18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300,216</w:t>
            </w:r>
          </w:p>
        </w:tc>
        <w:tc>
          <w:tcPr>
            <w:tcW w:w="3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142,940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(514,395)</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(370,807)</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(297,136)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(161,389)</w:t>
            </w: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(100,673)</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635,928</w:t>
            </w:r>
          </w:p>
        </w:tc>
        <w:tc>
          <w:tcPr>
            <w:tcW w:w="32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122,574</w:t>
            </w:r>
          </w:p>
        </w:tc>
        <w:tc>
          <w:tcPr>
            <w:tcW w:w="18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68,120</w:t>
            </w:r>
          </w:p>
        </w:tc>
        <w:tc>
          <w:tcPr>
            <w:tcW w:w="32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130,998</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4"/>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7" w:name="page98"/>
    <w:bookmarkEnd w:id="97"/>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including information with respect to our plans and strategy for our business, includes forward-looking statements that involve significant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Please also refer to the section under the heading “Note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are a biopharmaceutical company focused on the development and commercialization of therapeutics for patients with kidney disease. On December 12, 2018, we completed a merger, or the Merger, with Keryx Biopharmaceuticals, Inc., or Keryx, combining a nephrology-focused commercial organization with our robust development organization. Following the Merger, Keryx is our wholly owned subsidiary, and we are integrating our business and Keryx’s business with the goal of positioning Akebia to realize the potential growth opportunities and synergies from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now have a commercial product and a late-stage product candidate:</w:t>
      </w:r>
    </w:p>
    <w:p>
      <w:pPr>
        <w:spacing w:after="0" w:line="117" w:lineRule="exact"/>
        <w:rPr>
          <w:sz w:val="20"/>
          <w:szCs w:val="20"/>
          <w:color w:val="auto"/>
        </w:rPr>
      </w:pPr>
    </w:p>
    <w:p>
      <w:pPr>
        <w:ind w:left="1040" w:right="20" w:hanging="519"/>
        <w:spacing w:after="0" w:line="255"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Auryxia</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(ferric citrate) </w:t>
      </w:r>
      <w:r>
        <w:rPr>
          <w:rFonts w:ascii="Arial" w:cs="Arial" w:eastAsia="Arial" w:hAnsi="Arial"/>
          <w:sz w:val="18"/>
          <w:szCs w:val="18"/>
          <w:color w:val="auto"/>
        </w:rPr>
        <w:t>is approved and marketed in the United States for two indications: (1) the control of serum phosphorus levels in adult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chronic kidney disease, or CKD, on dialysis, or DD-CKD, or the Hyperphosphatemia Indication, and (2) the treatment of iron deficiency anemia, or IDA, in adult patients with CKD not on dialysis, or NDD-CKD, or the IDA Indication. Ferric citrate is also approved and marketed in Japan as an oral treatment for the improvement of hyperphosphatemia in patients with CKD, including DD-CKD and NDD-CKD, under the trade name Riona</w:t>
      </w:r>
      <w:r>
        <w:rPr>
          <w:rFonts w:ascii="Arial" w:cs="Arial" w:eastAsia="Arial" w:hAnsi="Arial"/>
          <w:sz w:val="15"/>
          <w:szCs w:val="15"/>
          <w:color w:val="auto"/>
        </w:rPr>
        <w:t>®</w:t>
      </w:r>
      <w:r>
        <w:rPr>
          <w:rFonts w:ascii="Arial" w:cs="Arial" w:eastAsia="Arial" w:hAnsi="Arial"/>
          <w:sz w:val="18"/>
          <w:szCs w:val="18"/>
          <w:color w:val="auto"/>
        </w:rPr>
        <w:t xml:space="preserve"> (ferric citrate hydrate) and approved in the European Union, or the EU, for the control of hyperphosphatemia in adult patients with CKD under the trade name Fexeric</w:t>
      </w:r>
      <w:r>
        <w:rPr>
          <w:rFonts w:ascii="Arial" w:cs="Arial" w:eastAsia="Arial" w:hAnsi="Arial"/>
          <w:sz w:val="15"/>
          <w:szCs w:val="15"/>
          <w:color w:val="auto"/>
        </w:rPr>
        <w:t>®</w:t>
      </w:r>
      <w:r>
        <w:rPr>
          <w:rFonts w:ascii="Arial" w:cs="Arial" w:eastAsia="Arial" w:hAnsi="Arial"/>
          <w:sz w:val="18"/>
          <w:szCs w:val="18"/>
          <w:color w:val="auto"/>
        </w:rPr>
        <w:t xml:space="preserve"> (ferric citrate).</w:t>
      </w:r>
    </w:p>
    <w:p>
      <w:pPr>
        <w:spacing w:after="0" w:line="85"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Vadadustat </w:t>
      </w:r>
      <w:r>
        <w:rPr>
          <w:rFonts w:ascii="Arial" w:cs="Arial" w:eastAsia="Arial" w:hAnsi="Arial"/>
          <w:sz w:val="18"/>
          <w:szCs w:val="18"/>
          <w:color w:val="auto"/>
        </w:rPr>
        <w:t>is an investigational, oral hypoxia-inducible factor prolyl hydroxylase inhibitor, or HIF-PHI, in global Phase 3 development for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indications: (1) anemia due to CKD in adult patients with DD-CKD, and (2) anemia due to CKD in adult patients with NDD-CKD. We believe vadadustat has the potential to set a new oral standard of care for patients with anemia due to CKD, subject to regulatory approval. Vadadustat’s proposed mechanism of action is designed to mimic the physiologic effect of altitude on oxygen availability. At higher altitudes, the body responds to lower oxygen availability with increased production of hypoxia-inducible factor, or HIF, which coordinates the interdependent processes of iron mobilization and stimulates endogenous production of erythropoietin, or EPO, to increase red blood cell, or RBC, production and, ultimately, improve oxygen delivery.</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market Auryxia in the United States with our well-established, nephrology-focused commercial organization. Our Japanese sublicensee, Japan Tobacco, Inc., or JT, and its subsidiary, Torii Pharmaceutical Co., Ltd., or Torii, commercialize Riona in Japan. Fexeric is not currently marketed in the EU, and our EU marketing authorization for Fexeric will cease to be valid on December 23, 2019 unless we commence marketing Fexeric in the EU by that date. We are exploring commercialization opportunities with third parties for Fexeric.</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plan to commercialize vadadustat, subject to U.S. Food and Drug Administration, or FDA, approval, in the United States with our commercial organization, while also leveraging our collaboration with Otsuka Pharmaceutical Co. Ltd., or Otsuka, and its U.S. commercial organization. We also granted Otsuka exclusive rights to commercialize vadadustat in Europe, China and certain other markets, subject to marketing approvals. In Japan and certain other countries in Asia, we granted Mitsubishi Tanabe Pharma Corporation, or MTPC, exclusive rights to commercialize vadadustat, subject to marketing approvals. In addition, we granted Vifor (International) Ltd., or Vifor Pharma, an exclusive license to sell vadadustat solely to Fresenius Kidney Care Group LLC, or FKC, which manages approximately 40% of the dialysis patients in the United States, at its U.S. dialysis clinics, subject to FDA approval of vadadustat, vadadustat’s reimbursement under a bundled reimbursement model, and a milestone payment by Vifor Pharma.</w:t>
      </w:r>
    </w:p>
    <w:p>
      <w:pPr>
        <w:spacing w:after="0" w:line="21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Since our incorporation as a Delaware corporation in 2007, we have devoted the largest portion of our resources to our development efforts relating to vadadustat, including preparing for and conducting clinical studies of vadadustat, providing general and administrative support for these operations and protecting our intellectual property. Auryxia is our only product approved for sale and it has generated approximately $6.8 million in revenue from product sales from the closing of the Merger through December 31, 2018. We have funded our operations primarily through equity offerings and strategic collaborations.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8" w:name="page99"/>
    <w:bookmarkEnd w:id="98"/>
    <w:p>
      <w:pPr>
        <w:spacing w:after="0" w:line="264" w:lineRule="auto"/>
        <w:rPr>
          <w:sz w:val="20"/>
          <w:szCs w:val="20"/>
          <w:color w:val="auto"/>
        </w:rPr>
      </w:pPr>
      <w:r>
        <w:rPr>
          <w:rFonts w:ascii="Arial" w:cs="Arial" w:eastAsia="Arial" w:hAnsi="Arial"/>
          <w:sz w:val="18"/>
          <w:szCs w:val="18"/>
          <w:color w:val="auto"/>
        </w:rPr>
        <w:t>We have never been profitable and have incurred net losses in each year since inception. Our net losses were $143.6 million, $73.7 million and $135.7 million for the years ended December 31, 2018, 2017 and 2016, respectively. Substantially all of our net losses resulted from costs incurred in connection with our research and development programs and from general and administrative costs associated with our operations.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The amount of our future net losses will depend, in part, on the rate of our future expenditures, and our financial position will depend, in part, on our product revenues from Auryxia and, if approved, vadadustat and our ability to obtain funding through equity or debt financings or strategic collaborations. We expect to continue to incur significant expenses if and as we:</w:t>
      </w:r>
    </w:p>
    <w:p>
      <w:pPr>
        <w:spacing w:after="0" w:line="39" w:lineRule="exact"/>
        <w:rPr>
          <w:sz w:val="20"/>
          <w:szCs w:val="20"/>
          <w:color w:val="auto"/>
        </w:rPr>
      </w:pPr>
    </w:p>
    <w:p>
      <w:pPr>
        <w:ind w:left="1040" w:hanging="519"/>
        <w:spacing w:after="0" w:line="264"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conduct our development program of vadadustat for the treatment of anemia due to CKD, including PRO</w:t>
      </w:r>
      <w:r>
        <w:rPr>
          <w:rFonts w:ascii="Arial" w:cs="Arial" w:eastAsia="Arial" w:hAnsi="Arial"/>
          <w:sz w:val="15"/>
          <w:szCs w:val="15"/>
          <w:color w:val="auto"/>
        </w:rPr>
        <w:t>2</w:t>
      </w:r>
      <w:r>
        <w:rPr>
          <w:rFonts w:ascii="Arial" w:cs="Arial" w:eastAsia="Arial" w:hAnsi="Arial"/>
          <w:sz w:val="18"/>
          <w:szCs w:val="18"/>
          <w:color w:val="auto"/>
        </w:rPr>
        <w:t>TECT, INNO</w:t>
      </w:r>
      <w:r>
        <w:rPr>
          <w:rFonts w:ascii="Arial" w:cs="Arial" w:eastAsia="Arial" w:hAnsi="Arial"/>
          <w:sz w:val="15"/>
          <w:szCs w:val="15"/>
          <w:color w:val="auto"/>
        </w:rPr>
        <w:t>2</w:t>
      </w:r>
      <w:r>
        <w:rPr>
          <w:rFonts w:ascii="Arial" w:cs="Arial" w:eastAsia="Arial" w:hAnsi="Arial"/>
          <w:sz w:val="18"/>
          <w:szCs w:val="18"/>
          <w:color w:val="auto"/>
        </w:rPr>
        <w:t>VATE, FO</w:t>
      </w:r>
      <w:r>
        <w:rPr>
          <w:rFonts w:ascii="Arial" w:cs="Arial" w:eastAsia="Arial" w:hAnsi="Arial"/>
          <w:sz w:val="15"/>
          <w:szCs w:val="15"/>
          <w:color w:val="auto"/>
        </w:rPr>
        <w:t>2</w:t>
      </w:r>
      <w:r>
        <w:rPr>
          <w:rFonts w:ascii="Arial" w:cs="Arial" w:eastAsia="Arial" w:hAnsi="Arial"/>
          <w:sz w:val="18"/>
          <w:szCs w:val="18"/>
          <w:color w:val="auto"/>
        </w:rPr>
        <w:t>RWARD-2, TRILO</w:t>
      </w:r>
      <w:r>
        <w:rPr>
          <w:rFonts w:ascii="Arial" w:cs="Arial" w:eastAsia="Arial" w:hAnsi="Arial"/>
          <w:sz w:val="15"/>
          <w:szCs w:val="15"/>
          <w:color w:val="auto"/>
        </w:rPr>
        <w:t>2</w:t>
      </w:r>
      <w:r>
        <w:rPr>
          <w:rFonts w:ascii="Arial" w:cs="Arial" w:eastAsia="Arial" w:hAnsi="Arial"/>
          <w:sz w:val="18"/>
          <w:szCs w:val="18"/>
          <w:color w:val="auto"/>
        </w:rPr>
        <w:t>GY-2 and EXPLO</w:t>
      </w:r>
      <w:r>
        <w:rPr>
          <w:rFonts w:ascii="Arial" w:cs="Arial" w:eastAsia="Arial" w:hAnsi="Arial"/>
          <w:sz w:val="15"/>
          <w:szCs w:val="15"/>
          <w:color w:val="auto"/>
        </w:rPr>
        <w:t>2</w:t>
      </w:r>
      <w:r>
        <w:rPr>
          <w:rFonts w:ascii="Arial" w:cs="Arial" w:eastAsia="Arial" w:hAnsi="Arial"/>
          <w:sz w:val="18"/>
          <w:szCs w:val="18"/>
          <w:color w:val="auto"/>
        </w:rPr>
        <w:t>RE, and develop plans for and conduct the preclinical and clinical development of any other potential product candidates;</w:t>
      </w:r>
    </w:p>
    <w:p>
      <w:pPr>
        <w:spacing w:after="0" w:line="73"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our commercialization activities for Auryxia and plan for the commercialization of vadadustat, if approved, and any other product candidate;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our Merger-related integration activities;</w:t>
      </w:r>
    </w:p>
    <w:p>
      <w:pPr>
        <w:spacing w:after="0" w:line="117" w:lineRule="exact"/>
        <w:rPr>
          <w:rFonts w:ascii="Arial" w:cs="Arial" w:eastAsia="Arial" w:hAnsi="Arial"/>
          <w:sz w:val="18"/>
          <w:szCs w:val="18"/>
          <w:color w:val="auto"/>
        </w:rPr>
      </w:pPr>
    </w:p>
    <w:p>
      <w:pPr>
        <w:ind w:left="1040" w:right="80" w:hanging="519"/>
        <w:spacing w:after="0" w:line="342" w:lineRule="auto"/>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seek marketing approvals for our product candidates that successfully complete clinical studies, and maintain marketing approvals for Auryxia and any product candidate for which we obtain marketing approval, including complying with any post-marketing regulatory requirements;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vadadustat and any other product candidates, or any post-marketing approval studies, Phase 4 studies or any other clinical trials for Auryxia and Fexeric;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engage in transactions, including strategic, merger, collaboration, acquisition and licensing transactions, pursuant to which we would market and develop commercial products, or develop other product candidates and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royalty, milestone or other payments under our license agreements and any future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17" w:lineRule="exact"/>
        <w:rPr>
          <w:rFonts w:ascii="Arial" w:cs="Arial" w:eastAsia="Arial" w:hAnsi="Arial"/>
          <w:sz w:val="18"/>
          <w:szCs w:val="18"/>
          <w:color w:val="auto"/>
        </w:rPr>
      </w:pPr>
    </w:p>
    <w:p>
      <w:pPr>
        <w:ind w:left="1040" w:right="520" w:hanging="519"/>
        <w:spacing w:after="0" w:line="342" w:lineRule="auto"/>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continue to create additional infrastructure and expend additional resources to support our operations as a public company, including any additional infrastructure and resources necessary to support a transition from our status as an emerging growth company;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one product approved for commercial sale through the Merger but have not generated, and may not generate, enough product revenue from the sale of Auryxia to realize net profits from product sales. We have no manufacturing facilities, and all of our manufacturing activities are contracted out to third parties. Additionally, we currently utilize CROs to carry out our clinical development activities. If we obtain marketing approval for any of our product candidates, and as we continue to commercialize Auryxia, we expect to incur significant commercialization expenses related to product sales, marketing, manufacturing and distribution. If and until we can generate a sufficient amount of revenue from product sales, we expect to finance future cash needs through public or private equity or debt offerings, payments from our collaborators, strategic transactions, or a combination of these approaches. If we are unable to raise additional capital in sufficient amounts when needed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inception through December 31, 2018, we raised approximately $468.4 million of net proceeds from the sale of equity including $377.4 million from various underwritten public offerings, $41.0 million from an at-the-market offering, or ATM, pursuant to sales agreements with Cantor Fitzgerald &amp; Co and $50.0 million from the sale of 3,571,429 shares of common stock to Vifor Pharma. At inception of our collaboration agreements with Otsuka and MTPC, they committed to approximately $573.0 million or more in cost-share funding, of which we generally continue to receive on a quarterly prepaid basis, and license payments. Of these commitments, we received approximately $272.0 million at the onset of the collaboration agreements.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12, 2018, we completed the Merger. Pursuant to the terms and conditions of the Agreement and Plan of Merger, or the Merger Agreement, each share of Keryx common stock, or Keryx Share, issued and outstanding immediately prior to the effective time of the Merger, the Effective Time, was cancelled and converted into 0.37433, or the Exchange Multiplier, fully paid and non-assessable shares of Akebia common stock, or Akebia Shares. The Merger Agreement also provided that at the Effective Time, each Keryx Share that was subject to an outstanding Keryx restricted share award, to the extent outstanding, other than those Keryx restricted share awards that accelerated or lapsed as a result of the completion of the Merger, converted into a restricted stock unit, or RSU, award of ours covering the number of Akebia Shares determined in accordance with the Exchange Multiplier. In addition, each outstanding and unexercised option to acquire Keryx Shares converted into an option to acquire Akebia Shares, with the number of shares and exercise price adjusted by the Exchange Multiplier.</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the purchase price allocation, we identified developed product rights for Auryxia as the primary intangible asset. The fair value of the developed product rights for Auryxia is determined using the multi-period excess earnings method which is a variation of the income approach, and is a valuation technique that provides an estimate of the fair value of an asset based on the principle that the value of an intangible asset is equal to the present value of the incremental after-tax cash flows attributable to the asset, after taking charges for the use of other assets employed by the business. Key estimates and assumptions used in this model are projected net revenues and expenses related to the asset, estimated contributory asset charges, and a risk-adjusted discount rate of 20.0% used to calculate the present value of the future expected cash inflows from the asset. The intangible asset will be amortized over its estimated useful life, which for Auryxia is 9 years.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calculation of the excess of the purchase price over the estimated fair value of the tangible net assets and intangible asset acquired was recorded as goodwill. The factors contributing to the recognition of the amount of goodwill were based on several strategic and synergistic benefits that were expected to be realized from the Merger. These benefits included the expectation that the combined company would establish itself as a leading renal company with enhanced position and large market opportunity, synergistic utilization of Keryx’s commercial organization, and strengthening the combined company’s financial profile. For additional information, please refer to Note 3 to our consolidated financial statements contained in Part II, Item 8. Financial Statements and Supplementary Data of this Annual Report.</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Additionally, in connection with the Merger, Akebia and Keryx entered into a Notes Conversion Agreement with Baupost Group Securities, L.L.C., or Baupost, the holder of approximately $164.75 million of Keryx’s Zero Coupon Convertible Senior Notes due 2021, or the Convertible Notes. Pursuant to the terms of the Notes Conversion Agreement, Baupost agreed to convert the Convertible Notes into 35,582,335 Keryx Shares, or the Conversion Shares, in accordance with the terms of the governing indenture, dated May 9, 2018, by and between Keryx and the Bank of New York Mellon Trust Company, N.A., immediately prior to the Effective Time of the Merger, conditioned upon the issuance to Baupost of an additional 4,000,000 Keryx Shares, or the Additional Shares. The Conversion Shares and the Additional Shares were issued prior to the Effective Time and converted to Akebia Shares with the same Exchange Multiplier as other Keryx Shares. The fair value of the Baupost Additional Shares, on an as-converted basis, of $13.4 million has been excluded from the purchase price and recorded within general and administrative expenses in our consolidated financial statements, as the issuance of those shares by Keryx is considered to be a separate transaction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since it was entered into by or on behalf of the acquirer or primarily for the benefit of the acquirer or the combined entity. On December 12, 2018, we entered into a Registration Rights Agreement with Baupost, which provides customary registration rights for Akebia Shares issued to Baupost upon consummation of the Merger.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Merger, we now have one product, Auryxia, approved for commercial sale. To date, our revenues have been derived from collaboration revenues, which include license and milestone payments and cost-sharing revenue, generated through collaboration and license agreements with partners for the development and commercialization of vadadustat and, following the Merger, commercial sales of Auryxia and royalty revenue from sales of Riona in Japan. Cost-sharing revenue represents amounts reimbursed by our collaboration partners for expenses incurred by us for research and development activities and, potentially, co-promotion activities, under our collaboration agreements.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expect our revenue to continue to be generated primarily from our commercial sales of Auryxia in the U.S., royalty revenue from JT and Torii, and collaborations with Otsuka and MTPC and any other collaborations into which we may enter.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Cost of goods sold includes direct costs to manufacture commercial drug substance and drug product for Auryxia, as well as indirect costs including costs for packaging, shipping, insurance and quality assurance, idle capacity charges, write-offs for inventory that fails to meet specifications or is otherwise no longer suitable for commercial sale, and royalties due to the licensor of Auryxia related to the U.S. product sales recognized during the period.</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the Merger and the application of purchase accounting, costs of goods sold also includes amortization expense associated with the fair value of the developed product rights for Auryxia, which is being amortized over nine years, as well as expense associated with the fair value inventory step-up, which we expect to incur over approximately two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primarily of costs incurred for the development of our product candidates, which include:</w:t>
      </w:r>
    </w:p>
    <w:p>
      <w:pPr>
        <w:spacing w:after="0" w:line="117" w:lineRule="exact"/>
        <w:rPr>
          <w:sz w:val="20"/>
          <w:szCs w:val="20"/>
          <w:color w:val="auto"/>
        </w:rPr>
      </w:pPr>
    </w:p>
    <w:p>
      <w:pPr>
        <w:ind w:left="1040" w:right="48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recruiting fees, travel and stock-based compensation expense of our research and development personnel;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and investigative sites that conduct our clinical studies;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cost of acquiring, developing and manufacturing clinical study materials through contract manufacturing organizations, or CMOs;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supplies;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associated with preclinical, clinical and regulatory activities.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cannot determine with certainty the duration and completion costs of current or future clinical studies of our product candidates or if, when, or to what extent we will generate revenue from the commercialization and sale of any of our product candidates that obtain marketing approval. We may never succeed in achieving marketing approval for any of our product candidates.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duration, costs and timing of clinical studies and development of our product candidates will depend on a variety of factors including, but not limited to, those described in Part I, Item 1A. Risk Factors. A change in the outcome of any of these variables with respect to the development of a product candidate could mean a significant change in the costs and timing associated with the development of that product candidate. For example, if the FDA, the European Medicines Agency, or the EMA, or other regulatory authorities were to require us to conduct clinical studies in addition to or different from those that we currently anticipate, or if we experience delays in any of our clinical studies, we could be required to expend significant additional financial resources and time on the completion of clinical development.</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inception through December 31, 2018, we have incurred $753.8 million in research and development expenses. We plan to increase our research and development expenditures for the foreseeable future as we continue the development of vadadustat and any other product candidates. Our current and/or planned research and development activities include the following:</w:t>
      </w:r>
    </w:p>
    <w:p>
      <w:pPr>
        <w:spacing w:after="0" w:line="73" w:lineRule="exact"/>
        <w:rPr>
          <w:sz w:val="20"/>
          <w:szCs w:val="20"/>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global development of vadadustat;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post-marketing clinical trials of Auryxia;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research and development of compounds in our HIF portfolio;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diversification of our pipeline in kidney disease.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direct research and development expenses consist principally of external costs, such as fees paid to clinical trial sites, consultants, central laboratories and CROs in connection with our clinical studies, and drug substance and drug product manufacturing for clinical studies.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1" w:name="page102"/>
    <w:bookmarkEnd w:id="101"/>
    <w:p>
      <w:pPr>
        <w:ind w:right="20"/>
        <w:spacing w:after="0" w:line="259" w:lineRule="auto"/>
        <w:rPr>
          <w:sz w:val="20"/>
          <w:szCs w:val="20"/>
          <w:color w:val="auto"/>
        </w:rPr>
      </w:pPr>
      <w:r>
        <w:rPr>
          <w:rFonts w:ascii="Arial" w:cs="Arial" w:eastAsia="Arial" w:hAnsi="Arial"/>
          <w:sz w:val="18"/>
          <w:szCs w:val="18"/>
          <w:color w:val="auto"/>
        </w:rPr>
        <w:t>We currently have four clinical trials to which the majority of our research and development costs are attributable. We have not accumulated and tracked our research and development costs or our personnel and personnel-related costs on a program-by-program basis as our employee and infrastructure resources, and many of our costs, are directed broadly to applicable research endeavors. As a result, we are unable to specify precisely the costs incurred for each of our programs on a program-by-program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general and administrative expenses consist primarily of salaries and related costs for personnel, including stock-based compensation and travel expenses for our commercial personnel, including our field sales force and other commercial support personnel, as well as personnel in executive and other administrative or non-research and development functions. Other selling, general and administrative expenses include facility-related costs, fees for directors, accounting and legal services fees, recruiting fees and expenses associated with obtaining and maintaining patents.</w:t>
      </w:r>
    </w:p>
    <w:p>
      <w:pPr>
        <w:spacing w:after="0" w:line="17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We anticipate that our selling, general and administrative expenses will increase in the future as we increase our headcount to support continued commercialization of Auryxia and continued research and development and potential commercialization of our product candidates. We also anticipate increased expenses related to finance, legal, regulatory and tax-related services associated with maintaining compliance with exchange listing and U.S. Securities and Exchange Commission, or SEC, requirements, and our other costs associated with being a public company, particularly as our compliance obligations will increase once we are no longer an “emerging growth company” after December 31,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6"/>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(Decrease)</w:t>
            </w:r>
          </w:p>
        </w:tc>
      </w:tr>
      <w:tr>
        <w:trPr>
          <w:trHeight w:val="15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73"/>
              <w:spacing w:after="0" w:line="151" w:lineRule="exact"/>
              <w:rPr>
                <w:sz w:val="20"/>
                <w:szCs w:val="20"/>
                <w:color w:val="auto"/>
              </w:rPr>
            </w:pPr>
            <w:r>
              <w:rPr>
                <w:rFonts w:ascii="Arial" w:cs="Arial" w:eastAsia="Arial" w:hAnsi="Arial"/>
                <w:sz w:val="14"/>
                <w:szCs w:val="14"/>
                <w:b w:val="1"/>
                <w:bCs w:val="1"/>
                <w:color w:val="auto"/>
              </w:rPr>
              <w:t>(as revised)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8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6,824</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License, collaboration and other revenue</w:t>
            </w:r>
          </w:p>
        </w:tc>
        <w:tc>
          <w:tcPr>
            <w:tcW w:w="5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181,227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26,515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Product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Amortization of intangibles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80"/>
              <w:spacing w:after="0"/>
              <w:rPr>
                <w:sz w:val="20"/>
                <w:szCs w:val="20"/>
                <w:color w:val="auto"/>
              </w:rPr>
            </w:pPr>
            <w:r>
              <w:rPr>
                <w:rFonts w:ascii="Arial" w:cs="Arial" w:eastAsia="Arial" w:hAnsi="Arial"/>
                <w:sz w:val="18"/>
                <w:szCs w:val="18"/>
                <w:color w:val="auto"/>
              </w:rPr>
              <w:t>Total cost of goods sold</w:t>
            </w:r>
          </w:p>
        </w:tc>
        <w:tc>
          <w:tcPr>
            <w:tcW w:w="5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230,893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60,114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License expense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378,135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257,901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101,487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5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Net loss before income taxes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(171,926)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(73,671)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98,255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Benefit for income taxes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(28,338)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69,917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Net product revenue is derived from sales of our sole commercial product, Auryxia. We distribute our product principally through a limited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wholesale distributors as well as certain specialty pharmacy providers. We began recording product revenue on sales of Auryxia in the U.S. on December 12, 2018 following the consummation of the Merger. During the period from December 12, 2018 through December 31, 2018 we recorded approximately $6.8 million of net product revenue. For net product revenue during the period from December 12, 2018 through December 31, 2018, the average net sales price per unit (after accounting for fees, rebates, chargebacks, and other discounts or reserves, or the gross-to-net adjustment) was approximately 40% of the wholesale acquisition cost, or WAC, which is the gross list price at which our direct customers purchase each unit. The gross-to-net adjustment of product revenue during the period from December 12, 2018 through December 31, 2018 was impacted by the limited time period over which product revenue was recognized and we expect the gross-to-net adjustment to be closer to 50% in future periods. This anticipated future gross-to-net adjustment is an estimate and is based on a variety of assumptions, and the actual gross-to-net adjustment going forward may be materially different.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02" w:name="page103"/>
    <w:bookmarkEnd w:id="102"/>
    <w:p>
      <w:pPr>
        <w:spacing w:after="0" w:line="287" w:lineRule="auto"/>
        <w:rPr>
          <w:sz w:val="20"/>
          <w:szCs w:val="20"/>
          <w:color w:val="auto"/>
        </w:rPr>
      </w:pPr>
      <w:r>
        <w:rPr>
          <w:rFonts w:ascii="Arial" w:cs="Arial" w:eastAsia="Arial" w:hAnsi="Arial"/>
          <w:sz w:val="16"/>
          <w:szCs w:val="16"/>
          <w:color w:val="auto"/>
        </w:rPr>
        <w:t>License, collaboration and other revenue was $200.9 million for the year ended December 31, 2018, compared to $181.2 million for the year ended December 31, 2017. We recognized $200.5 million in collaboration revenue for the year ended December 31, 2018 from our cost sharing arrangement under the Otsuka collaboration agreement for the U.S., or the Otsuka U.S. Agreement, the Otsuka collaboration agreement for certain territories outside the U.S., or the Otsuka International Agreement, as well as revenue recognized in connection with our collaboration agreement with MTPC, or the MTPC Agreement. We recognized $181.2 million in collaboration revenue for the year ended December 31, 2017 from our cost sharing arrangement under the Otsuka U.S. Agreement, which commenced in December 2016, the Otsuka International Agreement, which commenced in April 2017, and the MTPC Agreement, for which the revenue recognition criteria, as required under ASC 606, began to be satisfied in the fourth quarter of 2017. The increase in revenue between the two periods was primarily attributable to an additional $52.9 million of revenue recognized under both the Otsuka U.S. Agreement and Otsuka International Agreement, partially offset by a decrease of $33.6 million of revenue recognized in connection with the MTPC Agreement. The remaining variance is primarily due to an increase in license revenue relating to our sublicense agreement with JT and Torii and includes license fees and royalties on net product sales of Riona in Japan. We expect our collaboration revenue to increase in future periods following an increase in the aggregate percentage of the current global development costs Otsuka funds from 52.5% to 80%, which is expected to occur in the second quarter of 2019.</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Cost of Goods Sold - Product</w:t>
      </w:r>
      <w:r>
        <w:rPr>
          <w:rFonts w:ascii="Arial" w:cs="Arial" w:eastAsia="Arial" w:hAnsi="Arial"/>
          <w:sz w:val="18"/>
          <w:szCs w:val="18"/>
          <w:color w:val="auto"/>
        </w:rPr>
        <w:t>. Cost of goods sold of $6.3 million during the period from December 12, 2018 through December 31, 2018 consists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manufacturing of Auryxia and a $4.8 million charge related to the fair-value inventory step-up from the application of purchase accounting.</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Cost of Goods Sold - Amortization of Intangibles. </w:t>
      </w:r>
      <w:r>
        <w:rPr>
          <w:rFonts w:ascii="Arial" w:cs="Arial" w:eastAsia="Arial" w:hAnsi="Arial"/>
          <w:sz w:val="18"/>
          <w:szCs w:val="18"/>
          <w:color w:val="auto"/>
        </w:rPr>
        <w:t>Amortization of intangibles relates to the acquired developed product rights for Auryxia. This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 is being amortized over its estimated useful life of approximately 9 years using a straight-line method. Amortization of intangibles for the year ended December 31, 2018 was $1.5 million.</w:t>
      </w:r>
    </w:p>
    <w:p>
      <w:pPr>
        <w:spacing w:after="0" w:line="2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were $291.0 million for the year ended December 31,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$230.9 million for the year ended December 31, 2017. The increase of $60.1 million was due to the following:</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w:t>
            </w:r>
            <w:r>
              <w:rPr>
                <w:rFonts w:ascii="Arial" w:cs="Arial" w:eastAsia="Arial" w:hAnsi="Arial"/>
                <w:sz w:val="15"/>
                <w:szCs w:val="15"/>
                <w:color w:val="auto"/>
              </w:rPr>
              <w:t>2</w:t>
            </w:r>
            <w:r>
              <w:rPr>
                <w:rFonts w:ascii="Arial" w:cs="Arial" w:eastAsia="Arial" w:hAnsi="Arial"/>
                <w:sz w:val="18"/>
                <w:szCs w:val="18"/>
                <w:color w:val="auto"/>
              </w:rPr>
              <w:t>TECT and INNO</w:t>
            </w:r>
            <w:r>
              <w:rPr>
                <w:rFonts w:ascii="Arial" w:cs="Arial" w:eastAsia="Arial" w:hAnsi="Arial"/>
                <w:sz w:val="15"/>
                <w:szCs w:val="15"/>
                <w:color w:val="auto"/>
              </w:rPr>
              <w:t>2</w:t>
            </w:r>
            <w:r>
              <w:rPr>
                <w:rFonts w:ascii="Arial" w:cs="Arial" w:eastAsia="Arial" w:hAnsi="Arial"/>
                <w:sz w:val="18"/>
                <w:szCs w:val="18"/>
                <w:color w:val="auto"/>
              </w:rPr>
              <w:t>VATE Phase 3 program</w:t>
            </w:r>
          </w:p>
        </w:tc>
        <w:tc>
          <w:tcPr>
            <w:tcW w:w="1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Manufacture of drug substance and drug product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Regulatory activities and other clinical and preclinical activities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w:t>
            </w:r>
            <w:r>
              <w:rPr>
                <w:rFonts w:ascii="Arial" w:cs="Arial" w:eastAsia="Arial" w:hAnsi="Arial"/>
                <w:sz w:val="15"/>
                <w:szCs w:val="15"/>
                <w:color w:val="auto"/>
              </w:rPr>
              <w:t>2</w:t>
            </w:r>
            <w:r>
              <w:rPr>
                <w:rFonts w:ascii="Arial" w:cs="Arial" w:eastAsia="Arial" w:hAnsi="Arial"/>
                <w:sz w:val="18"/>
                <w:szCs w:val="18"/>
                <w:color w:val="auto"/>
              </w:rPr>
              <w:t>RWARD-2 and TRILO</w:t>
            </w:r>
            <w:r>
              <w:rPr>
                <w:rFonts w:ascii="Arial" w:cs="Arial" w:eastAsia="Arial" w:hAnsi="Arial"/>
                <w:sz w:val="15"/>
                <w:szCs w:val="15"/>
                <w:color w:val="auto"/>
              </w:rPr>
              <w:t>2</w:t>
            </w:r>
            <w:r>
              <w:rPr>
                <w:rFonts w:ascii="Arial" w:cs="Arial" w:eastAsia="Arial" w:hAnsi="Arial"/>
                <w:sz w:val="18"/>
                <w:szCs w:val="18"/>
                <w:color w:val="auto"/>
              </w:rPr>
              <w:t>GY-2 studies</w:t>
            </w:r>
            <w:r>
              <w:rPr>
                <w:rFonts w:ascii="Arial" w:cs="Arial" w:eastAsia="Arial" w:hAnsi="Arial"/>
                <w:sz w:val="15"/>
                <w:szCs w:val="15"/>
                <w:color w:val="auto"/>
              </w:rPr>
              <w:t>1</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Japan Phase 2 studies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increase related to the continued development of vadadustat</w:t>
            </w:r>
          </w:p>
        </w:tc>
        <w:tc>
          <w:tcPr>
            <w:tcW w:w="1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Headcount, consulting and facilities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Other research</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Janssen license fee</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warrants issued for Janssen license</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increase</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5"/>
          <w:szCs w:val="15"/>
          <w:color w:val="auto"/>
        </w:rPr>
      </w:pPr>
      <w:r>
        <w:rPr>
          <w:rFonts w:ascii="Arial" w:cs="Arial" w:eastAsia="Arial" w:hAnsi="Arial"/>
          <w:sz w:val="18"/>
          <w:szCs w:val="18"/>
          <w:color w:val="auto"/>
        </w:rPr>
        <w:t>Includes costs from the FO</w:t>
      </w:r>
      <w:r>
        <w:rPr>
          <w:rFonts w:ascii="Arial" w:cs="Arial" w:eastAsia="Arial" w:hAnsi="Arial"/>
          <w:sz w:val="15"/>
          <w:szCs w:val="15"/>
          <w:color w:val="auto"/>
        </w:rPr>
        <w:t>2</w:t>
      </w:r>
      <w:r>
        <w:rPr>
          <w:rFonts w:ascii="Arial" w:cs="Arial" w:eastAsia="Arial" w:hAnsi="Arial"/>
          <w:sz w:val="18"/>
          <w:szCs w:val="18"/>
          <w:color w:val="auto"/>
        </w:rPr>
        <w:t>RWARD, FO</w:t>
      </w:r>
      <w:r>
        <w:rPr>
          <w:rFonts w:ascii="Arial" w:cs="Arial" w:eastAsia="Arial" w:hAnsi="Arial"/>
          <w:sz w:val="15"/>
          <w:szCs w:val="15"/>
          <w:color w:val="auto"/>
        </w:rPr>
        <w:t>2</w:t>
      </w:r>
      <w:r>
        <w:rPr>
          <w:rFonts w:ascii="Arial" w:cs="Arial" w:eastAsia="Arial" w:hAnsi="Arial"/>
          <w:sz w:val="18"/>
          <w:szCs w:val="18"/>
          <w:color w:val="auto"/>
        </w:rPr>
        <w:t>RWARD-2, TRIL</w:t>
      </w:r>
      <w:r>
        <w:rPr>
          <w:rFonts w:ascii="Arial" w:cs="Arial" w:eastAsia="Arial" w:hAnsi="Arial"/>
          <w:sz w:val="15"/>
          <w:szCs w:val="15"/>
          <w:color w:val="auto"/>
        </w:rPr>
        <w:t>2</w:t>
      </w:r>
      <w:r>
        <w:rPr>
          <w:rFonts w:ascii="Arial" w:cs="Arial" w:eastAsia="Arial" w:hAnsi="Arial"/>
          <w:sz w:val="18"/>
          <w:szCs w:val="18"/>
          <w:color w:val="auto"/>
        </w:rPr>
        <w:t>OGY, and TRILO</w:t>
      </w:r>
      <w:r>
        <w:rPr>
          <w:rFonts w:ascii="Arial" w:cs="Arial" w:eastAsia="Arial" w:hAnsi="Arial"/>
          <w:sz w:val="15"/>
          <w:szCs w:val="15"/>
          <w:color w:val="auto"/>
        </w:rPr>
        <w:t>2</w:t>
      </w:r>
      <w:r>
        <w:rPr>
          <w:rFonts w:ascii="Arial" w:cs="Arial" w:eastAsia="Arial" w:hAnsi="Arial"/>
          <w:sz w:val="18"/>
          <w:szCs w:val="18"/>
          <w:color w:val="auto"/>
        </w:rPr>
        <w:t>GY-2 studies.</w:t>
      </w:r>
    </w:p>
    <w:p>
      <w:pPr>
        <w:spacing w:after="0" w:line="2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increase in the costs related to the development of vadadustat is primarily attributable to an increase in external costs related to the continued advancement of the PRO</w:t>
      </w:r>
      <w:r>
        <w:rPr>
          <w:rFonts w:ascii="Arial" w:cs="Arial" w:eastAsia="Arial" w:hAnsi="Arial"/>
          <w:sz w:val="14"/>
          <w:szCs w:val="14"/>
          <w:color w:val="auto"/>
        </w:rPr>
        <w:t>2</w:t>
      </w:r>
      <w:r>
        <w:rPr>
          <w:rFonts w:ascii="Arial" w:cs="Arial" w:eastAsia="Arial" w:hAnsi="Arial"/>
          <w:sz w:val="17"/>
          <w:szCs w:val="17"/>
          <w:color w:val="auto"/>
        </w:rPr>
        <w:t>TECT and INNO</w:t>
      </w:r>
      <w:r>
        <w:rPr>
          <w:rFonts w:ascii="Arial" w:cs="Arial" w:eastAsia="Arial" w:hAnsi="Arial"/>
          <w:sz w:val="14"/>
          <w:szCs w:val="14"/>
          <w:color w:val="auto"/>
        </w:rPr>
        <w:t>2</w:t>
      </w:r>
      <w:r>
        <w:rPr>
          <w:rFonts w:ascii="Arial" w:cs="Arial" w:eastAsia="Arial" w:hAnsi="Arial"/>
          <w:sz w:val="17"/>
          <w:szCs w:val="17"/>
          <w:color w:val="auto"/>
        </w:rPr>
        <w:t>VATE Phase 3 program, including ongoing enrollment, manufacture of drug substance and drug product in support of the global Phase 3 program, and regulatory activities as well as other clinical and preclinical activities. This increase in costs related to the development of vadadustat was partially offset by a decrease in costs related to the FO</w:t>
      </w:r>
      <w:r>
        <w:rPr>
          <w:rFonts w:ascii="Arial" w:cs="Arial" w:eastAsia="Arial" w:hAnsi="Arial"/>
          <w:sz w:val="14"/>
          <w:szCs w:val="14"/>
          <w:color w:val="auto"/>
        </w:rPr>
        <w:t>2</w:t>
      </w:r>
      <w:r>
        <w:rPr>
          <w:rFonts w:ascii="Arial" w:cs="Arial" w:eastAsia="Arial" w:hAnsi="Arial"/>
          <w:sz w:val="17"/>
          <w:szCs w:val="17"/>
          <w:color w:val="auto"/>
        </w:rPr>
        <w:t>RWARD, TRILO</w:t>
      </w:r>
      <w:r>
        <w:rPr>
          <w:rFonts w:ascii="Arial" w:cs="Arial" w:eastAsia="Arial" w:hAnsi="Arial"/>
          <w:sz w:val="14"/>
          <w:szCs w:val="14"/>
          <w:color w:val="auto"/>
        </w:rPr>
        <w:t>2</w:t>
      </w:r>
      <w:r>
        <w:rPr>
          <w:rFonts w:ascii="Arial" w:cs="Arial" w:eastAsia="Arial" w:hAnsi="Arial"/>
          <w:sz w:val="17"/>
          <w:szCs w:val="17"/>
          <w:color w:val="auto"/>
        </w:rPr>
        <w:t>GY, and Japan Phase 2 studies. The increase in research and development expenses were further impacted by increases in headcount and consulting costs to support our expanding research and development programs. We expect to continue to incur significant research and development expenses in future periods in support of our global Phase 3 program and other studies for vadadustat and development of our other product candidates.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were $87.1 million for the year ended December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$27.0 million for the year ended December 31, 2017. The increase of $60.1 million was primarily due to an increase in legal and other professional fees related to the Merger, including $13.4 million attributed to the fair value of the 4,000,000 Additional Shares issued to Baupost, and an increase in costs to support our research and development programs, including headcount and compensation-related costs. Excluding costs incurred related to the Merger, we expect our selling, general and administrative expenses to increase in future periods to support our continued commercialization of Auryxia, and our continued research and development and potential commercialization of vadadustat and other product candidates.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03" w:name="page104"/>
    <w:bookmarkEnd w:id="103"/>
    <w:p>
      <w:pPr>
        <w:ind w:right="560"/>
        <w:spacing w:after="0" w:line="277" w:lineRule="auto"/>
        <w:rPr>
          <w:sz w:val="20"/>
          <w:szCs w:val="20"/>
          <w:color w:val="auto"/>
        </w:rPr>
      </w:pPr>
      <w:r>
        <w:rPr>
          <w:rFonts w:ascii="Arial" w:cs="Arial" w:eastAsia="Arial" w:hAnsi="Arial"/>
          <w:sz w:val="18"/>
          <w:szCs w:val="18"/>
          <w:i w:val="1"/>
          <w:iCs w:val="1"/>
          <w:color w:val="auto"/>
        </w:rPr>
        <w:t xml:space="preserve">License Expenses. </w:t>
      </w:r>
      <w:r>
        <w:rPr>
          <w:rFonts w:ascii="Arial" w:cs="Arial" w:eastAsia="Arial" w:hAnsi="Arial"/>
          <w:sz w:val="18"/>
          <w:szCs w:val="18"/>
          <w:color w:val="auto"/>
        </w:rPr>
        <w:t>For the year ended December 31, 2018, we recognized approximately $67,000 in license expense related to royalties due to Auryxia</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sales of Riona in Japan.</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$6.2 million for the year ended December 31, 2018, compared to $3.0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Other income, net for the year ended December 31, 2018, was primarily comprised of interest income caused by higher average interest rates on our investments during 2018.</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Benefit for income taxes was $28.3 million for the year ended December 31, 2018 due to the release of a portion of our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as the deferred tax liabilities, or DTLs, recorded as part of purchase accounting will provide a source of income that allowed us to conclude that certain of our deferred tax assets are realizable. The release of valuation allowance creates a tax benefit in the consolidated statement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color w:val="auto"/>
              </w:rPr>
              <w:t>(as revised)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1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181,227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115,785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(76,674)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(136,460)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Collaboration Revenue</w:t>
      </w:r>
      <w:r>
        <w:rPr>
          <w:rFonts w:ascii="Arial" w:cs="Arial" w:eastAsia="Arial" w:hAnsi="Arial"/>
          <w:sz w:val="18"/>
          <w:szCs w:val="18"/>
          <w:color w:val="auto"/>
        </w:rPr>
        <w:t>. Collaboration revenue was $181.2 million for the year ended December 31, 2017, compared to $1.5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We recognized $1.5 million in collaboration revenue for the year ended December 31, 2016 from our cost sharing arrangement under the Otsuka U.S. Agreement, which commenced in December 2016, and no collaboration revenue from MTPC as the revenue recognition criteria for the MTPC Agreement, as required under ASC 605, had not yet been satisfied. The increase in revenue between the two periods was attributable to an additional $136.7 million of revenue recognized under both the Otsuka U.S. Agreement and Otsuka International Agreement which was consummated in April 2017, as well as $42.9 million of revenue recognized in connection with the MTPC agreement as the revenue recognition criteria as required under ASC 606 was satisfied in the fourth quarter of 2017.</w:t>
      </w:r>
    </w:p>
    <w:p>
      <w:pPr>
        <w:spacing w:after="0" w:line="21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were $230.9 million for the year ended December 31,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$115.8 million for the year ended December 31, 2016. The increase of $115.1 million was due to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w:t>
            </w:r>
            <w:r>
              <w:rPr>
                <w:rFonts w:ascii="Arial" w:cs="Arial" w:eastAsia="Arial" w:hAnsi="Arial"/>
                <w:sz w:val="15"/>
                <w:szCs w:val="15"/>
                <w:color w:val="auto"/>
              </w:rPr>
              <w:t>2</w:t>
            </w:r>
            <w:r>
              <w:rPr>
                <w:rFonts w:ascii="Arial" w:cs="Arial" w:eastAsia="Arial" w:hAnsi="Arial"/>
                <w:sz w:val="18"/>
                <w:szCs w:val="18"/>
                <w:color w:val="auto"/>
              </w:rPr>
              <w:t>TECT and INNO</w:t>
            </w:r>
            <w:r>
              <w:rPr>
                <w:rFonts w:ascii="Arial" w:cs="Arial" w:eastAsia="Arial" w:hAnsi="Arial"/>
                <w:sz w:val="15"/>
                <w:szCs w:val="15"/>
                <w:color w:val="auto"/>
              </w:rPr>
              <w:t>2</w:t>
            </w:r>
            <w:r>
              <w:rPr>
                <w:rFonts w:ascii="Arial" w:cs="Arial" w:eastAsia="Arial" w:hAnsi="Arial"/>
                <w:sz w:val="18"/>
                <w:szCs w:val="18"/>
                <w:color w:val="auto"/>
              </w:rPr>
              <w:t>VATE Phase 3 program</w:t>
            </w:r>
          </w:p>
        </w:tc>
        <w:tc>
          <w:tcPr>
            <w:tcW w:w="1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w:t>
            </w:r>
            <w:r>
              <w:rPr>
                <w:rFonts w:ascii="Arial" w:cs="Arial" w:eastAsia="Arial" w:hAnsi="Arial"/>
                <w:sz w:val="15"/>
                <w:szCs w:val="15"/>
                <w:color w:val="auto"/>
              </w:rPr>
              <w:t>2</w:t>
            </w:r>
            <w:r>
              <w:rPr>
                <w:rFonts w:ascii="Arial" w:cs="Arial" w:eastAsia="Arial" w:hAnsi="Arial"/>
                <w:sz w:val="18"/>
                <w:szCs w:val="18"/>
                <w:color w:val="auto"/>
              </w:rPr>
              <w:t>RWARD and TRILO</w:t>
            </w:r>
            <w:r>
              <w:rPr>
                <w:rFonts w:ascii="Arial" w:cs="Arial" w:eastAsia="Arial" w:hAnsi="Arial"/>
                <w:sz w:val="15"/>
                <w:szCs w:val="15"/>
                <w:color w:val="auto"/>
              </w:rPr>
              <w:t>2</w:t>
            </w:r>
            <w:r>
              <w:rPr>
                <w:rFonts w:ascii="Arial" w:cs="Arial" w:eastAsia="Arial" w:hAnsi="Arial"/>
                <w:sz w:val="18"/>
                <w:szCs w:val="18"/>
                <w:color w:val="auto"/>
              </w:rPr>
              <w:t>GY studies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Japan Phase 2 studies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Regulatory activities and other clinical and preclinical activities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Manufacture of drug substance</w:t>
            </w:r>
          </w:p>
        </w:tc>
        <w:tc>
          <w:tcPr>
            <w:tcW w:w="1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ind w:left="1140"/>
              <w:spacing w:after="0"/>
              <w:rPr>
                <w:sz w:val="20"/>
                <w:szCs w:val="20"/>
                <w:color w:val="auto"/>
              </w:rPr>
            </w:pPr>
            <w:r>
              <w:rPr>
                <w:rFonts w:ascii="Arial" w:cs="Arial" w:eastAsia="Arial" w:hAnsi="Arial"/>
                <w:sz w:val="18"/>
                <w:szCs w:val="18"/>
                <w:color w:val="auto"/>
              </w:rPr>
              <w:t>Total increase related to the continued development of vadadustat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60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Headcount, consulting and facilities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warrants issued for Janssen license</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Janssen license fee</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ind w:left="1140"/>
              <w:spacing w:after="0"/>
              <w:rPr>
                <w:sz w:val="20"/>
                <w:szCs w:val="20"/>
                <w:color w:val="auto"/>
              </w:rPr>
            </w:pPr>
            <w:r>
              <w:rPr>
                <w:rFonts w:ascii="Arial" w:cs="Arial" w:eastAsia="Arial" w:hAnsi="Arial"/>
                <w:sz w:val="18"/>
                <w:szCs w:val="18"/>
                <w:color w:val="auto"/>
              </w:rPr>
              <w:t>Total net increase</w:t>
            </w:r>
          </w:p>
        </w:tc>
        <w:tc>
          <w:tcPr>
            <w:tcW w:w="13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103</w:t>
            </w: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4" w:name="page105"/>
    <w:bookmarkEnd w:id="104"/>
    <w:p>
      <w:pPr>
        <w:ind w:right="40"/>
        <w:spacing w:after="0" w:line="255" w:lineRule="auto"/>
        <w:rPr>
          <w:sz w:val="20"/>
          <w:szCs w:val="20"/>
          <w:color w:val="auto"/>
        </w:rPr>
      </w:pPr>
      <w:r>
        <w:rPr>
          <w:rFonts w:ascii="Arial" w:cs="Arial" w:eastAsia="Arial" w:hAnsi="Arial"/>
          <w:sz w:val="18"/>
          <w:szCs w:val="18"/>
          <w:color w:val="auto"/>
        </w:rPr>
        <w:t>The increase in the costs related to the development of vadadustat is primarily attributable to an increase in external costs related to the continued advancement of the PRO</w:t>
      </w:r>
      <w:r>
        <w:rPr>
          <w:rFonts w:ascii="Arial" w:cs="Arial" w:eastAsia="Arial" w:hAnsi="Arial"/>
          <w:sz w:val="15"/>
          <w:szCs w:val="15"/>
          <w:color w:val="auto"/>
        </w:rPr>
        <w:t>2</w:t>
      </w:r>
      <w:r>
        <w:rPr>
          <w:rFonts w:ascii="Arial" w:cs="Arial" w:eastAsia="Arial" w:hAnsi="Arial"/>
          <w:sz w:val="18"/>
          <w:szCs w:val="18"/>
          <w:color w:val="auto"/>
        </w:rPr>
        <w:t>TECT and INNO</w:t>
      </w:r>
      <w:r>
        <w:rPr>
          <w:rFonts w:ascii="Arial" w:cs="Arial" w:eastAsia="Arial" w:hAnsi="Arial"/>
          <w:sz w:val="15"/>
          <w:szCs w:val="15"/>
          <w:color w:val="auto"/>
        </w:rPr>
        <w:t>2</w:t>
      </w:r>
      <w:r>
        <w:rPr>
          <w:rFonts w:ascii="Arial" w:cs="Arial" w:eastAsia="Arial" w:hAnsi="Arial"/>
          <w:sz w:val="18"/>
          <w:szCs w:val="18"/>
          <w:color w:val="auto"/>
        </w:rPr>
        <w:t>VATE Phase 3 program, including ongoing enrollment, the Phase 2 studies in Japan, and study commencement activities for the FO</w:t>
      </w:r>
      <w:r>
        <w:rPr>
          <w:rFonts w:ascii="Arial" w:cs="Arial" w:eastAsia="Arial" w:hAnsi="Arial"/>
          <w:sz w:val="15"/>
          <w:szCs w:val="15"/>
          <w:color w:val="auto"/>
        </w:rPr>
        <w:t>2</w:t>
      </w:r>
      <w:r>
        <w:rPr>
          <w:rFonts w:ascii="Arial" w:cs="Arial" w:eastAsia="Arial" w:hAnsi="Arial"/>
          <w:sz w:val="18"/>
          <w:szCs w:val="18"/>
          <w:color w:val="auto"/>
        </w:rPr>
        <w:t>RWARD and TRILO</w:t>
      </w:r>
      <w:r>
        <w:rPr>
          <w:rFonts w:ascii="Arial" w:cs="Arial" w:eastAsia="Arial" w:hAnsi="Arial"/>
          <w:sz w:val="15"/>
          <w:szCs w:val="15"/>
          <w:color w:val="auto"/>
        </w:rPr>
        <w:t>2</w:t>
      </w:r>
      <w:r>
        <w:rPr>
          <w:rFonts w:ascii="Arial" w:cs="Arial" w:eastAsia="Arial" w:hAnsi="Arial"/>
          <w:sz w:val="18"/>
          <w:szCs w:val="18"/>
          <w:color w:val="auto"/>
        </w:rPr>
        <w:t>GY studies, both of which have been replaced with new study designs. We incurred a total of approximately $20.5 million for the Phase 2 studies in Japan of which MTPC has already paid $20.0 million prior to December 31, 2017, and MTPC will reimburse us for the remaining costs once incurred. The increase in headcount, consulting and facility related costs relates to additional resources required to support our expanding research and development programs.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$27.0 million for the year ended December 31, 2017, compared to $22.2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2016. The increase of $4.8 million was primarily due to an increase in costs to support our research and development programs, including headcount and compensation-related costs and associated facility-related costs.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$3.0 million for the year ended December 31, 2017, compared to $0.7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Other income, net for the year ended December 31, 2017, was primarily comprised of interest income caused by higher average investment balances during 2017. Other income, net for the year ended December 31, 2016 consisted of interest income of $0.9 million offset by expenses related to the write-off of capitalized software.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incurred losses and cumulative negative cash flows from operations since our inception in February 2007, and as of December 31, 2018, we had an accumulated deficit of $514.4 million. We anticipate that we will continue to incur losses for the foreseeable future. We expect that our research and development and selling, general and administrative expenses will continue to increase and, as a result, we will need additional capital to fund our operations, which we may raise through a combination of equity offerings, debt financings, other third-party funding, marketing and distribution arrangements and other collaborations, strategic alliances and licensing arrangements.</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funded our operations principally through sales of our common stock, payments received from our collaboration partners, and following the Merger, product sales. As of December 31, 2018, we had cash and cash equivalents and available for sale securities of approximately $321.6 million. Cash in excess of immediate requirements is invested in accordance with our investment policy, primarily with a view to liquidity and capital preservation. Accordingly, available for sale securities, consisting principally of corporate and government debt securities stated at fair value, are also available as a source of liquidity.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8"/>
          </w:tcPr>
          <w:p>
            <w:pPr>
              <w:jc w:val="center"/>
              <w:ind w:left="516"/>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i w:val="1"/>
                <w:iCs w:val="1"/>
                <w:color w:val="auto"/>
                <w:w w:val="93"/>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(97,494)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(56,159)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(177,260)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Financing activities</w:t>
            </w: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96,562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66,946</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cash equivalents and</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35,662</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(117,179)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137,557</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cash provided by or used in operating activities in all periods resulted primarily from our net losses adjusted for non-cash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and changes in the components of working capital. The net cash used in operating activities during the year ended December 31, 2018 of $97.5 million was largely driven by our Phase 3 development program for vadadustat, partially offset by receipt of cash from collaboration agreements. The net cash used by operating activities during the year ended December 31, 2017 of $56.2 million was largely driven by our Phase 3 development program for vadadustat, partially offset by receipt of cash from collaboration agreements, including a $73.0 million up-front payment under the Otsuka International Agreement. The net cash provided by operating activities during the year ended December 31, 2016 of $57.9 million was primarily the result of cash received from collaboration agreements, including $158.8 million received at inception from the Otsuka U.S. Agreement, partially offset by our Phase 3 development program for vadadustat.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05" w:name="page106"/>
    <w:bookmarkEnd w:id="105"/>
    <w:p>
      <w:pPr>
        <w:ind w:right="160"/>
        <w:spacing w:after="0" w:line="293"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During the year ended December 31, 2018, the net cash provided by investing activities of $36.6 million was comprised primarily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and maturities of available for sale securities, partially offset by purchases of available for sale securities, purchases of equipment and acquisition of the business, net of cash acquired. The net cash used by investing activities during the year ended December 31, 2017 of $177.3 million was comprised primarily from the purchases of available for sale securities of $330.6 million, partially offset by sale of and maturities of available for sale securities and purchases of equipment. Net cash provided by investing activities during the year ended December 31, 2016 of $12.7 million was comprised primarily from the maturities of available for sale securities, partially offset by purchases in available for sale securities and purchases of equipment.</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years ended December 31, 2018, 2017 and 2016 our net cash provided by financing activities was $96.6 million, $116.2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$66.9 million, respectively. Net cash provided by financing activities for the years ended December 31, 2018, 2017 and 2016 consisted primarily of net proceeds from the public issuance of common stock, proceeds from the exercise of stock options and proceeds from the sale of stock under our employee stock purchase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 result of the Merger, we have one product, Auryxia, approved for commercial sale, but have not generated profits from Auryxia, and may not generate profits from product sales. We anticipate that we will continue to generate losses for the foreseeable future, and we expect the losses to increase as we continue the development of, and seek marketing approvals for, our product candidates. We are subject to all risks incident to the development and commercialization of novel therapeutics, and we may encounter unforeseen expenses, difficulties, complications, delays and other unknown factors that may adversely affect our business. We expect to continue to incur additional costs associated with operating as a public company and we anticipate that we will need substantial additional funding in connection with our continuing operations.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ended 2018 with cash, cash equivalents and available for sale securities of $321.6 million. At the inception of our collaboration agreements with Otsuka and MTPC, they committed to approximately $573.0 million or more in cost-share funding, of which we generally continue to receive on a quarterly prepaid basis, and royalty and license payments. Of these commitments, we received approximately $272.0 million at the onset of the collaboration agreements. We expect our cash resources, including committed research and development funding from our collaborators, to fund our current operating plan into the third quarter of 2020.</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require additional capital for the further commercialization of Auryxia, development and potential commercialization of our existing product candidates and will need to raise additional funds sooner to pursue development activities related to additional product candidates. If and until we can generate a sufficient amount of product revenue, we expect to finance future cash needs through public or private equity or debt offerings, payments from our collaborators, strategic transactions, or a combination of these approaches. We have based these estimates on assumptions that may prove to be wrong, and we could use our available capital resources sooner than we currently expect. Furthermore, our development and regulatory milestones may not be achieved, we may not receive the anticipated funding from our collaboration partners, and we may not secure other sources of financing. Additional funds may not be available to us on acceptable terms or at all. If we are unable to raise additional capital in sufficient amounts or on terms acceptable to us, we may have to significantly delay, scale back or discontinue the commercialization of our product or the development or commercialization of one or more of our product candidates. If we raise additional funds through the issuance of additional debt or equity securities, it could result in dilution to our existing stockholders or increased fixed payment obligations, and any such securities may have rights senior to those of our common stock. Any of these events could significantly harm our business, financial condition and prospects.</w:t>
      </w:r>
    </w:p>
    <w:p>
      <w:pPr>
        <w:spacing w:after="0" w:line="18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be substantially different than actual results, and we could utilize our available capital resources sooner than we currently expect. Our future funding requirements, both near- and long-term, will depend on many factors including, but not limited to, those described under Part I, Item 1A. Risk Factors.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lack sufficient capital, our business, financial condition and results of operations could be materially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our future contractual obligations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Payments due by period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Less than 1</w:t>
            </w:r>
          </w:p>
        </w:tc>
        <w:tc>
          <w:tcPr>
            <w:tcW w:w="240" w:type="dxa"/>
            <w:vAlign w:val="bottom"/>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year</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14,072</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Manufacturing Agreements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98,192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Debt Obligations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300,933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66,462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112,264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lease approximately 65,167 square feet of office and lab space in Cambridge, Massachusetts under a lease which was most recently amended in April 2018, collectively the Cambridge Lease. Under the Third Amendment to the Cambridge Lease, or the Third Amendment, executed in July 2016, total monthly lease payments under the initial base rent were approximately $242,000 and are subject to annual rent escalations. In addition to such annual rent escalations, base rent payments for a portion of said premises commenced on January 1, 2017 in the monthly amount of approximately $22,000. The Fourth Amendment to the Cambridge Lease, executed in May 2017, provided additional storage space to us and did not impact rent payments. In April 2018, we entered into a Fifth Amendment to the Cambridge Lease, or the Fifth Amendment, for an additional 19,805 square feet of office space on the 12</w:t>
      </w:r>
      <w:r>
        <w:rPr>
          <w:rFonts w:ascii="Arial" w:cs="Arial" w:eastAsia="Arial" w:hAnsi="Arial"/>
          <w:sz w:val="14"/>
          <w:szCs w:val="14"/>
          <w:color w:val="auto"/>
        </w:rPr>
        <w:t>th</w:t>
      </w:r>
      <w:r>
        <w:rPr>
          <w:rFonts w:ascii="Arial" w:cs="Arial" w:eastAsia="Arial" w:hAnsi="Arial"/>
          <w:sz w:val="17"/>
          <w:szCs w:val="17"/>
          <w:color w:val="auto"/>
        </w:rPr>
        <w:t xml:space="preserve"> floor. Monthly lease payments for the existing 45,362 square feet of office and lab space, under the Third Amendment, remain unchanged. The new space leased by us was delivered in September 2018 and additional monthly lease payments of approximately $135,000 commenced in February 2019 and are subject to annual rent escalations, commencing in September 2019.</w:t>
      </w:r>
    </w:p>
    <w:p>
      <w:pPr>
        <w:spacing w:after="0" w:line="18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Additionally, as a result of the Merger, we have a lease for 27,300 square feet of office space in Boston, Massachusetts, or the Boston Lease, which expires in February 2023. The total monthly lease payments under the base rent are approximately $136,000 and are subject to annual rent escalations. By the end of 2019, we plan to move employees based in our Boston office to our Cambridge office and sublet our Boston office.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Keryx, our wholly owned subsidiary following the Merger, has a $40.0 million revolving line of credit, or the Line of Credit, under its Loan and Security Agreement with Silicon Valley Bank, or SVB. Availability under the Line of Credit is subject to a borrowing base comprised of eligible receivables and eligible inventory as set forth in the Loan and Security Agreement. As of December 31, 2018, we had approximately $16.0 million in available borrowing base under the Revolving Loan Facility, of which $15.0 million is outstanding. Proceeds from the Line of Credit may be used for working capital and general business purposes. The Line of Credit is secured by substantially all of Keryx’s assets other than intellectual property. The Line of Credit restricts Keryx’s ability to grant any interest in its intellectual property other than certain permitted licenses and permitted encumbrances set forth in the Loan and Security Agreement.</w:t>
      </w:r>
    </w:p>
    <w:p>
      <w:pPr>
        <w:spacing w:after="0" w:line="18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principal amount outstanding under the revolving line bears interest at a floating rate per annum equal to the greater of (i) 2.0% above the “prime rate,” as reported in The Wall Street Journal and (ii) 6.75%, which interest is payable monthly. Principal amounts borrowed under the Line of Credit may be repaid and, prior to the maturity date, re-borrowed, subject to the terms and conditions set forth in the Loan and Security Agreement. The Line of Credit will mature on the date that is the earlier of (i) two years after the effective date of the Loan and Security Agreement and (ii) ninety days prior to the maturity of any portion of any Permitted Convertible Debt, as defined under the Loan and Security Agreement. Upon entry into the Loan and Security Agreement (payable in installments and subject to certain conditions), Keryx paid to SVB an initial commitment fee of $149,000, upon the consummation of the Merger, we paid to SVB an additional commitment fee of approximately $251,000, and at the one year anniversary of the effective date of the Loan and Security Agreement(or, if earlier, upon termination of or an event of default under the Loan and Security Agreement), Keryx must pay to SVB a fee equal to 1.00% of the Line of Credit. Keryx is also required to pay on a quarterly basis a fee equal to 0.25% per annum of the average unused portion of the revolving line. Keryx must pay a termination fee of 2.00% of the Line of Credit, if the revolving line is terminated prior to the maturity date, subject to certain exceptions.</w:t>
      </w:r>
    </w:p>
    <w:p>
      <w:pPr>
        <w:spacing w:after="0" w:line="16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Loan and Security Agreement contains customary covenants applicable to Keryx and its subsidiaries, including maintaining insurance on Keryx’s business, achievement of minimum revenue amounts, the incurrence of additional indebtedness, and future encumbrances on the Keryx’s assets. In addition, Keryx must maintain a liquidity ratio, defined as (i) the sum of unrestricted and unencumbered cash and cash equivalents maintained at SVB or its affiliates plus net billed accounts receivable divided by (ii) all Keryx’s outstanding obligations and liabilities to SVB, including the aggregate amount of our obligations to SVB under any business credit cards, of at least 1.5 to 1.0, measured monthly.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7" w:name="page108"/>
    <w:bookmarkEnd w:id="107"/>
    <w:p>
      <w:pPr>
        <w:ind w:right="20"/>
        <w:spacing w:after="0" w:line="270" w:lineRule="auto"/>
        <w:rPr>
          <w:sz w:val="20"/>
          <w:szCs w:val="20"/>
          <w:color w:val="auto"/>
        </w:rPr>
      </w:pPr>
      <w:r>
        <w:rPr>
          <w:rFonts w:ascii="Arial" w:cs="Arial" w:eastAsia="Arial" w:hAnsi="Arial"/>
          <w:sz w:val="17"/>
          <w:szCs w:val="17"/>
          <w:color w:val="auto"/>
        </w:rPr>
        <w:t>Upon an event of default under the Loan and Security Agreement, SVB is entitled to accelerate and demand payment of all amounts outstanding under the Loan and Security Agreement, stop advancing money or extending credit to Keryx, demand that Keryx deposit at least 105% of the face amount of any letters of credit remaining undrawn to secure all obligations thereunder, and exercise other remedies available to SVB under the Loan and Security Agreement and at law or in equity. As of December 31, 2018, the Company has determined that events of default have already occurred, and has not obtained a formal waiver from SVB with respect to these events of default. As a result, the Company has classified the outstanding principal of $15.0 million as a current liability in its consolidated balance sheet as of December 31, 2018. So long as these events of default are not waived or otherwise resolved, SVB has the right to take any of the foregoing remedies. If SVB were to accelerate all of the obligations outstanding under the Loan and Security Agreement, the Company would be required to pay the outstanding principal and other fees to SVB, and the Company would no longer have access to the Line of Credit. The Company expects its cash resources to fund its current operating plan into the third quarter of 2020, which assumes the payment of all amounts due to SVB and no future borrowings under the Line of Credit.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a result of the Merger, our contractual obligations now include Keryx’s commercial supply agreements with BioVectra Inc., or BioVectra, and Siegfried Evionnaz SA, or Siegfried, to supply commercial drug substance for Auryxia.</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Pursuant to the BioVectra Manufacture and Supply Agreement and the Product Manufacture and Supply and Facility Construction Agreement, collectively the BioVectra Agreement, we have agreed to purchase a minimum quantity of drug substance of Auryxia at predetermined prices. The price per metric kilogram will decrease with an increase in quantity above the minimum purchase quantity. In addition, the BioVectra Agreement contained contingent milestone payments for capital developments in connection with construction of an expansion of the site of the BioVectra production facility for the manufacture of drug substance for Auryxia. These milestone payments were achieved by BioVectra and paid and fully recorded prior to the Merger. The term of the BioVectra Agreement expires in late 2026, after which, it automatically renews for specified terms until terminated. We have the right to terminate the BioVectra Agreement prior to the contract term, which could result in an early termination fee. As of December 31, 2018, we are required to purchase a minimum quantity of drug substance for Auryxia annually at a total cost of approximately $154.0 million through the year ended December 31, 2026.</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 of purchase accounting, we identified an executory contract in the supply agreement between Keryx and BioVectra, which includes future firm purchase commitments. This executory contract was deemed to have an off-market element related to the amount of purchase commitments that exceed the current forecast and as such, we recorded a liability in purchase accounting. As of the acquisition date, the preliminary fair value of the off-market element was $29.5 million.</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Pursuant to the Siegfried Master Manufacturing Services and Supply Agreement, or the Siegfried Agreement, we have agreed to purchase a minimum quantity of drug substance of Auryxia at predetermined prices. The price per metric kilogram will decrease with an increase in quantity above the minimum purchase quantity. The term of the Siegfried Agreement expires on December 31, 2021, after which, it automatically renews for one-year terms until terminated. The Siegfried Agreement provides us with certain termination rights prior to December 31, 2021. As of December 31, 2018, we are required to purchase a minimum quantity of drug substance for Auryxia annually at a total cost of approximately $85.1 million through the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Third Party Contracts</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our agreement with IQVIA, formerly known as Quintiles IMS, to provide contract research organization services for the PRO</w:t>
      </w:r>
      <w:r>
        <w:rPr>
          <w:rFonts w:ascii="Arial" w:cs="Arial" w:eastAsia="Arial" w:hAnsi="Arial"/>
          <w:sz w:val="14"/>
          <w:szCs w:val="14"/>
          <w:color w:val="auto"/>
        </w:rPr>
        <w:t>2</w:t>
      </w:r>
      <w:r>
        <w:rPr>
          <w:rFonts w:ascii="Arial" w:cs="Arial" w:eastAsia="Arial" w:hAnsi="Arial"/>
          <w:sz w:val="17"/>
          <w:szCs w:val="17"/>
          <w:color w:val="auto"/>
        </w:rPr>
        <w:t>TECT and INNO</w:t>
      </w:r>
      <w:r>
        <w:rPr>
          <w:rFonts w:ascii="Arial" w:cs="Arial" w:eastAsia="Arial" w:hAnsi="Arial"/>
          <w:sz w:val="14"/>
          <w:szCs w:val="14"/>
          <w:color w:val="auto"/>
        </w:rPr>
        <w:t>2</w:t>
      </w:r>
      <w:r>
        <w:rPr>
          <w:rFonts w:ascii="Arial" w:cs="Arial" w:eastAsia="Arial" w:hAnsi="Arial"/>
          <w:sz w:val="17"/>
          <w:szCs w:val="17"/>
          <w:color w:val="auto"/>
        </w:rPr>
        <w:t>VATE programs, the total remaining contract costs as of December 31, 2018 were approximately $106.3 million. The estimated period of performance for the committed work with IQVIA is through the end of 2020. We also contract with various other organizations to conduct research and development activities with remaining contract costs to us of approximately $102.8 million as of December 31, 2018. The scope of the services under these research and development contracts can be modified and the contracts cancelled by us upon written notice, and therefore not included in the table of contractual obligations and commitments. In some instances, the contracts may be cancelled by the third party upon written notice.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did not have any off-balance sheet arrangements as defined in the rules and regulations of the SEC.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and expenses and the disclosure of contingent assets and liabilities in our consolidated financial statements. On an ongoing basis, we evaluate our estimates and judgments, including those related to prepaid and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value our inventories at the lower-of-cost or net realizable value. We determine the cost of our inventories, which includes amounts related to materials and manufacturing overhead, on a first-in, first-out basis. Prior to the regulatory approval of our product candidates, we incur expenses for the manufacture of material that could potentially be available to support the commercial launch of our products. Until the first reporting period when regulatory approval has been received or is otherwise considered probable and the future economic benefit is expected to be realized, we record all such costs as research and development expense.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 We classify our inventory costs as long-term, in other assets in our consolidated balance sheets, when we expect to utilize the inventory beyond our normal operating cycle.</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perform an assessment of the recoverability of capitalized inventory during each reporting period, and write down any excess and obsolete inventory to our net realizable value in the period in which the impairment is first identified. Such impairment charges, should they occur, are recorded as a component of cost of product sales in the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our product is subject to strict quality control and monitoring that we perform throughout the manufacturing process. In the event that certain batches or units of product no longer meet quality specifications, we will record a charge to cost of product sales to write-down any unmarketable inventory to its estimated net realizable value. In all cases, product inventory is carried at the lower of cost or its estimated net realizable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generate revenues primarily from sales of Auryxia, see Note 3 to our consolidated financial statements in Part II, Item 8. Financial Statements and Supplementary Data, and from our collaborations with MTPC and Otsuka, see Note 4 to our consolidated financial statements in Part II, Item 8 – Financial Statements and Supplementary Data. We recognize revenue in accordance with ASC 606, which applies to all contracts with customers, except for contracts that are within the scope of other standards. Under ASC 606, we recognize revenue when our customer obtains control of promised goods or services, in an amount that reflects the consideration which the entity expects to receive in exchange for those goods or services. To determine revenue recognition for arrangements that we determine are within the scope of ASC 606, we perform the following five steps:</w:t>
      </w:r>
    </w:p>
    <w:p>
      <w:pPr>
        <w:spacing w:after="0" w:line="70" w:lineRule="exact"/>
        <w:rPr>
          <w:sz w:val="20"/>
          <w:szCs w:val="20"/>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only apply the five-step model to contracts when it is probable that the entity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color w:val="auto"/>
        </w:rPr>
        <w:t>Product Revenue, Net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sell Auryxia in the U.S., primarily to wholesale distributors as well as certain specialty pharmacy providers, collectively the Customers. These Customers resell our product to health care providers and patients. In addition to distribution agreements with Customers, we enter into arrangements with health care providers and payors that provide for government-mandated and/or privately-negotiated rebates, chargebacks, and discounts with respect to the purchase of our product.</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recognize revenue on product sales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 from product sales are recorded at the net sales price (transaction price), which includes estimates of variable consideration for which reserves are established and which result from discounts, returns, chargebacks, rebates, co-pay assistance and other allowances that are offered within contracts between us and our Customers, health care providers, payors and other indirect customers relating to our sales of our products. These reserves are based on the amounts earned or to be claimed on the related sales and are classified as reductions of accounts receivable (if the amount will be credited to the Customer) or a current liability (if the amount is payable to a Customer or a party other than a Customer). When appropriate, these estimates take into consideration a range of possible outcomes which are probability-weighted in accordance with the expected value method in ASC 606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respective underlying contracts.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Trade Discounts and Allowances: </w:t>
      </w:r>
      <w:r>
        <w:rPr>
          <w:rFonts w:ascii="Arial" w:cs="Arial" w:eastAsia="Arial" w:hAnsi="Arial"/>
          <w:sz w:val="18"/>
          <w:szCs w:val="18"/>
          <w:color w:val="auto"/>
        </w:rPr>
        <w:t>We generally provide Customers with discounts that include incentive fees that are explicitly stated in our contracts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a reduction of revenue in the period the related product revenue is recognized. In addition, we compensate (through trade discounts and allowances) our Customers for sales order management, data, and distribution services. However, we have determined such services received to date are not distinct from our sale of products to the Customer and, therefore, these payments have been recorded as a reduction of revenue within the statement of operations and comprehensive loss through December 31, 2018. We record a corresponding reduction to accounts receivable (if the trade discount and/or allowance will be credited to the Customer) or an increase to accrued expense (if the trade discount and/or allowance is payable to a Customer) on the consolidated balance sheets.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we generally offer Customers a limited right of return which allows for product return when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expiry is within an allowable window. This right of return lapses once provided to a patient. We estimate the amount of our product sales that may be returned by our Customers and records this estimate as a reduction of revenue in the period the related product revenue is recognized. We currently estimate product return reserve using available industry data and our own historical sales information, including our visibility into the inventory remaining in the distribution channel.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Provider Chargebacks and Discounts</w:t>
      </w:r>
      <w:r>
        <w:rPr>
          <w:rFonts w:ascii="Arial" w:cs="Arial" w:eastAsia="Arial" w:hAnsi="Arial"/>
          <w:sz w:val="17"/>
          <w:szCs w:val="17"/>
          <w:color w:val="auto"/>
        </w:rPr>
        <w:t>: Chargebacks for fees and discounts to providers represent the estimated obligations resulting from contractual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commitments to sell products to qualified healthcare providers at prices lower than the list prices charged to Customers who directly purchase the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us. Customers charge us for the difference between what they pay for the product and the ultimate selling price to the qualified healthcare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providers. These reserves are established in the same period that the related revenue is recognized, resulting in a reduction of product revenue and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Chargeback amounts are generally determined at the time of resale to the qualified healthcare provider by Customers, and we generally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credits for such amounts within a few weeks of the Customer’s resale of the product. Reserves for chargebacks consist of credits that we expect to issue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that remain in the distribution channel at each reporting period end that we expect will be sold to qualified healthcare providers, and chargebacks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Customers have claimed but for which we have not yet issued a credit.</w:t>
      </w:r>
    </w:p>
    <w:p>
      <w:pPr>
        <w:spacing w:after="0" w:line="211"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i w:val="1"/>
          <w:iCs w:val="1"/>
          <w:color w:val="auto"/>
        </w:rPr>
        <w:t xml:space="preserve">Commercial and Medicare Part D Rebates: </w:t>
      </w:r>
      <w:r>
        <w:rPr>
          <w:rFonts w:ascii="Arial" w:cs="Arial" w:eastAsia="Arial" w:hAnsi="Arial"/>
          <w:sz w:val="16"/>
          <w:szCs w:val="16"/>
          <w:color w:val="auto"/>
        </w:rPr>
        <w:t>We contract with various commercial payor organizations, primarily health insurance companies and pharmacy</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managers, for the payment of rebates with respect to utilization of our products. We estimate the rebates for commercial and Medicare Part D payors based upon (i) our contracts with the payors and (ii) information obtained from our Customers and other third parties regarding the payor mix for Auryxia.</w:t>
      </w:r>
    </w:p>
    <w:p>
      <w:pPr>
        <w:jc w:val="both"/>
        <w:ind w:right="140"/>
        <w:spacing w:after="0" w:line="261" w:lineRule="auto"/>
        <w:rPr>
          <w:sz w:val="20"/>
          <w:szCs w:val="20"/>
          <w:color w:val="auto"/>
        </w:rPr>
      </w:pPr>
      <w:r>
        <w:rPr>
          <w:rFonts w:ascii="Arial" w:cs="Arial" w:eastAsia="Arial" w:hAnsi="Arial"/>
          <w:sz w:val="18"/>
          <w:szCs w:val="18"/>
          <w:color w:val="auto"/>
        </w:rPr>
        <w:t>We estimate these rebates and record such estimates in the same period the related revenue is recognized, resulting in a reduction of product revenue and the establishment of a current liability.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0" w:name="page111"/>
    <w:bookmarkEnd w:id="110"/>
    <w:p>
      <w:pPr>
        <w:spacing w:after="0" w:line="271" w:lineRule="auto"/>
        <w:rPr>
          <w:sz w:val="20"/>
          <w:szCs w:val="20"/>
          <w:color w:val="auto"/>
        </w:rPr>
      </w:pPr>
      <w:r>
        <w:rPr>
          <w:rFonts w:ascii="Arial" w:cs="Arial" w:eastAsia="Arial" w:hAnsi="Arial"/>
          <w:sz w:val="17"/>
          <w:szCs w:val="17"/>
          <w:i w:val="1"/>
          <w:iCs w:val="1"/>
          <w:color w:val="auto"/>
        </w:rPr>
        <w:t xml:space="preserve">Other Government Rebates: </w:t>
      </w:r>
      <w:r>
        <w:rPr>
          <w:rFonts w:ascii="Arial" w:cs="Arial" w:eastAsia="Arial" w:hAnsi="Arial"/>
          <w:sz w:val="17"/>
          <w:szCs w:val="17"/>
          <w:color w:val="auto"/>
        </w:rPr>
        <w:t>We are subject to discount obligations under state Medicaid programs and other government programs. We estimate Medicaid</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government programs rebates based upon a range of possible outcomes that are probability-weighted for the estimated payor mix. These 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we also estimate the number of patients in the prescription drug coverage gap for whom we will owe an additional liability under the Medicare Part D program.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at the end of each reporting period.</w:t>
      </w:r>
    </w:p>
    <w:p>
      <w:pPr>
        <w:spacing w:after="0" w:line="1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we offer include voluntary patient assistance programs such as our co-pay assistance program, which are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financial assistance to qualified commercially insured patients with prescription drug co-payments required by payors. The calculation of the accrual for co-pay assistance is based on actual claims processed during a given period, as well as historical utilization data to estimate the amount we expect to receive associated with product that has been recognized as revenue, but remains in in the distribution channel at the end of each reporting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enter into out-license and collaboration agreements which are within the scope of ASC 606, under which we license certain rights to our product candidates to third parties. The terms of these arrangements typically include payment to us of one or more of the following: non-refundable, up-front license fees; development, regulatory, and commercial milestone payments; payments for manufacturing supply services we provide through our contract manufacturers; and royalties on net sales of licensed products. Each of these payments may result in license, collaboration and other revenue, except for revenues from royalties on net sales of licensed products, which are classified as royalty revenues.</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each of our agreements, we implement the five-step model noted above. As part of the accounting for these arrangements, we must develop assumptions that require judgment to determine whether the individual deliverables represent separate performance obligations or as a combined performance obligation, and to determine the stand-alone selling price for each performance obligation identified in the contract. A deliverable represents a separate performance obligation if both of the following criteria are met: (i) the customer can benefit from the good or service either on our own or together with other resources that are readily available to the customer, and (ii) the entity’s promise to transfer the good or service to the customer is separately identifiable from other promises in the contract. We use key assumptions to determine the stand-alone selling price, which may include forecasted revenues, development timelines, reimbursement rates for personnel costs, discount rates, and probabilities of technical and regulatory success. With regard to the MTPC and Otsuka collaboration agreements, we recognize revenue related to amounts allocated to the identified performance obligation on a proportional performance basis as the underlying services are performed.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If the license to our intellectual property is determined to be distinct from the other performance obligations identified in the arrangement, we recognize revenue from non-refundable, up-front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will evaluate the measure of progress each reporting period and, if necessary, adjust the measure of performance and related revenue recognition.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inception of each arrangement that includes development milestone payments, we evaluate whether the milestones are considered probable of being reached and estimates the amount to be included in the transaction price using the most likely amount method. We evaluate factors such as the scientific, clinical, regulatory, commercial, and other risks that must be overcome to assess the milestone as probable of being achieved. There is considerable judgment involved in determining whether a milestone is probable of being reached at each specific reporting period. Milestone payments that are not within our control or the customer, such as regulatory approvals, are not considered probable of being achieved until those approvals are received. If it is probable that a significant revenue reversal would not occur, the associated milestone value is included in the transaction price. The transaction price is then allocated to each performance obligation on a relative stand-alone selling price basis, for which we recognize revenues as, or when, the performance obligations under the contract are satisfied. At the end of each subsequent reporting period, we will re-evaluate the probability of achievement of such development milestones and any related constraint, and if necessary, adjust our estimate of the overall transaction price. Any such adjustments are recorded on a cumulative catch-up basis, which would affect collaboration revenue in the period of adjustment.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Arrangements that include a promise for future supply of drug substance or drug product for either clinical development or commercial supply at the licensee’s discretion are generally considered as options. We asses if these options provide a material right to the licensee and if so, they are accounted for as separate performance obligations. If we are entitled to additional payments when the licensee exercises these options, any additional payments are recorded in license, collaboration and other revenues when the licensee obtains control of the goods, which is upon delivery.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will recognize sales-based royalties, including milestone payments based on the level of sales, at the later of (i) when the related sales occur, or (ii) when the performance obligation to which some or all of the royalty has been allocated has been satisfied (or partially satisfied). We receive royalty payments from JT and Torii, based on net sales of Riona in Japan.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We record the elements of our collaboration agreements that represent joint operating activities in accordance with ASC Topic 808, </w:t>
      </w:r>
      <w:r>
        <w:rPr>
          <w:rFonts w:ascii="Arial" w:cs="Arial" w:eastAsia="Arial" w:hAnsi="Arial"/>
          <w:sz w:val="16"/>
          <w:szCs w:val="16"/>
          <w:i w:val="1"/>
          <w:iCs w:val="1"/>
          <w:color w:val="auto"/>
        </w:rPr>
        <w:t>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(ASC 808). Accordingly, the elements of the collaboration agreements that represent activities in which both parties are active participants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which both parties are exposed to the significant risks and rewards that are dependent on the commercial success of the activities are recorded as collaborative arrangements. We consider the guidance in ASC 606-10-15, </w:t>
      </w:r>
      <w:r>
        <w:rPr>
          <w:rFonts w:ascii="Arial" w:cs="Arial" w:eastAsia="Arial" w:hAnsi="Arial"/>
          <w:sz w:val="16"/>
          <w:szCs w:val="16"/>
          <w:i w:val="1"/>
          <w:iCs w:val="1"/>
          <w:color w:val="auto"/>
        </w:rPr>
        <w:t>Revenue from Contracts with Customers – Scope and Scope Exceptions</w:t>
      </w:r>
      <w:r>
        <w:rPr>
          <w:rFonts w:ascii="Arial" w:cs="Arial" w:eastAsia="Arial" w:hAnsi="Arial"/>
          <w:sz w:val="16"/>
          <w:szCs w:val="16"/>
          <w:color w:val="auto"/>
        </w:rPr>
        <w:t>, in determining the appropriate treatment for the transactions between us and our collaborative partner and the transactions between us and third parties. Generally, the classification of transactions under the collaborative arrangements is determined based on the nature and contractual terms of the arrangement along with the nature of the operations of the participants. Therefore, we recognize our allocation of the shared costs incurred with respect to the jointly conducted medical affairs and commercialization and non-promotional activities under the Otsuka U.S. Agreement as a component of the related expense in the period incurred. During the year ended December 31, 2018, we incurred approximately $1.2 million of costs related to the cost-sharing provisions of the Otsuka U.S. Agreement, as defined below in Note 4 to our consolidated financial statements in Part II, Item 8. Financial Statements and Supplementary Data, of which approximately $0.5 million are reimbursable by Otsuka and recorded as a reduction to research and development expense. During the year ended December 31, 2018, Otsuka incurred approximately $1.1 million of costs related to the cost-sharing provisions of the Otsuka U.S. Agreement, of which approximately $0.5 million are reimbursable by us and recorded as an increase to research and development expense. To the extent product revenue is generated from the collaboration, we will recognize our share of the net sales on a gross basis if it is deemed to be the principal in the transactions with customers, or on a net basis if it is instead deemed to be the agent in the transactions with customers, consistent with the guidance in ASC 606.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account for the acquisition of a business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or ASC 805. Amounts paid for each acquisition are allocated to the assets acquired and liabilities assumed based on their fair values at the date of acquisition. We determine the fair value of acquired intangible assets based on detailed valuations that use certain information and assumptions provided by management, which is considered management’s best estimate of inputs and assumptions that a market participant would use. We allocate any excess purchase price over the fair value of the net tangible and intangible assets acquired to goodwill.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ASC 805, transaction costs are not included as a component of consideration transferred and are expensed as incurred. Additionally, in accordance with ASC 805, a transaction entered into by or on behalf of the acquirer or primarily for the benefit of the acquirer or the combined entity, rather than primarily for the benefit of the acquiree (before the combination), is treated as separate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maintain definite-lived intangible asset related to developed product rights for Auryxia and a favorable contract, which were acquired on December 12, 2018 as part of the Merger.</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Intangible assets are initially recorded at fair value and stated net of accumulated amortization and impairments. We amortize our intangible assets that have finite lives using either the straight-line method, or if reliably determinable, based on the pattern in which the economic benefit of the asset is expected to be utilized. Amortization for our intangible assets are recorded over their estimated useful lives of 4 - 9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2" w:name="page113"/>
    <w:bookmarkEnd w:id="112"/>
    <w:p>
      <w:pPr>
        <w:ind w:right="20"/>
        <w:spacing w:after="0" w:line="293" w:lineRule="auto"/>
        <w:rPr>
          <w:sz w:val="20"/>
          <w:szCs w:val="20"/>
          <w:color w:val="auto"/>
        </w:rPr>
      </w:pPr>
      <w:r>
        <w:rPr>
          <w:rFonts w:ascii="Arial" w:cs="Arial" w:eastAsia="Arial" w:hAnsi="Arial"/>
          <w:sz w:val="16"/>
          <w:szCs w:val="16"/>
          <w:color w:val="auto"/>
        </w:rPr>
        <w:t>We review intangible assets subject to amortization to determine if any adverse conditions exist or a change in circumstances has occurred that would indicate impairment or a change in the remaining useful life. If an impairment indicator exists, we perform a recoverability test by comparing the sum of the estimated undiscounted cash flows of the intangible asset to its carrying value on the consolidated balance sheet. If the carrying value of the intangible asset exceeds the undiscounted cash flows used in the recoverability test, we will write the carrying value down to the fair value in the period identified. We calculate the fair value of intangible assets as the present value of estimated future cash flows expected to be generated from the intangible asset using a risk-adjusted discount rate. In determining our estimated future cash flows associated with our intangible assets, we use market participant assumptions pursuant to ASC 820.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allocate any excess purchase price over the fair value of the net tangible and intangible assets acquired in a business combination to goodwill. Goodwill is evaluated for impairment on an annual basis as of October 1, and more frequently if indicators are present or changes in circumstances suggest that impairment may exist.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compare the fair value of its reporting unit to our carrying value. If the carrying value of the net assets assigned to the reporting unit exceeds the fair value of our reporting unit, we would record an impairment loss equal to the difference. We operate in one operating segment which we consider to be the only reporting unit.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to take advantage of an extended transition period to comply with new or revised accounting standards applicable to public companies. We chose to “opt out” of this provision and, as a result, we comply with new or revised accounting standards as required when they are adopted. This decision to opt out of the extended transition period under the JOBS Act is irrevocable.</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a discussion of recent accounting pronouncements, please refer to New Accounting Pronouncements – Recently Adopted and New Accounting Pronouncements – Not Yet Adopted included within Note 2, Summary of Significant Accounting Policies, to our consolidated financial statements included in this report.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market risk related to changes in interest rates. As of December 31, 2018 and 2017, we had cash and cash equivalents and available for sale securities of $321.6 million and $317.8 million, respectively, primarily money market mutual funds consisting of U.S. government debt securities, certificates of deposit and corporate debt securities. Our primary exposure to market risk is interest rate sensitivity, which is affected by changes in the general level of U.S. interest rates, particularly because our investments are primarily in short-term securities. Our investments are subject to interest rate risk and will fall in value if market interest rates increase. Due to the short-term duration of our investment portfolio and the low risk profile of our investments, an immediate 100 basis point change in interest rates would not have a material effect on the fair market value of our portfolio.</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454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5340" w:type="dxa"/>
            <w:vAlign w:val="bottom"/>
            <w:gridSpan w:val="9"/>
          </w:tcPr>
          <w:p>
            <w:pPr>
              <w:spacing w:after="0"/>
              <w:rPr>
                <w:sz w:val="20"/>
                <w:szCs w:val="20"/>
                <w:color w:val="auto"/>
              </w:rPr>
            </w:pPr>
            <w:r>
              <w:rPr>
                <w:rFonts w:ascii="Arial" w:cs="Arial" w:eastAsia="Arial" w:hAnsi="Arial"/>
                <w:sz w:val="18"/>
                <w:szCs w:val="18"/>
                <w:b w:val="1"/>
                <w:bCs w:val="1"/>
                <w:color w:val="auto"/>
              </w:rPr>
              <w:t>Akebia Therapeutics, Inc.</w:t>
            </w:r>
          </w:p>
        </w:tc>
        <w:tc>
          <w:tcPr>
            <w:tcW w:w="5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340" w:type="dxa"/>
            <w:vAlign w:val="bottom"/>
            <w:gridSpan w:val="9"/>
          </w:tcPr>
          <w:p>
            <w:pPr>
              <w:spacing w:after="0"/>
              <w:rPr>
                <w:sz w:val="20"/>
                <w:szCs w:val="20"/>
                <w:color w:val="auto"/>
              </w:rPr>
            </w:pPr>
            <w:r>
              <w:rPr>
                <w:rFonts w:ascii="Arial" w:cs="Arial" w:eastAsia="Arial" w:hAnsi="Arial"/>
                <w:sz w:val="18"/>
                <w:szCs w:val="18"/>
                <w:color w:val="auto"/>
              </w:rPr>
              <w:t>Table of Contents</w:t>
            </w:r>
          </w:p>
        </w:tc>
        <w:tc>
          <w:tcPr>
            <w:tcW w:w="5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277"/>
        </w:trPr>
        <w:tc>
          <w:tcPr>
            <w:tcW w:w="5340" w:type="dxa"/>
            <w:vAlign w:val="bottom"/>
            <w:gridSpan w:val="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610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r>
      <w:tr>
        <w:trPr>
          <w:trHeight w:val="358"/>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Financial Statements</w:t>
            </w:r>
          </w:p>
        </w:tc>
        <w:tc>
          <w:tcPr>
            <w:tcW w:w="1120" w:type="dxa"/>
            <w:vAlign w:val="bottom"/>
            <w:gridSpan w:val="2"/>
          </w:tcPr>
          <w:p>
            <w:pPr>
              <w:spacing w:after="0"/>
              <w:rPr>
                <w:sz w:val="24"/>
                <w:szCs w:val="24"/>
                <w:color w:val="auto"/>
              </w:rPr>
            </w:pPr>
          </w:p>
        </w:tc>
        <w:tc>
          <w:tcPr>
            <w:tcW w:w="5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4900" w:type="dxa"/>
            <w:vAlign w:val="bottom"/>
            <w:gridSpan w:val="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Consolidated Balance Sheets</w:t>
              </w:r>
            </w:hyperlink>
          </w:p>
        </w:tc>
        <w:tc>
          <w:tcPr>
            <w:tcW w:w="610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r>
      <w:tr>
        <w:trPr>
          <w:trHeight w:val="20"/>
        </w:trPr>
        <w:tc>
          <w:tcPr>
            <w:tcW w:w="4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46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17">
              <w:r>
                <w:rPr>
                  <w:rFonts w:ascii="Arial" w:cs="Arial" w:eastAsia="Arial" w:hAnsi="Arial"/>
                  <w:sz w:val="18"/>
                  <w:szCs w:val="18"/>
                  <w:color w:val="0000EE"/>
                  <w:w w:val="89"/>
                </w:rPr>
                <w:t>Consolidated Statements of Operations and Comprehensive Loss</w:t>
              </w:r>
            </w:hyperlink>
          </w:p>
        </w:tc>
        <w:tc>
          <w:tcPr>
            <w:tcW w:w="220" w:type="dxa"/>
            <w:vAlign w:val="bottom"/>
          </w:tcPr>
          <w:p>
            <w:pPr>
              <w:spacing w:after="0"/>
              <w:rPr>
                <w:sz w:val="24"/>
                <w:szCs w:val="24"/>
                <w:color w:val="auto"/>
              </w:rPr>
            </w:pPr>
          </w:p>
        </w:tc>
        <w:tc>
          <w:tcPr>
            <w:tcW w:w="6100" w:type="dxa"/>
            <w:vAlign w:val="bottom"/>
            <w:gridSpan w:val="3"/>
          </w:tcPr>
          <w:p>
            <w:pPr>
              <w:jc w:val="right"/>
              <w:ind w:right="20"/>
              <w:spacing w:after="0"/>
              <w:rPr>
                <w:sz w:val="20"/>
                <w:szCs w:val="20"/>
                <w:color w:val="auto"/>
              </w:rPr>
            </w:pPr>
            <w:r>
              <w:rPr>
                <w:rFonts w:ascii="Arial" w:cs="Arial" w:eastAsia="Arial" w:hAnsi="Arial"/>
                <w:sz w:val="18"/>
                <w:szCs w:val="18"/>
                <w:color w:val="auto"/>
              </w:rPr>
              <w:t>116</w:t>
            </w:r>
          </w:p>
        </w:tc>
      </w:tr>
      <w:tr>
        <w:trPr>
          <w:trHeight w:val="318"/>
        </w:trPr>
        <w:tc>
          <w:tcPr>
            <w:tcW w:w="440" w:type="dxa"/>
            <w:vAlign w:val="bottom"/>
          </w:tcPr>
          <w:p>
            <w:pPr>
              <w:spacing w:after="0"/>
              <w:rPr>
                <w:sz w:val="24"/>
                <w:szCs w:val="24"/>
                <w:color w:val="auto"/>
              </w:rPr>
            </w:pPr>
          </w:p>
        </w:tc>
        <w:tc>
          <w:tcPr>
            <w:tcW w:w="4900" w:type="dxa"/>
            <w:vAlign w:val="bottom"/>
            <w:gridSpan w:val="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Consolidated Statements of Stockholders’ Equity</w:t>
              </w:r>
            </w:hyperlink>
          </w:p>
        </w:tc>
        <w:tc>
          <w:tcPr>
            <w:tcW w:w="610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r>
      <w:tr>
        <w:trPr>
          <w:trHeight w:val="318"/>
        </w:trPr>
        <w:tc>
          <w:tcPr>
            <w:tcW w:w="440" w:type="dxa"/>
            <w:vAlign w:val="bottom"/>
          </w:tcPr>
          <w:p>
            <w:pPr>
              <w:spacing w:after="0"/>
              <w:rPr>
                <w:sz w:val="24"/>
                <w:szCs w:val="24"/>
                <w:color w:val="auto"/>
              </w:rPr>
            </w:pPr>
          </w:p>
        </w:tc>
        <w:tc>
          <w:tcPr>
            <w:tcW w:w="3540" w:type="dxa"/>
            <w:vAlign w:val="bottom"/>
            <w:tcBorders>
              <w:top w:val="single" w:sz="8" w:color="0000EE"/>
            </w:tcBorders>
            <w:gridSpan w:val="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Cash Flows</w:t>
              </w:r>
            </w:hyperlink>
          </w:p>
        </w:tc>
        <w:tc>
          <w:tcPr>
            <w:tcW w:w="1360" w:type="dxa"/>
            <w:vAlign w:val="bottom"/>
            <w:gridSpan w:val="3"/>
          </w:tcPr>
          <w:p>
            <w:pPr>
              <w:spacing w:after="0"/>
              <w:rPr>
                <w:sz w:val="24"/>
                <w:szCs w:val="24"/>
                <w:color w:val="auto"/>
              </w:rPr>
            </w:pPr>
          </w:p>
        </w:tc>
        <w:tc>
          <w:tcPr>
            <w:tcW w:w="6100" w:type="dxa"/>
            <w:vAlign w:val="bottom"/>
            <w:gridSpan w:val="3"/>
          </w:tcPr>
          <w:p>
            <w:pPr>
              <w:jc w:val="right"/>
              <w:ind w:right="20"/>
              <w:spacing w:after="0"/>
              <w:rPr>
                <w:sz w:val="20"/>
                <w:szCs w:val="20"/>
                <w:color w:val="auto"/>
              </w:rPr>
            </w:pPr>
            <w:r>
              <w:rPr>
                <w:rFonts w:ascii="Arial" w:cs="Arial" w:eastAsia="Arial" w:hAnsi="Arial"/>
                <w:sz w:val="18"/>
                <w:szCs w:val="18"/>
                <w:color w:val="auto"/>
              </w:rPr>
              <w:t>118</w:t>
            </w:r>
          </w:p>
        </w:tc>
      </w:tr>
      <w:tr>
        <w:trPr>
          <w:trHeight w:val="20"/>
        </w:trPr>
        <w:tc>
          <w:tcPr>
            <w:tcW w:w="4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4900" w:type="dxa"/>
            <w:vAlign w:val="bottom"/>
            <w:gridSpan w:val="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Notes to Consolidated Financial Statements</w:t>
              </w:r>
            </w:hyperlink>
          </w:p>
        </w:tc>
        <w:tc>
          <w:tcPr>
            <w:tcW w:w="610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r>
      <w:tr>
        <w:trPr>
          <w:trHeight w:val="885"/>
        </w:trPr>
        <w:tc>
          <w:tcPr>
            <w:tcW w:w="4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right"/>
              <w:ind w:right="4810"/>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Akebia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We have audited the accompanying consolidated balance sheets of Akebia Therapeutics, Inc. (the “Company”) as of December 31, 2018 and 2017, and the related consolidated statements of operations and comprehensive loss, stockholders’ equity and cash flows for each of the three years in the period ended December 31, 2018, and the related notes (collectively referred to as the “financial statements”). In our opinion, the financial statements present fairly, in all material respects, the consolidated financial position of the Company at December 31, 2018 and 2017, and the consolidated results of its operations and its cash flows for each of the three years in the period ended December 31, 2018,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revenue in 2017 and 2018 due to the adoption of ASU No. 2014-09, Revenue from Contracts with Customers (Topic 606).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(as revised)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104,644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Available for sale securities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216,996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114,245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468,275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358,356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328,153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137,036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996,540</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42,796</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150,917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Debt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deferred revenue</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56,980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265,693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net of current portion</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360,612</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260"/>
              <w:spacing w:after="0"/>
              <w:rPr>
                <w:sz w:val="20"/>
                <w:szCs w:val="20"/>
                <w:color w:val="auto"/>
              </w:rPr>
            </w:pPr>
            <w:r>
              <w:rPr>
                <w:rFonts w:ascii="Arial" w:cs="Arial" w:eastAsia="Arial" w:hAnsi="Arial"/>
                <w:sz w:val="18"/>
                <w:szCs w:val="18"/>
                <w:color w:val="auto"/>
              </w:rPr>
              <w:t>Preferred stock $0.00001 par value, 25,000,000 shares authorized at December 31,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80"/>
              <w:spacing w:after="0"/>
              <w:rPr>
                <w:sz w:val="20"/>
                <w:szCs w:val="20"/>
                <w:color w:val="auto"/>
              </w:rPr>
            </w:pPr>
            <w:r>
              <w:rPr>
                <w:rFonts w:ascii="Arial" w:cs="Arial" w:eastAsia="Arial" w:hAnsi="Arial"/>
                <w:sz w:val="18"/>
                <w:szCs w:val="18"/>
                <w:color w:val="auto"/>
              </w:rPr>
              <w:t>2018 and 2017; 0 shares issued and outstanding at December 31, 2018 and 2017</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Common stock: $0.00001 par value; 175,000,000 shares authorized at December 31,</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2018 and 2017; 116,887,518 and 47,612,619 shares issued and outstanding at</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2018 and 2017, respectively</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1,150,583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(514,395)</w:t>
            </w: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(370,807)</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635,928</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996,540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(as revised)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1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6,824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License, collaboration and other revenue</w:t>
            </w:r>
          </w:p>
        </w:tc>
        <w:tc>
          <w:tcPr>
            <w:tcW w:w="1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revenues</w:t>
            </w:r>
          </w:p>
        </w:tc>
        <w:tc>
          <w:tcPr>
            <w:tcW w:w="1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207,742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181,227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Cost of goods sold:</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Product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cost of goods sold</w:t>
            </w:r>
          </w:p>
        </w:tc>
        <w:tc>
          <w:tcPr>
            <w:tcW w:w="1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291,007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230,893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License expense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378,135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257,901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(178,161)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(76,674)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income/(expense)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Net loss before income taxes</w:t>
            </w:r>
          </w:p>
        </w:tc>
        <w:tc>
          <w:tcPr>
            <w:tcW w:w="1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(171,926)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Benefit for income taxes</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(28,338)</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(143,588)</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 basic and diluted</w:t>
            </w: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gridSpan w:val="2"/>
            <w:vMerge w:val="continue"/>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58,038,252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43,500,795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37,716,949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(143,588)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(73,671)</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(135,747)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comprehensive gain (loss) - unrealized gain (loss) on</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securities</w:t>
            </w: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600"/>
              <w:spacing w:after="0"/>
              <w:rPr>
                <w:sz w:val="20"/>
                <w:szCs w:val="20"/>
                <w:color w:val="auto"/>
              </w:rPr>
            </w:pPr>
            <w:r>
              <w:rPr>
                <w:rFonts w:ascii="Arial" w:cs="Arial" w:eastAsia="Arial" w:hAnsi="Arial"/>
                <w:sz w:val="18"/>
                <w:szCs w:val="18"/>
                <w:color w:val="auto"/>
              </w:rPr>
              <w:t>Total comprehensive loss</w:t>
            </w:r>
          </w:p>
        </w:tc>
        <w:tc>
          <w:tcPr>
            <w:tcW w:w="1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(143,407)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(74,071)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7" w:name="page118"/>
    <w:bookmarkEnd w:id="117"/>
    <w:p>
      <w:pPr>
        <w:ind w:left="4720"/>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2460" w:type="dxa"/>
            <w:vAlign w:val="bottom"/>
          </w:tcPr>
          <w:p>
            <w:pPr>
              <w:spacing w:after="0"/>
              <w:rPr>
                <w:sz w:val="11"/>
                <w:szCs w:val="11"/>
                <w:color w:val="auto"/>
              </w:rPr>
            </w:pPr>
          </w:p>
        </w:tc>
        <w:tc>
          <w:tcPr>
            <w:tcW w:w="128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$0.00001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22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Stockholders'</w:t>
            </w:r>
          </w:p>
        </w:tc>
      </w:tr>
      <w:tr>
        <w:trPr>
          <w:trHeight w:val="171"/>
        </w:trPr>
        <w:tc>
          <w:tcPr>
            <w:tcW w:w="24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r>
      <w:tr>
        <w:trPr>
          <w:trHeight w:val="156"/>
        </w:trPr>
        <w:tc>
          <w:tcPr>
            <w:tcW w:w="2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2015</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30,662,218</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292,783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(161,389)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130,998</w:t>
            </w:r>
          </w:p>
        </w:tc>
        <w:tc>
          <w:tcPr>
            <w:tcW w:w="100" w:type="dxa"/>
            <w:vAlign w:val="bottom"/>
            <w:tcBorders>
              <w:top w:val="single" w:sz="8" w:color="CFF0FC"/>
            </w:tcBorders>
            <w:shd w:val="clear" w:color="auto" w:fill="CFF0FC"/>
          </w:tcPr>
          <w:p>
            <w:pPr>
              <w:spacing w:after="0"/>
              <w:rPr>
                <w:sz w:val="13"/>
                <w:szCs w:val="13"/>
                <w:color w:val="auto"/>
              </w:rPr>
            </w:pPr>
          </w:p>
        </w:tc>
      </w:tr>
      <w:tr>
        <w:trPr>
          <w:trHeight w:val="137"/>
        </w:trPr>
        <w:tc>
          <w:tcPr>
            <w:tcW w:w="2460" w:type="dxa"/>
            <w:vAlign w:val="bottom"/>
          </w:tcPr>
          <w:p>
            <w:pPr>
              <w:spacing w:after="0" w:line="137" w:lineRule="exact"/>
              <w:rPr>
                <w:sz w:val="20"/>
                <w:szCs w:val="20"/>
                <w:color w:val="auto"/>
              </w:rPr>
            </w:pPr>
            <w:r>
              <w:rPr>
                <w:rFonts w:ascii="Arial" w:cs="Arial" w:eastAsia="Arial" w:hAnsi="Arial"/>
                <w:sz w:val="14"/>
                <w:szCs w:val="14"/>
                <w:color w:val="auto"/>
              </w:rPr>
              <w:t>Issuance of common stock, net of</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60" w:type="dxa"/>
            <w:vAlign w:val="bottom"/>
          </w:tcPr>
          <w:p>
            <w:pPr>
              <w:ind w:left="120"/>
              <w:spacing w:after="0"/>
              <w:rPr>
                <w:sz w:val="20"/>
                <w:szCs w:val="20"/>
                <w:color w:val="auto"/>
              </w:rPr>
            </w:pPr>
            <w:r>
              <w:rPr>
                <w:rFonts w:ascii="Arial" w:cs="Arial" w:eastAsia="Arial" w:hAnsi="Arial"/>
                <w:sz w:val="14"/>
                <w:szCs w:val="14"/>
                <w:color w:val="auto"/>
              </w:rPr>
              <w:t>issuance costs</w:t>
            </w:r>
          </w:p>
        </w:tc>
        <w:tc>
          <w:tcPr>
            <w:tcW w:w="1060" w:type="dxa"/>
            <w:vAlign w:val="bottom"/>
          </w:tcPr>
          <w:p>
            <w:pPr>
              <w:jc w:val="right"/>
              <w:spacing w:after="0"/>
              <w:rPr>
                <w:sz w:val="20"/>
                <w:szCs w:val="20"/>
                <w:color w:val="auto"/>
              </w:rPr>
            </w:pPr>
            <w:r>
              <w:rPr>
                <w:rFonts w:ascii="Arial" w:cs="Arial" w:eastAsia="Arial" w:hAnsi="Arial"/>
                <w:sz w:val="14"/>
                <w:szCs w:val="14"/>
                <w:color w:val="auto"/>
              </w:rPr>
              <w:t>7,865,293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66,623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66,623</w:t>
            </w:r>
          </w:p>
        </w:tc>
        <w:tc>
          <w:tcPr>
            <w:tcW w:w="100" w:type="dxa"/>
            <w:vAlign w:val="bottom"/>
          </w:tcPr>
          <w:p>
            <w:pPr>
              <w:spacing w:after="0"/>
              <w:rPr>
                <w:sz w:val="14"/>
                <w:szCs w:val="14"/>
                <w:color w:val="auto"/>
              </w:rPr>
            </w:pPr>
          </w:p>
        </w:tc>
      </w:tr>
      <w:tr>
        <w:trPr>
          <w:trHeight w:val="143"/>
        </w:trPr>
        <w:tc>
          <w:tcPr>
            <w:tcW w:w="24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sale of stock under</w:t>
            </w: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16,629</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FF0FC"/>
          </w:tcPr>
          <w:p>
            <w:pPr>
              <w:spacing w:after="0"/>
              <w:rPr>
                <w:sz w:val="14"/>
                <w:szCs w:val="14"/>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Forfeitures of restricted common stock</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(15,056)</w:t>
            </w: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Exercise of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86,625</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FF0FC"/>
          </w:tcPr>
          <w:p>
            <w:pPr>
              <w:spacing w:after="0"/>
              <w:rPr>
                <w:sz w:val="14"/>
                <w:szCs w:val="14"/>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5,825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5,825</w:t>
            </w:r>
          </w:p>
        </w:tc>
        <w:tc>
          <w:tcPr>
            <w:tcW w:w="100" w:type="dxa"/>
            <w:vAlign w:val="bottom"/>
          </w:tcPr>
          <w:p>
            <w:pPr>
              <w:spacing w:after="0"/>
              <w:rPr>
                <w:sz w:val="14"/>
                <w:szCs w:val="14"/>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Unrealized gain/loss</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FF0FC"/>
          </w:tcPr>
          <w:p>
            <w:pPr>
              <w:spacing w:after="0"/>
              <w:rPr>
                <w:sz w:val="14"/>
                <w:szCs w:val="14"/>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Treasury shares retired (8,643)</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(162)</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(135,747)</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(135,747)</w:t>
            </w:r>
          </w:p>
        </w:tc>
      </w:tr>
      <w:tr>
        <w:trPr>
          <w:trHeight w:val="156"/>
        </w:trPr>
        <w:tc>
          <w:tcPr>
            <w:tcW w:w="24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December 31, 2016</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38,615,709</w:t>
            </w:r>
          </w:p>
        </w:tc>
        <w:tc>
          <w:tcPr>
            <w:tcW w:w="2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365,298</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(297,136)</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68,120</w:t>
            </w:r>
          </w:p>
        </w:tc>
        <w:tc>
          <w:tcPr>
            <w:tcW w:w="100" w:type="dxa"/>
            <w:vAlign w:val="bottom"/>
            <w:tcBorders>
              <w:bottom w:val="single" w:sz="8" w:color="CFF0FC"/>
            </w:tcBorders>
          </w:tcPr>
          <w:p>
            <w:pPr>
              <w:spacing w:after="0"/>
              <w:rPr>
                <w:sz w:val="13"/>
                <w:szCs w:val="13"/>
                <w:color w:val="auto"/>
              </w:rPr>
            </w:pPr>
          </w:p>
        </w:tc>
      </w:tr>
      <w:tr>
        <w:trPr>
          <w:trHeight w:val="137"/>
        </w:trPr>
        <w:tc>
          <w:tcPr>
            <w:tcW w:w="246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Issuance of common stock, net of</w:t>
            </w: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issuance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8,672,270</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114,580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114,580</w:t>
            </w:r>
          </w:p>
        </w:tc>
        <w:tc>
          <w:tcPr>
            <w:tcW w:w="100" w:type="dxa"/>
            <w:vAlign w:val="bottom"/>
            <w:shd w:val="clear" w:color="auto" w:fill="CFF0FC"/>
          </w:tcPr>
          <w:p>
            <w:pPr>
              <w:spacing w:after="0"/>
              <w:rPr>
                <w:sz w:val="14"/>
                <w:szCs w:val="14"/>
                <w:color w:val="auto"/>
              </w:rPr>
            </w:pPr>
          </w:p>
        </w:tc>
      </w:tr>
      <w:tr>
        <w:trPr>
          <w:trHeight w:val="143"/>
        </w:trPr>
        <w:tc>
          <w:tcPr>
            <w:tcW w:w="2460" w:type="dxa"/>
            <w:vAlign w:val="bottom"/>
          </w:tcPr>
          <w:p>
            <w:pPr>
              <w:spacing w:after="0" w:line="143" w:lineRule="exact"/>
              <w:rPr>
                <w:sz w:val="20"/>
                <w:szCs w:val="20"/>
                <w:color w:val="auto"/>
              </w:rPr>
            </w:pPr>
            <w:r>
              <w:rPr>
                <w:rFonts w:ascii="Arial" w:cs="Arial" w:eastAsia="Arial" w:hAnsi="Arial"/>
                <w:sz w:val="14"/>
                <w:szCs w:val="14"/>
                <w:color w:val="auto"/>
              </w:rPr>
              <w:t>Proceeds from sale of stock under</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460" w:type="dxa"/>
            <w:vAlign w:val="bottom"/>
          </w:tcPr>
          <w:p>
            <w:pPr>
              <w:ind w:left="120"/>
              <w:spacing w:after="0"/>
              <w:rPr>
                <w:sz w:val="20"/>
                <w:szCs w:val="20"/>
                <w:color w:val="auto"/>
              </w:rPr>
            </w:pPr>
            <w:r>
              <w:rPr>
                <w:rFonts w:ascii="Arial" w:cs="Arial" w:eastAsia="Arial" w:hAnsi="Arial"/>
                <w:sz w:val="14"/>
                <w:szCs w:val="14"/>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4"/>
                <w:szCs w:val="14"/>
                <w:color w:val="auto"/>
              </w:rPr>
              <w:t>44,833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4"/>
                <w:szCs w:val="14"/>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Forfeitures of restricted common stock</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(2,406)</w:t>
            </w: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Exercise of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256,213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14"/>
                <w:szCs w:val="14"/>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 expense</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8,867</w:t>
            </w:r>
          </w:p>
        </w:tc>
        <w:tc>
          <w:tcPr>
            <w:tcW w:w="100" w:type="dxa"/>
            <w:vAlign w:val="bottom"/>
            <w:shd w:val="clear" w:color="auto" w:fill="CFF0FC"/>
          </w:tcPr>
          <w:p>
            <w:pPr>
              <w:spacing w:after="0"/>
              <w:rPr>
                <w:sz w:val="14"/>
                <w:szCs w:val="14"/>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Restricted stock unit vesting</w:t>
            </w:r>
          </w:p>
        </w:tc>
        <w:tc>
          <w:tcPr>
            <w:tcW w:w="1060" w:type="dxa"/>
            <w:vAlign w:val="bottom"/>
          </w:tcPr>
          <w:p>
            <w:pPr>
              <w:jc w:val="right"/>
              <w:spacing w:after="0"/>
              <w:rPr>
                <w:sz w:val="20"/>
                <w:szCs w:val="20"/>
                <w:color w:val="auto"/>
              </w:rPr>
            </w:pPr>
            <w:r>
              <w:rPr>
                <w:rFonts w:ascii="Arial" w:cs="Arial" w:eastAsia="Arial" w:hAnsi="Arial"/>
                <w:sz w:val="14"/>
                <w:szCs w:val="14"/>
                <w:color w:val="auto"/>
              </w:rPr>
              <w:t>26,000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warrants</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3,413</w:t>
            </w:r>
          </w:p>
        </w:tc>
        <w:tc>
          <w:tcPr>
            <w:tcW w:w="100" w:type="dxa"/>
            <w:vAlign w:val="bottom"/>
            <w:shd w:val="clear" w:color="auto" w:fill="CFF0FC"/>
          </w:tcPr>
          <w:p>
            <w:pPr>
              <w:spacing w:after="0"/>
              <w:rPr>
                <w:sz w:val="14"/>
                <w:szCs w:val="14"/>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Unrealized gain/loss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Net loss (as revised)</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(73,671)</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(73,671)</w:t>
            </w:r>
          </w:p>
        </w:tc>
      </w:tr>
      <w:tr>
        <w:trPr>
          <w:trHeight w:val="137"/>
        </w:trPr>
        <w:tc>
          <w:tcPr>
            <w:tcW w:w="2460" w:type="dxa"/>
            <w:vAlign w:val="bottom"/>
          </w:tcPr>
          <w:p>
            <w:pPr>
              <w:spacing w:after="0" w:line="137" w:lineRule="exact"/>
              <w:rPr>
                <w:sz w:val="20"/>
                <w:szCs w:val="20"/>
                <w:color w:val="auto"/>
              </w:rPr>
            </w:pPr>
            <w:r>
              <w:rPr>
                <w:rFonts w:ascii="Arial" w:cs="Arial" w:eastAsia="Arial" w:hAnsi="Arial"/>
                <w:sz w:val="14"/>
                <w:szCs w:val="14"/>
                <w:color w:val="auto"/>
              </w:rPr>
              <w:t>Balance at December 31, 2017 (as</w:t>
            </w: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revised)</w:t>
            </w:r>
          </w:p>
        </w:tc>
        <w:tc>
          <w:tcPr>
            <w:tcW w:w="1060" w:type="dxa"/>
            <w:vAlign w:val="bottom"/>
          </w:tcPr>
          <w:p>
            <w:pPr>
              <w:jc w:val="right"/>
              <w:spacing w:after="0"/>
              <w:rPr>
                <w:sz w:val="20"/>
                <w:szCs w:val="20"/>
                <w:color w:val="auto"/>
              </w:rPr>
            </w:pPr>
            <w:r>
              <w:rPr>
                <w:rFonts w:ascii="Arial" w:cs="Arial" w:eastAsia="Arial" w:hAnsi="Arial"/>
                <w:sz w:val="14"/>
                <w:szCs w:val="14"/>
                <w:color w:val="auto"/>
              </w:rPr>
              <w:t>47,612,619</w:t>
            </w:r>
          </w:p>
        </w:tc>
        <w:tc>
          <w:tcPr>
            <w:tcW w:w="220" w:type="dxa"/>
            <w:vAlign w:val="bottom"/>
          </w:tcPr>
          <w:p>
            <w:pPr>
              <w:spacing w:after="0"/>
              <w:rPr>
                <w:sz w:val="14"/>
                <w:szCs w:val="14"/>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493,823</w:t>
            </w:r>
          </w:p>
        </w:tc>
        <w:tc>
          <w:tcPr>
            <w:tcW w:w="24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(442)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(370,807)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122,574</w:t>
            </w:r>
          </w:p>
        </w:tc>
        <w:tc>
          <w:tcPr>
            <w:tcW w:w="100" w:type="dxa"/>
            <w:vAlign w:val="bottom"/>
          </w:tcPr>
          <w:p>
            <w:pPr>
              <w:spacing w:after="0"/>
              <w:rPr>
                <w:sz w:val="14"/>
                <w:szCs w:val="14"/>
                <w:color w:val="auto"/>
              </w:rPr>
            </w:pPr>
          </w:p>
        </w:tc>
      </w:tr>
      <w:tr>
        <w:trPr>
          <w:trHeight w:val="156"/>
        </w:trPr>
        <w:tc>
          <w:tcPr>
            <w:tcW w:w="2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Keryx Merger</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57,773,090</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527,753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527,754</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Issuance of Baupost Additional Shares</w:t>
            </w:r>
          </w:p>
        </w:tc>
        <w:tc>
          <w:tcPr>
            <w:tcW w:w="1060" w:type="dxa"/>
            <w:vAlign w:val="bottom"/>
          </w:tcPr>
          <w:p>
            <w:pPr>
              <w:jc w:val="right"/>
              <w:spacing w:after="0"/>
              <w:rPr>
                <w:sz w:val="20"/>
                <w:szCs w:val="20"/>
                <w:color w:val="auto"/>
              </w:rPr>
            </w:pPr>
            <w:r>
              <w:rPr>
                <w:rFonts w:ascii="Arial" w:cs="Arial" w:eastAsia="Arial" w:hAnsi="Arial"/>
                <w:sz w:val="14"/>
                <w:szCs w:val="14"/>
                <w:color w:val="auto"/>
              </w:rPr>
              <w:t>1,497,320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13,386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13,386</w:t>
            </w:r>
          </w:p>
        </w:tc>
        <w:tc>
          <w:tcPr>
            <w:tcW w:w="100" w:type="dxa"/>
            <w:vAlign w:val="bottom"/>
          </w:tcPr>
          <w:p>
            <w:pPr>
              <w:spacing w:after="0"/>
              <w:rPr>
                <w:sz w:val="14"/>
                <w:szCs w:val="14"/>
                <w:color w:val="auto"/>
              </w:rPr>
            </w:pPr>
          </w:p>
        </w:tc>
      </w:tr>
      <w:tr>
        <w:trPr>
          <w:trHeight w:val="143"/>
        </w:trPr>
        <w:tc>
          <w:tcPr>
            <w:tcW w:w="24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excluding</w:t>
            </w: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Keryx</w:t>
            </w: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Merger, net of issuance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9,194,306</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95,452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95,452</w:t>
            </w:r>
          </w:p>
        </w:tc>
        <w:tc>
          <w:tcPr>
            <w:tcW w:w="100" w:type="dxa"/>
            <w:vAlign w:val="bottom"/>
            <w:shd w:val="clear" w:color="auto" w:fill="CFF0FC"/>
          </w:tcPr>
          <w:p>
            <w:pPr>
              <w:spacing w:after="0"/>
              <w:rPr>
                <w:sz w:val="14"/>
                <w:szCs w:val="14"/>
                <w:color w:val="auto"/>
              </w:rPr>
            </w:pPr>
          </w:p>
        </w:tc>
      </w:tr>
      <w:tr>
        <w:trPr>
          <w:trHeight w:val="143"/>
        </w:trPr>
        <w:tc>
          <w:tcPr>
            <w:tcW w:w="2460" w:type="dxa"/>
            <w:vAlign w:val="bottom"/>
          </w:tcPr>
          <w:p>
            <w:pPr>
              <w:spacing w:after="0" w:line="143" w:lineRule="exact"/>
              <w:rPr>
                <w:sz w:val="20"/>
                <w:szCs w:val="20"/>
                <w:color w:val="auto"/>
              </w:rPr>
            </w:pPr>
            <w:r>
              <w:rPr>
                <w:rFonts w:ascii="Arial" w:cs="Arial" w:eastAsia="Arial" w:hAnsi="Arial"/>
                <w:sz w:val="14"/>
                <w:szCs w:val="14"/>
                <w:color w:val="auto"/>
              </w:rPr>
              <w:t>Proceeds from sale of stock under</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460" w:type="dxa"/>
            <w:vAlign w:val="bottom"/>
          </w:tcPr>
          <w:p>
            <w:pPr>
              <w:ind w:left="120"/>
              <w:spacing w:after="0"/>
              <w:rPr>
                <w:sz w:val="20"/>
                <w:szCs w:val="20"/>
                <w:color w:val="auto"/>
              </w:rPr>
            </w:pPr>
            <w:r>
              <w:rPr>
                <w:rFonts w:ascii="Arial" w:cs="Arial" w:eastAsia="Arial" w:hAnsi="Arial"/>
                <w:sz w:val="14"/>
                <w:szCs w:val="14"/>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4"/>
                <w:szCs w:val="14"/>
                <w:color w:val="auto"/>
              </w:rPr>
              <w:t>48,768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4"/>
                <w:szCs w:val="14"/>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Exercise of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178,382</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FF0FC"/>
          </w:tcPr>
          <w:p>
            <w:pPr>
              <w:spacing w:after="0"/>
              <w:rPr>
                <w:sz w:val="14"/>
                <w:szCs w:val="14"/>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19,040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19,040</w:t>
            </w:r>
          </w:p>
        </w:tc>
        <w:tc>
          <w:tcPr>
            <w:tcW w:w="100" w:type="dxa"/>
            <w:vAlign w:val="bottom"/>
          </w:tcPr>
          <w:p>
            <w:pPr>
              <w:spacing w:after="0"/>
              <w:rPr>
                <w:sz w:val="14"/>
                <w:szCs w:val="14"/>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unit vesting</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583,033</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Unrealized gain/loss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4"/>
                <w:szCs w:val="14"/>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(143,588)</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(143,588)</w:t>
            </w:r>
          </w:p>
        </w:tc>
      </w:tr>
      <w:tr>
        <w:trPr>
          <w:trHeight w:val="156"/>
        </w:trPr>
        <w:tc>
          <w:tcPr>
            <w:tcW w:w="2460" w:type="dxa"/>
            <w:vAlign w:val="bottom"/>
          </w:tcPr>
          <w:p>
            <w:pPr>
              <w:spacing w:after="0" w:line="155" w:lineRule="exact"/>
              <w:rPr>
                <w:sz w:val="20"/>
                <w:szCs w:val="20"/>
                <w:color w:val="auto"/>
              </w:rPr>
            </w:pPr>
            <w:r>
              <w:rPr>
                <w:rFonts w:ascii="Arial" w:cs="Arial" w:eastAsia="Arial" w:hAnsi="Arial"/>
                <w:sz w:val="14"/>
                <w:szCs w:val="14"/>
                <w:color w:val="auto"/>
              </w:rPr>
              <w:t>Balance at December 31, 2018</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116,887,518</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1,150,583</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(514,395)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635,928</w:t>
            </w:r>
          </w:p>
        </w:tc>
        <w:tc>
          <w:tcPr>
            <w:tcW w:w="100" w:type="dxa"/>
            <w:vAlign w:val="bottom"/>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11"/>
              <w:spacing w:after="0" w:line="155" w:lineRule="exact"/>
              <w:rPr>
                <w:sz w:val="20"/>
                <w:szCs w:val="20"/>
                <w:color w:val="auto"/>
              </w:rPr>
            </w:pPr>
            <w:r>
              <w:rPr>
                <w:rFonts w:ascii="Arial" w:cs="Arial" w:eastAsia="Arial" w:hAnsi="Arial"/>
                <w:sz w:val="14"/>
                <w:szCs w:val="14"/>
                <w:b w:val="1"/>
                <w:bCs w:val="1"/>
                <w:color w:val="auto"/>
                <w:w w:val="89"/>
              </w:rPr>
              <w:t>(as revised)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(as revised)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(143,588)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(73,671)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(135,747)</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Amortization of premium/discount on investments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Non-cash merger expense</w:t>
            </w:r>
            <w:r>
              <w:rPr>
                <w:rFonts w:ascii="Arial" w:cs="Arial" w:eastAsia="Arial" w:hAnsi="Arial"/>
                <w:sz w:val="15"/>
                <w:szCs w:val="15"/>
                <w:color w:val="auto"/>
              </w:rPr>
              <w:t>(1)</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Fair value write-up of inventory sold</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(28,338)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Fair value of warrants issued for license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(33,823)</w:t>
            </w:r>
          </w:p>
        </w:tc>
        <w:tc>
          <w:tcPr>
            <w:tcW w:w="0" w:type="dxa"/>
            <w:vAlign w:val="bottom"/>
          </w:tcPr>
          <w:p>
            <w:pPr>
              <w:spacing w:after="0"/>
              <w:rPr>
                <w:sz w:val="1"/>
                <w:szCs w:val="1"/>
                <w:color w:val="auto"/>
              </w:rPr>
            </w:pPr>
          </w:p>
        </w:tc>
      </w:tr>
      <w:tr>
        <w:trPr>
          <w:trHeight w:val="230"/>
        </w:trPr>
        <w:tc>
          <w:tcPr>
            <w:tcW w:w="6020" w:type="dxa"/>
            <w:vAlign w:val="bottom"/>
          </w:tcPr>
          <w:p>
            <w:pPr>
              <w:ind w:left="740"/>
              <w:spacing w:after="0"/>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740"/>
              <w:spacing w:after="0"/>
              <w:rPr>
                <w:sz w:val="20"/>
                <w:szCs w:val="20"/>
                <w:color w:val="auto"/>
              </w:rPr>
            </w:pPr>
            <w:r>
              <w:rPr>
                <w:rFonts w:ascii="Arial" w:cs="Arial" w:eastAsia="Arial" w:hAnsi="Arial"/>
                <w:sz w:val="18"/>
                <w:szCs w:val="18"/>
                <w:color w:val="auto"/>
              </w:rPr>
              <w:t>Other long-term assets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020" w:type="dxa"/>
            <w:vAlign w:val="bottom"/>
          </w:tcPr>
          <w:p>
            <w:pPr>
              <w:ind w:left="740"/>
              <w:spacing w:after="0"/>
              <w:rPr>
                <w:sz w:val="20"/>
                <w:szCs w:val="20"/>
                <w:color w:val="auto"/>
              </w:rPr>
            </w:pPr>
            <w:r>
              <w:rPr>
                <w:rFonts w:ascii="Arial" w:cs="Arial" w:eastAsia="Arial" w:hAnsi="Arial"/>
                <w:sz w:val="18"/>
                <w:szCs w:val="18"/>
                <w:color w:val="auto"/>
              </w:rPr>
              <w:t>Accrued expense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(66,935)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(17,665)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Deferred rent</w:t>
            </w:r>
          </w:p>
        </w:tc>
        <w:tc>
          <w:tcPr>
            <w:tcW w:w="7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business, net of acquired cash and restricted cash</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Purchase of equipment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maturities of available for sale securities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149,998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Proceeds from sales of available for sale securities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available for sale securities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(224,216)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(330,636)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(147,009)</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36,594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(177,260)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Proceeds from the issuance of common stock, net of issuance costs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114,580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stock under employee stock purchase plan</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Proceeds from the exercise of stock options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capital lease obligations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116,240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(117,179)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7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7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107,099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71,437</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Non-cash financing activities</w:t>
            </w: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shares and equity awards issued in acquisition</w:t>
            </w:r>
          </w:p>
        </w:tc>
        <w:tc>
          <w:tcPr>
            <w:tcW w:w="10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527,754</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Unpaid follow-on offering costs</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500" w:right="3400" w:hanging="3492"/>
        <w:spacing w:after="0" w:line="712" w:lineRule="auto"/>
        <w:tabs>
          <w:tab w:leader="none" w:pos="529"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Relates to non-cash expense associated with the fair value of the Baupost additional shares (see Note 5). See accompanying notes to consolidated financial statements.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Akebia Therapeutics, Inc., referred to as Akebia or the Company, was incorporated in the State of Delaware in 2007. Akebia is a biopharmaceutical company focused on the development and commercialization of therapeutics for patients with kidney disease. Akebia’s commercial product, Auryxia</w:t>
      </w:r>
      <w:r>
        <w:rPr>
          <w:rFonts w:ascii="Arial" w:cs="Arial" w:eastAsia="Arial" w:hAnsi="Arial"/>
          <w:sz w:val="13"/>
          <w:szCs w:val="13"/>
          <w:color w:val="auto"/>
        </w:rPr>
        <w:t>®</w:t>
      </w:r>
      <w:r>
        <w:rPr>
          <w:rFonts w:ascii="Arial" w:cs="Arial" w:eastAsia="Arial" w:hAnsi="Arial"/>
          <w:sz w:val="16"/>
          <w:szCs w:val="16"/>
          <w:color w:val="auto"/>
        </w:rPr>
        <w:t xml:space="preserve"> (ferric citrate) is currently approved by the United States Food and Drug Administration, or FDA, and marketed for two indications in the United States, the control of serum phosphorus levels in adult patients with chronic kidney disease, or CKD, on dialysis, or DD-CKD, and the treatment of iron deficiency anemia, or IDA, in adult patients with CKD not on dialysis, or NDD-CKD. Ferric citrate is also approved and marketed in Japan as an oral treatment for the improvement of hyperphosphatemia in patients with DD-CKD and NDD-CKD under the trade name Riona</w:t>
      </w:r>
      <w:r>
        <w:rPr>
          <w:rFonts w:ascii="Arial" w:cs="Arial" w:eastAsia="Arial" w:hAnsi="Arial"/>
          <w:sz w:val="13"/>
          <w:szCs w:val="13"/>
          <w:color w:val="auto"/>
        </w:rPr>
        <w:t>®</w:t>
      </w:r>
      <w:r>
        <w:rPr>
          <w:rFonts w:ascii="Arial" w:cs="Arial" w:eastAsia="Arial" w:hAnsi="Arial"/>
          <w:sz w:val="16"/>
          <w:szCs w:val="16"/>
          <w:color w:val="auto"/>
        </w:rPr>
        <w:t xml:space="preserve"> and approved, but not currently marketed, in the European Union as an oral treatment for the control of hyperphosphatemia in adult patients with DD-CKD and NDD-CKD under the trade name Fexeric</w:t>
      </w:r>
      <w:r>
        <w:rPr>
          <w:rFonts w:ascii="Arial" w:cs="Arial" w:eastAsia="Arial" w:hAnsi="Arial"/>
          <w:sz w:val="13"/>
          <w:szCs w:val="13"/>
          <w:color w:val="auto"/>
        </w:rPr>
        <w:t>®</w:t>
      </w:r>
      <w:r>
        <w:rPr>
          <w:rFonts w:ascii="Arial" w:cs="Arial" w:eastAsia="Arial" w:hAnsi="Arial"/>
          <w:sz w:val="16"/>
          <w:szCs w:val="16"/>
          <w:color w:val="auto"/>
        </w:rPr>
        <w:t>. The Company’s lead investigational product candidate, vadadustat, is an oral therapy in Phase 3 development. The Company believes vadadustat has the potential to set a new standard of care in the treatment of anemia due to CKD, acting via a novel hypoxia inducible factor, or HIF, pathway. HIF is the primary regulator of the production of red blood cells, or RBCs, in the body, as well as other important metabolic functions.</w:t>
      </w:r>
    </w:p>
    <w:p>
      <w:pPr>
        <w:spacing w:after="0" w:line="16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December 12, 2018, the Company completed a merger with Keryx Biopharmaceuticals, Inc., or Keryx, or the Merger. Pursuant to the terms and conditions of the Agreement and Plan of Merger, or the Merger Agreement, each share of Keryx common stock, or Keryx Share, issued and outstanding immediately prior to the effective time of the Merger, or the Effective Time, was cancelled and converted into 0.37433, or the Exchange Multiplier, fully paid and non-assessable shares of Akebia common stock, or Akebia Shares, resulting in the issuance of an aggregate of 59,270,410 Akebia Shares. The Merger Agreement also provided that at the Effective Time, each Keryx restricted share award, to the extent outstanding, other than those Keryx restricted share awards that accelerated or lapsed as a result of the completion of the Merger, converted into an Akebia restricted stock unit, or RSU, award covering the number of Akebia Shares determined in accordance with the Exchange Multiplier, resulting in the issuance of Akebia RSUs covering an aggregate</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of 602,752 Akebia Shares. In addition, each outstanding and unexercised option to acquire Keryx Shares converted into an option to acquire Akebia Shares, with the number of shares and exercise price adjusted by the Exchange Multiplier, resulting in the assumption by Akebia of options to acquire an aggregate 3,967,290 Akebia Shares. Refer to Note 5 for additional details on the Merger.</w:t>
      </w:r>
    </w:p>
    <w:p>
      <w:pPr>
        <w:spacing w:after="0" w:line="1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Since inception, the Company has devoted most of its resources to research and development, including its preclinical and clinical development activities, raising capital, and providing general and administrative support for these operations. The Company began recording revenue from the U.S. sales of Auryxia on December 12, 2018 and revenue from sublicensing rights to Auryxia in Japan to the Company’s Japanese partners Japan Tobacco, Inc. and its subsidiary Torii Pharmaceutical Co., Ltd., collectively JT and Torii. Ferric citrate is approved in Japan under the trade name Riona and in Europe under the trade name Fexeric. The Company has not generated a profit to date and may never generate profits from product sales. The Company’s product candidates are subject to long development cycles, and the Company may be unsuccessful in its efforts to develop, obtain marketing approval for or market its product candidates.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is subject to a number of risks including, but not limited to, risks relating to integration following the Merger, the need to obtain adequate additional funding, including the resources necessary to fund commercialization of Auryxia, the global Phase 3 program for vadadustat in NDD-CKD, called PRO</w:t>
      </w:r>
      <w:r>
        <w:rPr>
          <w:rFonts w:ascii="Arial" w:cs="Arial" w:eastAsia="Arial" w:hAnsi="Arial"/>
          <w:sz w:val="14"/>
          <w:szCs w:val="14"/>
          <w:color w:val="auto"/>
        </w:rPr>
        <w:t>2</w:t>
      </w:r>
      <w:r>
        <w:rPr>
          <w:rFonts w:ascii="Arial" w:cs="Arial" w:eastAsia="Arial" w:hAnsi="Arial"/>
          <w:sz w:val="17"/>
          <w:szCs w:val="17"/>
          <w:color w:val="auto"/>
        </w:rPr>
        <w:t>TECT, and DD-CKD, called INNO</w:t>
      </w:r>
      <w:r>
        <w:rPr>
          <w:rFonts w:ascii="Arial" w:cs="Arial" w:eastAsia="Arial" w:hAnsi="Arial"/>
          <w:sz w:val="14"/>
          <w:szCs w:val="14"/>
          <w:color w:val="auto"/>
        </w:rPr>
        <w:t>2</w:t>
      </w:r>
      <w:r>
        <w:rPr>
          <w:rFonts w:ascii="Arial" w:cs="Arial" w:eastAsia="Arial" w:hAnsi="Arial"/>
          <w:sz w:val="17"/>
          <w:szCs w:val="17"/>
          <w:color w:val="auto"/>
        </w:rPr>
        <w:t>VATE, and post-approval studies with respect to Auryxia, risks relating to market acceptance, coverage and reimbursement of Auryxia, risks related to maintaining the Company’s commercial organization and capabilities, risks relating to potential generic entrants, risks of clinical trial failures, the risk of relying on third parties, the risk that the Company never achieves profitability, protection of proprietary technology, compliance with governmental regulations, and dependence on key personnel, and the impact of legal, regulatory and administrative proceedings. Overall, the PRO</w:t>
      </w:r>
      <w:r>
        <w:rPr>
          <w:rFonts w:ascii="Arial" w:cs="Arial" w:eastAsia="Arial" w:hAnsi="Arial"/>
          <w:sz w:val="14"/>
          <w:szCs w:val="14"/>
          <w:color w:val="auto"/>
        </w:rPr>
        <w:t>2</w:t>
      </w:r>
      <w:r>
        <w:rPr>
          <w:rFonts w:ascii="Arial" w:cs="Arial" w:eastAsia="Arial" w:hAnsi="Arial"/>
          <w:sz w:val="17"/>
          <w:szCs w:val="17"/>
          <w:color w:val="auto"/>
        </w:rPr>
        <w:t>TECT and INNO</w:t>
      </w:r>
      <w:r>
        <w:rPr>
          <w:rFonts w:ascii="Arial" w:cs="Arial" w:eastAsia="Arial" w:hAnsi="Arial"/>
          <w:sz w:val="14"/>
          <w:szCs w:val="14"/>
          <w:color w:val="auto"/>
        </w:rPr>
        <w:t>2</w:t>
      </w:r>
      <w:r>
        <w:rPr>
          <w:rFonts w:ascii="Arial" w:cs="Arial" w:eastAsia="Arial" w:hAnsi="Arial"/>
          <w:sz w:val="17"/>
          <w:szCs w:val="17"/>
          <w:color w:val="auto"/>
        </w:rPr>
        <w:t>VATE Phase 3 programs are designed to enroll up to approximately 7,600 patients. In August 2016, the first patient was dosed in INNO</w:t>
      </w:r>
      <w:r>
        <w:rPr>
          <w:rFonts w:ascii="Arial" w:cs="Arial" w:eastAsia="Arial" w:hAnsi="Arial"/>
          <w:sz w:val="14"/>
          <w:szCs w:val="14"/>
          <w:color w:val="auto"/>
        </w:rPr>
        <w:t>2</w:t>
      </w:r>
      <w:r>
        <w:rPr>
          <w:rFonts w:ascii="Arial" w:cs="Arial" w:eastAsia="Arial" w:hAnsi="Arial"/>
          <w:sz w:val="17"/>
          <w:szCs w:val="17"/>
          <w:color w:val="auto"/>
        </w:rPr>
        <w:t>VATE. The Company completed enrollment in the larger of the two INNO</w:t>
      </w:r>
      <w:r>
        <w:rPr>
          <w:rFonts w:ascii="Arial" w:cs="Arial" w:eastAsia="Arial" w:hAnsi="Arial"/>
          <w:sz w:val="14"/>
          <w:szCs w:val="14"/>
          <w:color w:val="auto"/>
        </w:rPr>
        <w:t>2</w:t>
      </w:r>
      <w:r>
        <w:rPr>
          <w:rFonts w:ascii="Arial" w:cs="Arial" w:eastAsia="Arial" w:hAnsi="Arial"/>
          <w:sz w:val="17"/>
          <w:szCs w:val="17"/>
          <w:color w:val="auto"/>
        </w:rPr>
        <w:t>VATE studies, which enrolled 3,554 subjects, in February 2019, and it expects to complete enrollment in the smaller INNO</w:t>
      </w:r>
      <w:r>
        <w:rPr>
          <w:rFonts w:ascii="Arial" w:cs="Arial" w:eastAsia="Arial" w:hAnsi="Arial"/>
          <w:sz w:val="14"/>
          <w:szCs w:val="14"/>
          <w:color w:val="auto"/>
        </w:rPr>
        <w:t>2</w:t>
      </w:r>
      <w:r>
        <w:rPr>
          <w:rFonts w:ascii="Arial" w:cs="Arial" w:eastAsia="Arial" w:hAnsi="Arial"/>
          <w:sz w:val="17"/>
          <w:szCs w:val="17"/>
          <w:color w:val="auto"/>
        </w:rPr>
        <w:t>VATE study, enrolling approximately 350 subjects, by April 2019. The Company anticipates completing the larger of the two INNO</w:t>
      </w:r>
      <w:r>
        <w:rPr>
          <w:rFonts w:ascii="Arial" w:cs="Arial" w:eastAsia="Arial" w:hAnsi="Arial"/>
          <w:sz w:val="14"/>
          <w:szCs w:val="14"/>
          <w:color w:val="auto"/>
        </w:rPr>
        <w:t>2</w:t>
      </w:r>
      <w:r>
        <w:rPr>
          <w:rFonts w:ascii="Arial" w:cs="Arial" w:eastAsia="Arial" w:hAnsi="Arial"/>
          <w:sz w:val="17"/>
          <w:szCs w:val="17"/>
          <w:color w:val="auto"/>
        </w:rPr>
        <w:t>VATE studies in the first quarter of 2020, with completion of the smaller INNO</w:t>
      </w:r>
      <w:r>
        <w:rPr>
          <w:rFonts w:ascii="Arial" w:cs="Arial" w:eastAsia="Arial" w:hAnsi="Arial"/>
          <w:sz w:val="14"/>
          <w:szCs w:val="14"/>
          <w:color w:val="auto"/>
        </w:rPr>
        <w:t>2</w:t>
      </w:r>
      <w:r>
        <w:rPr>
          <w:rFonts w:ascii="Arial" w:cs="Arial" w:eastAsia="Arial" w:hAnsi="Arial"/>
          <w:sz w:val="17"/>
          <w:szCs w:val="17"/>
          <w:color w:val="auto"/>
        </w:rPr>
        <w:t>VATE study and availability of top-line data expected in the second quarter of 2020, subject to the accrual of major adverse cardiovascular events, or MACE. The first patient was dosed in PRO</w:t>
      </w:r>
      <w:r>
        <w:rPr>
          <w:rFonts w:ascii="Arial" w:cs="Arial" w:eastAsia="Arial" w:hAnsi="Arial"/>
          <w:sz w:val="14"/>
          <w:szCs w:val="14"/>
          <w:color w:val="auto"/>
        </w:rPr>
        <w:t>2</w:t>
      </w:r>
      <w:r>
        <w:rPr>
          <w:rFonts w:ascii="Arial" w:cs="Arial" w:eastAsia="Arial" w:hAnsi="Arial"/>
          <w:sz w:val="17"/>
          <w:szCs w:val="17"/>
          <w:color w:val="auto"/>
        </w:rPr>
        <w:t>TECT in December 2015. The Company expects full enrollment of PRO</w:t>
      </w:r>
      <w:r>
        <w:rPr>
          <w:rFonts w:ascii="Arial" w:cs="Arial" w:eastAsia="Arial" w:hAnsi="Arial"/>
          <w:sz w:val="14"/>
          <w:szCs w:val="14"/>
          <w:color w:val="auto"/>
        </w:rPr>
        <w:t>2</w:t>
      </w:r>
      <w:r>
        <w:rPr>
          <w:rFonts w:ascii="Arial" w:cs="Arial" w:eastAsia="Arial" w:hAnsi="Arial"/>
          <w:sz w:val="17"/>
          <w:szCs w:val="17"/>
          <w:color w:val="auto"/>
        </w:rPr>
        <w:t>TECT in 2019. The Company anticipates reporting top-line clinical data for the PRO</w:t>
      </w:r>
      <w:r>
        <w:rPr>
          <w:rFonts w:ascii="Arial" w:cs="Arial" w:eastAsia="Arial" w:hAnsi="Arial"/>
          <w:sz w:val="14"/>
          <w:szCs w:val="14"/>
          <w:color w:val="auto"/>
        </w:rPr>
        <w:t>2</w:t>
      </w:r>
      <w:r>
        <w:rPr>
          <w:rFonts w:ascii="Arial" w:cs="Arial" w:eastAsia="Arial" w:hAnsi="Arial"/>
          <w:sz w:val="17"/>
          <w:szCs w:val="17"/>
          <w:color w:val="auto"/>
        </w:rPr>
        <w:t>TECT studies in mid-2020, subject to the accrual of MACE.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0" w:name="page121"/>
    <w:bookmarkEnd w:id="120"/>
    <w:p>
      <w:pPr>
        <w:ind w:right="100"/>
        <w:spacing w:after="0" w:line="257" w:lineRule="auto"/>
        <w:rPr>
          <w:sz w:val="20"/>
          <w:szCs w:val="20"/>
          <w:color w:val="auto"/>
        </w:rPr>
      </w:pPr>
      <w:r>
        <w:rPr>
          <w:rFonts w:ascii="Arial" w:cs="Arial" w:eastAsia="Arial" w:hAnsi="Arial"/>
          <w:sz w:val="18"/>
          <w:szCs w:val="18"/>
          <w:color w:val="auto"/>
        </w:rPr>
        <w:t>In December 2015, the Company entered into a collaboration agreement with Mitsubishi Tanabe Pharma Corporation, or MTPC, to develop and commercialize vadadustat in Japan and certain other countries in Asia, collectively, the MTPC Territory, for total payments of up to $245.0 million, comprised of a $20.0 million upfront payment, up to $50.0 million in specified development and regulatory milestones, and up to $175.0 million in specified commercial milestones, as well as tiered double-digit royalty payments up to 20% on sales of vadadustat in the MTPC Territory, subject to a reduction upon launch of a generic product on a country-by-country basis (Note 4).</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December 2016, the Company entered into a collaboration and license agreement with Otsuka Pharmaceutical Co. Ltd., or Otsuka to develop and commercialize vadadustat in the United States. In December 2016, the Company received $125.0 million upfront payment, and in March 2017, Otsuka reimbursed the Company approximately $33.8 million for global expenses previously incurred by us for its ongoing global development program for vadadustat in DD-CKD and NDD-CKD patients. The agreement also provides for additional funding for the global development program for vadadustat, totaling $167.5 million or more, depending on the actual global development costs incurred. In addition, Akebia is eligible to receive from Otsuka up to $190.0 million in specified development and regulatory milestones and up to $575.0 million in specified commercial milestones. The Company will share with Otsuka the costs of developing and commercializing vadadustat in the United States and the profits from sales of vadadustat in the United after approval by the FDA and commercial launch (Note 4).</w:t>
      </w:r>
    </w:p>
    <w:p>
      <w:pPr>
        <w:spacing w:after="0" w:line="2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April 2017, the Company entered into a collaboration and license agreement with Otsuka to develop and commercialize vadadustat in Europe, Russia, China, Canada, Australia, the Middle East and certain other territories. In April 2017, the Company received a $73.0 million upfront payment and $0.2 million for global expenses previously incurred by the Company in implementing the current global Phase 3 development plan for vadadustat in DD-CKD and NDD-CKD patients in excess of a specified threshold during the quarter-ended March 31, 2017. The agreement also provides for additional funding for the global development program for vadadustat, totaling $176.1 million or more, depending on the actual global development costs incurred. In addition, Akebia is eligible to receive from Otsuka up to $132.0 million in specified development and regulatory milestones and up to $525.0 million in specified commercial milestones (Note 4).</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inception through December 31, 2018 the Company has raised approximately $468.4 million of net proceeds, including $377.4 million from several underwritten public offerings, $41.0 million from an at-the-market offering, or ATM, pursuant to sales agreements with Cantor Fitzgerald &amp; Co. and $50.0 million from the sale of 3,571,429 shares of common stock to Vifor (International) Ltd., or Vifor Pharma. At inception of the Company’s collaboration agreements with Otsuka and MTPC, they committed to approximately $573.0 million or more in cost-share funding, which the Company generally continues to receive on a quarterly prepaid basis, and license payments. Of these commitments, the Company received approximately $272.0 million at the onset of the collaboration agreements.</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of the Company completed its going concern assessment in accordance with ASC 205-40. The Company believes that its cash resources will be sufficient to allow the Company to fund its current operating plan through at least the next twelve months from the filing of the Company’s 2018 Annual Report on Form 10-K, as required by ASC 205-40. 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The Company will require additional capital for the further commercialization of Auryxia and continued development and potential commercialization of the Company’s existing product candidates and would need to raise additional funds to pursue development activities related to any additional product candidates. If and until the Company can generate a sufficient amount of product revenue, the Company expects to finance future cash needs through public or private equity or debt offerings, payments from its collaborators, strategic transactions, or a combination of these approaches.</w:t>
      </w:r>
    </w:p>
    <w:p>
      <w:pPr>
        <w:spacing w:after="0" w:line="326" w:lineRule="exact"/>
        <w:rPr>
          <w:sz w:val="20"/>
          <w:szCs w:val="20"/>
          <w:color w:val="auto"/>
        </w:rPr>
      </w:pPr>
    </w:p>
    <w:p>
      <w:pPr>
        <w:ind w:right="7840" w:firstLine="8"/>
        <w:spacing w:after="0" w:line="378" w:lineRule="auto"/>
        <w:tabs>
          <w:tab w:leader="none" w:pos="1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balances and transactions have been eliminated in consolidation. These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18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discussed more fully below, as prescribed by the required adoption of ASC 606 on January 1, 2018, the Company revised its comparative financial statements for the year ended December 31, 2017 to give effect to ASC 606 as if it had been effective for that period. No changes for the adoption of ASC 606 were deemed necessary for the year ended December 31, 2016 and applicable interim periods within the year.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New Accounting Pronouncements – Recently Adopted</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 new revenue recognition standard which amends revenue recognition principles and provides a single, comprehensive set of criteria for revenue recognition within and across all industries. This ASU supersedes the revenue recognition requirements in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In 2015 and 2016, the FASB issued additional ASUs related to Topic 606, or ASC 606, that delayed the effective date of the guidance and clarified various aspects of the new revenue guidance, including principal versus agent considerations, identifying performance obligations, and licensing, and they include other improvements and practical expedients. The Company adopted this new standard on January 1, 2018 using the full retrospective transition method, and has elected to use the following practical expedients that are permitted under the rules of the adoption, which have been applied consistently to all contracts within all reporting periods presented:</w:t>
      </w:r>
    </w:p>
    <w:p>
      <w:pPr>
        <w:spacing w:after="0" w:line="59" w:lineRule="exact"/>
        <w:rPr>
          <w:sz w:val="20"/>
          <w:szCs w:val="20"/>
          <w:color w:val="auto"/>
        </w:rPr>
      </w:pPr>
    </w:p>
    <w:p>
      <w:pPr>
        <w:ind w:left="1040" w:right="200" w:hanging="519"/>
        <w:spacing w:after="0" w:line="342" w:lineRule="auto"/>
        <w:tabs>
          <w:tab w:leader="none" w:pos="10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all reporting periods presented before January 1, 2018, the Company has not disclosed the amount of the transaction price allocated to the remaining performance obligations or an explanation of when the Company expects to recognize the amount as revenue.</w:t>
      </w:r>
    </w:p>
    <w:p>
      <w:pPr>
        <w:spacing w:after="0" w:line="15" w:lineRule="exact"/>
        <w:rPr>
          <w:rFonts w:ascii="Arial" w:cs="Arial" w:eastAsia="Arial" w:hAnsi="Arial"/>
          <w:sz w:val="16"/>
          <w:szCs w:val="16"/>
          <w:color w:val="auto"/>
        </w:rPr>
      </w:pPr>
    </w:p>
    <w:p>
      <w:pPr>
        <w:ind w:left="1040" w:right="220" w:hanging="519"/>
        <w:spacing w:after="0" w:line="264"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not adjusted the promised amount of consideration for the effects of a significant financing component when the Company expects, at contract inception, that the period between when the entity transfers a promised good or a service to a customer and when the customer pays for that good or service will be one year or less.</w:t>
      </w:r>
    </w:p>
    <w:p>
      <w:pPr>
        <w:spacing w:after="0" w:line="73"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recognizes the incremental costs of obtaining a contract as an expense when incurred if the amortization period of the asset that the Company otherwise would have recognized is one year or less.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adopting ASC 606 on January 1, 2018, the Company has revised its comparative financial statements for the year ended December 31, 2017 as if ASC 606 had been effective for that period, as set forth below. No changes for the adoption of ASC 606 were deemed necessary for the year ended December 31, 2016 and applicable interim periods within the year.</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the collaboration agreements with Otsuka, the Company concluded that there was no impact to revenue for the year ended December 31, 2017 after the adoption of ASC 606.</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changes shown in the table below relate to the Company’s collaboration agreement with MTPC and the impact of when milestone payments can be recognized under the new standard as well as the period over which this revenue is recognized. Under ASC 605-28, </w:t>
      </w:r>
      <w:r>
        <w:rPr>
          <w:rFonts w:ascii="Arial" w:cs="Arial" w:eastAsia="Arial" w:hAnsi="Arial"/>
          <w:sz w:val="17"/>
          <w:szCs w:val="17"/>
          <w:i w:val="1"/>
          <w:iCs w:val="1"/>
          <w:color w:val="auto"/>
        </w:rPr>
        <w:t>Revenue Recognition-Milestone Method</w:t>
      </w:r>
      <w:r>
        <w:rPr>
          <w:rFonts w:ascii="Arial" w:cs="Arial" w:eastAsia="Arial" w:hAnsi="Arial"/>
          <w:sz w:val="17"/>
          <w:szCs w:val="17"/>
          <w:color w:val="auto"/>
        </w:rPr>
        <w:t>, the Company evaluated at contract inception whether each milestone was substantive. Substantive milestones are recognized as revenue in their entirety upon achievement, assuming all other revenue recognition criteria are met. Therefore, a $4.0 million MTPC development milestone, which was deemed to be substantive, would have been recognized in its entirety in the first quarter of 2018, when the milestone event occurred. Under ASC 606, these substantive milestone payments would be classified as variable consideration and included in the allocable transaction price over the remaining period of performance when it is probable that a significant reversal in the cumulative amount of revenue recognized would not occur. Under ASC 606, this resulted in the $4.0 million MTPC development milestone being included in the allocable consideration, of which $3.2 million was recognized as revenue in 2017 under the proportional performance method utilized for revenue recognition of the MTPC allocable consideration. As a result, the following financial statement line items for the year ended December 31, 2017 were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gridSpan w:val="6"/>
          </w:tcPr>
          <w:p>
            <w:pPr>
              <w:jc w:val="center"/>
              <w:ind w:left="1159"/>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6"/>
          </w:tcPr>
          <w:p>
            <w:pPr>
              <w:jc w:val="center"/>
              <w:ind w:left="1139"/>
              <w:spacing w:after="0"/>
              <w:rPr>
                <w:sz w:val="20"/>
                <w:szCs w:val="20"/>
                <w:color w:val="auto"/>
              </w:rPr>
            </w:pPr>
            <w:r>
              <w:rPr>
                <w:rFonts w:ascii="Arial" w:cs="Arial" w:eastAsia="Arial" w:hAnsi="Arial"/>
                <w:sz w:val="14"/>
                <w:szCs w:val="14"/>
                <w:b w:val="1"/>
                <w:bCs w:val="1"/>
                <w:color w:val="auto"/>
                <w:w w:val="91"/>
              </w:rPr>
              <w:t>(in thousands, except per share data)</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As revised under</w:t>
            </w:r>
          </w:p>
        </w:tc>
        <w:tc>
          <w:tcPr>
            <w:tcW w:w="200" w:type="dxa"/>
            <w:vAlign w:val="bottom"/>
          </w:tcPr>
          <w:p>
            <w:pPr>
              <w:spacing w:after="0"/>
              <w:rPr>
                <w:sz w:val="11"/>
                <w:szCs w:val="11"/>
                <w:color w:val="auto"/>
              </w:rPr>
            </w:pPr>
          </w:p>
        </w:tc>
        <w:tc>
          <w:tcPr>
            <w:tcW w:w="170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As originally</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reported under</w:t>
            </w:r>
          </w:p>
        </w:tc>
        <w:tc>
          <w:tcPr>
            <w:tcW w:w="200" w:type="dxa"/>
            <w:vAlign w:val="bottom"/>
          </w:tcPr>
          <w:p>
            <w:pPr>
              <w:spacing w:after="0"/>
              <w:rPr>
                <w:sz w:val="12"/>
                <w:szCs w:val="12"/>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Effect of 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ASC 606</w:t>
            </w:r>
          </w:p>
        </w:tc>
        <w:tc>
          <w:tcPr>
            <w:tcW w:w="20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ASC 605</w:t>
            </w: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181,227</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177,984</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Operating loss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(76,674)</w:t>
            </w:r>
          </w:p>
        </w:tc>
        <w:tc>
          <w:tcPr>
            <w:tcW w:w="2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(79,917)</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(73,671)</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(76,914)</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0"/>
              </w:rPr>
              <w:t>December 31, 2017 (in thousands)</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As revised under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As originally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reported under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ASC 606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ASC 605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deferred revenue</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81,667</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84,910</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Accumulated deficit</w:t>
            </w:r>
          </w:p>
        </w:tc>
        <w:tc>
          <w:tcPr>
            <w:tcW w:w="8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(370,807)</w:t>
            </w:r>
          </w:p>
        </w:tc>
        <w:tc>
          <w:tcPr>
            <w:tcW w:w="4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(374,050)</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18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3"/>
          </w:tcPr>
          <w:p>
            <w:pPr>
              <w:jc w:val="right"/>
              <w:ind w:right="1180"/>
              <w:spacing w:after="0"/>
              <w:rPr>
                <w:sz w:val="20"/>
                <w:szCs w:val="20"/>
                <w:color w:val="auto"/>
              </w:rPr>
            </w:pPr>
            <w:r>
              <w:rPr>
                <w:rFonts w:ascii="Arial" w:cs="Arial" w:eastAsia="Arial" w:hAnsi="Arial"/>
                <w:sz w:val="14"/>
                <w:szCs w:val="14"/>
                <w:b w:val="1"/>
                <w:bCs w:val="1"/>
                <w:color w:val="auto"/>
              </w:rPr>
              <w:t>For the Year Ended December 31, 2017 (in thousands)</w:t>
            </w: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As revised under</w:t>
            </w: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95"/>
              </w:rPr>
              <w:t>As originally</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reported under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Effect of change</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ASC 605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(73,671)</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(76,914)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(17,665)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(14,422)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period</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188,616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188,616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8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71,437</w:t>
            </w:r>
          </w:p>
        </w:tc>
        <w:tc>
          <w:tcPr>
            <w:tcW w:w="6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71,437</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October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2017 (fiscal year 2018 for the Company), and interim periods within those years, using a retrospective transition method to each period presented, with early adoption permitted. The Company elected to adopt this ASU effective January 1, 2018. The adoption of this guidance resulted in $1.3 million in restricted cash to be included with cash and cash equivalents at the beginning of the period in the consolidated statement of cash flows for each of the years ended December 31, 2018, 2017 and 2016.</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which provides guidance about which changes to the terms or conditions of a share-based award require an entity to apply modification accounting under ASC 718,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Stock Compensation</w:t>
      </w:r>
      <w:r>
        <w:rPr>
          <w:rFonts w:ascii="Arial" w:cs="Arial" w:eastAsia="Arial" w:hAnsi="Arial"/>
          <w:sz w:val="16"/>
          <w:szCs w:val="16"/>
          <w:color w:val="auto"/>
        </w:rPr>
        <w:t>. Specifically, awards will require modification accounting if the fair value, vesting condition or classification of the award is not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immediately before and after a change to the terms and conditions of the award. This ASU is effective on a prospective basis beginning on January 1, 2018, with early adoption permitted. The Company adopted this ASU effective January 1, 2018, and since the Company did not have any modifications in fiscal 2018, the adoption of this ASU did not have an impact on the Company’s consolidated financial statements and disclosures.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 Not Yet Adopted</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supersedes the existing guidance for lease accounting, Leases (Topic 840). ASU 2016-02 requires entities to recognize right-of-use assets and lease liabilities for leases with lease terms of more than 12 months on their balance sheets and provide enhanced disclosures. In July 2018, the FASB issued additional ASUs related to Topic 842, or ASC 842, that clarified various aspects of the new lease guidance, including how to record certain transition adjustments, as well as other improvements and practical expedients. ASC 842 is effective for fiscal years beginning after December 15, 2018 and interim periods within those fiscal years. Early application is permitted for all entities; however, the Company has elected not to early adopt. ASC 842 requires a modified retrospective approach for all leases existing at, or entered into after, the date of initial application, with an option to elect to use certain transition relief. The Company is currently evaluating the impact of this new standard on its consolidated financial statements and related disclosures; however, it expects the adoption of this new guidance will result in the Company recording additional assets and corresponding liabilities on its consolidated balance sheets, primarily relating to leases of office and lab space. The Company plans to adopt ASC 842 using the modified retrospective approach with the cumulative effect of adoption recognized to retained earnings on January 1, 2019. The Company also expects to elect the practical expedients upon transition that will retain the lease classification and initial direct costs for any leases that existed prior to the adoption of this new standard. The Company will not reassess whether any contracts entered into prior to the adoption are leases. The Company is also in the process of implementing appropriate changes to its controls to support lease accounting and related disclosures under the new standard.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3" w:name="page124"/>
    <w:bookmarkEnd w:id="123"/>
    <w:p>
      <w:pPr>
        <w:ind w:right="100"/>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which requires that financial assets measured at amortized cost be presented at the net amount expected to be collected. Currently, U.S. GAAP delays recognition of the full amount of credit losses until the loss is probable of occurring. Under this ASU, the income statement will reflect an entity’s current estimate of all expected credit losses. The measurement of expected credit losses will be based upon historical experience, current conditions, and reasonable and supportable forecasts that affect the collectability of the reported amount. Credit losses relating to available-for-sale debt securities will be recorded through an allowance for credit losses rather than as a direct write-down of the security. This ASU is effective for annual periods beginning after December 15, 2019, and is applicable to the Company in fiscal year 2020. Early adoption is permitted. The Company is currently evaluating the impact of the adoption of ASU 2016-13 on its consolidated financial position and results of operations.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how companies calculate goodwill impairments by eliminating Step 2 of the impairment test. Step 2 measures a goodwill impairment loss by comparing the implied fair value of a reporting unit’s goodwill with the carrying amount of that goodwill. ASU 2017-04 requires companies to compare the fair value of a reporting unit to its carrying amount and recognize an impairment charge for the amount by which the carrying amount exceeds the reporting unit's fair value; however, the loss recognized should not exceed the total amount of goodwill allocated to the related reporting unit. This ASU is effective for annual periods beginning after December 15, 2019, and is applicable to the Company in fiscal year 2020. Early adoption is allowed, and the Company expects to early adopt ASU 2017-04 for annual and interim goodwill impairment tests conducted after January 1,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novel therapeutics for patients with kidney disease.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Company accounts for warrants and other derivative financial instruments as either equity or liabilities in accordance with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or ASC 815, based upon the characteristics and provisions of each instrument. Warrants classified as equity are recorded at fair value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issuance on the Company’s consolidated balance sheets and no further adjustments to their valuation are made. Warrants classified as derivative liabilities and other derivative financial instruments that require separate accounting as liabilities are recorded on the Company’s consolidated balance sheets at their fair value on the date of issuance and will be revalued on each subsequent balance sheet date until such instruments are exercised or expire, with any changes in the fair value between reporting periods recorded as other income or expense. The warrant issued by the Company in connection with the Janssen Pharmaceutica NV Research and License Agreement, the Janssen Agreement, is classified as equity in the Company’s consolidated balance sheet. (See Note 12).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product and collaboration revenues including various rebates and reserves related to product sales, inventories, income taxes, purchase price allocations related to business combinations, intangible assets and goodwill.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Cash and cash equivalents consist of all cash on hand, deposits and funds invested in available for sale securities with original maturities of three months or less at the time of purchase. Cash equivalents are reported at fair value. At December 31, 2018, the Company’s cash equivalents are primarily in money market funds. The Company may maintain balances with its banks in excess of federally insured limits.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Restricted cash is included in “other assets” in the consolidated balance sheets.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in the consolidated balance sheet that sum to the total of the amounts reported in the consolidated statement of cash flows subsequent to the adoption of ASU 2016-18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104,644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70,156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187,335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FF0FC"/>
            </w:tcBorders>
          </w:tcPr>
          <w:p>
            <w:pPr>
              <w:spacing w:after="0"/>
              <w:rPr>
                <w:sz w:val="19"/>
                <w:szCs w:val="19"/>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the statement of cash flows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107,099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188,616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51,059</w:t>
            </w:r>
          </w:p>
        </w:tc>
        <w:tc>
          <w:tcPr>
            <w:tcW w:w="100" w:type="dxa"/>
            <w:vAlign w:val="bottom"/>
            <w:shd w:val="clear" w:color="auto" w:fill="CFF0FC"/>
          </w:tcPr>
          <w:p>
            <w:pPr>
              <w:spacing w:after="0"/>
              <w:rPr>
                <w:sz w:val="20"/>
                <w:szCs w:val="20"/>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Restricted cash represents amounts required for security deposits under the Company’s office and lab space lease agreements and cash balances held as collateral for the Company’s employee credit card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 determines the appropriate classification of securities at the time of purchase and reevaluates such designation as of each balance sheet date. Currently, the Company classifies all securities as available for sale which are included in current assets as they are intended to fund current operations. The Company carries available for sale securities at fair value. The Company conducts periodic reviews to identify and evaluate each investment that has an unrealized loss, in accordance with the meaning of other-than-temporary impairment and its application to certain investments. When assessing whether a decline in the fair value of a security is other-than-temporary, the Company considers the fair market value of the security, the duration of the security’s decline, and prospects for the underlying business. Based on these considerations, the Company did not identify any other-than-temporary unrealized losses at December 31, 2018. Unrealized losses on available for sale securities that are determined to be temporary, and not related to credit loss, are recorded in accumulated other comprehensive loss, a component of stockholders’ equity. The amortized cost of debt securities in this category reflects amortization of premiums and accretion of discounts to maturity computed under the effective interest method. The Company includes this amortization in the caption “Interest income” within the consolidated statements of operations and comprehensive loss. The Company also includes in net investment income, realized gains and losses and declines in value determined to be other than temporary. The Company bases the cost of securities sold upon the specific identification method and includes interest and dividends on securities in interest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Company’s accounts receivable represents amounts due to the Company from product sales (see Note 3) and from its collaboration agreements with MTPC and Otsuka (see Note 4). Reimbursable costs that have not been invoiced as of the balance sheet date are recorded as unbilled accounts receivable. Accounts receivable arising from product sales primarily represent amounts due from wholesale distributors as well as certain specialty pharmacy providers, or collectively, Customers. The Company deducts trade allowances for prompt payment, among other discounts, from its accounts receivable based on its experience that the Company’s Customers will earn these discounts and fees.</w:t>
      </w:r>
    </w:p>
    <w:p>
      <w:pPr>
        <w:spacing w:after="0" w:line="1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makes judgments as to its ability to collect outstanding receivables and provides an allowance for receivables when collection becomes doubtful. Provisions are made based upon a specific review of all significant outstanding invoices and the overall quality and age of those invoices not specifically reviewed as well as historical payment patterns and existing economic factors. The Company believes that credit risks associated with its Customers and collaboration partners are not significant. The Company did not have an allowance for doubtful accounts as of December 31, 2018 and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Cash, cash equivalents, investments, and accounts receivable are the only financial instruments that potentially subject the Company to concentrations of credit risk. The Company maintains its cash, cash equivalents, and investments with high quality, accredited financial institutions and, accordingly, such funds are subject to minimal credit risk. The Company’s investment policy includes guidelines on the quality of the institutions and financial instruments and defines allowable investments that the Company believes minimizes the exposure to concentration of credit risk. The Company has no significant off-balance sheet concentrations of credit risk, such as foreign currency exchange contracts, option contracts or other hedging arrangements.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5" w:name="page126"/>
    <w:bookmarkEnd w:id="125"/>
    <w:p>
      <w:pPr>
        <w:ind w:right="40"/>
        <w:spacing w:after="0" w:line="312" w:lineRule="auto"/>
        <w:rPr>
          <w:sz w:val="20"/>
          <w:szCs w:val="20"/>
          <w:color w:val="auto"/>
        </w:rPr>
      </w:pPr>
      <w:r>
        <w:rPr>
          <w:rFonts w:ascii="Arial" w:cs="Arial" w:eastAsia="Arial" w:hAnsi="Arial"/>
          <w:sz w:val="16"/>
          <w:szCs w:val="16"/>
          <w:color w:val="auto"/>
        </w:rPr>
        <w:t>Accounts receivable represent amounts due from the Company’s Customers and collaboration partners. As part of its credit management policy, the Company performs ongoing credit evaluations of its Customers and generally does not require collateral from any customer. The Company also monitors economic conditions of its collaboration partners to identify facts or circumstances that may indicate that any of its accounts receivable are at risk of collection.</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revenues and accounts receivable from each of the Company’s Customers or collaboration partners who individually accounted for 10% or more of total gross revenues and/or 10% or more of total gross accounts receivable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0"/>
              </w:rPr>
              <w:t>Percent of Total Gross Revenues</w:t>
            </w:r>
          </w:p>
        </w:tc>
        <w:tc>
          <w:tcPr>
            <w:tcW w:w="1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center"/>
              <w:ind w:right="180"/>
              <w:spacing w:after="0" w:line="155" w:lineRule="exact"/>
              <w:rPr>
                <w:sz w:val="20"/>
                <w:szCs w:val="20"/>
                <w:color w:val="auto"/>
              </w:rPr>
            </w:pPr>
            <w:r>
              <w:rPr>
                <w:rFonts w:ascii="Arial" w:cs="Arial" w:eastAsia="Arial" w:hAnsi="Arial"/>
                <w:sz w:val="14"/>
                <w:szCs w:val="14"/>
                <w:b w:val="1"/>
                <w:bCs w:val="1"/>
                <w:color w:val="auto"/>
                <w:w w:val="91"/>
              </w:rPr>
              <w:t>Years Ended December 31,</w:t>
            </w:r>
          </w:p>
        </w:tc>
        <w:tc>
          <w:tcPr>
            <w:tcW w:w="1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12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left="638"/>
              <w:spacing w:after="0" w:line="155" w:lineRule="exact"/>
              <w:rPr>
                <w:sz w:val="20"/>
                <w:szCs w:val="20"/>
                <w:color w:val="auto"/>
              </w:rPr>
            </w:pPr>
            <w:r>
              <w:rPr>
                <w:rFonts w:ascii="Arial" w:cs="Arial" w:eastAsia="Arial" w:hAnsi="Arial"/>
                <w:sz w:val="14"/>
                <w:szCs w:val="14"/>
                <w:b w:val="1"/>
                <w:bCs w:val="1"/>
                <w:color w:val="auto"/>
                <w:w w:val="89"/>
              </w:rPr>
              <w:t>2017</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0"/>
              </w:rPr>
              <w:t>(as revised)</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Otsuka Pharmaceutical Co. Ltd.</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c>
          <w:tcPr>
            <w:tcW w:w="1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446"/>
        </w:trPr>
        <w:tc>
          <w:tcPr>
            <w:tcW w:w="5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gridSpan w:val="6"/>
          </w:tcPr>
          <w:p>
            <w:pPr>
              <w:jc w:val="center"/>
              <w:ind w:right="920"/>
              <w:spacing w:after="0"/>
              <w:rPr>
                <w:sz w:val="20"/>
                <w:szCs w:val="20"/>
                <w:color w:val="auto"/>
              </w:rPr>
            </w:pPr>
            <w:r>
              <w:rPr>
                <w:rFonts w:ascii="Arial" w:cs="Arial" w:eastAsia="Arial" w:hAnsi="Arial"/>
                <w:sz w:val="14"/>
                <w:szCs w:val="14"/>
                <w:b w:val="1"/>
                <w:bCs w:val="1"/>
                <w:color w:val="auto"/>
                <w:w w:val="90"/>
              </w:rPr>
              <w:t>Percent of Gross Accounts Receivable</w:t>
            </w:r>
          </w:p>
        </w:tc>
      </w:tr>
      <w:tr>
        <w:trPr>
          <w:trHeight w:val="156"/>
        </w:trPr>
        <w:tc>
          <w:tcPr>
            <w:tcW w:w="5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920" w:type="dxa"/>
            <w:vAlign w:val="bottom"/>
            <w:tcBorders>
              <w:top w:val="single" w:sz="8" w:color="auto"/>
              <w:bottom w:val="single" w:sz="8" w:color="auto"/>
            </w:tcBorders>
            <w:gridSpan w:val="4"/>
          </w:tcPr>
          <w:p>
            <w:pPr>
              <w:jc w:val="center"/>
              <w:ind w:left="624"/>
              <w:spacing w:after="0" w:line="155" w:lineRule="exact"/>
              <w:rPr>
                <w:sz w:val="20"/>
                <w:szCs w:val="20"/>
                <w:color w:val="auto"/>
              </w:rPr>
            </w:pPr>
            <w:r>
              <w:rPr>
                <w:rFonts w:ascii="Arial" w:cs="Arial" w:eastAsia="Arial" w:hAnsi="Arial"/>
                <w:sz w:val="14"/>
                <w:szCs w:val="14"/>
                <w:b w:val="1"/>
                <w:bCs w:val="1"/>
                <w:color w:val="auto"/>
                <w:w w:val="90"/>
              </w:rPr>
              <w:t>As of December 31,</w:t>
            </w:r>
          </w:p>
        </w:tc>
        <w:tc>
          <w:tcPr>
            <w:tcW w:w="14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664"/>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Fresenius Medical Care Rx</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McKesson Corporation</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3"/>
          </w:tcPr>
          <w:p>
            <w:pPr>
              <w:ind w:left="11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Cardinal Health, Inc.</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AmerisourceBergen Drug Corporation</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3"/>
          </w:tcPr>
          <w:p>
            <w:pPr>
              <w:ind w:left="1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Otsuka Pharmaceutical Co. Ltd.</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20" w:type="dxa"/>
            <w:vAlign w:val="bottom"/>
            <w:gridSpan w:val="4"/>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Property and equipment is stated at cost, less accumulated depreciation. Assets under capital lease are included in property and equipment. Property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summary of property and equipment and related accumulated depreciation as of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 2018</w:t>
            </w:r>
          </w:p>
        </w:tc>
        <w:tc>
          <w:tcPr>
            <w:tcW w:w="1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2017</w:t>
            </w:r>
          </w:p>
        </w:tc>
      </w:tr>
      <w:tr>
        <w:trPr>
          <w:trHeight w:val="156"/>
        </w:trPr>
        <w:tc>
          <w:tcPr>
            <w:tcW w:w="586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gridSpan w:val="4"/>
          </w:tcPr>
          <w:p>
            <w:pPr>
              <w:jc w:val="right"/>
              <w:ind w:right="1252"/>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FF0FC"/>
          </w:tcPr>
          <w:p>
            <w:pPr>
              <w:spacing w:after="0"/>
              <w:rPr>
                <w:sz w:val="19"/>
                <w:szCs w:val="19"/>
                <w:color w:val="auto"/>
              </w:rPr>
            </w:pPr>
          </w:p>
        </w:tc>
      </w:tr>
      <w:tr>
        <w:trPr>
          <w:trHeight w:val="215"/>
        </w:trPr>
        <w:tc>
          <w:tcPr>
            <w:tcW w:w="58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Shorter of the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useful life or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lease term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(10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5,324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0"/>
                <w:szCs w:val="20"/>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under capital lease</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(1,958)</w:t>
            </w: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(1,059)</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expense, including expense associated with assets under capital leases, was approximately $0.9 million, $0.6 million and $0.3 million for the years ended December 31, 2018, 2017 and 2016,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values its inventories at the lower-of-cost or net realizable value. The Company determines the cost of its inventories, which includes amounts related to materials and manufacturing overhead, on a first-in, first-out basis. The Company classifies its inventory costs as long-term, in other assets in its consolidated balance sheets, when it expects to utilize the inventory beyond their normal operating cycle.</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Prior to the regulatory approval of its product candidates, the Company incurs expenses for the manufacture of material that could potentially be available to support the commercial launch of its products. Until the first reporting period when regulatory approval has been received or is otherwise considered probable and the future economic benefit is expected to be realized, the Company records all such costs as research and development expense.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the Company’s product is subject to strict quality control and monitoring that it performs throughout the manufacturing process. In the event that certain batches or units of product no longer meet quality specifications, the Company will record a charge to cost of product sales to write-down any unmarketable inventory to its estimated net realizable value. In all cases, product inventory is carried at the lower of cost or its estimated net realizable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generates revenues primarily from sales of Auryxia, see Note 3, and from its collaborations with MTPC and Otsuka, see Note 4. The Company recognizes revenue in accordance with ASC 606, which applies to all contracts with customers, except for contracts that are within the scope of other standards. Under ASC 606, 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606, it performs the following five steps:</w:t>
      </w:r>
    </w:p>
    <w:p>
      <w:pPr>
        <w:spacing w:after="0" w:line="64" w:lineRule="exact"/>
        <w:rPr>
          <w:sz w:val="20"/>
          <w:szCs w:val="20"/>
          <w:color w:val="auto"/>
        </w:rPr>
      </w:pPr>
    </w:p>
    <w:p>
      <w:pPr>
        <w:ind w:left="1040" w:hanging="519"/>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Net</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sells Auryxia in the United States, or U.S., primarily to wholesale distributors as well as certain specialty pharmacy providers. These Customers resell the Company’s product to health care providers and patients. In addition to distribution agreements with Customers, the Company enters into arrangements with health care providers and payors that provide for government-mandated and/or privately-negotiated rebates, chargebacks, and discounts with respect to the purchase of the Company’s product.</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a point in time, typically upon delivery to the Customer. The Company expenses incremental costs of obtaining a contract as and when incurred if the expected amortization period of the asset that it would have recognized is one year or less.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 from product sales are recorded at the net sales price (transaction price), which includes estimates of variable consideration for which reserves are established and which result from discounts, returns, chargebacks, rebates, co-pay assistance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as reductions of accounts receivable (if the amount will be credited to the Customer) or as a current liability (if the amount is payable to a Customer or a party other than a Customer). When appropriate, these estimates take into consideration a range of possible outcomes which are probability-weighted in accordance with the expected value method in ASC 606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 and earnings in the period such variances become known.</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The Company generally provides Customers with discounts that include incentive fees that are explicitly stated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within the statement of operations and comprehensive loss through December 31, 2018. The Company records a corresponding reduction of accounts receivable (if the trade discount and/or allowance will be credited to the Customer) or an increase in accrued expense (if the trade discount and/or allowance is payable to a Customer) on the consolidated balance sheets.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the Company generally offers Customers a limited right of return which allows for the product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returned when the product expiry is within an allowable window. This right of return lapses once the product is provided to a patient. The Company estimates the amount of its product sales that may be returned by its Customers and records this estimate as a reduction of revenue in the period the related product revenue is recognized. The Company currently estimates product return reserve using available industry data and its own historical sales information, including its visibility into the inventory remaining in the distribution channel.</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Provider Chargebacks and Discounts</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accounts receivable. Chargeback amounts are generally determined at the time of resale to the qualified healthcare provider by Customers, and the Company generally issues credits for such amounts within a few weeks of the Customer’s resale of the product. Reserves for chargebacks consist of credits that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Commercial and Medicare Part D Rebates: </w:t>
      </w:r>
      <w:r>
        <w:rPr>
          <w:rFonts w:ascii="Arial" w:cs="Arial" w:eastAsia="Arial" w:hAnsi="Arial"/>
          <w:sz w:val="18"/>
          <w:szCs w:val="18"/>
          <w:color w:val="auto"/>
        </w:rPr>
        <w:t>The Company contracts with various commercial payor organizations, primarily health insurance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pharmacy benefit managers, for the payment of rebates with respect to utilization of its products. The Company estimates the rebates for commercial and Medicare Part D payors based upon (i) its contracts with the payors and (ii) information obtained from its Customers and other third parties regarding the payor mix for Auryxia. The Company estimates these rebates and records such estimates in the same period the related revenue is recognized, resulting in a reduction of product revenue and the establishment of a current liability.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8" w:name="page129"/>
    <w:bookmarkEnd w:id="128"/>
    <w:p>
      <w:pPr>
        <w:spacing w:after="0" w:line="271" w:lineRule="auto"/>
        <w:rPr>
          <w:sz w:val="20"/>
          <w:szCs w:val="20"/>
          <w:color w:val="auto"/>
        </w:rPr>
      </w:pPr>
      <w:r>
        <w:rPr>
          <w:rFonts w:ascii="Arial" w:cs="Arial" w:eastAsia="Arial" w:hAnsi="Arial"/>
          <w:sz w:val="17"/>
          <w:szCs w:val="17"/>
          <w:i w:val="1"/>
          <w:iCs w:val="1"/>
          <w:color w:val="auto"/>
        </w:rPr>
        <w:t xml:space="preserve">Other Government Rebates: </w:t>
      </w:r>
      <w:r>
        <w:rPr>
          <w:rFonts w:ascii="Arial" w:cs="Arial" w:eastAsia="Arial" w:hAnsi="Arial"/>
          <w:sz w:val="17"/>
          <w:szCs w:val="17"/>
          <w:color w:val="auto"/>
        </w:rPr>
        <w:t>The Company is subject to discount obligations under state Medicaid programs and other government programs.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its Medicaid and other government programs rebates based upon a range of possible outcomes that are probability-weighted for the estimated payor mix. These 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at the end of each reporting period.</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Other Incentives: </w:t>
      </w:r>
      <w:r>
        <w:rPr>
          <w:rFonts w:ascii="Arial" w:cs="Arial" w:eastAsia="Arial" w:hAnsi="Arial"/>
          <w:sz w:val="18"/>
          <w:szCs w:val="18"/>
          <w:color w:val="auto"/>
        </w:rPr>
        <w:t>Other incentives that the Company offers include voluntary patient assistance programs such as the Company’s co-pay assistance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intended to provide financial assistance to qualified commercially insured patients with prescription drug co-payments required by payors. The calculation of the accrual for co-pay assistance is based on actual claims processed during a given period, as well as historical utilization data to estimate the amount the Company expects to receive associated with product that has been recognized as revenue, but remains in in the distribution channel at the end of each reporting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Revenues</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enters into out-license and collaboration agreements which are within the scope of ASC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may result in license, collaboration and other revenue, except for revenues from royalties on net sales of licensed products, which are classified as royalty revenues.</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determining the appropriate amount of revenue to be recognized as the Company fulfills its obligations under each of its agreements, the Company implements the five-step model noted above. As part of the accounting for these arrangements, the Company must develop assumptions that require judgment to determine whether the individual deliverables should be accounted for as separate performance obligations or as a combined performance obligation, and to determine the stand-alone selling price for each performance obligation identified in the contract. A deliverable represents a separate performance obligation if both of the following criteria are met: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 The Company uses key assumptions to determine the stand-alone selling price, which may include forecasted revenues, development timelines, reimbursement rates for personnel costs, discount rates, and probabilities of technical and regulatory success. With regard to the MTPC and Otsuka collaboration agreements, the Company recognizes revenue related to amounts allocated to the identified performance obligation on a proportional performance basis as the underlying services are performed.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If the license to the Company’s intellectual property is determined to be distinct from the other performance obligations identified in the arrangement, the Company recognizes revenue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will evaluate the measure of progress each reporting period and, if necessary, adjust the measure of performance and related revenue recognition.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the inception of each arrangement that includes development milestone payments, the Company evaluates whether the milestones are considered probable of being reached and estimates the amount to be included in the transaction price using the most likely amount method. The Company evaluates factors such as the scientific, clinical, regulatory, commercial, and other risks that must be overcome to assess the milestone as probable of being achieved. There is considerable judgment involved in determining whether a milestone is probable of being reached at each specific reporting period. Milestone payments that are not within the control of the Company or the customer, such as regulatory approvals, are not considered probable of being achieved until those approvals are received. If it is probable that a significant revenue reversal would not occur, the associated milestone value is included in the transaction price. The transaction price is then allocated to each performance obligation on a relative stand-alone selling price basis, for which the Company recognizes revenues as, or when, the performance obligations under the contract are satisfied. At the end of each subsequent reporting period, the Company will re-evaluate the probability of achievement of such development milestones and any related constraint, and if necessary, adjust its estimate of the overall transaction price. Any such adjustments are recorded on a cumulative catch-up basis, which would affect collaboration revenue in the period of adjustment.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Arrangements that include a promise for future supply of drug substance or drug product for either clinical development or commercial supply at the licensee’s discretion are generally considered as options. The Company assesses if these options provide a material right to the licensee and if so, they are accounted for as separate performance obligations. If the Company is entitled to additional payments when the licensee exercises these options, any additional payments are recorded in license, collaboration and other revenues when the licensee obtains control of the goods, which is upon delivery.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recognize sales-based royalties, including milestone payments based on the level of sales, at the later of (i) when the related sales occur, or</w:t>
      </w:r>
    </w:p>
    <w:p>
      <w:pPr>
        <w:spacing w:after="0" w:line="46" w:lineRule="exact"/>
        <w:rPr>
          <w:sz w:val="20"/>
          <w:szCs w:val="20"/>
          <w:color w:val="auto"/>
        </w:rPr>
      </w:pPr>
    </w:p>
    <w:p>
      <w:pPr>
        <w:ind w:right="200" w:firstLine="8"/>
        <w:spacing w:after="0" w:line="261"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when the performance obligation to which some or all of the royalty has been allocated has been satisfied (or partially satisfied). The Company receives royalty payments from JT and Torii, based on net sales of Riona in Japan.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Company records the elements of its collaboration agreements that represent joint operating activities in accordance with ASC Topic 808, </w:t>
      </w:r>
      <w:r>
        <w:rPr>
          <w:rFonts w:ascii="Arial" w:cs="Arial" w:eastAsia="Arial" w:hAnsi="Arial"/>
          <w:sz w:val="16"/>
          <w:szCs w:val="16"/>
          <w:i w:val="1"/>
          <w:iCs w:val="1"/>
          <w:color w:val="auto"/>
        </w:rPr>
        <w:t>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(ASC 808). Accordingly, the elements of the collaboration agreements that represent activities in which both parties are active participants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which both parties are exposed to the significant risks and rewards that are dependent on the commercial success of the activities are recorded as collaborative arrangements. The Company considers the guidance in ASC 606-10-15, </w:t>
      </w:r>
      <w:r>
        <w:rPr>
          <w:rFonts w:ascii="Arial" w:cs="Arial" w:eastAsia="Arial" w:hAnsi="Arial"/>
          <w:sz w:val="16"/>
          <w:szCs w:val="16"/>
          <w:i w:val="1"/>
          <w:iCs w:val="1"/>
          <w:color w:val="auto"/>
        </w:rPr>
        <w:t>Revenue from Contracts with Customers – Scope and Scope Exceptions</w:t>
      </w:r>
      <w:r>
        <w:rPr>
          <w:rFonts w:ascii="Arial" w:cs="Arial" w:eastAsia="Arial" w:hAnsi="Arial"/>
          <w:sz w:val="16"/>
          <w:szCs w:val="16"/>
          <w:color w:val="auto"/>
        </w:rPr>
        <w:t>, in determining the appropriate treatment for the transactions between the Company and its collaborative partner and the transactions between the Company and third parties. Generally, the classification of transactions under the collaborative arrangements is determined based on the nature and contractual terms of the arrangement along with the nature of the operations of the participants. Therefore, the Company recognizes its allocation of the shared costs incurred with respect to the jointly conducted medical affairs and commercialization and non-promotional activities under the U.S. collaboration with Otsuka as a component of the related expense in the period incurred. During the year ended December 31, 2018, the Company incurred approximately $1.2 million of costs related to the cost-sharing provisions of the Otsuka U.S. Agreement, as defined below in Note 4, of which approximately $0.5 million are reimbursable by Otsuka and recorded as a reduction to research and development expense. During the year ended December 31, 2018, Otsuka incurred approximately $1.1 million of costs related to the cost-sharing provisions of the Otsuka U.S. Agreement, of which approximately $0.5 million are reimbursable by the Company and recorded as an increase to research and development expense. To the extent product revenue is generated from the collaboration, the Company will recognize its share of the net sales on a gross basis if it is deemed to be the principal in the transactions with customers, or on a net basis if it is instead deemed to be the agent in the transactions with customers, consistent with the guidance in ASC 606.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Company accounts for the acquisition of a business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or ASC 805. Amounts paid for each acquisition are allocated to the assets acquired and liabilities assumed based on their fair values at the date of acquisition. The Company determines the fair value of acquired intangible assets based on detailed valuations that use certain information and assumptions provided by management, which is considered management’s best estimate of inputs and assumptions that a market participant would use. The Company allocates any excess purchase price over the fair value of the net tangible and intangible assets acquired to goodwill.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ASC 805, transaction costs are not included as a component of consideration transferred and are expensed as incurred. Additionally, in accordance with ASC 805, a transaction entered into by or on behalf of the acquirer or primarily for the benefit of the acquirer or the combined entity, rather than primarily for the benefit of the acquiree (before the combination), is treated as separate transaction.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maintains definite-lived intangible assets related to developed product rights for Auryxia and a favorable contract, which were acquired on December 12, 2018 as part of the Merger.</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Intangible assets are initially recorded at fair value and stated net of accumulated amortization and impairments. The Company amortizes its intangible assets that have finite lives using either the straight-line method, or if reliably determinable, based on the pattern in which the economic benefit of the asset is expected to be utilized. Amortization for the Company’s intangible assets are recorded over their estimated useful live of 4 - 9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0" w:name="page131"/>
    <w:bookmarkEnd w:id="130"/>
    <w:p>
      <w:pPr>
        <w:ind w:right="220"/>
        <w:spacing w:after="0" w:line="272" w:lineRule="auto"/>
        <w:rPr>
          <w:sz w:val="20"/>
          <w:szCs w:val="20"/>
          <w:color w:val="auto"/>
        </w:rPr>
      </w:pPr>
      <w:r>
        <w:rPr>
          <w:rFonts w:ascii="Arial" w:cs="Arial" w:eastAsia="Arial" w:hAnsi="Arial"/>
          <w:sz w:val="17"/>
          <w:szCs w:val="17"/>
          <w:color w:val="auto"/>
        </w:rPr>
        <w:t>The Company reviews intangible assets subject to amortization to determine if any adverse conditions exist or a change in circumstances has occurred that would indicate impairment or a change in the remaining useful life. If an impairment indicator exists, the Company performs a recoverability test by comparing the sum of the estimated undiscounted cash flows of the intangible asset to its carrying value on the consolidated balance sheet. If the carrying value of the intangible asset exceeds the undiscounted cash flows used in the recoverability test, the Company will write the carrying value down to the fair value in the period identified. The Company calculates the fair value of intangible assets as the present value of estimated future cash flows expected to be generated from the intangible asset using a risk-adjusted discount rate. In determining estimated future cash flows associated with its intangible assets, the Company uses market participant assumptions pursuant to ASC 820.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allocates any excess purchase price over the fair value of the net tangible and intangible assets acquired in a business combination to goodwill. Goodwill is evaluated for impairment on an annual basis as of October 1, and more frequently if indicators are present or changes in circumstances suggest that impairment may exist.</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compares the fair value of its reporting unit to its carrying value. If the carrying value of the net assets assigned to the reporting unit exceeds the fair value of its reporting unit, the Company would record an impairment loss equal to the difference. As described above, the Company operates in one operating segment which the Company considers to be the only reporting unit.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or ASC 820, establishes a hierarchy of inputs used in measuring fair value that maximizes the use of observable inputs and minimizes the use of unobservable inputs by requiring that the observable inputs be used when available.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1040" w:right="26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Items measured at fair value on a recurring basis include available for sale securities (see Note 7). The carrying amounts of prepaid expenses and other current assets, accounts payable and accrued expenses approximate their fair values due to their short-term maturities. The rate implicit within the Company’s capital lease obligation approximates market interest rates.</w:t>
      </w:r>
    </w:p>
    <w:p>
      <w:pPr>
        <w:spacing w:after="0" w:line="18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Items measured at fair value on a nonrecurring basis include property and equipment, intangible assets and goodwill. The Company remeasures the fair value of these assets upon the occurrence of certain events. There were no such remeasurements to property and equipment for the year ended December 31, 2018. There were no impairments to assets measured using level 3 inputs in fiscal year 2018 or 2017.</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Company’s other financial instruments mainly consists of debt (see Note 11). The carrying amounts for the amount drawn on the Company’s line of credit facility with Silicon Valley Bank approximates fair value because the interest rate is variable and reflects current market rates.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expenses are comprised of costs incurred in providing research and development activities, including salaries and benefits, facilities costs, overhead costs, contract research and development services,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External research and development expenses associated with the Company’s programs include clinical trial site costs, research compounds and clinical manufacturing costs, costs incurred for consultants and other outside services, such as data management and statistical analysis support, and materials and supplies used in support of the clinical and preclinical programs. Internal costs of the Company’s clinical program include salaries, benefits, stock-based compensation, and an allocation of the Company’s facility costs. When third-party service providers’ billing terms do not coincide with the Company’s period-end, the Company is required to make estimates of its obligations to those third parties, including clinical trial and pharmaceutical development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past history for related activities and the expected duration of the third-party service contract, where applicable.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costs of advertising are expensed as incurred and included in selling, general and administrative expenses in the consolidated statements of operations and comprehensive loss. For the year ended December 31, 2018, advertising expenses totaled $0.5 million. The Company did not incur any advertising expenses for the years ended December 31, 2017 and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Income taxes are recorded in accordance with FASB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or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All deferred taxes as of December 31, 2018 and 2017 are classified as noncurrent within the income tax provision (see Note 14).</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2018 and 2017, the Company does not have any significant uncertain tax positions. The Company recognizes interest and penalties related to uncertain tax positions in income tax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or ASC 718. ASC 718 requires all stock-based payments to employees, including grants of employee stock options, restricted stock, restricted stock units, or RSUs, and modifications to existing stock awards, to be recognized in the statements of operations and comprehensive loss based on their fair values. The Company accounts for stock-based awards to non-employees in accordance with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xml:space="preserve"> or ASC 505-50, which requires the fair value of the award to be re-measured at fair value until a performance commitment is reached or counterparty performance is complete. The Company’s stock-based awards are comprised of stock options, shares of restricted stock, shares of common stock and warrants. The Company estimates the fair value of options granted using the Black-Scholes option pricing model. The Company uses a blend of its stock price and the quoted market price of comparable public companies to determine the fair value of restricted stock awards and common stock awards.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2" w:name="page133"/>
    <w:bookmarkEnd w:id="132"/>
    <w:p>
      <w:pPr>
        <w:ind w:right="20"/>
        <w:spacing w:after="0" w:line="285" w:lineRule="auto"/>
        <w:rPr>
          <w:sz w:val="20"/>
          <w:szCs w:val="20"/>
          <w:color w:val="auto"/>
        </w:rPr>
      </w:pPr>
      <w:r>
        <w:rPr>
          <w:rFonts w:ascii="Arial" w:cs="Arial" w:eastAsia="Arial" w:hAnsi="Arial"/>
          <w:sz w:val="16"/>
          <w:szCs w:val="16"/>
          <w:color w:val="auto"/>
        </w:rPr>
        <w:t>The Black-Scholes option pricing model requires the input of certain subjective assumptions, including (a) the expected stock price volatility, (b) the calculation of expected term of the award, (c) the risk-free interest rate and (d) expected dividends. Due to the lack of company-specific historical and implied volatility data for trading the Company’s stock in the public market,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During 2017, the Company began to estimate its volatility by using a blend of its stock price history for the length of time it has market data for its stock and the historical volatility of similar public companies for the expected term of each grant. The Company is a commercial-stage biopharmaceutical company and the representative group of companies has certain similar characteristics to the Company. The Company believes the group selected has sufficient similar economic and industry characteristics and includes companies that are most representative of the Company.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arrangement as the basis for the expected term assumption. The risk-free interest rate is based on a treasury instrument whose term is consistent with the expected life of the stock options. The expected dividend yield is assumed to be zero as the Company has never paid dividends and has no current plans to pay any dividends on its common stock, which is similar to the Company’s peer group.</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stock-based awards are subject to either service- or performance-based vesting conditions. Compensation expense related to awards to employees with service-based vesting conditions is recognized on a straight-line basis based on the grant date fair value over the associated service period of the award, which is generally the vesting term, and is adjusted for pre-vesting forfeitures in the period in which the forfeitures occur. Consistent with the guidance in ASC 505- 50, compensation expense related to awards to non-employees with service-based vesting conditions is recognized on a straight-line basis based on the then-current fair value at each financial reporting date prior to the measurement date over the associated service period of the award, which is generally the vesting term. Compensation expense related to awards to employees with performance-based vesting conditions is recognized based on the grant date fair value over the requisite service period using the accelerated attribution method to the extent achievement of the performance condition is probable. Consistent with the guidance in ASC 505-50, compensation expense related to awards to non-employees with performance-based vesting conditions is recognized based on the then-current fair value at each financial reporting date prior to the measurement date over the requisite service period using the accelerated attribution method to the extent achievement of the performance condition is probable.</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awards with performance conditions in which the award does not vest unless the performance condition is met, the Company recognizes expense if, and to the extent that, the Company estimates that achievement of the performance condition is probable. If the Company concludes that vesting is probable, it recognizes expense from the date it reaches this conclusion through the estimated vesting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Basic net loss per share is calculated by dividing net loss by the weighted-average shares outstanding during the period, without consideration for common stock equivalents. Diluted net loss per share is calculated by adjusting weighted-average shares outstanding for the dilutive effect of common stock equivalents outstanding for the period, determined using the treasury-stock method. For purposes of the diluted net loss per share calculation, preferred stock, stock options, warrants, restricted stock and RSUs are considered to be common stock equivalents, but have been excluded from the calculation of diluted net loss per share, as their effect would be anti-dilutive for all periods presented. Therefore, basic and diluted net loss per share were the same for all periods presented. Diluted net income per share is calculated by dividing the net income by the weighted-average common shares outstanding for the period, including any dilutive effect from outstanding options, warrants, restricted stock and RSUs using the treasury stock method.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3. Product Revenue, Net</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began recording product revenue from the U.S. sales of Auryxia on December 12, 2018 following the consummation of the Merger. Total net product revenue was $6.8 million for the period from December 12, 2018 to December 31, 2018. The following table summarizes activity in each of the product revenue allowance and reserve categories for the period from December 12, 2018 to December 31,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Chargebacks</w:t>
            </w: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Rebates, Fees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2"/>
                <w:szCs w:val="12"/>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Discounts</w:t>
            </w: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Deductions</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12, 2018</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60"/>
              <w:spacing w:after="0"/>
              <w:rPr>
                <w:sz w:val="20"/>
                <w:szCs w:val="20"/>
                <w:color w:val="auto"/>
              </w:rPr>
            </w:pPr>
            <w:r>
              <w:rPr>
                <w:rFonts w:ascii="Arial" w:cs="Arial" w:eastAsia="Arial" w:hAnsi="Arial"/>
                <w:sz w:val="18"/>
                <w:szCs w:val="18"/>
                <w:color w:val="auto"/>
              </w:rPr>
              <w:t>Provisions related to sales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relating to sales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(2,255)</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22,861</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Chargebacks, discounts and returns are recorded as a direct reduction of revenue on the consolidated statement of operations with a corresponding reduction to accounts receivable on the consolidated balance sheets. Rebates, distribution-related fees, and other sales-related deductions are recorded as a reduction in revenue on the consolidated statement of operations with a corresponding increase to accrued liabilities or accounts payable on the consolidated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License, Collaboration and Other Significant Agreements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recognized $200.9 million, $181.2 million and $1.5 million in license, collaboration and other revenue for the years ended December 31, 2018, 2017 and 2016, respectively. The $200.9 million in license, collaboration and other revenue for the year ended December 31, 2018 included $200.5 million of the transaction price for the Company’s collaboration agreements with MTPC and Otsuka (discussed below), all of which are recognized based on a proportional performance method, approximately $0.3 million for other services related to clinical and regulatory related activities performed by the Company on behalf of MTPC that are not included in the performance obligations identified under the MTPC Agreement, and $0.1 million for license revenue related to royalties received from JT and Torii based on their sales of Riona in Japan. The $181.2 million in license, collaboration and other revenue for the year ended December 31, 2017 included $181.2 million of the transaction price for the MTPC Agreement and the Company’s collaboration agreements with Otsuka and approximately $31,000 for other services related to clinical and regulatory related activities performed by the Company on behalf of MTPC that are not included in the performance obligations identified under the MTPC Agreement. The $1.5 million in license and collaboration revenue for the year ended December 31, 2016 related to the transaction price for the Company’s collaboration agreement with Otsuka in the U.S.</w:t>
      </w:r>
    </w:p>
    <w:p>
      <w:pPr>
        <w:spacing w:after="0" w:line="16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years ended December 31, 2018, 2017 and 2016, the Company recognized the following revenues from its license, collaboration and other significant agreements and had the following deferred revenue balances as of December 31,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License, Collaboration and Other Revenue:</w:t>
            </w:r>
          </w:p>
        </w:tc>
        <w:tc>
          <w:tcPr>
            <w:tcW w:w="2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MTPC Agreement</w:t>
            </w:r>
          </w:p>
        </w:tc>
        <w:tc>
          <w:tcPr>
            <w:tcW w:w="2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42,918</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Otsuka U.S. Agreement</w:t>
            </w: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103,870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85,971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Otsuka International Agreement</w:t>
            </w:r>
          </w:p>
        </w:tc>
        <w:tc>
          <w:tcPr>
            <w:tcW w:w="21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87,320</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52,307</w:t>
            </w:r>
          </w:p>
        </w:tc>
        <w:tc>
          <w:tcPr>
            <w:tcW w:w="26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140"/>
              <w:spacing w:after="0"/>
              <w:rPr>
                <w:sz w:val="20"/>
                <w:szCs w:val="20"/>
                <w:color w:val="auto"/>
              </w:rPr>
            </w:pPr>
            <w:r>
              <w:rPr>
                <w:rFonts w:ascii="Arial" w:cs="Arial" w:eastAsia="Arial" w:hAnsi="Arial"/>
                <w:sz w:val="18"/>
                <w:szCs w:val="18"/>
                <w:color w:val="auto"/>
              </w:rPr>
              <w:t>Total Proportional Performance Revenue</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200,471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181,196</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JT and Torii</w:t>
            </w:r>
          </w:p>
        </w:tc>
        <w:tc>
          <w:tcPr>
            <w:tcW w:w="2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MTPC Stability Studies</w:t>
            </w:r>
          </w:p>
        </w:tc>
        <w:tc>
          <w:tcPr>
            <w:tcW w:w="21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License, Collaboration and Other Revenue</w:t>
            </w:r>
          </w:p>
        </w:tc>
        <w:tc>
          <w:tcPr>
            <w:tcW w:w="2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200,918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181,227</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2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Short-Term</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95"/>
              </w:rPr>
              <w:t>Long-Term</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Otsuka U.S. Agreement</w:t>
            </w:r>
          </w:p>
        </w:tc>
        <w:tc>
          <w:tcPr>
            <w:tcW w:w="2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29,909</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Otsuka International Agreement</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23,529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Vifor Agreement</w:t>
            </w:r>
          </w:p>
        </w:tc>
        <w:tc>
          <w:tcPr>
            <w:tcW w:w="2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56,980</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vMerge w:val="restart"/>
          </w:tcPr>
          <w:p>
            <w:pPr>
              <w:jc w:val="right"/>
              <w:ind w:right="850"/>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t>The following table presents changes in the Company’s contract assets and liabilities during the years ended December 31, 2018 and 2017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Deductions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Twelve Months Ended December 31, 2018</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Accounts receivable</w:t>
            </w:r>
            <w:r>
              <w:rPr>
                <w:rFonts w:ascii="Arial" w:cs="Arial" w:eastAsia="Arial" w:hAnsi="Arial"/>
                <w:sz w:val="15"/>
                <w:szCs w:val="15"/>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34,186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146,267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(178,866)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179,624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133,537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(200,472)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(4,427)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Twelve Months Ended December 31, 2017</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Contract assets - Accounts receivable</w:t>
            </w:r>
            <w:r>
              <w:rPr>
                <w:rFonts w:ascii="Arial" w:cs="Arial" w:eastAsia="Arial" w:hAnsi="Arial"/>
                <w:sz w:val="15"/>
                <w:szCs w:val="15"/>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33,823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43,324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 Deferred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(181,227)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120" w:hanging="512"/>
        <w:spacing w:after="0" w:line="257" w:lineRule="auto"/>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Excludes accounts receivable from other services related to clinical and regulatory activities performed by the Company on behalf of MTPC that are not included in the performance obligations identified under the MTPC Agreement. These receivables represented approximately $5,000 and $30,000 of accounts receivables in the accompanying consolidated balance sheets as of December 31, 2018 and 2017, respectively. Also excludes approximately $15.1 million in accounts receivable related to amounts due to the Company from product sales which are included in the accompanying consolidated balance sheet as of December 31, 2018.</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2018 and 2017, the Company recognized the following revenues as a result of changes in the contract asset and contract liability balances in the respective periods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Year Ended December 31,</w:t>
            </w:r>
          </w:p>
        </w:tc>
      </w:tr>
      <w:tr>
        <w:trPr>
          <w:trHeight w:val="210"/>
        </w:trPr>
        <w:tc>
          <w:tcPr>
            <w:tcW w:w="64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 Recognized in the Period from:</w:t>
            </w:r>
          </w:p>
        </w:tc>
        <w:tc>
          <w:tcPr>
            <w:tcW w:w="146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8"/>
                <w:szCs w:val="18"/>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Amounts included in deferred revenue at the beginning of the period</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125,454</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6,659</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recognize revenues as a result of changes in contract assets or contract liabilities during the year ended December 31, 2016.</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Mitsubishi Tanabe Pharma Corporation Collaboration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December 11, 2015, the Company and MTPC entered into a collaboration agreement, or the MTPC Agreement, providing MTPC with exclusive development and commercialization rights to vadadustat in Japan and certain other Asian countries, collectively, the MTPC Territory. In addition, the Company will supply vadadustat for both clinical and commercial use in the MTPC Territory, subject to MTPC’s option to manufacture commercial drug product in the MTPC Territory.</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and MTPC agreed that, instead of including Japanese patients in the Company’s global Phase 3 program for vadadustat, MTPC would be the sponsor of a Phase 3 program for vadadustat in Japan. Following consultation with the Japanese Pharmaceuticals and Medical Devices Agency, or the PMDA, MTPC initiated its Phase 3 development program for vadadustat in Japanese patients in Japan in the fourth quarter of 2017, and reported top-line data for the two Phase 3 pivotal trials and data from the two supportive Phase 3 studies in March 2019. MTPC is responsible for the costs of the Phase 3 program in Japan and other studies required there, and will make no funding payments for the global Phase 3 program.</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consideration for the exclusive license and other rights contained in the MTPC Agreement, MTPC is obligated to make payments totaling up to $265.0 million, comprised of a $20.0 million upfront payment, up to $50.0 million in specified development and regulatory milestones, up to $175.0 million in specified commercial milestones, and a $20.0 million advance payment for Phase 2 studies in Japanese patients completed by the Company and reimbursable by MTPC, as well as tiered double-digit royalty payments of up to 20% on sales of vadadustat in the MTPC Territory, subject to reduction upon launch of a generic product on a country-by-country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35" w:name="page136"/>
    <w:bookmarkEnd w:id="135"/>
    <w:p>
      <w:pPr>
        <w:ind w:right="40"/>
        <w:spacing w:after="0" w:line="293" w:lineRule="auto"/>
        <w:rPr>
          <w:sz w:val="20"/>
          <w:szCs w:val="20"/>
          <w:color w:val="auto"/>
        </w:rPr>
      </w:pPr>
      <w:r>
        <w:rPr>
          <w:rFonts w:ascii="Arial" w:cs="Arial" w:eastAsia="Arial" w:hAnsi="Arial"/>
          <w:sz w:val="16"/>
          <w:szCs w:val="16"/>
          <w:color w:val="auto"/>
        </w:rPr>
        <w:t>The Company completed its Phase 2 study of vadadustat in non-dialysis dependent, or NDD, Japanese patients in Japan and reported top-line data in the third quarter of 2017. The Company also announced top-line data of its Phase 2 study of vadadustat in dialysis-dependent, or DD, Japanese patients in Japan in the first quarter of 2018. The costs of these Phase 2 studies are reimbursable by MTPC. MTPC was obligated to reimburse the Company for costs to complete the Phase 2 studies in excess of the $20.0 million advance payment. The Company incurred approximately $20.5 million in Phase 2 costs through June 30, 2018 and did not incur any additional costs subsequent to June 30, 2018 as the studies have been completed. As a result, MTPC reimbursed the Company an additional approximately $0.5 million related to the two Phase 2 studies which was collected in the fourth quarter of 2018.</w:t>
      </w:r>
    </w:p>
    <w:p>
      <w:pPr>
        <w:spacing w:after="0" w:line="16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MTPC has sole responsibility for the commercialization of vadadustat in the MTPC Territory as well as for Medical Affairs (as defined in the MTPC Agreement) in the MTPC Territory. Akebia is responsible for manufacturing and supplying vadadustat for clinical use in the MTPC Territory. Akebia will enter into a supply agreement with MTPC for the commercial supply of vadadustat prior to commercial launch.</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and MTPC have established a joint steering committee pursuant to the MTPC Agreement to oversee development and commercialization of vadadustat in the MTPC Territory, including approval of any development or commercialization plans. Unless earlier terminated, the MTPC Agreement will continue in effect on a country-by-country basis until the later of the following: expiration of the last-to-expire patent covering vadadustat in such country in the MTPC Territory; expiration of marketing or regulatory exclusivity in such country in the MTPC Territory; or ten years after the first commercial sale of vadadustat in such country in the MTPC Territory. MTPC may terminate the MTPC Agreement upon twelve months’ notice at any time after the second anniversary of the effective date of the MTPC Agreement. Either party may terminate the MTPC Agreement upon the material breach of the other party that is not cured within a specified time period or upon the insolvency of the other party.</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MTPC is required to make certain milestone payments to the Company aggregating up to approximately $225.0 million upon the achievement of specified development, regulatory and commercial events. More specifically, the Company received $10.0 million in development milestone payments and is eligible to receive up to $40.0 million in regulatory milestone payments and up to $175.0 million in commercial milestone payments associated with aggregate sales of all products. Additionally, if vadadustat is commercialized, the Company would be entitled to receive tiered royalty payments in the low double digits based on a percentage of net sales. Royalty payments are subject to certain reductions, including upon the introduction of competitive products in certain instances. Royalties are due on a country-by-country basis from the date of first commercial sale of a licensed product in a country until the last to occur of: (i) the expiration of the last to expire valid claim within the intellectual property covering the licensed product, (ii) the expiration of marketing or regulatory exclusivity in such country, or (iii) the tenth anniversary of the first commercial sale of such licensed product in such country. Due to the uncertainty of pharmaceutical development and the high historical failure rates associated with drug development, although the Company has received $10.0 million in development milestones, no additional milestone or royalty payments may ever be received from MTPC.</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September 2017, the Company provided MTPC with an option to access data from the Company’s global Phase 3 vadadustat program for payments to the Company of up to $25.0 million, which is in addition to the milestone payments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evaluated the elements of the MTPC Agreement in accordance with the provisions of ASC 606 and concluded that the contract counterparty, MTPC, is a customer. The Company’s arrangement with MTPC contains the following material promises under the contract at inception: (i) license under certain of the Company’s intellectual property to develop and commercialize vadadustat (the License Deliverable) in the MTPC Territory, (ii) clinical supply of vadadustat (the Clinical Supply Deliverable), (iii) knowledge transfer, (iv) Phase 2 dosing study research services (the Research Deliverable), and (v) rights to future know-how.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6" w:name="page137"/>
    <w:bookmarkEnd w:id="136"/>
    <w:p>
      <w:pPr>
        <w:spacing w:after="0" w:line="297" w:lineRule="auto"/>
        <w:rPr>
          <w:sz w:val="20"/>
          <w:szCs w:val="20"/>
          <w:color w:val="auto"/>
        </w:rPr>
      </w:pPr>
      <w:r>
        <w:rPr>
          <w:rFonts w:ascii="Arial" w:cs="Arial" w:eastAsia="Arial" w:hAnsi="Arial"/>
          <w:sz w:val="16"/>
          <w:szCs w:val="16"/>
          <w:color w:val="auto"/>
        </w:rPr>
        <w:t>The Company has identified two performance obligations in connection with its material promises under the MTPC Agreement. Factors considered in making the assessment of which material promises will be accounted for as separate performance obligations included, among other things, the capabilities of the collaboration partner, whether any other vendor sells the item separately, whether the good or service is highly interdependent or highly interrelated to the other elements in the arrangement, and whether there are other vendors that can provide the items. Additionally, the MTPC Agreement does not include a general right of return. The two performance obligations identified in connection with the Company’s obligations under the MTPC Agreement are as follows:</w:t>
      </w:r>
    </w:p>
    <w:p>
      <w:pPr>
        <w:spacing w:after="0" w:line="266" w:lineRule="exact"/>
        <w:rPr>
          <w:sz w:val="20"/>
          <w:szCs w:val="20"/>
          <w:color w:val="auto"/>
        </w:rPr>
      </w:pPr>
    </w:p>
    <w:p>
      <w:pPr>
        <w:ind w:left="1040" w:hanging="519"/>
        <w:spacing w:after="0"/>
        <w:tabs>
          <w:tab w:leader="none" w:pos="104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License, Research and Clinical Supply Performance Obligation</w:t>
      </w:r>
    </w:p>
    <w:p>
      <w:pPr>
        <w:spacing w:after="0" w:line="117" w:lineRule="exact"/>
        <w:rPr>
          <w:rFonts w:ascii="Arial" w:cs="Arial" w:eastAsia="Arial" w:hAnsi="Arial"/>
          <w:sz w:val="18"/>
          <w:szCs w:val="18"/>
          <w:i w:val="1"/>
          <w:iCs w:val="1"/>
          <w:color w:val="auto"/>
        </w:rPr>
      </w:pPr>
    </w:p>
    <w:p>
      <w:pPr>
        <w:ind w:left="10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License Deliverable is not distinct from the Clinical Supply Deliverable. More specifically, the license delivered to MTPC does not provide the right to manufacture vadadustat. MTPC therefore, is prohibited from manufacturing any licensed product during clinical trials. Accordingly, MTPC must obtain the clinical trial products from the Company, which significantly limits the ability for MTPC to use the license for their intended use in a way that generates economic benefits.</w:t>
      </w:r>
    </w:p>
    <w:p>
      <w:pPr>
        <w:spacing w:after="0" w:line="78" w:lineRule="exact"/>
        <w:rPr>
          <w:rFonts w:ascii="Arial" w:cs="Arial" w:eastAsia="Arial" w:hAnsi="Arial"/>
          <w:sz w:val="18"/>
          <w:szCs w:val="18"/>
          <w:i w:val="1"/>
          <w:iCs w:val="1"/>
          <w:color w:val="auto"/>
        </w:rPr>
      </w:pPr>
    </w:p>
    <w:p>
      <w:pPr>
        <w:ind w:left="1040" w:right="40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License Deliverable is not distinct from the knowledge transfer because MTPC cannot fully utilize the license for its intended purpose without the corresponding information regarding know-how, development data and regulatory materials possessed by the Company.</w:t>
      </w:r>
    </w:p>
    <w:p>
      <w:pPr>
        <w:spacing w:after="0" w:line="15" w:lineRule="exact"/>
        <w:rPr>
          <w:rFonts w:ascii="Arial" w:cs="Arial" w:eastAsia="Arial" w:hAnsi="Arial"/>
          <w:sz w:val="18"/>
          <w:szCs w:val="18"/>
          <w:i w:val="1"/>
          <w:iCs w:val="1"/>
          <w:color w:val="auto"/>
        </w:rPr>
      </w:pPr>
    </w:p>
    <w:p>
      <w:pPr>
        <w:jc w:val="both"/>
        <w:ind w:left="1040" w:right="1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License Deliverable is not distinct from the Research Deliverable because MTPC cannot fully utilize the license for its intended purpose without the performance of the Phase 2 dosing studies. The Phase 2 dosing studies needed to be performed prior to the PMDA approving any Phase 3 study to be performed in the MTPC Territory. Furthermore, MTPC cannot benefit from the Phase 2 dosing studies without the license and the undelivered Phase 3 clinical supply.</w:t>
      </w:r>
    </w:p>
    <w:p>
      <w:pPr>
        <w:spacing w:after="0" w:line="78" w:lineRule="exact"/>
        <w:rPr>
          <w:rFonts w:ascii="Arial" w:cs="Arial" w:eastAsia="Arial" w:hAnsi="Arial"/>
          <w:sz w:val="18"/>
          <w:szCs w:val="18"/>
          <w:i w:val="1"/>
          <w:iCs w:val="1"/>
          <w:color w:val="auto"/>
        </w:rPr>
      </w:pPr>
    </w:p>
    <w:p>
      <w:pPr>
        <w:ind w:left="1040" w:right="3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 License Deliverable is not distinct from the clinical supply, knowledge transfer or Phase 2 studies. As a result, the License Deliverable, clinical supply, knowledge transfer and Phase 2 studies do not qualify for separation and have been combined as a single performance obligation (the License, Research and Clinical Supply Performance Obligation).</w:t>
      </w:r>
    </w:p>
    <w:p>
      <w:pPr>
        <w:spacing w:after="0" w:line="289" w:lineRule="exact"/>
        <w:rPr>
          <w:rFonts w:ascii="Arial" w:cs="Arial" w:eastAsia="Arial" w:hAnsi="Arial"/>
          <w:sz w:val="18"/>
          <w:szCs w:val="18"/>
          <w:i w:val="1"/>
          <w:iCs w:val="1"/>
          <w:color w:val="auto"/>
        </w:rPr>
      </w:pPr>
    </w:p>
    <w:p>
      <w:pPr>
        <w:ind w:left="1040" w:hanging="519"/>
        <w:spacing w:after="0"/>
        <w:tabs>
          <w:tab w:leader="none" w:pos="104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Rights to Future Know-How Performance Obligation</w:t>
      </w:r>
    </w:p>
    <w:p>
      <w:pPr>
        <w:spacing w:after="0" w:line="117" w:lineRule="exact"/>
        <w:rPr>
          <w:rFonts w:ascii="Arial" w:cs="Arial" w:eastAsia="Arial" w:hAnsi="Arial"/>
          <w:sz w:val="18"/>
          <w:szCs w:val="18"/>
          <w:i w:val="1"/>
          <w:iCs w:val="1"/>
          <w:color w:val="auto"/>
        </w:rPr>
      </w:pPr>
    </w:p>
    <w:p>
      <w:pPr>
        <w:ind w:left="1040" w:right="2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License, Research and Clinical Supply Deliverables combined are distinct from the rights to future know-how because MTPC can obtain the value of the License, Research and Clinical Supply Deliverables without receipt of any rights to future know-how that may be discovered or developed in the future. As a result, the rights to future know-how qualify for separation from the License, Research and Clinical Supply Performance Obligation.</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allocates the transaction price to each 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The Company did not develop a best estimate of standalone selling price for the License, Research and Clinical Supply Performance Obligation because the estimate of standalone selling price associated with the Rights to Future Know-How Performance Obligation was determined to be immaterial. The Company has concluded that a change in the key assumptions used to determine the best estimate of standalone selling price for each performance obligation would not have a significant impact on the allocation of arrangement consideration.</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transaction price at inception was comprised of: (i) the up-front payment, (ii) the estimated cost for the Phase 2 studies, (iii) a non-substantive milestone associated with the first patient enrolled in the NDD-CKD Phase 3 study, and (iv) the cost of all clinical supply provided to MTPC for the Phase 3 studies. No other development and no regulatory milestones have been included in the transaction price at inception, as all other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The total aggregate amount of development milestones is $10.0 million and the total aggregate amount of the regulatory milestones is up to $40.0 million. The total aggregate amount of sales milestones is up to $175.0 million. Any consideration related to sales-based milestones (including royalties) will be recognized when the related sales occur as they were determined to relate predominantly to the license granted to MTPC and therefore have also been excluded from the transaction price. The Company will re-evaluate the transaction price in each reporting period and as uncertain events are resolved or other changes in circumstances occur.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7" w:name="page138"/>
    <w:bookmarkEnd w:id="137"/>
    <w:p>
      <w:pPr>
        <w:ind w:right="80"/>
        <w:spacing w:after="0" w:line="342" w:lineRule="auto"/>
        <w:rPr>
          <w:sz w:val="20"/>
          <w:szCs w:val="20"/>
          <w:color w:val="auto"/>
        </w:rPr>
      </w:pPr>
      <w:r>
        <w:rPr>
          <w:rFonts w:ascii="Arial" w:cs="Arial" w:eastAsia="Arial" w:hAnsi="Arial"/>
          <w:sz w:val="16"/>
          <w:szCs w:val="16"/>
          <w:color w:val="auto"/>
        </w:rPr>
        <w:t>No amounts were allocated to the Rights to Future Know-How Performance Obligation because the associated best estimate of standalone selling price was determined to be immaterial; therefore the arrangement consideration will be allocated to the License, Research and Clinical Supply Performance Obligation.</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2018, the transaction price is comprised of: (i) the up-front payment of $20.0 million, (ii) the cost for the Phase 2 studies of $20.5 million, (iii) the cost of all clinical supply provided to MTPC for the Phase 3 studies, and (iv) $10.0 million in development milestones received, comprised of a $6.0 million and a $4.0 million development milestone. All development milestones have been reached as of December 31, 2018. No regulatory milestones have been assessed as probable of being reached as of December 31, 2018 and thus have been fully constrained. Revenue for the License, Research and Clinical Supply Performance Obligation for the MTPC Agreement is being recognized using a proportional performance method using the Company’s delivery of clinical supply of vadadustat to MTPC for the Phase 3 study as the basis for recognition. The Company recognized $9.3 million in revenue during the year ended December 31, 2018, with respect to the MTPC Agreement, and approximately $42.9 million during the year ended December 31, 2017. The revenue is classified as collaboration revenue in the accompanying consolidated statements of operations. No revenue was recognized in 2016 with respect to the MTPC Agreement as the applicable revenue recognition criteria was not satisfied until 2017. As of December 31, 2018, there is no deferred revenue and no accounts receivable.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Collaboration and License Agreement with Otsuka Pharmaceutical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December 18, 2016, the Company entered into a collaboration and license agreement with Otsuka, or the Otsuka U.S. Agreement. The collaboration is focused on the development and commercialization of vadadustat in the United States. Under the terms of the Otsuka U.S. Agreement, the Company is responsible for leading the development of vadadustat, including the ongoing Phase 3 development program. The Company and Otsuka will co-commercialize vadadustat in the United States, subject to the approval of vadadustat by the FDA.</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the Otsuka U.S. Agreement, the Company granted to Otsuka a co-exclusive, non-sublicensable license under certain intellectual property controlled by the Company solely to perform medical affairs activities and to conduct non-promotional and commercialization activities related to vadadustat in accordance with the associated plans. The co-exclusive license relates to activities that will be jointly conducted by the Company and Otsuka pursuant to the terms of the Otsuka U.S. Agreement. Additionally, the parties agreed not to promote, market or sell any competing product in the territory covered by the agreement.</w:t>
      </w:r>
    </w:p>
    <w:p>
      <w:pPr>
        <w:spacing w:after="0" w:line="188"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Pursuant to the terms of the Otsuka U.S. Agreement, the Company is responsible for performing all activities related to the development of vadadustat as outlined in the current global development plan. The current global development plan encompasses all activities with respect to the ongoing PRO</w:t>
      </w:r>
      <w:r>
        <w:rPr>
          <w:rFonts w:ascii="Arial" w:cs="Arial" w:eastAsia="Arial" w:hAnsi="Arial"/>
          <w:sz w:val="15"/>
          <w:szCs w:val="15"/>
          <w:color w:val="auto"/>
        </w:rPr>
        <w:t>2</w:t>
      </w:r>
      <w:r>
        <w:rPr>
          <w:rFonts w:ascii="Arial" w:cs="Arial" w:eastAsia="Arial" w:hAnsi="Arial"/>
          <w:sz w:val="18"/>
          <w:szCs w:val="18"/>
          <w:color w:val="auto"/>
        </w:rPr>
        <w:t>TECT and INNO</w:t>
      </w:r>
      <w:r>
        <w:rPr>
          <w:rFonts w:ascii="Arial" w:cs="Arial" w:eastAsia="Arial" w:hAnsi="Arial"/>
          <w:sz w:val="15"/>
          <w:szCs w:val="15"/>
          <w:color w:val="auto"/>
        </w:rPr>
        <w:t>2</w:t>
      </w:r>
      <w:r>
        <w:rPr>
          <w:rFonts w:ascii="Arial" w:cs="Arial" w:eastAsia="Arial" w:hAnsi="Arial"/>
          <w:sz w:val="18"/>
          <w:szCs w:val="18"/>
          <w:color w:val="auto"/>
        </w:rPr>
        <w:t>VATE clinical programs through the filing for marketing approval, as well as certain other studies. Under the Otsuka U.S. Agreement, subject to the terms of the Otsuka Funding Option, as described below, the Company controls and retains final decision</w:t>
      </w:r>
      <w:r>
        <w:rPr>
          <w:rFonts w:ascii="MS PGothic" w:cs="MS PGothic" w:eastAsia="MS PGothic" w:hAnsi="MS PGothic"/>
          <w:sz w:val="18"/>
          <w:szCs w:val="18"/>
          <w:color w:val="auto"/>
        </w:rPr>
        <w:t>‑</w:t>
      </w:r>
      <w:r>
        <w:rPr>
          <w:rFonts w:ascii="Arial" w:cs="Arial" w:eastAsia="Arial" w:hAnsi="Arial"/>
          <w:sz w:val="18"/>
          <w:szCs w:val="18"/>
          <w:color w:val="auto"/>
        </w:rPr>
        <w:t>making authority with respect to, among other things, the development of vadadustat. The Company’s obligations related to the conduct of the current global development plan include the associated manufacturing and supply services for vadadustat.</w:t>
      </w:r>
    </w:p>
    <w:p>
      <w:pPr>
        <w:spacing w:after="0" w:line="2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the Otsuka U.S. Agreement, the parties jointly conduct, and have equal responsibility for, all medical affairs, commercialization and non-promotional activities pursuant to underlying plans as agreed to by the parties. If approved by the FDA, the Company will provide vadadustat to Otsuka for commercialization pursuant to a separate supply agreement to be negotiated.</w:t>
      </w:r>
    </w:p>
    <w:p>
      <w:pPr>
        <w:spacing w:after="0" w:line="181"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activities under the Otsuka U.S. Agreement are governed by a joint steering committee, or JSC, formed by an equal number of representatives from the Company and Otsuka. The JSC coordinates and monitors the parties’ activities under the collaboration. Among other responsibilities, the JSC manages the overall strategic alignment between the parties, oversees the current global development plan and reviews other detailed plans setting forth the parties’ activities under the arrangement, including the medical affairs plan and commercialization and non-promotional activities plan. Additionally, the parties established a joint development committee, or JDC, which is comprised of an equal number of representatives from the Company and Otsuka. Among other responsibilities, the JDC shares information related to, and reviews and discusses activities and progress under, the current global development plan and any other development that may be conducted pursuant to the collaboration. The Company and Otsuka also established a joint manufacturing committee, or JMC, which is comprised of an equal number of representatives from each of the parties. Among other responsibilities, the JMC oversees the manufacturing plan and related manufacturing activities. In support of the potential commercialization of vadadustat, the parties established a joint commercialization committee, or JCC, which is comprised of an equal number of representatives from the Company and Otsuka. Among other responsibilities, the JCC oversees the activities and progress under the commercialization and non-promotional activities plan and all other sales and marketing activities. Subject to the terms of the Otsuka Funding Option, as described below, the Company has retained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with respect to all development matters, U.S. pricing strategy and certain other key commercialization matters.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8" w:name="page139"/>
    <w:bookmarkEnd w:id="138"/>
    <w:p>
      <w:pPr>
        <w:spacing w:after="0" w:line="267" w:lineRule="auto"/>
        <w:rPr>
          <w:sz w:val="20"/>
          <w:szCs w:val="20"/>
          <w:color w:val="auto"/>
        </w:rPr>
      </w:pPr>
      <w:r>
        <w:rPr>
          <w:rFonts w:ascii="Arial" w:cs="Arial" w:eastAsia="Arial" w:hAnsi="Arial"/>
          <w:sz w:val="17"/>
          <w:szCs w:val="17"/>
          <w:color w:val="auto"/>
        </w:rPr>
        <w:t>Under the terms of the Otsuka U.S. Agreement, the Company received a $125.0 million up-front, non-refundable, non-creditable cash payment in December 2016. In March 2017, the Company received a payment of approximately $33.8 million, which represents reimbursement for Otsuka’s share of costs previously incurred by the Company in implementing the current global development plan through December 31, 2016. Commencing in the third quarter of 2017, whereupon the Company had incurred a specified amount of incremental costs, Otsuka began to contribute, as required by the Otsuka U.S. Agreement, a percentage of the remaining costs incurred under the current global development plan. The Company estimates that Otsuka’s funding of the current global development plan costs subsequent to December 31, 2016 will total $167.5 million or more, depending on the actual costs incurred toward the current global development plan. The costs associated with the performance of any development activities in addition to those outlined in the current global development plan will be subject to a cost sharing or reimbursement mechanism to be determined by the parties. Costs incurred with respect to medical affairs and commercialization and non-promotional activities will generally be shared equally by the parties. In addition, if the costs incurred in completing the activities under the current global development plan exceed a certain threshold, or the Cost Threshold, then the Company may elect to require Otsuka to increase the aggregate percentage of current global development costs it funds under the Otsuka U.S. Agreement and the Otsuka International Agreement, as defined below, from 52.5% to 80%, or the Otsuka Funding Option. In such event, the excess of the payments made under such election and Otsuka’s allocated share of the current global development costs is fully creditable against future payments due to the Company under the arrangement, provided that future payments due to the Company may not be reduced by more than 50% in any calendar year and any remaining creditable amount above 50% in any calendar year will be applied to subsequent future payments until fully credited. In addition, decisions regarding certain development matters will be made jointly by the Company and Otsuka in accordance with the procedures set forth in the Otsuka U.S. Agreement. In September 2018, the Company exercised the Otsuka Funding Option, which will be effective when the Cost Threshold is exceeded. The Company estimates that the Cost Threshold will be exceeded in the second quarter of 2019.</w:t>
      </w:r>
    </w:p>
    <w:p>
      <w:pPr>
        <w:spacing w:after="0" w:line="19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Otsuka would be required to make certain milestone payments to the Company upon the achievement of specified development, regulatory and commercial events. More specifically, the Company is eligible to receive up to $125.0 million in development milestone payments and up to $65.0 million in regulatory milestone payments for the first product to achieve the associated event. Moreover, the Company is eligible for up to $575.0 million in commercial milestone payments associated with aggregate sales of licensed products, subject to reduction as set forth above. Due to the uncertainty of pharmaceutical development and the high historical failure rates associated therewith, no milestone payments may ever be received from Otsuka.</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Otsuka U.S. Agreement, the Company and Otsuka share the costs of developing and commercializing vadadustat in the United States and the profits from the sales of vadadustat after approval by the FDA. In connection with the profit share calculation, net sales include gross sales to third-party customers net of discounts, rebates, chargebacks, taxes, freight and insurance charges and other applicable deductions. Shared costs generally include costs attributable or reasonably allocable to the manufacture of vadadustat for commercialization purposes and the performance of medical affairs activities, non-promotional activities and commercialization activities.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Unless earlier terminated, the Otsuka U.S. Agreement will expire in the U.S. on a product-by-product basis on the date that one or more generic versions of vadadustat first achieves 90% market penetration. Either party may terminate the Otsuka U.S. Agreement in its entirety upon an uncured breach or insolvency on the part of the other party. Otsuka may terminate the Otsuka U.S. Agreement in its entirety upon 12 months’ prior written notice at any time after the release of the first topline data from the global Phase 3 development program for vadadustat. In the event of termination of the Otsuka U.S. Agreement, all rights and licensees granted to Otsuka under the Otsuka U.S. Agreement will automatically terminate and the licenses granted to the Company will become freely sublicensable. In addition, the upfront payment, all development costs and milestone payments received by the Company prior to such termination will not be refunded to Otsuka.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evaluated the elements of the Otsuka U.S. Agreement in accordance with the provisions of ASC 606 and concluded that the contract counterparty, Otsuka, is a customer. The Company’s arrangement with Otsuka contains the following material promises under the contract at inception: (i) license under certain of the Company’s intellectual property to develop, perform medical affairs activities with respect to and conduct non-promotional and commercialization activities related to vadadustat and products containing or comprising vadadustat (the License Deliverable), (ii) development services to be performed pursuant to the current global development plan (the Development Services Deliverable), (iii) rights to future intellectual property (the Future IP Deliverable), and (iv) joint committee services (the Committee Deliverable).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9" w:name="page140"/>
    <w:bookmarkEnd w:id="139"/>
    <w:p>
      <w:pPr>
        <w:spacing w:after="0" w:line="255" w:lineRule="auto"/>
        <w:rPr>
          <w:sz w:val="20"/>
          <w:szCs w:val="20"/>
          <w:color w:val="auto"/>
        </w:rPr>
      </w:pPr>
      <w:r>
        <w:rPr>
          <w:rFonts w:ascii="Arial" w:cs="Arial" w:eastAsia="Arial" w:hAnsi="Arial"/>
          <w:sz w:val="18"/>
          <w:szCs w:val="18"/>
          <w:color w:val="auto"/>
        </w:rPr>
        <w:t>The Company has identified three performance obligations in connection with its obligations under the Otsuka U.S. Agreement. Factors considered in making the assessment of which material promises will be accounted for as separate performance obligations included, among other things, the capabilities of the collaboration partner, whether any other vendor sells the item separately, whether the good or service is highly interdependent or highly interrelated to the other elements in the arrangement, and whether there are other vendors that can provide the items. Additionally, the Otsuka U.S. Agreement does not include a general right of return. The three performance obligations identified in connection with the Company’s obligations under the Otsuka U.S. Agreement are as follows:</w:t>
      </w:r>
    </w:p>
    <w:p>
      <w:pPr>
        <w:spacing w:after="0" w:line="301" w:lineRule="exact"/>
        <w:rPr>
          <w:sz w:val="20"/>
          <w:szCs w:val="20"/>
          <w:color w:val="auto"/>
        </w:rPr>
      </w:pPr>
    </w:p>
    <w:p>
      <w:pPr>
        <w:ind w:left="1040" w:hanging="519"/>
        <w:spacing w:after="0"/>
        <w:tabs>
          <w:tab w:leader="none" w:pos="104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License and Development Services Combined (License Performance Obligation)</w:t>
      </w:r>
    </w:p>
    <w:p>
      <w:pPr>
        <w:spacing w:after="0" w:line="117" w:lineRule="exact"/>
        <w:rPr>
          <w:rFonts w:ascii="Arial" w:cs="Arial" w:eastAsia="Arial" w:hAnsi="Arial"/>
          <w:sz w:val="18"/>
          <w:szCs w:val="18"/>
          <w:i w:val="1"/>
          <w:iCs w:val="1"/>
          <w:color w:val="auto"/>
        </w:rPr>
      </w:pPr>
    </w:p>
    <w:p>
      <w:pPr>
        <w:ind w:left="1040" w:right="40"/>
        <w:spacing w:after="0" w:line="288" w:lineRule="auto"/>
        <w:rPr>
          <w:rFonts w:ascii="Arial" w:cs="Arial" w:eastAsia="Arial" w:hAnsi="Arial"/>
          <w:sz w:val="18"/>
          <w:szCs w:val="18"/>
          <w:i w:val="1"/>
          <w:iCs w:val="1"/>
          <w:color w:val="auto"/>
        </w:rPr>
      </w:pPr>
      <w:r>
        <w:rPr>
          <w:rFonts w:ascii="Arial" w:cs="Arial" w:eastAsia="Arial" w:hAnsi="Arial"/>
          <w:sz w:val="16"/>
          <w:szCs w:val="16"/>
          <w:color w:val="auto"/>
        </w:rPr>
        <w:t>The License Deliverable is not distinct from the Development Services Deliverable, due to the limitations inherent in the license conveyed. More specifically, the license conveyed to Otsuka does not provide Otsuka with the right to manufacture vadadustat and products containing or comprising vadadustat. However, the manufacturing and supply services that are conducted as part of the services to be performed pursuant to the current global development plan are necessary for Otsuka to fully exploit the associated license for its intended purpose. The value of the rights provided through the license conveyed will be realized when the underlying products covered by the intellectual property progress through the development cycle, receive regulatory approval and are commercialized. Products containing or comprising vadadustat cannot be commercialized until the development services under the current global development plan are completed. Accordingly, Otsuka must obtain the manufacturing and supply of the associated products that are included within the development services to be performed pursuant to the current global development plan from the Company in order to derive benefit from the license, which significantly limits the ability for Otsuka to utilize the License Deliverable for its intended purpose in a way that generates economic benefits.</w:t>
      </w:r>
    </w:p>
    <w:p>
      <w:pPr>
        <w:spacing w:after="0" w:line="277" w:lineRule="exact"/>
        <w:rPr>
          <w:rFonts w:ascii="Arial" w:cs="Arial" w:eastAsia="Arial" w:hAnsi="Arial"/>
          <w:sz w:val="18"/>
          <w:szCs w:val="18"/>
          <w:i w:val="1"/>
          <w:iCs w:val="1"/>
          <w:color w:val="auto"/>
        </w:rPr>
      </w:pPr>
    </w:p>
    <w:p>
      <w:pPr>
        <w:ind w:left="1040" w:hanging="519"/>
        <w:spacing w:after="0"/>
        <w:tabs>
          <w:tab w:leader="none" w:pos="104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Rights to Future Intellectual Property (Future IP Performance Obligation)</w:t>
      </w:r>
    </w:p>
    <w:p>
      <w:pPr>
        <w:spacing w:after="0" w:line="117" w:lineRule="exact"/>
        <w:rPr>
          <w:rFonts w:ascii="Arial" w:cs="Arial" w:eastAsia="Arial" w:hAnsi="Arial"/>
          <w:sz w:val="18"/>
          <w:szCs w:val="18"/>
          <w:i w:val="1"/>
          <w:iCs w:val="1"/>
          <w:color w:val="auto"/>
        </w:rPr>
      </w:pPr>
    </w:p>
    <w:p>
      <w:pPr>
        <w:ind w:left="1040" w:right="4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License and Development Services deliverables combined are distinct from the Future IP Deliverable because Otsuka can obtain the value of the license using the clinical trial materials implicit in the development services without the receipt of any other intellectual property that may be discovered or developed in the future. The Future IP Deliverable is distinct from the Committee Deliverable because the joint committee services have no bearing on the value to be derived from the rights to potential future intellectual property. As a result, the Future IP Deliverable qualifies as a separate performance obligation.</w:t>
      </w:r>
    </w:p>
    <w:p>
      <w:pPr>
        <w:spacing w:after="0" w:line="296" w:lineRule="exact"/>
        <w:rPr>
          <w:rFonts w:ascii="Arial" w:cs="Arial" w:eastAsia="Arial" w:hAnsi="Arial"/>
          <w:sz w:val="18"/>
          <w:szCs w:val="18"/>
          <w:i w:val="1"/>
          <w:iCs w:val="1"/>
          <w:color w:val="auto"/>
        </w:rPr>
      </w:pPr>
    </w:p>
    <w:p>
      <w:pPr>
        <w:ind w:left="1040" w:hanging="519"/>
        <w:spacing w:after="0"/>
        <w:tabs>
          <w:tab w:leader="none" w:pos="104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Joint Committee Services (Committee Performance Obligation)</w:t>
      </w:r>
    </w:p>
    <w:p>
      <w:pPr>
        <w:spacing w:after="0" w:line="117" w:lineRule="exact"/>
        <w:rPr>
          <w:rFonts w:ascii="Arial" w:cs="Arial" w:eastAsia="Arial" w:hAnsi="Arial"/>
          <w:sz w:val="18"/>
          <w:szCs w:val="18"/>
          <w:i w:val="1"/>
          <w:iCs w:val="1"/>
          <w:color w:val="auto"/>
        </w:rPr>
      </w:pPr>
    </w:p>
    <w:p>
      <w:pPr>
        <w:ind w:left="1040" w:right="1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License and Development Services deliverables combined are distinct from the Committee Deliverable because Otsuka can obtain the value of the license using the clinical trial materials implicit in the development services without the joint committee services. The Committee Deliverable also is distinct from the rights to Future IP Deliverable because the joint committee services have no bearing on the value to be derived from the rights to potential future intellectual property. As a result, the Committee Deliverable qualifies as a separate performance obligation.</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allocates the transaction price to each performance obligation based on the Company’s best estimate of the relative standalone selling price. The Company developed a best estimate of standalone selling price for the Committee Performance Obligation after considering the nature of the services to be performed and estimates of the associated effort and rates applicable to such services that would be expected to be realized under similar contracts. The Company developed a best estimate of standalone selling price for the Future IP Performance Obligation primarily based on the likelihood that additional intellectual property covered by the license conveyed will be developed during the term of the arrangement. The Company did not develop a best estimate of standalone selling price for the License Performance Obligation due to the following: (i) the best estimates of standalone selling price associated with the Future IP Performance Obligation was determined to be immaterial and (ii) the period of performance and pattern of recognition for the License Performance Obligation and the Committee Performance Obligation was determined to be similar. The Company has concluded that a change in the key assumptions used to determine the best estimate of standalone selling price for each performance obligation would not have a significant impact on the allocation of arrangement consideration.</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transaction price at inception was comprised of: (i) the up-front payment, (ii) the cost share payment with respect to amounts incurred by the Company through December 31, 2016, and (iii) an estimate of the cost share payments to be received with respect to amounts incurred by the Company subsequent to December 31, 2016. No development or regulatory milestones were included in the transaction price at inception,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will be recognized when the related sales occur as they were determined to relate predominantly to the license granted to Otsuka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0" w:name="page141"/>
    <w:bookmarkEnd w:id="140"/>
    <w:p>
      <w:pPr>
        <w:ind w:right="60"/>
        <w:spacing w:after="0" w:line="254" w:lineRule="auto"/>
        <w:rPr>
          <w:sz w:val="20"/>
          <w:szCs w:val="20"/>
          <w:color w:val="auto"/>
        </w:rPr>
      </w:pPr>
      <w:r>
        <w:rPr>
          <w:rFonts w:ascii="Arial" w:cs="Arial" w:eastAsia="Arial" w:hAnsi="Arial"/>
          <w:sz w:val="18"/>
          <w:szCs w:val="18"/>
          <w:color w:val="auto"/>
        </w:rPr>
        <w:t>No amounts were allocated to the Future IP Performance Obligation because the associated best estimate of standalone selling price was determined to be immaterial. Due to the similar performance period and recognition pattern between the License Performance Obligation and the Committee Performance Obligation, the transaction price has been allocated to the License Performance Obligation and the Committee Performance Obligation on a combined basis. Accordingly, the Company will recognize revenue related to the allocable arrangement consideration on a proportional performance basis as the underlying development services are performed pursuant to the current global development plan which is commensurate with the period and consistent with the pattern over which the Company’s obligations are satisfied for both the License Performance Obligation and the Committee Performance Obligation. Effectively, the Company has treated the arrangement as if the License Performance Obligation and the Committee Performance Obligation are a single performance obligation.</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2018, the transaction price totaling $326.3 million is comprised of: (i) the up-front payment of $125.0 million, (ii) the cost share payment with respect to amounts incurred by the Company through December 31, 2016 of $33.8 million, and (iii) the estimate of the cost share payments to be received of approximately $167.5 million with respect to amounts incurred by the Company subsequent to December 31, 2016. As of December 31, 2018, no development or regulatory milestones have been assessed as probable of being reached and thus have been fully constrained.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years ended December 31, 2018, 2017 and 2016, the Company recognized revenue totaling approximately $103.9 million, $86.0 million and $1.5 million, respectively, with respect to the Otsuka U.S. Agreement. The revenue is classified as collaboration revenue in the accompanying consolidated statements of operations. As of December 31, 2018, there is approximately $63.4 million of deferred revenue related to the Otsuka U.S. Agreement of which $33.5 million is classified as current and $29.9 million is classified as long-term in the accompanying consolidated balance sheet based on the performance period of the underlying obligations. Additionally, as of December 31, 2018, there is approximately $7.2 million in contract liabilities (included in accounts payable) in the accompanying consolidated balance sheet.</w:t>
      </w:r>
    </w:p>
    <w:p>
      <w:pPr>
        <w:spacing w:after="0" w:line="19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 Company determined that the medical affairs, commercialization and non-promotional activities elements of the Otsuka U.S. Agreement represent joint operating activities in which both parties are active participants and of which both parties are exposed to significant risks and rewards that are dependent on the success of the activities. Accordingly, the Company is accounting for the joint medical affairs, commercialization and non-promotional activities in accordance with ASC No.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Additionally, the Company has determined that in the context of the medical affairs, commercialization and non-promotional activities, Otsuka does not represent a customer as contemplated by ASC 606-10-15,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 Scope and Scope Exceptions</w:t>
      </w:r>
      <w:r>
        <w:rPr>
          <w:rFonts w:ascii="Arial" w:cs="Arial" w:eastAsia="Arial" w:hAnsi="Arial"/>
          <w:sz w:val="17"/>
          <w:szCs w:val="17"/>
          <w:color w:val="auto"/>
        </w:rPr>
        <w:t>. As a result, the activities conducted pursuant to the medical affairs, commercialization and non-promotional</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plans will be accounted for as a component of the related expense in the period incurred. During the year ended December 31, 2018, the Company incurred approximately $1.2 million of costs related to the cost-sharing provisions of the Otsuka U.S. Agreement of which approximately $0.5 million are reimbursable by Otsuka and recorded as a reduction to research and development expense during the year ended December 31, 2018. During the year ended December 31, 2018, Otsuka incurred approximately $1.1 million of costs related to the cost-sharing provisions of the Otsuka U.S. Agreement, of which approximately $0.5 million are reimbursable by the Company and recorded as an increase to research and development expense during the year ended December 31,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Collaboration and License Agreement with Otsuka Pharmaceutical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April 25, 2017, the Company entered into a collaboration and license agreement with Otsuka, or the Otsuka International Agreement. The collaboration is focused on the development and commercialization of vadadustat in Europe, Russia, China, Canada, Australia, the Middle East and certain other territories, collectively, the Otsuka International Territory. Under the terms of the Otsuka International Agreement, the Company is responsible for leading the development of vadadustat, including the ongoing global Phase 3 development program. Otsuka has the sole responsibility, at its own cost, for the commercialization of vadadustat in the Otsuka International Territory, subject to the approval by the relevant regulatory authorities.</w:t>
      </w:r>
    </w:p>
    <w:p>
      <w:pPr>
        <w:spacing w:after="0" w:line="1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terms of the Otsuka International Agreement, the Company granted to Otsuka an exclusive, sublicensable license under certain intellectual property controlled by the Company to develop and commercialize vadadustat and products containing or comprising vadadustat in the Otsuka International Territory.</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Pursuant to the terms of the Otsuka International Agreement, the Company is responsible for performing all activities related to the development of vadadustat as outlined in the current global development plan; however, the parties may agree to allocate certain responsibilities to Otsuka. Under the Otsuka International Agreement, and subject to the terms of the Otsuka Funding Option described above, the Company controls and retains final decision-making authority with respect to, among other things, the development of vadadustat other than with respect to certain development matters specific to the Otsuka International Territory. Per the terms of the Otsuka International Agreement, Otsuka is generally responsible for the conduct of any development activities that may be required for marketing approvals in the Otsuka International Territory or otherwise performed with respect to the Otsuka International Territory that are incremental to those included in the current global development plan. The Company’s obligations related to the conduct of the current global development plan include the associated manufacturing and supply services for vadadustat.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1" w:name="page142"/>
    <w:bookmarkEnd w:id="141"/>
    <w:p>
      <w:pPr>
        <w:ind w:right="180"/>
        <w:spacing w:after="0" w:line="302" w:lineRule="auto"/>
        <w:rPr>
          <w:sz w:val="20"/>
          <w:szCs w:val="20"/>
          <w:color w:val="auto"/>
        </w:rPr>
      </w:pPr>
      <w:r>
        <w:rPr>
          <w:rFonts w:ascii="Arial" w:cs="Arial" w:eastAsia="Arial" w:hAnsi="Arial"/>
          <w:sz w:val="16"/>
          <w:szCs w:val="16"/>
          <w:color w:val="auto"/>
        </w:rPr>
        <w:t>Under the Otsuka International Agreement, Otsuka is to be solely responsible for the conduct of all medical affairs and commercialization activities in the Otsuka International Territory pursuant to underlying plans as reviewed and discussed by the parties. If approved by the relevant jurisdictional regulatory health authorities in the Otsuka International Territory, the Company will provide vadadustat to Otsuka for commercialization pursuant to a separate supply agreement to be negotiated. Additionally, the parties agreed not to promote, market or sell any competing product in the territory covered by the agreement.</w:t>
      </w:r>
    </w:p>
    <w:p>
      <w:pPr>
        <w:spacing w:after="0" w:line="154"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activities under the Otsuka International Agreement are governed by a JSC formed by an equal number of representatives from the Company and Otsuka. The JSC coordinates and monitors the parties’ activities under the collaboration. Among other responsibilities, the JSC manages the overall strategic alignment between the parties, oversees the current global development plan and reviews other detailed plans setting forth any other development activities that may be conducted under the arrangement. Additionally, the parties established a JDC, which is comprised of an equal number of representatives from the Company and Otsuka. Among other responsibilities, the JDC shares information related to, and reviews and discusses activities and progress under, the current global development plan and any other development that may be conducted pursuant to the collaboration. The Company and Otsuka also established a JMC, which is comprised of an equal number of representatives from each of the parties. Among other responsibilities, the JMC oversees the manufacturing plan and related manufacturing activities. In support of the potential commercialization of vadadustat, the parties established a JCC, which is comprised of an equal number of representatives from the Company and Otsuka. Among other responsibilities, the JCC manages the activities and progress under the commercialization and non-promotional activities plan and all other sales and marketing activities. Subject to the terms of the Otsuka Funding Option described above, the Company has retained final decision</w:t>
      </w:r>
      <w:r>
        <w:rPr>
          <w:rFonts w:ascii="MS PGothic" w:cs="MS PGothic" w:eastAsia="MS PGothic" w:hAnsi="MS PGothic"/>
          <w:sz w:val="16"/>
          <w:szCs w:val="16"/>
          <w:color w:val="auto"/>
        </w:rPr>
        <w:t>‑</w:t>
      </w:r>
      <w:r>
        <w:rPr>
          <w:rFonts w:ascii="Arial" w:cs="Arial" w:eastAsia="Arial" w:hAnsi="Arial"/>
          <w:sz w:val="16"/>
          <w:szCs w:val="16"/>
          <w:color w:val="auto"/>
        </w:rPr>
        <w:t>making authority with respect to all development matters, other than decisions related to certain development matters specific to the Otsuka International Territory. Otsuka has retained final decision</w:t>
      </w:r>
      <w:r>
        <w:rPr>
          <w:rFonts w:ascii="MS PGothic" w:cs="MS PGothic" w:eastAsia="MS PGothic" w:hAnsi="MS PGothic"/>
          <w:sz w:val="16"/>
          <w:szCs w:val="16"/>
          <w:color w:val="auto"/>
        </w:rPr>
        <w:t>‑</w:t>
      </w:r>
      <w:r>
        <w:rPr>
          <w:rFonts w:ascii="Arial" w:cs="Arial" w:eastAsia="Arial" w:hAnsi="Arial"/>
          <w:sz w:val="16"/>
          <w:szCs w:val="16"/>
          <w:color w:val="auto"/>
        </w:rPr>
        <w:t>making authority with respect to all commercialization matters, other than decisions related to certain marketing matters.</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the terms of the Otsuka International Agreement, the Company received a $73.0 million up-front, non-refundable, non-creditable cash payment. The Company also received a payment of approximately $0.2 million which represents reimbursement for Otsuka’s share of costs previously incurred by the Company in implementing the current global development plan in excess of a specified threshold during the quarter ended March 31, 2017. Commencing in the second quarter of 2017, Otsuka began to contribute, as required by the Otsuka International Agreement, a percentage of the remaining costs incurred under the current global development plan. The Company estimates that Otsuka’s funding of the current global development plan costs subsequent to March 31, 2017 will total roughly $176.1 million or more, depending on the actual current global development plan costs incurred. The costs associated with the performance of any mutually agreed upon development activities in addition to those outlined in the current global development plan will be subject to a cost sharing or reimbursement mechanism to be determined by the parties. Otsuka may elect to conduct additional studies of vadadustat in the EU, subject to the Company’s right to delay such studies based on its objectives outside the Otsuka International Territory. Otsuka will pay a percentage of the costs of any such studies, and the Company will pay its portion of the costs in the form of a credit against future amounts due to the Company under the Otsuka International Agreement. The costs incurred related to any other development activities, which are pursued solely for obtaining or maintaining marketing approval in the Otsuka International Territory or otherwise performed solely with respect to the Otsuka International Territory that are incremental to the development activities included in the current global development plan, will be borne in their entirety by Otsuka. Otsuka will pay costs incurred with respect to medical affairs and commercialization activities in the Otsuka International Territory.</w:t>
      </w:r>
    </w:p>
    <w:p>
      <w:pPr>
        <w:spacing w:after="0" w:line="172"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In addition, Otsuka would be required to make certain milestone payments to the Company upon the achievement of specified development, regulatory and commercial events. More specifically, the Company is eligible to receive up to $80.0 million in development milestone payments and up to $52.0 million in regulatory milestone payments for the first licensed product to achieve the associated event. Moreover, the Company is eligible for up to $525.0 million in commercial milestone payments associated with aggregate sales of all licensed products. Additionally, to the extent vadadustat is commercialized, the Company would be entitled to receive tiered royalty payments ranging from the low double digits to the low thirties based on a percentage of net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sales. Royalties are due on a country-by-country basis from the date of the first commercial sale of a licensed product in a country until the latest to occur of:</w:t>
      </w:r>
    </w:p>
    <w:p>
      <w:pPr>
        <w:spacing w:after="0" w:line="32" w:lineRule="exact"/>
        <w:rPr>
          <w:sz w:val="20"/>
          <w:szCs w:val="20"/>
          <w:color w:val="auto"/>
        </w:rPr>
      </w:pPr>
    </w:p>
    <w:p>
      <w:pPr>
        <w:jc w:val="both"/>
        <w:ind w:right="60" w:firstLine="8"/>
        <w:spacing w:after="0" w:line="253"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expiration date in such country of the last to expire valid claim within the intellectual property covering the licensed product, (ii) the date of expiration of data or regulatory exclusivity in such country or (iii) the tenth anniversary of the first commercial sale of such licensed product in such country. Due to the uncertainty of pharmaceutical development and the high historical failure rates associated therewith, no milestone or royalty payments may ever be received from Otsuka. There are no cancellation, termination or refund provisions in the Otsuka International Agreement that contain material financial consequences to the Company.</w:t>
      </w:r>
    </w:p>
    <w:p>
      <w:pPr>
        <w:spacing w:after="0" w:line="19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Unless earlier terminated, the Otsuka International Agreement will expire upon the expiration of the royalty term in the last country in the Otsuka International Territory. Either party may terminate the Otsuka International Agreement in its entirety upon an uncured material breach or insolvency on the part of the other party. Otsuka may terminate the Otsuka International Agreement in its entirety or for a specific region in the Otsuka International Territory upon 12 months’ prior written notice at any time after the release of the first topline data from either the PRO</w:t>
      </w:r>
      <w:r>
        <w:rPr>
          <w:rFonts w:ascii="Arial" w:cs="Arial" w:eastAsia="Arial" w:hAnsi="Arial"/>
          <w:sz w:val="14"/>
          <w:szCs w:val="14"/>
          <w:color w:val="auto"/>
        </w:rPr>
        <w:t>2</w:t>
      </w:r>
      <w:r>
        <w:rPr>
          <w:rFonts w:ascii="Arial" w:cs="Arial" w:eastAsia="Arial" w:hAnsi="Arial"/>
          <w:sz w:val="17"/>
          <w:szCs w:val="17"/>
          <w:color w:val="auto"/>
        </w:rPr>
        <w:t>TECT Phase 3 development program or the INNO</w:t>
      </w:r>
      <w:r>
        <w:rPr>
          <w:rFonts w:ascii="Arial" w:cs="Arial" w:eastAsia="Arial" w:hAnsi="Arial"/>
          <w:sz w:val="14"/>
          <w:szCs w:val="14"/>
          <w:color w:val="auto"/>
        </w:rPr>
        <w:t>2</w:t>
      </w:r>
      <w:r>
        <w:rPr>
          <w:rFonts w:ascii="Arial" w:cs="Arial" w:eastAsia="Arial" w:hAnsi="Arial"/>
          <w:sz w:val="17"/>
          <w:szCs w:val="17"/>
          <w:color w:val="auto"/>
        </w:rPr>
        <w:t>VATE Phase 3 development program, whichever comes first. In the event of termination of the Otsuka International Agreement, all rights and licensees granted to Otsuka under the Otsuka International Agreement will automatically terminate, and the licenses granted to the Company will become freely sublicensable, but potentially subject to a future royalty. In addition, the upfront payment, all development costs and milestone payments received by the Company prior to such termination will not be eligible for refund to Otsuka.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has accounted for the Otsuka International Agreement separately from the collaboration arrangement with Otsuka with respect to the U.S. due to the lack of interrelationship and interdependence of the elements and payment terms within each of the contracts as they relate to the respective territories. Accordingly, the Company has applied the guidance in ASC 606 solely in reference to the terms and conditions of the Otsuka International Agreement, while the Otsuka U.S. Agreement has continued to be accounted for as a discrete agreement in its own right. The Company evaluated the Otsuka International Agreement in accordance with the provisions of ASC 606 and concluded that the contract counterparty, Otsuka, is a customer. The Company’s arrangement with Otsuka related to the Otsuka International Territory contains the following material promises under the contract at inception: (i) license under certain of the Company’s intellectual property to develop and commercialize (including the associated packaging) vadadustat and products containing or comprising vadadustat and development services to be performed pursuant to the current global development plan (the License and Development Services Deliverable), (ii) rights to future intellectual property (the Future IP Deliverable) and (iii) joint committee services (the Committee Deliverable).</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identified three performance obligations in connection with its obligations under the Otsuka International Agreement. Factors considered in making this assessment of which material promises will be accounted for as a separate performance obligation included, among other things, the capabilities of the collaboration partner, whether any other vendor sells the item separately, whether the good or service is highly interdependent or highly interrelated to the other elements in the arrangement, and whether there are other vendors that can provide the items. Additionally, the Otsuka International Agreement does not include a general right of return. The three performance obligations identified in connection with the Company’s obligations under the Otsuka International Agreement are as follows:</w:t>
      </w:r>
    </w:p>
    <w:p>
      <w:pPr>
        <w:spacing w:after="0" w:line="301" w:lineRule="exact"/>
        <w:rPr>
          <w:sz w:val="20"/>
          <w:szCs w:val="20"/>
          <w:color w:val="auto"/>
        </w:rPr>
      </w:pPr>
    </w:p>
    <w:p>
      <w:pPr>
        <w:ind w:left="1040" w:hanging="519"/>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License and Development Services Combined (License Performance Obligation)</w:t>
      </w:r>
    </w:p>
    <w:p>
      <w:pPr>
        <w:spacing w:after="0" w:line="117" w:lineRule="exact"/>
        <w:rPr>
          <w:rFonts w:ascii="Arial" w:cs="Arial" w:eastAsia="Arial" w:hAnsi="Arial"/>
          <w:sz w:val="18"/>
          <w:szCs w:val="18"/>
          <w:color w:val="auto"/>
        </w:rPr>
      </w:pPr>
    </w:p>
    <w:p>
      <w:pPr>
        <w:ind w:left="1040"/>
        <w:spacing w:after="0" w:line="271" w:lineRule="auto"/>
        <w:rPr>
          <w:rFonts w:ascii="Arial" w:cs="Arial" w:eastAsia="Arial" w:hAnsi="Arial"/>
          <w:sz w:val="18"/>
          <w:szCs w:val="18"/>
          <w:color w:val="auto"/>
        </w:rPr>
      </w:pPr>
      <w:r>
        <w:rPr>
          <w:rFonts w:ascii="Arial" w:cs="Arial" w:eastAsia="Arial" w:hAnsi="Arial"/>
          <w:sz w:val="17"/>
          <w:szCs w:val="17"/>
          <w:color w:val="auto"/>
        </w:rPr>
        <w:t>The Company has determined that the license granted to Otsuka pursuant to the Otsuka International Agreement will be accounted for as component of the development services as opposed to a separately identified promise. Although the rights granted under the license are effective throughout the entire term of the arrangement, the Company will not be providing significant additional contributions of study data, regulatory submissions and regulatory approvals beyond the point that services under the current global development plan are conducted. Therefore, the period and pattern of recognition would be the same for both the license and the development services. Consequently, the Company has concluded that the license will effectively be treated as an inherent part of the associated development services promise instead of as a separate promise. As a result, the License and Development Services Deliverable will be treated as a single performance obligation (the License Performance Obligation).</w:t>
      </w:r>
    </w:p>
    <w:p>
      <w:pPr>
        <w:spacing w:after="0" w:line="287" w:lineRule="exact"/>
        <w:rPr>
          <w:rFonts w:ascii="Arial" w:cs="Arial" w:eastAsia="Arial" w:hAnsi="Arial"/>
          <w:sz w:val="18"/>
          <w:szCs w:val="18"/>
          <w:color w:val="auto"/>
        </w:rPr>
      </w:pPr>
    </w:p>
    <w:p>
      <w:pPr>
        <w:ind w:left="1040" w:hanging="519"/>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Rights to Future Intellectual Property (Future IP Performance Obligation)</w:t>
      </w:r>
    </w:p>
    <w:p>
      <w:pPr>
        <w:spacing w:after="0" w:line="117" w:lineRule="exact"/>
        <w:rPr>
          <w:rFonts w:ascii="Arial" w:cs="Arial" w:eastAsia="Arial" w:hAnsi="Arial"/>
          <w:sz w:val="18"/>
          <w:szCs w:val="18"/>
          <w:color w:val="auto"/>
        </w:rPr>
      </w:pPr>
    </w:p>
    <w:p>
      <w:pPr>
        <w:ind w:left="1040" w:right="220"/>
        <w:spacing w:after="0" w:line="257" w:lineRule="auto"/>
        <w:rPr>
          <w:rFonts w:ascii="Arial" w:cs="Arial" w:eastAsia="Arial" w:hAnsi="Arial"/>
          <w:sz w:val="18"/>
          <w:szCs w:val="18"/>
          <w:color w:val="auto"/>
        </w:rPr>
      </w:pPr>
      <w:r>
        <w:rPr>
          <w:rFonts w:ascii="Arial" w:cs="Arial" w:eastAsia="Arial" w:hAnsi="Arial"/>
          <w:sz w:val="18"/>
          <w:szCs w:val="18"/>
          <w:color w:val="auto"/>
        </w:rPr>
        <w:t>The License and Development Services Deliverable is distinct from the Future IP Deliverable because Otsuka can obtain the value of the license using the clinical trial materials implicit in the development services without the receipt of any other intellectual property that may be discovered or developed in the future. The Future IP Deliverable is distinct from the Committee Deliverable because the Committee Deliverable has no bearing on the value to be derived from the rights to potential future intellectual property. As a result, the Future IP Deliverable qualifies as a separate performance obligation.</w:t>
      </w:r>
    </w:p>
    <w:p>
      <w:pPr>
        <w:spacing w:after="0" w:line="296" w:lineRule="exact"/>
        <w:rPr>
          <w:rFonts w:ascii="Arial" w:cs="Arial" w:eastAsia="Arial" w:hAnsi="Arial"/>
          <w:sz w:val="18"/>
          <w:szCs w:val="18"/>
          <w:color w:val="auto"/>
        </w:rPr>
      </w:pPr>
    </w:p>
    <w:p>
      <w:pPr>
        <w:ind w:left="1040" w:hanging="519"/>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Joint Committee Services (Committee Performance Obligation)</w:t>
      </w:r>
    </w:p>
    <w:p>
      <w:pPr>
        <w:spacing w:after="0" w:line="117" w:lineRule="exact"/>
        <w:rPr>
          <w:rFonts w:ascii="Arial" w:cs="Arial" w:eastAsia="Arial" w:hAnsi="Arial"/>
          <w:sz w:val="18"/>
          <w:szCs w:val="18"/>
          <w:color w:val="auto"/>
        </w:rPr>
      </w:pPr>
    </w:p>
    <w:p>
      <w:pPr>
        <w:ind w:left="1040" w:right="40"/>
        <w:spacing w:after="0" w:line="279" w:lineRule="auto"/>
        <w:rPr>
          <w:rFonts w:ascii="Arial" w:cs="Arial" w:eastAsia="Arial" w:hAnsi="Arial"/>
          <w:sz w:val="18"/>
          <w:szCs w:val="18"/>
          <w:color w:val="auto"/>
        </w:rPr>
      </w:pPr>
      <w:r>
        <w:rPr>
          <w:rFonts w:ascii="Arial" w:cs="Arial" w:eastAsia="Arial" w:hAnsi="Arial"/>
          <w:sz w:val="17"/>
          <w:szCs w:val="17"/>
          <w:color w:val="auto"/>
        </w:rPr>
        <w:t>The License and Development Services Deliverable is distinct from the Committee Deliverable because Otsuka can obtain the value of the license using the clinical trial materials implicit in the development service without the joint committee services. The Committee Deliverable is distinct from the Future IP Deliverable because the Committee Deliverable has no bearing on the value to be derived from the rights to potential future intellectual property. As a result, the Committee Deliverable qualifies as a separate performance obligation.</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allocates the transaction price to each performance obligation based on the Company’s best estimate of the relative standalone selling price. The Company developed a best estimate of standalone selling price for the Committee Performance Obligation after considering the nature of the services to be performed and estimates of the associated effort and rates applicable to such services that would be expected to be realized under similar contracts. The Company developed a best estimate of standalone selling price for the Future IP Performance Obligation primarily based on the likelihood that additional intellectual property covered by the license conveyed will be developed during the term of the arrangement. The Company did not develop a best estimate of standalone selling price for the License Performance Obligation due to the following: (i) the best estimates of standalone selling price associated with the Future IP Performance Obligation was determined to be immaterial and (ii) the period of performance and pattern of recognition for the License Performance Obligation and the Committee Performance Obligation was determined to be similar. The Company has concluded that a change in the key assumptions used to determine the best estimate of standalone selling price for each performance obligation would not have a significant impact on the allocation of arrangement consideration.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3" w:name="page144"/>
    <w:bookmarkEnd w:id="143"/>
    <w:p>
      <w:pPr>
        <w:ind w:right="200"/>
        <w:spacing w:after="0" w:line="271" w:lineRule="auto"/>
        <w:rPr>
          <w:sz w:val="20"/>
          <w:szCs w:val="20"/>
          <w:color w:val="auto"/>
        </w:rPr>
      </w:pPr>
      <w:r>
        <w:rPr>
          <w:rFonts w:ascii="Arial" w:cs="Arial" w:eastAsia="Arial" w:hAnsi="Arial"/>
          <w:sz w:val="17"/>
          <w:szCs w:val="17"/>
          <w:color w:val="auto"/>
        </w:rPr>
        <w:t>The transaction price at inception was comprised of: (i) the up-front payment, (ii) the cost share payment with respect to amounts incurred by the Company during the quarter ended March 31, 2017, and (iii) an estimate of the cost share payments to be received with respect to amounts incurred by the Company subsequent to March 31, 2017. No development or regulatory milestones were included in the transaction price at inception, as all milestone amounts were fully constrained. As part of its evaluation of the constraint, the Company considered numerous factors, including whether the receipt of the milestone payment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Otsuka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amounts were allocated to the Future IP Performance Obligation because the associated best estimate of standalone selling price was determined to be immaterial. Due to the similar performance period and recognition pattern between the License Performance Obligation and the Committee Performance Obligation, the transaction price has been allocated to the License Performance Obligation and the Committee Performance Obligation on a combined basis. Accordingly, the Company will recognize revenue related to the allocable arrangement consideration on a proportional performance basis as the underlying development services are performed pursuant to the current global development plan which is commensurate with the period and consistent with the pattern over which the Company’s obligations are satisfied for both the License Performance Obligation and the Committee Performance Obligation. Effectively, the Company has treated the arrangement as if the License Performance Obligation and the Committee Performance Obligation are a single performance obligation.</w:t>
      </w:r>
    </w:p>
    <w:p>
      <w:pPr>
        <w:spacing w:after="0" w:line="19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of December 31, 2018, the transaction price totaling $249.3 million is comprised of: (i) the up-front payment of $73.0 million, (ii) the cost share payment with respect to amounts incurred by the Company during the quarter ended March 31, 2017 of $0.2 million, and (iii) an estimate of the cost share payments to be received with respect to amounts incurred by the Company subsequent to March 31, 2017 of $176.1 million. As of December 31, 2018, no development or regulatory milestones have been assessed as probable of being reached and thus have been fully constrained.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years ended December 31, 2018 and 2017, the Company recognized revenue totaling approximately $87.3 million and $52.3 million, respectively, with respect to the Otsuka International Agreement. The revenue is classified as collaboration revenue in the accompanying consolidated statements of operations. As of December 31, 2018, there is approximately $44.6 million of deferred revenue related to the Otsuka International Agreement of which $23.5 million is classified as current and $21.1 million is classified as long-term in the accompanying consolidated balance sheet based on the performance period of the underlying obligations. Additionally, as of December 31, 2018, there is approximately $6.3 million in contract liabilities (included in accounts payable) in the accompanying consolidated balance sheet.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 NV Research and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February 9, 2017, the Company entered into a Research and License Agreement, the Janssen Agreement, with Janssen Pharmaceutica NV, or Janssen, a subsidiary of Johnson &amp; Johnson, pursuant to which Janssen granted the Company an exclusive license under certain intellectual property rights to develop and commercialize worldwide certain HIF prolyl hydroxylase targeted compounds.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Janssen Agreement, Janssen granted to the Company a license for a three-year research term to conduct research on the HIF compound portfolio, unless the Company elects to extend such research term for up to two additional one-year periods upon payment of an extension fee. During the research term, the Company may designate one or more compounds as candidates for development and commercialization. Once a compound is designated for development and commercialization, the Company will be solely responsible for the development and commercialization of the compound worldwide at its own cost and expense.</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terms of the Janssen Agreement, the Company made an upfront payment of $1.0 million in cash to Janssen and issued a warrant to purchase 509,611 shares of the Company’s common stock. In addition, Janssen could be eligible to receive up to an aggregate of $16.5 million from the Company in specified development milestone payments on a product-by-product basis. Janssen will also be eligible to receive up to $215.0 million from the Company in specified commercial milestones as well as tiered, escalating royalties ranging from a low to mid-single digit percentage of net sales, on a product-by-product basis, and subject to reduction upon expiration of patent rights or the launch of a generic product in the territory.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4" w:name="page145"/>
    <w:bookmarkEnd w:id="144"/>
    <w:p>
      <w:pPr>
        <w:ind w:right="60"/>
        <w:spacing w:after="0" w:line="297" w:lineRule="auto"/>
        <w:rPr>
          <w:sz w:val="20"/>
          <w:szCs w:val="20"/>
          <w:color w:val="auto"/>
        </w:rPr>
      </w:pPr>
      <w:r>
        <w:rPr>
          <w:rFonts w:ascii="Arial" w:cs="Arial" w:eastAsia="Arial" w:hAnsi="Arial"/>
          <w:sz w:val="16"/>
          <w:szCs w:val="16"/>
          <w:color w:val="auto"/>
        </w:rPr>
        <w:t>Unless earlier terminated, the Janssen Agreement will expire on a product-by-product and country-by-country basis upon the expiration of the last royalty term, which ends upon the longer of the expiration of the patents licensed under the Janssen Agreement, the expiration of regulatory exclusivity for such product, or 10 years from first commercial sale of such product. The Company may terminate the Janssen Agreement in its entirety or only with respect to a particular licensed compound or product upon 180 days’ prior written notice to Janssen. The parties also have customary termination rights, subject to a cure period, in the event of the other party’s material breach of the Janssen Agreement or in the event of certain additional circumstances.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discussed above, the Company issued a Common Stock Purchase Warrant, or the Warrant, to Johnson &amp; Johnson Innovation – JJDC, Inc., or JJDC, an affiliate of Janssen, for 509,611 shares of the Company’s common stock at an exercise price of $9.81 per share. The Warrant is exercisable by JJDC, in whole or in part, at any time prior to February 9, 2022. The Warrant and the shares issuable upon exercise of the Warrant will be sold and issued without registration under the Securities Act of 1933, as amended, or the Securities Act. The Company recorded the fair value of the Warrant in the amount of $3.4 million to additional paid-in capital and research and development expense in March 2017.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Vifor Pharma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May 12, 2017, the Company entered into a License Agreement, or the Vifor Agreement, with Vifor (International) Ltd., or Vifor Pharma, pursuant to which the Company granted Vifor Pharma an exclusive license to sell vadadustat solely to Fresenius Kidney Care Group LLC, or FKC, an affiliate of Fresenius Medical Care North America, in the United States.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license grant under the Vifor Agreement is conditioned upon the approval of vadadustat for DD-CKD patients by the FDA, inclusion of vadadustat in a bundled reimbursement model, and payment by Vifor Pharma of a $20.0 million milestone upon the occurrence of these two events. The Vifor Agreement is structured as a profit share arrangement between the Company and Vifor Pharma in which the Company will receive a majority of the profit from Vifor Pharma’s sales of vadadustat to FKC in the United States. The Company will share the milestone payment and the revenue from the profit share with Otsuka pursuant to the Otsuka U.S. Agreement. The Company retains all rights to commercialize vadadustat for use in the NDD-CKD market and in other dialysis organizations in the United States, which will be done in collaboration with Otsuka following FDA approval.</w:t>
      </w:r>
    </w:p>
    <w:p>
      <w:pPr>
        <w:spacing w:after="0" w:line="17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Prior to FDA approval of vadadustat, the Company and Vifor Pharma will enter into a commercial supply agreement for vadadustat pursuant to which the Company will supply all of Vifor Pharma’s requirements for vadadustat in the United States. In addition, pursuant to the Vifor Agreement, Vifor Pharma entered into supply agreements that govern the terms pursuant to which Vifor Pharma would supply vadadustat to FKC for use in patients at its dialysis centers, subject to FDA approval; however, FKC is not obligated to utilize vadadustat in its clinics. During the term of the Vifor Agreement, Vifor Pharma will not sell to FKC or its affiliates any HIF product that competes with vadadustat in the United States.</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Unless earlier terminated, the Vifor Agreement will expire upon the later of the expiration of all patents that claim or cover vadadustat, or expiration of data or regulatory exclusivity for vadadustat in the United States. Vifor Pharma may terminate the Vifor Agreement in its entirety upon 12 months’ prior written notice after the release of the first topline data in the vadadustat global Phase 3 program for dialysis-dependent CKD patients. Either party may terminate the Vifor Agreement in the event of the other party’s uncured material breach. The Company may also terminate the Vifor Agreement upon the occurrence of other events, such as for specific violations of the Vifor Agreement or if there are changes in Vifor Pharma’s relationship with FKC.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Agreement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Vifor Agreement, in May 2017, the Company and Vifor Pharma entered into an investment agreement, or the Investment Agreement, pursuant to which the Company sold an aggregate of 3,571,429 shares of the Company’s common stock, or the Shares, to Vifor Pharma at a price per share of $14.00 for a total of $50.0 million. The amount representing the premium over the closing stock price of $12.69 on the date of the transaction, totaling $4.7 million, was determined by the Company to represent consideration related to the Vifor Agreement. As the parties’ rights under the Vifor Agreement are conditioned upon (a) the approval of vadadustat for DD-CKD patients by the FDA; (b) inclusion of vadadustat in a bundled reimbursement model; and (c) payment by Vifor Pharma of a $20.0 million milestone upon the occurrence of these two events, in accordance with ASC 606, the Company has determined that the full transaction price is fully constrained. As part of its evaluation of the constraint, the Company considered numerous factors, including clinical and regulatory risks that must be overcome in order for the parties’ rights to become effective and the probability of the $20.0 million milestone being achieved. Accordingly, the $4.7 million continues to be recorded as deferred revenue in the accompanying unaudited condensed consolidated balance sheets. Upon the satisfaction of the aforementioned conditions, revenue will be recognized as the Company supplies vadadustat to Vifor Pharma using a proportional performance method.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45" w:name="page146"/>
    <w:bookmarkEnd w:id="145"/>
    <w:p>
      <w:pPr>
        <w:ind w:right="280"/>
        <w:spacing w:after="0" w:line="279" w:lineRule="auto"/>
        <w:rPr>
          <w:sz w:val="20"/>
          <w:szCs w:val="20"/>
          <w:color w:val="auto"/>
        </w:rPr>
      </w:pPr>
      <w:r>
        <w:rPr>
          <w:rFonts w:ascii="Arial" w:cs="Arial" w:eastAsia="Arial" w:hAnsi="Arial"/>
          <w:sz w:val="17"/>
          <w:szCs w:val="17"/>
          <w:color w:val="auto"/>
        </w:rPr>
        <w:t>Vifor Pharma has agreed to a lock-up restriction such that it agrees not to sell the Shares for a period of time following the effective date of the Investment Agreement as well as a customary standstill agreement. In addition, the Investment Agreement contains voting agreements made by Vifor Pharma with respect to the Shares. The Shares have not been registered pursuant to the Securities Act, and were issued and sold in reliance upon the exemption from registration contained in Section 4(a)(2) of the Securities Act and Rule 506 promulgated thereunder.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Panion &amp; BF Biotech, Inc</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Merger, the Company now has a license agreement with Panion &amp; BF Biotech, Inc., or Panion, under which Keryx, our wholly owned subsidiary, remains the contracting party. Under the license agreement with Panion and the subsequent Amended and Restated License Agreement, collectively the Panion License Agreement, the Company in-licensed the exclusive worldwide rights, excluding certain Asian-Pacific countries, for the development and commercialization of ferric citrate. In addition, Panion is eligible to receive royalty payments based on a mid-single digit percentage of net sales of ferric citrate in the licensed territory.</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Panion License Agreement terminates upon the expiration of the Company’s obligations to pay royalties thereunder. In addition, the Company may terminate the Panion License Agreement (i) in its entirety or (ii) with respect to one or more countries in the territory covered by the agreement, in either, case upon 90 days’ notice. The Company and Panion also have the right to terminate the Panion License Agreement upon the occurrence of an uncured breach of a material provision of the Panion License Agreement and certain insolvency events.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October 24, 2018, prior to the consummation of the Merger, Akebia and Keryx entered into a letter agreement with Panion, the Panion Letter Agreement, pursuant to which Panion agreed to rescind any and all prior termination threats or notices relating to the license agreement and waived its rights to terminate the license agreement based on any breach by Keryx of its obligation to use commercially reasonable efforts to commercialize Auryxia outside the United States until the parties execute an amendment to the license agreement in accordance with the terms of the Panion Letter Agreement following consummation of the Merger. These terms include establishing a joint steering committee consisting of Panion and Akebia representatives to oversee the development and commercialization of Fexeric in Europe and providing Panion with an exclusive license under Keryx-owned patents covering the rights to make, use, sell, offer for sale and import ferric citrate in certain countries in the Asia-Pacific region. The parties intend to work together to agree on a regulatory plan for Fexeric in Europe within four months after execution of the Panion Letter Agreement. The parties also intent to work together to agree on a commercialization plan for Fexeric in Europe following execution of the amendment. The amendment is expected to include alternatives in the event a commercialization plan is not agreed upon, such as payment of an annual license maintenance fee to Panion or the return of European intellectual property rights to Panion. Under the terms of the Panion Letter Agreement, Panion also agreed that Keryx will have the right, but not the obligation, to conduct any litigation against any infringer of patent rights under the license agreement on the terms agreed upon in the Panion Letter Agreement. In addition, Keryx made a $500,000 payment to Panion promptly after execution of the Panion Letter Agreement.</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period from December 12, 2018 to December 31, 2018, the Company has incurred approximately $0.4 million in royalty payments due to Panion relating to Akebia sales of Auryxia in the United States and JT and Torii net sales of Riona in Japan, as the company is required to pay a low double-digit percent of sublicense income to Panion under the terms of the license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Sublicense Agreement with Japan Tobacco, Inc. and its subsidiary, Torii Pharmaceutical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Merger, the Company now has a Sublicense Agreement with JT and Torii, and the Amended and Restated Sublicense Agreement with JT and Torii, collectively the JT and Torii Sublicense Agreement, under which Keryx, our wholly owned subsidiary, remains the contracting party. Under the JT and Torii Sublicense Agreement, JT and Torii obtained the exclusive sublicense rights for the development and commercialization of ferric citrate in Japan. JT and Torii are responsible for the future development and commercialization costs in Japan.</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Ferric citrate is currently approved by the Japanese Ministry of Health, Labour and Welfare for manufacturing and marketing in Japan for the treatment of hyperphosphatemia in patients with CKD. Ferric citrate is being marketed in Japan by Torii, under the brand name Riona. The Company is eligible to receive royalty payments based on a tiered double-digit percentage of net sales of Riona in Japan escalating up to the mid-teens, subject to certain reductions upon expiration or termination of the Amended and Restated License Agreement between Keryx and Panion &amp; BF Biotech, Inc., or Panion, by which Keryx in-licensed the exclusive worldwide rights, excluding certain Asian-Pacific countries, for the development and commercialization of ferric citrate. The company is and is entitled to receive up to an additional $55.0 million upon the achievement of certain annual net sales milestones.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6" w:name="page147"/>
    <w:bookmarkEnd w:id="146"/>
    <w:p>
      <w:pPr>
        <w:jc w:val="both"/>
        <w:ind w:right="400"/>
        <w:spacing w:after="0" w:line="286" w:lineRule="auto"/>
        <w:rPr>
          <w:sz w:val="20"/>
          <w:szCs w:val="20"/>
          <w:color w:val="auto"/>
        </w:rPr>
      </w:pPr>
      <w:r>
        <w:rPr>
          <w:rFonts w:ascii="Arial" w:cs="Arial" w:eastAsia="Arial" w:hAnsi="Arial"/>
          <w:sz w:val="17"/>
          <w:szCs w:val="17"/>
          <w:color w:val="auto"/>
        </w:rPr>
        <w:t>The sublicense terminates upon the expiration of all underlying patent rights. Also, JT and Torii may terminate the sublicense agreement with or without cause upon at least six months prior written notice to us. Additionally, either party may terminate the sublicense agreement for cause upon 60 days’ prior written notice after the breach of any uncured material provision of the sublicense agreement, or after certain insolvency events</w:t>
      </w:r>
      <w:r>
        <w:rPr>
          <w:rFonts w:ascii="Arial" w:cs="Arial" w:eastAsia="Arial" w:hAnsi="Arial"/>
          <w:sz w:val="17"/>
          <w:szCs w:val="17"/>
          <w:i w:val="1"/>
          <w:i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evaluated the elements of the JT and Torii Sublicense Agreement in accordance with the provisions of ASC 606 and concluded that the contract counterparty, JT and Torii, is a customer. The Company’s arrangement with JT and Torii contains the following material promises under the contract at inception: (i) exclusive license to develop and commercialize ferric citrate in Japan (the License Deliverable), (ii) supply of ferric citrate until JT and Torii could secure their own source (the Supply Deliverable), (iii) knowledge transfer, and (iv) rights to future know-how.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two performance obligations in connection with its obligations under the JT and Torii Sublicense Agreement.</w:t>
      </w:r>
    </w:p>
    <w:p>
      <w:pPr>
        <w:spacing w:after="0" w:line="333" w:lineRule="exact"/>
        <w:rPr>
          <w:sz w:val="20"/>
          <w:szCs w:val="20"/>
          <w:color w:val="auto"/>
        </w:rPr>
      </w:pPr>
    </w:p>
    <w:p>
      <w:pPr>
        <w:ind w:left="1040" w:hanging="519"/>
        <w:spacing w:after="0"/>
        <w:tabs>
          <w:tab w:leader="none" w:pos="104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License and Supply Performance Obligation</w:t>
      </w:r>
    </w:p>
    <w:p>
      <w:pPr>
        <w:spacing w:after="0" w:line="117" w:lineRule="exact"/>
        <w:rPr>
          <w:rFonts w:ascii="Arial" w:cs="Arial" w:eastAsia="Arial" w:hAnsi="Arial"/>
          <w:sz w:val="18"/>
          <w:szCs w:val="18"/>
          <w:i w:val="1"/>
          <w:iCs w:val="1"/>
          <w:color w:val="auto"/>
        </w:rPr>
      </w:pPr>
    </w:p>
    <w:p>
      <w:pPr>
        <w:ind w:left="1040" w:right="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 License Deliverable does is not distinct from the Supply Deliverable. More specifically, JT and Torii was unable to manufacture ferric citrate at the onset of the agreement as it had not secured a source for this manufacturing. This significantly limits the ability for JT and Torii to use the license for their intended use in a way that generates economic benefits.</w:t>
      </w:r>
    </w:p>
    <w:p>
      <w:pPr>
        <w:spacing w:after="0" w:line="73" w:lineRule="exact"/>
        <w:rPr>
          <w:rFonts w:ascii="Arial" w:cs="Arial" w:eastAsia="Arial" w:hAnsi="Arial"/>
          <w:sz w:val="18"/>
          <w:szCs w:val="18"/>
          <w:i w:val="1"/>
          <w:iCs w:val="1"/>
          <w:color w:val="auto"/>
        </w:rPr>
      </w:pPr>
    </w:p>
    <w:p>
      <w:pPr>
        <w:jc w:val="both"/>
        <w:ind w:left="1040" w:right="24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License Deliverable does is not distinct from the knowledge transfer because JT and Torii cannot fully utilize the license for its intended purpose without the corresponding information regarding know-how, development data and regulatory materials possessed by the Company.</w:t>
      </w:r>
    </w:p>
    <w:p>
      <w:pPr>
        <w:spacing w:after="0" w:line="15" w:lineRule="exact"/>
        <w:rPr>
          <w:rFonts w:ascii="Arial" w:cs="Arial" w:eastAsia="Arial" w:hAnsi="Arial"/>
          <w:sz w:val="18"/>
          <w:szCs w:val="18"/>
          <w:i w:val="1"/>
          <w:iCs w:val="1"/>
          <w:color w:val="auto"/>
        </w:rPr>
      </w:pPr>
    </w:p>
    <w:p>
      <w:pPr>
        <w:jc w:val="both"/>
        <w:ind w:left="1040" w:right="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License Deliverable does is not distinct from the supply or knowledge transfer. As a result, the License Deliverable, supply, and knowledge transfer do not qualify for separation and have been combined as a single performance obligation (the License Supply Performance Obligation).</w:t>
      </w:r>
    </w:p>
    <w:p>
      <w:pPr>
        <w:spacing w:after="0" w:line="231" w:lineRule="exact"/>
        <w:rPr>
          <w:rFonts w:ascii="Arial" w:cs="Arial" w:eastAsia="Arial" w:hAnsi="Arial"/>
          <w:sz w:val="18"/>
          <w:szCs w:val="18"/>
          <w:i w:val="1"/>
          <w:iCs w:val="1"/>
          <w:color w:val="auto"/>
        </w:rPr>
      </w:pPr>
    </w:p>
    <w:p>
      <w:pPr>
        <w:ind w:left="1040" w:hanging="519"/>
        <w:spacing w:after="0"/>
        <w:tabs>
          <w:tab w:leader="none" w:pos="104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Rights to Future Know-How Performance Obligation</w:t>
      </w:r>
    </w:p>
    <w:p>
      <w:pPr>
        <w:spacing w:after="0" w:line="117" w:lineRule="exact"/>
        <w:rPr>
          <w:rFonts w:ascii="Arial" w:cs="Arial" w:eastAsia="Arial" w:hAnsi="Arial"/>
          <w:sz w:val="18"/>
          <w:szCs w:val="18"/>
          <w:i w:val="1"/>
          <w:iCs w:val="1"/>
          <w:color w:val="auto"/>
        </w:rPr>
      </w:pPr>
    </w:p>
    <w:p>
      <w:pPr>
        <w:ind w:left="10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The License and Supply Deliverables combined are distinct from the rights to future know-how because JT and Torii can obtain the value of the License and Supply Deliverables without receipt of any rights to future know-how that may be discovered or developed in the future. As a result, the rights to future know-how qualify for separation from the License and Supply Performance Obligation.</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allocates the transaction price to each 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immaterial. As such, the Company did not develop a best estimate of standalone selling price for the License and Supply Performance Obligation and allocated the entire transaction price to this performance obligation. Additionally, as of the consummation of the Merger, the services associated with the License and Supply Performance Obligation were completed and JT and Torii had secured their own source to manufacture ferric citrate. As such, any initial license fees as well as any development-based milestones and manufacturing fee revenue were received and recognized prior to the Merger. The Company determined that the remaining consideration that may be payable to the Company under the terms of the sublicense agreement are either quarterly royalties on net sales or payments due upon the achievement of sales-based milestones. In accordance with ASC 606, the Company recognizes sales-based royalties, including milestone payments based on the level of sales, when the related sales occur as these amounts have been determined to relate predominantly to the license granted to JT and Torii and therefore are recognized at the later of when the performance obligation is satisfied, or the related sales occur.</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period from December 12, 2018 to December 31, 2018, the Company recognized $0.1 million in license revenue related to royalties earned on net sales of ferric citrate in Japan. The Company records the associated mid-single digit percentage of net sales royalty expense due to Panion, the licensor of ferric citrate, in the same period as the royalty revenue from JT and Torii is recorded.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5. Business Combination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December 12, 2018, the Company completed the Merger with Keryx. Keryx, headquartered in Boston, Massachusetts, is focused on the development and commercialization of medicines for people with kidney disease. Keryx’s proprietary product, Auryxia</w:t>
      </w:r>
      <w:r>
        <w:rPr>
          <w:rFonts w:ascii="Arial" w:cs="Arial" w:eastAsia="Arial" w:hAnsi="Arial"/>
          <w:sz w:val="14"/>
          <w:szCs w:val="14"/>
          <w:color w:val="auto"/>
        </w:rPr>
        <w:t>®</w:t>
      </w:r>
      <w:r>
        <w:rPr>
          <w:rFonts w:ascii="Arial" w:cs="Arial" w:eastAsia="Arial" w:hAnsi="Arial"/>
          <w:sz w:val="17"/>
          <w:szCs w:val="17"/>
          <w:color w:val="auto"/>
        </w:rPr>
        <w:t xml:space="preserve"> (ferric citrate) tablets, is approved by the U.S. Food and Drug Administration, or FDA, for two indications: (1) the control of serum phosphorus levels in adult patients with chronic kidney disease on dialysis and (2) the treatment of iron deficiency anemia in adult patients with chronic kidney disease not on dialysis.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Akebia has been determined to be the accounting acquirer and has accounted for the transaction as a business combination using the acquisition method of accounting under ASC 805. Accordingly, the results of Keryx’s operations are included in our consolidated financial statements from December 12, 2018, the date the Merger was completed. Keryx’s revenues and net loss from December 12, 2018 to December 31, 2018 were $6.9 million and $3.8 million, respectively.</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Pursuant to the terms and conditions of the Merger Agreement, each outstanding share of Keryx common stock, excluding the Baupost Additional Shares discussed below, and each outstanding Keryx equity award were converted into Akebia common stock and substantially similar Akebia awards, respectively, at an exchange ratio of 0.37433 for a total fair value consideration of $527.8 million consisting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57,773,090 shares of Akebia common stock</w:t>
            </w:r>
          </w:p>
        </w:tc>
        <w:tc>
          <w:tcPr>
            <w:tcW w:w="332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516,492</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Fair value of 602,752 Akebia RSUs</w:t>
            </w:r>
          </w:p>
        </w:tc>
        <w:tc>
          <w:tcPr>
            <w:tcW w:w="2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3,967,290 Akebia stock options</w:t>
            </w:r>
          </w:p>
        </w:tc>
        <w:tc>
          <w:tcPr>
            <w:tcW w:w="28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FF0FC"/>
          </w:tcPr>
          <w:p>
            <w:pPr>
              <w:spacing w:after="0"/>
              <w:rPr>
                <w:sz w:val="19"/>
                <w:szCs w:val="19"/>
                <w:color w:val="auto"/>
              </w:rPr>
            </w:pPr>
          </w:p>
        </w:tc>
      </w:tr>
      <w:tr>
        <w:trPr>
          <w:trHeight w:val="224"/>
        </w:trPr>
        <w:tc>
          <w:tcPr>
            <w:tcW w:w="6940" w:type="dxa"/>
            <w:vAlign w:val="bottom"/>
          </w:tcPr>
          <w:p>
            <w:pPr>
              <w:spacing w:after="0"/>
              <w:rPr>
                <w:sz w:val="20"/>
                <w:szCs w:val="20"/>
                <w:color w:val="auto"/>
              </w:rPr>
            </w:pPr>
            <w:r>
              <w:rPr>
                <w:rFonts w:ascii="Arial" w:cs="Arial" w:eastAsia="Arial" w:hAnsi="Arial"/>
                <w:sz w:val="18"/>
                <w:szCs w:val="18"/>
                <w:color w:val="auto"/>
              </w:rPr>
              <w:t>Total consideration</w:t>
            </w:r>
          </w:p>
        </w:tc>
        <w:tc>
          <w:tcPr>
            <w:tcW w:w="280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527,754</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fair value of the Akebia common stock and Akebia awards issued was calculated using $8.94 per share, the closing price of Akebia common stock on December 12, 2018. The portion of the fair value relating to the Akebia RSUs and stock options represents the fair value attributable to precombination employee services. The fair value relating to future employee service will be expensed as stock-based compensation on a straight-line basis over the remaining service periods of those awards.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Additionally, immediately prior to the Merger, Baupost agreed to convert its $164.7 million of Keryx’s Convertible Notes into 35,582,335 Keryx Shares, in accordance with the terms of the governing indenture agreement, in exchange for an additional 4,000,000 Keryx Shares (the “Baupost Additional Shares”). The aggregate 39.6 million Keryx Shares were then converted into Akebia shares at the 0.37433 exchange ratio. The fair value of the Baupost Additional Shares, on an as-converted bases, of $13.4 million has been excluded from the purchase price and recorded within general and administrative expenses in our consolidated financial statements, as the issuance of those shares by Keryx is considered to be a separate transaction under ASC 805 since it was entered into by or on behalf of the acquirer or primarily for the benefit of the acquirer or the combined entity.</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allocated the $527.8 million purchase price to the identifiable assets acquired and liabilities assumed in the business combination at their fair values as of December 12, 2018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FF0FC"/>
          </w:tcPr>
          <w:p>
            <w:pPr>
              <w:spacing w:after="0"/>
              <w:rPr>
                <w:sz w:val="19"/>
                <w:szCs w:val="19"/>
                <w:color w:val="auto"/>
              </w:rPr>
            </w:pP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235,597</w:t>
            </w:r>
          </w:p>
        </w:tc>
        <w:tc>
          <w:tcPr>
            <w:tcW w:w="100" w:type="dxa"/>
            <w:vAlign w:val="bottom"/>
          </w:tcPr>
          <w:p>
            <w:pPr>
              <w:spacing w:after="0"/>
              <w:rPr>
                <w:sz w:val="19"/>
                <w:szCs w:val="19"/>
                <w:color w:val="auto"/>
              </w:rPr>
            </w:pPr>
          </w:p>
        </w:tc>
      </w:tr>
      <w:tr>
        <w:trPr>
          <w:trHeight w:val="230"/>
        </w:trPr>
        <w:tc>
          <w:tcPr>
            <w:tcW w:w="9740" w:type="dxa"/>
            <w:vAlign w:val="bottom"/>
            <w:shd w:val="clear" w:color="auto" w:fill="CFF0FC"/>
          </w:tcPr>
          <w:p>
            <w:pPr>
              <w:spacing w:after="0"/>
              <w:rPr>
                <w:sz w:val="20"/>
                <w:szCs w:val="20"/>
                <w:color w:val="auto"/>
              </w:rPr>
            </w:pPr>
            <w:r>
              <w:rPr>
                <w:rFonts w:ascii="Arial" w:cs="Arial" w:eastAsia="Arial" w:hAnsi="Arial"/>
                <w:sz w:val="18"/>
                <w:szCs w:val="18"/>
                <w:color w:val="auto"/>
              </w:rPr>
              <w:t>Trade accounts receivable, net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shd w:val="clear" w:color="auto" w:fill="CFF0FC"/>
          </w:tcPr>
          <w:p>
            <w:pPr>
              <w:spacing w:after="0"/>
              <w:rPr>
                <w:sz w:val="19"/>
                <w:szCs w:val="19"/>
                <w:color w:val="auto"/>
              </w:rPr>
            </w:pP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19"/>
                <w:szCs w:val="19"/>
                <w:color w:val="auto"/>
              </w:rPr>
            </w:pPr>
          </w:p>
        </w:tc>
      </w:tr>
      <w:tr>
        <w:trPr>
          <w:trHeight w:val="230"/>
        </w:trPr>
        <w:tc>
          <w:tcPr>
            <w:tcW w:w="9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55,053</w:t>
            </w:r>
          </w:p>
        </w:tc>
        <w:tc>
          <w:tcPr>
            <w:tcW w:w="100" w:type="dxa"/>
            <w:vAlign w:val="bottom"/>
            <w:shd w:val="clear" w:color="auto" w:fill="CFF0FC"/>
          </w:tcPr>
          <w:p>
            <w:pPr>
              <w:spacing w:after="0"/>
              <w:rPr>
                <w:sz w:val="19"/>
                <w:szCs w:val="19"/>
                <w:color w:val="auto"/>
              </w:rPr>
            </w:pP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Developed product rights for Auryxia</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329,130</w:t>
            </w:r>
          </w:p>
        </w:tc>
        <w:tc>
          <w:tcPr>
            <w:tcW w:w="100" w:type="dxa"/>
            <w:vAlign w:val="bottom"/>
            <w:shd w:val="clear" w:color="auto" w:fill="CFF0FC"/>
          </w:tcPr>
          <w:p>
            <w:pPr>
              <w:spacing w:after="0"/>
              <w:rPr>
                <w:sz w:val="19"/>
                <w:szCs w:val="19"/>
                <w:color w:val="auto"/>
              </w:rPr>
            </w:pPr>
          </w:p>
        </w:tc>
      </w:tr>
      <w:tr>
        <w:trPr>
          <w:trHeight w:val="230"/>
        </w:trPr>
        <w:tc>
          <w:tcPr>
            <w:tcW w:w="974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r>
      <w:tr>
        <w:trPr>
          <w:trHeight w:val="230"/>
        </w:trPr>
        <w:tc>
          <w:tcPr>
            <w:tcW w:w="97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FF0FC"/>
          </w:tcPr>
          <w:p>
            <w:pPr>
              <w:spacing w:after="0"/>
              <w:rPr>
                <w:sz w:val="19"/>
                <w:szCs w:val="19"/>
                <w:color w:val="auto"/>
              </w:rPr>
            </w:pP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19"/>
                <w:szCs w:val="19"/>
                <w:color w:val="auto"/>
              </w:rPr>
            </w:pPr>
          </w:p>
        </w:tc>
      </w:tr>
      <w:tr>
        <w:trPr>
          <w:trHeight w:val="230"/>
        </w:trPr>
        <w:tc>
          <w:tcPr>
            <w:tcW w:w="97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(17,570)</w:t>
            </w: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(42,972)</w:t>
            </w:r>
          </w:p>
        </w:tc>
      </w:tr>
      <w:tr>
        <w:trPr>
          <w:trHeight w:val="230"/>
        </w:trPr>
        <w:tc>
          <w:tcPr>
            <w:tcW w:w="97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(35,096)</w:t>
            </w: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30"/>
        </w:trPr>
        <w:tc>
          <w:tcPr>
            <w:tcW w:w="97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unfavorable executory contract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(29,510)</w:t>
            </w:r>
          </w:p>
        </w:tc>
      </w:tr>
      <w:tr>
        <w:trPr>
          <w:trHeight w:val="223"/>
        </w:trPr>
        <w:tc>
          <w:tcPr>
            <w:tcW w:w="9740" w:type="dxa"/>
            <w:vAlign w:val="bottom"/>
          </w:tcPr>
          <w:p>
            <w:pPr>
              <w:ind w:left="260"/>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527,754</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performing the purchase price allocation, the Company considered, among other factors, the intended future use of acquired assets, analysis of historical financial performance and estimates of future performance of Keryx’s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8" w:name="page149"/>
    <w:bookmarkEnd w:id="148"/>
    <w:p>
      <w:pPr>
        <w:ind w:right="20"/>
        <w:spacing w:after="0" w:line="255" w:lineRule="auto"/>
        <w:rPr>
          <w:sz w:val="20"/>
          <w:szCs w:val="20"/>
          <w:color w:val="auto"/>
        </w:rPr>
      </w:pPr>
      <w:r>
        <w:rPr>
          <w:rFonts w:ascii="Arial" w:cs="Arial" w:eastAsia="Arial" w:hAnsi="Arial"/>
          <w:sz w:val="18"/>
          <w:szCs w:val="18"/>
          <w:color w:val="auto"/>
        </w:rPr>
        <w:t>As part of the purchase price allocation, the Company identified developed product rights for Auryxia as the primary intangible asset. The fair value of the developed product rights for Auryxia is determined using the multi-period excess earnings method which is a variation of the income approach, and is a valuation technique that provides an estimate of the fair value of an asset based on the principle that the value of an intangible asset is equal to the present value of the incremental after-tax cash flows attributable to the asset, after taking charges for the use of other assets employed by the business. Key estimates and assumptions used in this model are projected revenues and expenses related to the asset, estimated contributory asset charges, and a risk-adjusted discount rate of 20.0% used to calculate the present value of the future expected cash inflows from the asset. The intangible asset will be amortized over its estimated useful life, which for Auryxia is 9 years.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also identified an executory contract in the supply agreement between Keryx and BioVectra Inc., or BioVectra, which includes future firm purchase commitments. This executory contract was deemed to have an off-market element related to the amount of purchase commitments that exceed the current forecast and as such, the Company recorded a liability in purchase accounting. As of the acquisition date, the preliminary fair value of the off-market element was $29.5 million.</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preliminary goodwill represents the excess of the purchase price over the estimated fair value of net assets acquired. The factors contributing to the recognition of goodwill were based on several strategic and synergistic benefits that were expected to be realized from the Merger. These benefits included the expectation that the combined company would establish itself as a leading renal company with enhanced position and large market opportunity, synergistic utilization of Keryx’s commercial organization, and strengthening the combined company’s financial profile. Such goodwill is not deductible for tax purposes.</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connection with the Merger, the Company identified a preliminary deferred tax liability of $35.1 million as a result of the difference in the book basis and tax basis related to the identifiable inventory, other intangible assets, net and other liability. In determining the deferred tax liability to be recorded the Company elected to first consider the recoverability of the deferred tax assets acquired in the acquisition before considering the recoverability of the acquirer’s existing deferred tax assets. The deferred tax liability recorded as part of purchase accounting creates a source of future income against which the Company can benefit it’s tax attributes. The use of the Company’s tax attributes resulted in a release of the corresponding valuation allowance which was recorded as a benefit in the statement of operations. The fair values of deferred taxes may be subject to change as additional information becomes known and certain tax returns are finalized. Accordingly, the purchase price allocation is preliminary and remains subject to potential adjustments for the finalization of income taxes relating to purchase accounting. There can be no assurance that such finalizations will not result in material changes from the preliminary purchase price allocation. The Company’s estimates and assumptions are subject to change during the measurement period, which is up to one year from the acquisition date, as the Company finalizes the valuations of assets acquired and liabilities assumed.</w:t>
      </w:r>
    </w:p>
    <w:p>
      <w:pPr>
        <w:spacing w:after="0" w:line="169"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In connection with the Merger, the Company incurred $23.1 million of direct transaction costs, which along with the expense associated with the Baupost Additional Shares, is recorded within general and administrative expenses in our consolidated financial statements for the year ended December 31, 2018.</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unaudited estimated pro forma results presented below include the effects of the Merger as if it had been consummated as of January 1, 2017. The non-recurring charges attributed to the Merger and incurred in 2018 include $13.4 million of expense associated with the Baupost Additional Shares, $39.5 million of acquisition-related costs, $10.4 million of stock-based compensation expenses as a result of the change in control, $4.5 million of bonus and severance payments, and $35.1 million of tax benefits. These expenses are included in the Company’s historical income statement for the year ended December 31,</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2018 and are reflected in pro forma earnings for the year ended December 31, 2017. The pro forma results include the amortization expense related to the fair value of the acquired intangible asset associated with the Auryxia developed product rights, a favorable office lease intangible asset, the impact of a step-up in inventory, incremental stock-based compensation and rent expense. The pro forma results exclude the amortization of debt discount associated with Keryx’s Convertible Notes. In addition, the pro forma results do not include any anticipated synergies or other expected benefits of the Merger. Accordingly, the unaudited estimated pro forma financial information below is not necessarily indicative of what the actual results of operations of the combined companies would have been had the acquisition occurred as of January 1, 2017, nor are they indicative of future results of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For the Year Ended December 31,</w:t>
            </w:r>
          </w:p>
        </w:tc>
        <w:tc>
          <w:tcPr>
            <w:tcW w:w="2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4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305,822</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4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(322,664)</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(331,118)</w:t>
            </w:r>
          </w:p>
        </w:tc>
        <w:tc>
          <w:tcPr>
            <w:tcW w:w="2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4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(2.75)</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r>
      <w:tr>
        <w:trPr>
          <w:trHeight w:val="648"/>
        </w:trPr>
        <w:tc>
          <w:tcPr>
            <w:tcW w:w="4100" w:type="dxa"/>
            <w:vAlign w:val="bottom"/>
          </w:tcPr>
          <w:p>
            <w:pPr>
              <w:spacing w:after="0"/>
              <w:rPr>
                <w:sz w:val="24"/>
                <w:szCs w:val="24"/>
                <w:color w:val="auto"/>
              </w:rPr>
            </w:pPr>
          </w:p>
        </w:tc>
        <w:tc>
          <w:tcPr>
            <w:tcW w:w="4300" w:type="dxa"/>
            <w:vAlign w:val="bottom"/>
          </w:tcPr>
          <w:p>
            <w:pPr>
              <w:jc w:val="right"/>
              <w:ind w:right="247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6. Available for Sale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Available for sale securities at December 31, 2018 and 2017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1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1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Amortized Cost</w:t>
            </w:r>
          </w:p>
        </w:tc>
        <w:tc>
          <w:tcPr>
            <w:tcW w:w="940" w:type="dxa"/>
            <w:vAlign w:val="bottom"/>
          </w:tcPr>
          <w:p>
            <w:pPr>
              <w:jc w:val="center"/>
              <w:ind w:left="1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59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6"/>
          </w:tcPr>
          <w:p>
            <w:pPr>
              <w:jc w:val="right"/>
              <w:ind w:right="102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104,644</w:t>
            </w:r>
          </w:p>
        </w:tc>
        <w:tc>
          <w:tcPr>
            <w:tcW w:w="24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104,644</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158,518</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158,321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58,494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58,430</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available for sale securities</w:t>
            </w: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217,257</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6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Borders>
              <w:top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cash, cash equivalents, and available for sale securities</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321,901</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7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321,640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5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ind w:left="1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1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Amortized Cost</w:t>
            </w:r>
          </w:p>
        </w:tc>
        <w:tc>
          <w:tcPr>
            <w:tcW w:w="940" w:type="dxa"/>
            <w:vAlign w:val="bottom"/>
          </w:tcPr>
          <w:p>
            <w:pPr>
              <w:jc w:val="center"/>
              <w:ind w:left="1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59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6"/>
          </w:tcPr>
          <w:p>
            <w:pPr>
              <w:jc w:val="right"/>
              <w:ind w:right="102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70,156</w:t>
            </w:r>
          </w:p>
        </w:tc>
        <w:tc>
          <w:tcPr>
            <w:tcW w:w="24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70,156</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sale securities:</w:t>
            </w: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14,117</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14,117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175,155</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174,803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58,806</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58,716</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available for sale securities</w:t>
            </w: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248,078</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6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Borders>
              <w:top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cash, cash equivalents, and available for sale securities</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318,234</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7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317,792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 of the Company’s available for sale securities balance at December 31, 2018, by contractual maturity, is as follows (in thousands):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3080" w:type="dxa"/>
            <w:vAlign w:val="bottom"/>
            <w:gridSpan w:val="2"/>
            <w:shd w:val="clear" w:color="auto" w:fill="CFF0FC"/>
          </w:tcPr>
          <w:p>
            <w:pPr>
              <w:jc w:val="right"/>
              <w:ind w:right="100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216,751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one year</w:t>
            </w:r>
          </w:p>
        </w:tc>
        <w:tc>
          <w:tcPr>
            <w:tcW w:w="19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 for sale securities</w:t>
            </w:r>
          </w:p>
        </w:tc>
        <w:tc>
          <w:tcPr>
            <w:tcW w:w="19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0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There were no realized gains or losses on available for sale securities for the years ended December 31, 2018 or 2017. The following table summarizes the Company’s available for sale securities that were in a continuous unrealized loss position, but were not deemed to be other-than-temporarily impaired, as of December 31, 2018 and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Unrealized Loss for</w:t>
            </w:r>
          </w:p>
        </w:tc>
        <w:tc>
          <w:tcPr>
            <w:tcW w:w="100" w:type="dxa"/>
            <w:vAlign w:val="bottom"/>
          </w:tcPr>
          <w:p>
            <w:pPr>
              <w:spacing w:after="0"/>
              <w:rPr>
                <w:sz w:val="14"/>
                <w:szCs w:val="14"/>
                <w:color w:val="auto"/>
              </w:rPr>
            </w:pPr>
          </w:p>
        </w:tc>
        <w:tc>
          <w:tcPr>
            <w:tcW w:w="19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3"/>
              </w:rPr>
              <w:t>Unrealized Loss for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Less Than 12 Months</w:t>
            </w:r>
          </w:p>
        </w:tc>
        <w:tc>
          <w:tcPr>
            <w:tcW w:w="100" w:type="dxa"/>
            <w:vAlign w:val="bottom"/>
          </w:tcPr>
          <w:p>
            <w:pPr>
              <w:spacing w:after="0"/>
              <w:rPr>
                <w:sz w:val="14"/>
                <w:szCs w:val="14"/>
                <w:color w:val="auto"/>
              </w:rPr>
            </w:pPr>
          </w:p>
        </w:tc>
        <w:tc>
          <w:tcPr>
            <w:tcW w:w="19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4"/>
              </w:rPr>
              <w:t>12 Months or More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116,026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center"/>
              <w:ind w:left="580"/>
              <w:spacing w:after="0"/>
              <w:rPr>
                <w:sz w:val="20"/>
                <w:szCs w:val="20"/>
                <w:color w:val="auto"/>
              </w:rPr>
            </w:pPr>
            <w:r>
              <w:rPr>
                <w:rFonts w:ascii="Arial" w:cs="Arial" w:eastAsia="Arial" w:hAnsi="Arial"/>
                <w:sz w:val="18"/>
                <w:szCs w:val="18"/>
                <w:color w:val="auto"/>
                <w:w w:val="86"/>
              </w:rPr>
              <w:t>149</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Unrealized Loss for</w:t>
            </w:r>
          </w:p>
        </w:tc>
        <w:tc>
          <w:tcPr>
            <w:tcW w:w="100" w:type="dxa"/>
            <w:vAlign w:val="bottom"/>
          </w:tcPr>
          <w:p>
            <w:pPr>
              <w:spacing w:after="0"/>
              <w:rPr>
                <w:sz w:val="14"/>
                <w:szCs w:val="14"/>
                <w:color w:val="auto"/>
              </w:rPr>
            </w:pPr>
          </w:p>
        </w:tc>
        <w:tc>
          <w:tcPr>
            <w:tcW w:w="19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3"/>
              </w:rPr>
              <w:t>Unrealized Loss for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Less Than 12 Months</w:t>
            </w:r>
          </w:p>
        </w:tc>
        <w:tc>
          <w:tcPr>
            <w:tcW w:w="100" w:type="dxa"/>
            <w:vAlign w:val="bottom"/>
          </w:tcPr>
          <w:p>
            <w:pPr>
              <w:spacing w:after="0"/>
              <w:rPr>
                <w:sz w:val="14"/>
                <w:szCs w:val="14"/>
                <w:color w:val="auto"/>
              </w:rPr>
            </w:pPr>
          </w:p>
        </w:tc>
        <w:tc>
          <w:tcPr>
            <w:tcW w:w="19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4"/>
              </w:rPr>
              <w:t>12 Months or More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170,812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were 51 securities and 60 securities as of December 31, 2018 and 2017, respectively, that were in an unrealized loss position. The Company considered the decline in the market value of these securities to be primarily attributable to current economic conditions. The contractual terms of these securities do not permit the issuer to settle the securities at a price less than the amortized cost basis of the investment. As of December 31, 2018, the Company does not intend to sell these securities and it was not more likely than not that the Company would be required to sell these securities before the recovery of their amortized cost basis, which may be at maturity. As a result, the Company did not consider these investments to be other-than-temporarily impaired as of December 31,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utilizes a portfolio management company for the valuation of the majority of its investments. This company is an independent, third-party vendor recognized to be an industry leader with access to market information that obtains or computes fair market values from quoted market prices, pricing for similar securities, recently executed transactions, cash flow models with yield curves and other pricing models. For valuations obtained from the pricing service, the Company performs due diligence to understand how the valuation was calculated or derived, focusing on the valuation technique used and the nature of the inputs.</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Based on the fair value hierarchy, the Company classifies its cash equivalents and available for sale securities within Level 1 or Level 2. This is because the Company values its cash equivalents and available for sale securities using quoted market prices or alternative pricing sources and models utilizing market 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or disclosed at fair value on a recurring basis as of December 31, 2018 and December 31, 2017 are summarized below:</w:t>
      </w:r>
    </w:p>
    <w:p>
      <w:pPr>
        <w:sectPr>
          <w:pgSz w:w="11900" w:h="16838" w:orient="portrait"/>
          <w:cols w:equalWidth="0" w:num="1">
            <w:col w:w="11420"/>
          </w:cols>
          <w:pgMar w:left="240" w:top="5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Certificates of deposit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 government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Certificates of deposit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 government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corporate debt securities are all investment grade.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Fair Value Measurements Using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r>
      <w:tr>
        <w:trPr>
          <w:trHeight w:val="180"/>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64"/>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104,644</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104,644</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158,321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158,321</w:t>
            </w:r>
          </w:p>
        </w:tc>
      </w:tr>
      <w:tr>
        <w:trPr>
          <w:trHeight w:val="230"/>
        </w:trPr>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58,430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58,430</w:t>
            </w:r>
          </w:p>
        </w:tc>
      </w:tr>
      <w:tr>
        <w:trPr>
          <w:trHeight w:val="223"/>
        </w:trPr>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216,996</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321,640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4"/>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6"/>
        </w:trPr>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92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r>
      <w:tr>
        <w:trPr>
          <w:trHeight w:val="180"/>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64"/>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70,156</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70,156</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14,117</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14,117</w:t>
            </w:r>
          </w:p>
        </w:tc>
      </w:tr>
      <w:tr>
        <w:trPr>
          <w:trHeight w:val="230"/>
        </w:trPr>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174,803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174,803</w:t>
            </w:r>
          </w:p>
        </w:tc>
      </w:tr>
      <w:tr>
        <w:trPr>
          <w:trHeight w:val="230"/>
        </w:trPr>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58,716</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58,716</w:t>
            </w:r>
          </w:p>
        </w:tc>
      </w:tr>
      <w:tr>
        <w:trPr>
          <w:trHeight w:val="223"/>
        </w:trPr>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70,156</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247,636</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317,792</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5840" w:space="120"/>
            <w:col w:w="5460"/>
          </w:cols>
          <w:pgMar w:left="240" w:top="550" w:right="239" w:bottom="1440" w:gutter="0" w:footer="0" w:header="0"/>
          <w:type w:val="continuous"/>
        </w:sectPr>
      </w:pPr>
    </w:p>
    <w:bookmarkStart w:id="151" w:name="page152"/>
    <w:bookmarkEnd w:id="151"/>
    <w:p>
      <w:pPr>
        <w:ind w:right="20"/>
        <w:spacing w:after="0" w:line="277" w:lineRule="auto"/>
        <w:rPr>
          <w:sz w:val="20"/>
          <w:szCs w:val="20"/>
          <w:color w:val="auto"/>
        </w:rPr>
      </w:pPr>
      <w:r>
        <w:rPr>
          <w:rFonts w:ascii="Arial" w:cs="Arial" w:eastAsia="Arial" w:hAnsi="Arial"/>
          <w:sz w:val="18"/>
          <w:szCs w:val="18"/>
          <w:color w:val="auto"/>
        </w:rPr>
        <w:t>The Company had no assets or liabilities measured at fair value on a recurring basis using significant unobservable inputs (Level 3) at December 31, 2018 and December 31,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Investment securities are exposed to various risks such as interest rate, market and credit. Due to the level of risk associated with certain investment securities and the level of uncertainty related to changes in the value of investment securities, it is at least reasonably possible that changes in risks in the near term would result in material changes in the fair value of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are summarized as follows:</w:t>
      </w:r>
    </w:p>
    <w:p>
      <w:pPr>
        <w:spacing w:after="0" w:line="257"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32385</wp:posOffset>
            </wp:positionV>
            <wp:extent cx="12090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5"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35" w:lineRule="exact"/>
        <w:rPr>
          <w:sz w:val="20"/>
          <w:szCs w:val="20"/>
          <w:color w:val="auto"/>
        </w:rPr>
      </w:pPr>
    </w:p>
    <w:p>
      <w:pPr>
        <w:jc w:val="right"/>
        <w:ind w:right="732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1,880</w:t>
            </w:r>
          </w:p>
        </w:tc>
      </w:tr>
    </w:tbl>
    <w:p>
      <w:pPr>
        <w:jc w:val="right"/>
        <w:ind w:right="140"/>
        <w:spacing w:after="0"/>
        <w:rPr>
          <w:sz w:val="20"/>
          <w:szCs w:val="20"/>
          <w:color w:val="auto"/>
        </w:rPr>
      </w:pPr>
      <w:r>
        <w:rPr>
          <w:rFonts w:ascii="Arial" w:cs="Arial" w:eastAsia="Arial" w:hAnsi="Arial"/>
          <w:sz w:val="18"/>
          <w:szCs w:val="18"/>
          <w:color w:val="auto"/>
        </w:rPr>
        <w:t>215,122</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18,182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-130810</wp:posOffset>
            </wp:positionV>
            <wp:extent cx="72466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ind w:left="1320" w:hanging="1312"/>
        <w:spacing w:after="0"/>
        <w:tabs>
          <w:tab w:leader="none" w:pos="1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235,184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2090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12090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8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2090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8680" w:space="720"/>
            <w:col w:w="2040"/>
          </w:cols>
          <w:pgMar w:left="240" w:top="598"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Balance Sheet Classification:</w:t>
            </w: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Inventory</w:t>
            </w:r>
          </w:p>
        </w:tc>
        <w:tc>
          <w:tcPr>
            <w:tcW w:w="700" w:type="dxa"/>
            <w:vAlign w:val="bottom"/>
            <w:gridSpan w:val="2"/>
          </w:tcPr>
          <w:p>
            <w:pPr>
              <w:jc w:val="right"/>
              <w:ind w:right="525"/>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114,245</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120,939</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235,184</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which primarily consists of raw materials and work in process, is included in other assets in the Company’s consolidated balance sheets.</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were no inventory amounts written down as a result of excess, obsolescence, scrap or other reasons that would be charged to cost of sales during the period from December 12, 2018 through December 31, 2018. If future sales of Auryxia are lower than expected, the Company may be required to write-down the value of such inventories. Inventory write-downs and losses on purchase commitments are recorded as a component of cost of sales in the consolidated statement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2018</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Developed product rights for Auryxia</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329,130</w:t>
            </w: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6"/>
              </w:rPr>
              <w:t>9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intangible assets</w:t>
            </w:r>
          </w:p>
        </w:tc>
        <w:tc>
          <w:tcPr>
            <w:tcW w:w="36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6"/>
              </w:rPr>
              <w:t>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329,675</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3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(1,522)</w:t>
            </w:r>
          </w:p>
        </w:tc>
        <w:tc>
          <w:tcPr>
            <w:tcW w:w="17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60"/>
              <w:spacing w:after="0"/>
              <w:rPr>
                <w:sz w:val="20"/>
                <w:szCs w:val="20"/>
                <w:color w:val="auto"/>
              </w:rPr>
            </w:pPr>
            <w:r>
              <w:rPr>
                <w:rFonts w:ascii="Arial" w:cs="Arial" w:eastAsia="Arial" w:hAnsi="Arial"/>
                <w:sz w:val="18"/>
                <w:szCs w:val="18"/>
                <w:color w:val="auto"/>
              </w:rPr>
              <w:t>Total intangible assets, net</w:t>
            </w:r>
          </w:p>
        </w:tc>
        <w:tc>
          <w:tcPr>
            <w:tcW w:w="3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328,153</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640" w:type="dxa"/>
            <w:vAlign w:val="bottom"/>
            <w:vMerge w:val="restart"/>
          </w:tcPr>
          <w:p>
            <w:pPr>
              <w:jc w:val="right"/>
              <w:ind w:right="1930"/>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type w:val="continuous"/>
        </w:sectPr>
      </w:pPr>
    </w:p>
    <w:bookmarkStart w:id="152" w:name="page153"/>
    <w:bookmarkEnd w:id="152"/>
    <w:p>
      <w:pPr>
        <w:ind w:right="60"/>
        <w:spacing w:after="0" w:line="259" w:lineRule="auto"/>
        <w:rPr>
          <w:sz w:val="20"/>
          <w:szCs w:val="20"/>
          <w:color w:val="auto"/>
        </w:rPr>
      </w:pPr>
      <w:r>
        <w:rPr>
          <w:rFonts w:ascii="Arial" w:cs="Arial" w:eastAsia="Arial" w:hAnsi="Arial"/>
          <w:sz w:val="18"/>
          <w:szCs w:val="18"/>
          <w:color w:val="auto"/>
        </w:rPr>
        <w:t>On December 12, 2018, the Company completed the Merger, whereby it acquired certain definite-lived intangible assets, including the developed product rights for Auryxia. The Company recorded $1.5 million in amortization expense related to intangible assets using the straight-line method, which is considered the best estimate of economic benefit, during the year ended December 31, 2018. Estimated future amortization expense for intangible assets as of December 31, 2018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r>
      <w:tr>
        <w:trPr>
          <w:trHeight w:val="26"/>
        </w:trPr>
        <w:tc>
          <w:tcPr>
            <w:tcW w:w="5080" w:type="dxa"/>
            <w:vAlign w:val="bottom"/>
            <w:tcBorders>
              <w:bottom w:val="single" w:sz="8" w:color="CFF0FC"/>
            </w:tcBorders>
          </w:tcPr>
          <w:p>
            <w:pPr>
              <w:spacing w:after="0"/>
              <w:rPr>
                <w:sz w:val="2"/>
                <w:szCs w:val="2"/>
                <w:color w:val="auto"/>
              </w:rPr>
            </w:pPr>
          </w:p>
        </w:tc>
        <w:tc>
          <w:tcPr>
            <w:tcW w:w="43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36,531</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4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36,531</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36,531</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2022</w:t>
            </w:r>
          </w:p>
        </w:tc>
        <w:tc>
          <w:tcPr>
            <w:tcW w:w="4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36,531</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36,423</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145,606</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As of December 31, 2018, the Company had goodwill of $55.1 million, generated from the Merger, in its consolidated balance sheet. Goodwill will be evaluated for impairment on an annual basis as of October 1, and more frequently if indicators are present or changes in circumstances suggest that an impairment may exist.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r>
      <w:tr>
        <w:trPr>
          <w:trHeight w:val="156"/>
        </w:trPr>
        <w:tc>
          <w:tcPr>
            <w:tcW w:w="52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gridSpan w:val="4"/>
          </w:tcPr>
          <w:p>
            <w:pPr>
              <w:jc w:val="right"/>
              <w:ind w:right="1191"/>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w:t>
            </w:r>
          </w:p>
        </w:tc>
        <w:tc>
          <w:tcPr>
            <w:tcW w:w="2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71,881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43,297</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Product revenue allowances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22,861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Merger costs</w:t>
            </w:r>
          </w:p>
        </w:tc>
        <w:tc>
          <w:tcPr>
            <w:tcW w:w="2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Accrued bonus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commercial manufacturing</w:t>
            </w:r>
          </w:p>
        </w:tc>
        <w:tc>
          <w:tcPr>
            <w:tcW w:w="2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Accrued severance</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Royalties</w:t>
            </w:r>
          </w:p>
        </w:tc>
        <w:tc>
          <w:tcPr>
            <w:tcW w:w="2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Professional fees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2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Accrued vacation</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payable</w:t>
            </w:r>
          </w:p>
        </w:tc>
        <w:tc>
          <w:tcPr>
            <w:tcW w:w="2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150,917</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Line of Credit</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Keryx, our wholly owned subsidiary following the Merger, has a $40.0 million revolving line of credit, or the Line of Credit, under its Loan and Security Agreement with Silicon Valley Bank, or SVB. Availability under the Line of Credit is subject to a borrowing base comprised of eligible receivables and eligible inventory as set forth in the Loan and Security Agreement. As of December 31, 2018, the Company had approximately $16.0 million in available borrowing base under the Revolving Loan Facility, of which $15.0 million is outstanding. Proceeds from the Line of Credit may be used for working capital and general business purposes. The Line of Credit is secured by substantially all of Keryx’s assets other than its intellectual property. The Line of Credit restricts Keryx’s ability to grant any interest in its intellectual property other than certain permitted licenses and permitted encumbrances set forth in the Loan and Security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3" w:name="page154"/>
    <w:bookmarkEnd w:id="153"/>
    <w:p>
      <w:pPr>
        <w:spacing w:after="0" w:line="253" w:lineRule="auto"/>
        <w:rPr>
          <w:sz w:val="20"/>
          <w:szCs w:val="20"/>
          <w:color w:val="auto"/>
        </w:rPr>
      </w:pPr>
      <w:r>
        <w:rPr>
          <w:rFonts w:ascii="Arial" w:cs="Arial" w:eastAsia="Arial" w:hAnsi="Arial"/>
          <w:sz w:val="18"/>
          <w:szCs w:val="18"/>
          <w:color w:val="auto"/>
        </w:rPr>
        <w:t>The principal amount outstanding under the Loan and Security Agreement bears interest at a floating rate per annum equal to the greater of (i) 2.0% above the “prime rate,” as reported in The Wall Street Journal and (ii) 6.75%, which interest is payable monthly. Principal amounts borrowed under the Line of Credit may be repaid and, prior to the maturity date, re-borrowed, subject to the terms and conditions set forth in the Loan and Security Agreement. The Line of Credit matures on the date that is the earlier of (i) two years after the effective date of the Loan and Security Agreement and (ii) ninety days prior to the maturity of any portion of any Permitted Convertible Debt, as defined under the Loan and Security Agreement. Upon entry into the Loan and Security Agreement (payable in installments and subject to certain conditions), and at the one year anniversary of the effective date of the Loan and Security Agreement (or, if earlier, upon termination of or an event of default under the Loan and Security Agreement), Keryx must pay to SVB a fee equal to 1.00% of the Line of Credit. Keryx is also required to pay on a quarterly basis a fee equal to 0.25% per annum of the average unused portion of the Line of Credit. Keryx must pay a termination fee of 2.00% of the Line of Credit, if the Loan and Security Agreement is terminated prior to the maturity date, subject to certain exceptions.</w:t>
      </w:r>
    </w:p>
    <w:p>
      <w:pPr>
        <w:spacing w:after="0" w:line="19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Loan and Security Agreement contains customary covenants applicable to Keryx and its subsidiaries, including maintaining insurance on its business, achievement of minimum revenue amounts, the incurrence of additional indebtedness, and future encumbrances on Keryx’s assets. In addition, the Keryx must maintain a liquidity ratio, defined as (i) the sum of unrestricted and unencumbered cash and cash equivalents maintained at SVB or its affiliates plus net billed accounts receivable divided by (ii) all outstanding obligations and liabilities of Keryx to SVB, including the aggregate amount of Keryx’s obligations to SVB under any business credit cards, of at least 1.5 to 1.0, measured monthly.</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an event of default under the Loan and Security Agreement, SVB is entitled to accelerate and demand payment of all amounts outstanding under the Loan and Security Agreement, stop advancing money or extending credit to Keryx, demand that Keryx deposit at least 105% of the face amount of any letters of credit remaining undrawn to secure all obligations thereunder, and exercise other remedies available to SVB under the Loan and Security Agreement and at law or in equity. As of December 31, 2018, the Company has determined that events of default have already occurred, and has not obtained a formal waiver from SVB with respect to these events of default. As a result, the Company has classified the outstanding principal of $15.0 million as a current liability in its consolidated balance sheet as of December 31, 2018. So long as these events of default are not waived or otherwise resolved, SVB has the right to take any of the foregoing remedies. If SVB were to accelerate all of the obligations outstanding under the Loan and Security Agreement, the Company would be required to pay the outstanding principal and other fees to SVB, and the Company would no longer have access to the Line of Credit. These events of default have no impact on the Company’s liquidity, as the Company’s operating plan and cash forecast assumes the payment of all amounts due to SVB and no future borrowings under the Line of Credit.</w:t>
      </w:r>
    </w:p>
    <w:p>
      <w:pPr>
        <w:spacing w:after="0" w:line="178"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During the period from December 12, 2018 through December 31, 2018, the Company recognized approximately $65,000 of interest expense related to the Line of Credit. The Company did not incur any amortization expense related to the origination fee and other additional fees noted above as such fees were included in the fair value of the Line of Credit as of December 12, 2018, the date of which the Merger was consummated, in accordance with ASC 805.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w:t>
      </w:r>
    </w:p>
    <w:p>
      <w:pPr>
        <w:spacing w:after="0" w:line="1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with the Janssen Agreement, in February 2017, the Company issued a warrant to purchase 509,611 shares of the Company’s common stock at an exercise price of $9.81 per share. The warrant was fully vested upon issuance and exercisable in whole or in part, at any time prior to February 9, 2022. The warrant satisfied the equity classification criteria of ASC 815, and is therefore classified as an equity instrument. The fair value at issuance of $3.4 million was calculated using the Black-Scholes option pricing model and was charged to research and development expense as it represented consideration for a license for which the underlying intellectual property was deemed to have no alternative future use. As of December 31, 2018, the warrant remains outstanding and expires on February 9, 2022.</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December 31, 2018, the authorized capital stock of the Company included 175,000,000 shares of common stock, par value $0.00001 per share, of which 116,887,518 and 47,612,619 shares were issued and outstanding at December 31, 2018 and 2017, respectively; and 25,000,000 shares of undesignated preferred stock, par value $0.00001 per share, of which 0 shares were issued and outstanding at December 31, 2018 and December 31, 2017.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At-the-Market Facility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May 2016, the Company established an at-the-market, or ATM, equity offering program pursuant to which it was able to offer and sell up to $75.0 million its common stock at the then current market prices from time to time. In September 2016, the Company commenced sales under this program. Through December 31, 2017, the Company sold 1,080,908 shares of common stock under this program with net proceeds (after deducting commissions and other offering expenses) of $12.1 million. Additionally, the Company sold 694,306 shares in the three months ended March 31, 2018 for net proceeds (after deducting commissions and other offering expenses) of approximately $10.5 million. The Company has not sold any additional shares under this program subsequent to March 31,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In March 2018, the Company completed a follow-on public equity offering, whereby the Company sold 8,500,000 shares of common stock at a public offering price of $10.50 per share. The aggregate net proceeds received by the Company from the offering were approximately $84.8 million, net of underwriting discounts and commissions and estimated offering expenses payable by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 and Awards Assumed in Connection with Business Combination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12, 2018, the Company completed the Merger. Pursuant to the terms and conditions of the Merger Agreement, each Keryx Share issued and outstanding as of the Effective Time was cancelled and converted into 0.37433 fully paid and non-assessable Akebia Shares. As a result, in December 2018, the Company issued 57,773,090 shares of common stock to Keryx shareholders, and 1,497,320 shares issued as part of the Baupost Additional Shares which has been excluded from the business combination purchase price (see Note 5).</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in connection with the Merger, the Company converted outstanding and unexercised options to purchase Keryx Shares into 3,967,290 options to purchase Akebia Shares, as adjusted to the reflect the Exchange Multiplier, of which 3,733,336 are service-based stock options and 233,954 are performance-based stock options. The Company also converted outstanding Keryx Restricted Shares into 602,752 Akebia RSUs, of which 486,709 are service-based RSUs and 116,043 are performance-based RSUs.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Acceleration of Equity Awards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closing of the Merger, certain executives of Keryx were terminated and as a result, the Company accelerated in full the vesting of all of the outstanding equity awards for each such executive, consistent with his or her existing employment agreements. Additionally, subject to limited exceptions, all outstanding equity awards held by certain officers of Akebia also had the vesting of their outstanding equity awards accelerated in full upon consummation of the Merger as a result of the change in control provision included in each such officer’s award agreements and their Executive Severance Agreements. As a result, the Company recognized $9.7 million of stock-based compensation expense related to the acceleration of awards.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February 28, 2014, the Company’s Board of Directors adopted its 2014 Incentive Plan and its 2014 Employee Stock Purchase Plan, or the ESPP, which were subsequently approved by its shareholders and became effective upon the closing of the Company’s initial public offering on March 25, 2014. The Company’s 2014 Incentive Plan was subsequently amended on December 11, 2018, which amendment did not require shareholder approval. The Company’s 2014 Incentive Plan, as amended, is referred to as the 2014 Plan. The 2014 Plan replaced the Company’s Amended and Restated 2008 Equity Incentive Plan, the 2008 Plan; however, options or other awards granted under the 2008 Plan prior to the adoption of the 2014 Plan that have not been settled or forfeited remain outstanding and effective. In May 2016 the Company’s Board of Directors approved an inducement award program that was separate from the Company’s equity plans and which, consistent with Nasdaq Listing Rule 5635(c)(4), did not require shareholder approval, or the Inducement Award Program. For 2018, the Company authorized the issuance of up to 750,000 shares for the purpose of granting options to purchase shares of the Company’s common stock to new hires under the Inducement Award Program, of which 375,750 options to purchase shares of the Company’s common stock were granted during the year. At December 31, 2018, 349,374 options granted in 2018 under the Inducement Award Program remain outstanding.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55" w:name="page156"/>
    <w:bookmarkEnd w:id="155"/>
    <w:p>
      <w:pPr>
        <w:spacing w:after="0" w:line="285" w:lineRule="auto"/>
        <w:rPr>
          <w:sz w:val="20"/>
          <w:szCs w:val="20"/>
          <w:color w:val="auto"/>
        </w:rPr>
      </w:pPr>
      <w:r>
        <w:rPr>
          <w:rFonts w:ascii="Arial" w:cs="Arial" w:eastAsia="Arial" w:hAnsi="Arial"/>
          <w:sz w:val="16"/>
          <w:szCs w:val="16"/>
          <w:color w:val="auto"/>
        </w:rPr>
        <w:t>The 2014 Plan allows for the granting of stock options, stock appreciation rights, or SARs, restricted stock, unrestricted stock, RSUs, performance awards and other awards convertible into or otherwise based on shares of the Company’s common stock. Dividend equivalents may also be provided in connection with an award under the 2014 Plan. The Company’s employees, officers, directors and consultants and advisors are eligible to receive awards under the 2014 Plan. The Company initially reserved 1,785,000 shares of its common stock for the issuance of awards under the 2014 Plan. The 2014 Plan provides that the number of shares reserved and available for issuance under the 2014 Plan will automatically increase annually on January 1</w:t>
      </w:r>
      <w:r>
        <w:rPr>
          <w:rFonts w:ascii="Arial" w:cs="Arial" w:eastAsia="Arial" w:hAnsi="Arial"/>
          <w:sz w:val="13"/>
          <w:szCs w:val="13"/>
          <w:color w:val="auto"/>
        </w:rPr>
        <w:t>st</w:t>
      </w:r>
      <w:r>
        <w:rPr>
          <w:rFonts w:ascii="Arial" w:cs="Arial" w:eastAsia="Arial" w:hAnsi="Arial"/>
          <w:sz w:val="16"/>
          <w:szCs w:val="16"/>
          <w:color w:val="auto"/>
        </w:rPr>
        <w:t xml:space="preserve"> of each calendar year, by an amount equal to three percent (3%) of the number of shares of the Company’s common stock outstanding on a fully diluted basis as of the close of business on the immediately preceding December 31</w:t>
      </w:r>
      <w:r>
        <w:rPr>
          <w:rFonts w:ascii="Arial" w:cs="Arial" w:eastAsia="Arial" w:hAnsi="Arial"/>
          <w:sz w:val="13"/>
          <w:szCs w:val="13"/>
          <w:color w:val="auto"/>
        </w:rPr>
        <w:t>st</w:t>
      </w:r>
      <w:r>
        <w:rPr>
          <w:rFonts w:ascii="Arial" w:cs="Arial" w:eastAsia="Arial" w:hAnsi="Arial"/>
          <w:sz w:val="16"/>
          <w:szCs w:val="16"/>
          <w:color w:val="auto"/>
        </w:rPr>
        <w:t>, or the 2014 Plan Evergreen Provision. The Company’s Board of Directors may act prior to January 1</w:t>
      </w:r>
      <w:r>
        <w:rPr>
          <w:rFonts w:ascii="Arial" w:cs="Arial" w:eastAsia="Arial" w:hAnsi="Arial"/>
          <w:sz w:val="13"/>
          <w:szCs w:val="13"/>
          <w:color w:val="auto"/>
        </w:rPr>
        <w:t>st</w:t>
      </w:r>
      <w:r>
        <w:rPr>
          <w:rFonts w:ascii="Arial" w:cs="Arial" w:eastAsia="Arial" w:hAnsi="Arial"/>
          <w:sz w:val="16"/>
          <w:szCs w:val="16"/>
          <w:color w:val="auto"/>
        </w:rPr>
        <w:t xml:space="preserve"> of any year to provide that there will be no automatic increase in the number of shares available for grant under the 2014 Plan for that year (or that the increase will be less than the amount that would otherwise have automatically been made). On December 12, 2018, in connection with the consummation of the Merger, the Company assumed outstanding and unexercised options to purchase Keryx Shares, as adjusted by the Exchange Multiplier pursuant to the terms of the Merger Agreement, under the following Keryx equity plans, or the Keryx Equity Plans: the Keryx 1999 Share Option Plan, the Keryx 2004 Long-Term Incentive Plan, the Keryx 2007 Incentive Plan, the Keryx Amended and Restated 2013 Incentive Plan, and the Keryx 2018 Equity Incentive Plan, or the Keryx 2018 Plan. In addition, the number of Keryx Shares available for issuance under the Keryx 2018 Plan, as adjusted by the Exchange Multiplier pursuant to the terms of the Merger Agreement, may be used for awards by the Company under its 2014 Plan, or the Assumed Shares, provided that the Company uses the Assumed Shares for individuals who were not employees or directors of the Company prior to the consummation of the Merger. During the year ended December 31, 2018, the Company granted 862,148 options to purchase Akebia Shares to employees under the 2014 Plan, 375,750 options to purchase Akebia Shares to employees under the Inducement Award Program, 644,340 Akebia RSUs to employees under the 2014 Plan, and 262,500 options to purchase Akebia Shares to directors under the 2014 Plan. Additionally, as noted above, the Company assumed 3,967,290 options and issued 602,752 Akebia RSUs in connection with the Merger.</w:t>
      </w:r>
    </w:p>
    <w:p>
      <w:pPr>
        <w:spacing w:after="0" w:line="3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ESPP provides for the issuance of options to purchase shares of the Company’s common stock to participating employees at a discount to their fair market value. The maximum aggregate number of shares of the Company’s common stock available for purchase pursuant to the exercise of options granted under the ESPP will be the lesser of (a) 262,500 shares, increased on each anniversary of the adoption of the ESPP by one percent (1%) of the total shares of common stock then outstanding, the ESPP Evergreen Provision, and (b) 739,611 shares, which is equal to five percent (5%) of the total shares of common stock outstanding on the date of the adoption of the ESPP on a fully diluted, as converted basis. Under the ESPP, each offering period is six months, at the end of which employees may purchase shares of the Company’s common stock through payroll deductions made over the term of the offering. The per-share purchase price at the end of each offering period is equal to the lesser of eighty-five percent (85%) of the closing price of the Company’s common stock at the beginning or end of the offering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reserved for future issuance the following number of shares of common stock:</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9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2018</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Common stock options and RSUs outstanding </w:t>
            </w:r>
            <w:r>
              <w:rPr>
                <w:rFonts w:ascii="Arial" w:cs="Arial" w:eastAsia="Arial" w:hAnsi="Arial"/>
                <w:sz w:val="15"/>
                <w:szCs w:val="15"/>
                <w:color w:val="auto"/>
              </w:rPr>
              <w:t>(1)</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9,309,204</w:t>
            </w:r>
          </w:p>
        </w:tc>
        <w:tc>
          <w:tcPr>
            <w:tcW w:w="2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4,388,752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 xml:space="preserve">Shares available for issuance under the 2014 Plan </w:t>
            </w:r>
            <w:r>
              <w:rPr>
                <w:rFonts w:ascii="Arial" w:cs="Arial" w:eastAsia="Arial" w:hAnsi="Arial"/>
                <w:sz w:val="15"/>
                <w:szCs w:val="15"/>
                <w:color w:val="auto"/>
              </w:rPr>
              <w:t>(2)</w:t>
            </w:r>
          </w:p>
        </w:tc>
        <w:tc>
          <w:tcPr>
            <w:tcW w:w="1660" w:type="dxa"/>
            <w:vAlign w:val="bottom"/>
          </w:tcPr>
          <w:p>
            <w:pPr>
              <w:jc w:val="right"/>
              <w:spacing w:after="0"/>
              <w:rPr>
                <w:sz w:val="20"/>
                <w:szCs w:val="20"/>
                <w:color w:val="auto"/>
              </w:rPr>
            </w:pPr>
            <w:r>
              <w:rPr>
                <w:rFonts w:ascii="Arial" w:cs="Arial" w:eastAsia="Arial" w:hAnsi="Arial"/>
                <w:sz w:val="18"/>
                <w:szCs w:val="18"/>
                <w:color w:val="auto"/>
              </w:rPr>
              <w:t>4,526,563</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1,790,600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Warrant to purchase common stock</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Shares available for issuance under the ESPP </w:t>
            </w:r>
            <w:r>
              <w:rPr>
                <w:rFonts w:ascii="Arial" w:cs="Arial" w:eastAsia="Arial" w:hAnsi="Arial"/>
                <w:sz w:val="15"/>
                <w:szCs w:val="15"/>
                <w:color w:val="auto"/>
              </w:rPr>
              <w:t>(3)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603,522</w:t>
            </w:r>
          </w:p>
        </w:tc>
        <w:tc>
          <w:tcPr>
            <w:tcW w:w="2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652,290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14,948,900</w:t>
            </w:r>
          </w:p>
        </w:tc>
        <w:tc>
          <w:tcPr>
            <w:tcW w:w="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7,341,253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5"/>
          <w:szCs w:val="15"/>
          <w:color w:val="auto"/>
        </w:rPr>
      </w:pPr>
      <w:r>
        <w:rPr>
          <w:rFonts w:ascii="Arial" w:cs="Arial" w:eastAsia="Arial" w:hAnsi="Arial"/>
          <w:sz w:val="18"/>
          <w:szCs w:val="18"/>
          <w:color w:val="auto"/>
        </w:rPr>
        <w:t>Includes awards granted under the 2014 Plan and the Inducement Award Program and awards issued in connection with the Merger.</w:t>
      </w:r>
    </w:p>
    <w:p>
      <w:pPr>
        <w:spacing w:after="0" w:line="117" w:lineRule="exact"/>
        <w:rPr>
          <w:rFonts w:ascii="Arial" w:cs="Arial" w:eastAsia="Arial" w:hAnsi="Arial"/>
          <w:sz w:val="15"/>
          <w:szCs w:val="15"/>
          <w:color w:val="auto"/>
        </w:rPr>
      </w:pPr>
    </w:p>
    <w:p>
      <w:pPr>
        <w:ind w:left="520" w:right="80" w:hanging="512"/>
        <w:spacing w:after="0" w:line="272" w:lineRule="auto"/>
        <w:tabs>
          <w:tab w:leader="none" w:pos="520" w:val="left"/>
        </w:tabs>
        <w:numPr>
          <w:ilvl w:val="0"/>
          <w:numId w:val="81"/>
        </w:numPr>
        <w:rPr>
          <w:rFonts w:ascii="Arial" w:cs="Arial" w:eastAsia="Arial" w:hAnsi="Arial"/>
          <w:sz w:val="14"/>
          <w:szCs w:val="14"/>
          <w:color w:val="auto"/>
        </w:rPr>
      </w:pPr>
      <w:r>
        <w:rPr>
          <w:rFonts w:ascii="Arial" w:cs="Arial" w:eastAsia="Arial" w:hAnsi="Arial"/>
          <w:sz w:val="17"/>
          <w:szCs w:val="17"/>
          <w:color w:val="auto"/>
        </w:rPr>
        <w:t>On January 1, 2019, January 1, 2018 and January 1, 2017, the shares reserved for future grants under the 2014 Plan increased by 3,801,198, 1,575,329 and 1,265,863 shares, respectively, pursuant to the 2014 Plan Evergreen Provision. On December 12, 2018, the shares reserved for future grants under the 2014 Plan increased by 2,323,213 shares as a result of the Company’s addition of the Assumed Shares to the 2014 Plan. On December 19, 2017, the Company’s Board of Directors approved 750,000 shares for issuance as option awards in fiscal year 2018 under the Inducement Award Program. Additionally, on January 30, 2019, the Company’s Board of Directors approved 3,150,000 shares for issuance as option awards in fiscal year 2019 under the Inducement Award Program, or the 2019 Inducement Shares. As the 2019 Inducement Shares were not available for issuance as of December 31, 2018, they have been excluded from the table above.</w:t>
      </w:r>
    </w:p>
    <w:p>
      <w:pPr>
        <w:spacing w:after="0" w:line="83" w:lineRule="exact"/>
        <w:rPr>
          <w:rFonts w:ascii="Arial" w:cs="Arial" w:eastAsia="Arial" w:hAnsi="Arial"/>
          <w:sz w:val="14"/>
          <w:szCs w:val="14"/>
          <w:color w:val="auto"/>
        </w:rPr>
      </w:pPr>
    </w:p>
    <w:p>
      <w:pPr>
        <w:jc w:val="both"/>
        <w:ind w:left="520" w:right="60" w:hanging="512"/>
        <w:spacing w:after="0" w:line="264" w:lineRule="auto"/>
        <w:tabs>
          <w:tab w:leader="none" w:pos="520" w:val="left"/>
        </w:tabs>
        <w:numPr>
          <w:ilvl w:val="0"/>
          <w:numId w:val="81"/>
        </w:numPr>
        <w:rPr>
          <w:rFonts w:ascii="Arial" w:cs="Arial" w:eastAsia="Arial" w:hAnsi="Arial"/>
          <w:sz w:val="15"/>
          <w:szCs w:val="15"/>
          <w:color w:val="auto"/>
        </w:rPr>
      </w:pPr>
      <w:r>
        <w:rPr>
          <w:rFonts w:ascii="Arial" w:cs="Arial" w:eastAsia="Arial" w:hAnsi="Arial"/>
          <w:sz w:val="18"/>
          <w:szCs w:val="18"/>
          <w:color w:val="auto"/>
        </w:rPr>
        <w:t>On February 28, 2018 and February 28, 2017, the shares reserved for future issuance under the ESPP remained unchanged. There were no increases in the shares reserved for future issuance pursuant to the ESPP Evergreen Provision subsequent to February 28, 2016 as the maximum aggregate number of shares available for purchase had reached its cap of 739,611.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Stock Options</w:t>
      </w:r>
    </w:p>
    <w:p>
      <w:pPr>
        <w:spacing w:after="0" w:line="11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On February 28, 2018, as part of the Company’s annual grant of equity, the Company issued 522,200 stock options to employees. In addition, the Company issues stock options to directors, new hires and occasionally to other employees not in connection with the annual grant process. Options granted by the Company vest over periods of between 12 and 48 months, subject, in each case, to the individual’s continued service through the applicable vesting date. Options vest either 100% on the first anniversary of the grant date or in installments of (i) 25% at the one year anniversary and (ii) 12 equal quarterly installments beginning after the one year anniversary of the grant date, subject to the individual’s continuous service with the Company. Options generally expire ten years after the date of grant. The Company recorded approximately $11.9 million, $6.5 million and $4.7 million of stock-based compensation expense related to stock options granted during fiscal years 2018, 2017 and 2016, respectively.</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December 12, 2018, pursuant to the Merger Agreement, each outstanding and unexercised option to acquire Keryx Shares granted under a Keryx equity plan converted into an option to acquire Akebia Shares, with the number of shares and exercise price adjusted by the Exchange Multiplier. As a result, the Company assumed 3,733,336 service-based options related to the Merger. The vesting schedule for these options is consistent with the vesting schedule noted above. The Company recorded approximately $0.2 million of stock-based compensation expense related to stock options assumed in 2018.</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in the Black-Scholes pricing model to estimate the grant date fair value of options granted under the 2014 Plan are as follows:</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3020" w:type="dxa"/>
            <w:vAlign w:val="bottom"/>
            <w:tcBorders>
              <w:bottom w:val="single" w:sz="8" w:color="CFF0FC"/>
            </w:tcBorders>
          </w:tcPr>
          <w:p>
            <w:pPr>
              <w:spacing w:after="0"/>
              <w:rPr>
                <w:sz w:val="13"/>
                <w:szCs w:val="13"/>
                <w:color w:val="auto"/>
              </w:rPr>
            </w:pPr>
          </w:p>
        </w:tc>
        <w:tc>
          <w:tcPr>
            <w:tcW w:w="1780" w:type="dxa"/>
            <w:vAlign w:val="bottom"/>
            <w:tcBorders>
              <w:bottom w:val="single" w:sz="8" w:color="auto"/>
            </w:tcBorders>
            <w:gridSpan w:val="2"/>
          </w:tcPr>
          <w:p>
            <w:pPr>
              <w:jc w:val="right"/>
              <w:ind w:right="67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900" w:type="dxa"/>
            <w:vAlign w:val="bottom"/>
            <w:tcBorders>
              <w:bottom w:val="single" w:sz="8" w:color="auto"/>
            </w:tcBorders>
            <w:gridSpan w:val="2"/>
          </w:tcPr>
          <w:p>
            <w:pPr>
              <w:jc w:val="right"/>
              <w:ind w:right="73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960" w:type="dxa"/>
            <w:vAlign w:val="bottom"/>
            <w:tcBorders>
              <w:bottom w:val="single" w:sz="8" w:color="auto"/>
            </w:tcBorders>
            <w:gridSpan w:val="2"/>
          </w:tcPr>
          <w:p>
            <w:pPr>
              <w:jc w:val="right"/>
              <w:ind w:right="77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- 2.27%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right"/>
              <w:ind w:right="59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9"/>
                <w:szCs w:val="19"/>
                <w:color w:val="auto"/>
              </w:rPr>
            </w:pPr>
          </w:p>
        </w:tc>
        <w:tc>
          <w:tcPr>
            <w:tcW w:w="1900" w:type="dxa"/>
            <w:vAlign w:val="bottom"/>
            <w:gridSpan w:val="2"/>
          </w:tcPr>
          <w:p>
            <w:pPr>
              <w:jc w:val="right"/>
              <w:ind w:right="63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1960" w:type="dxa"/>
            <w:vAlign w:val="bottom"/>
            <w:gridSpan w:val="2"/>
          </w:tcPr>
          <w:p>
            <w:pPr>
              <w:jc w:val="right"/>
              <w:ind w:right="67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61.65%</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- 77.04%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- 85.81%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- 82.40%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term (years)</w:t>
            </w:r>
          </w:p>
        </w:tc>
        <w:tc>
          <w:tcPr>
            <w:tcW w:w="820" w:type="dxa"/>
            <w:vAlign w:val="bottom"/>
          </w:tcPr>
          <w:p>
            <w:pPr>
              <w:jc w:val="right"/>
              <w:spacing w:after="0"/>
              <w:rPr>
                <w:sz w:val="20"/>
                <w:szCs w:val="20"/>
                <w:color w:val="auto"/>
              </w:rPr>
            </w:pPr>
            <w:r>
              <w:rPr>
                <w:rFonts w:ascii="Arial" w:cs="Arial" w:eastAsia="Arial" w:hAnsi="Arial"/>
                <w:sz w:val="18"/>
                <w:szCs w:val="18"/>
                <w:color w:val="auto"/>
              </w:rPr>
              <w:t>5.51</w:t>
            </w:r>
          </w:p>
        </w:tc>
        <w:tc>
          <w:tcPr>
            <w:tcW w:w="960" w:type="dxa"/>
            <w:vAlign w:val="bottom"/>
          </w:tcPr>
          <w:p>
            <w:pPr>
              <w:ind w:left="20"/>
              <w:spacing w:after="0"/>
              <w:rPr>
                <w:sz w:val="20"/>
                <w:szCs w:val="20"/>
                <w:color w:val="auto"/>
              </w:rPr>
            </w:pPr>
            <w:r>
              <w:rPr>
                <w:rFonts w:ascii="Arial" w:cs="Arial" w:eastAsia="Arial" w:hAnsi="Arial"/>
                <w:sz w:val="18"/>
                <w:szCs w:val="18"/>
                <w:color w:val="auto"/>
              </w:rPr>
              <w:t>- 6.25</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1020" w:type="dxa"/>
            <w:vAlign w:val="bottom"/>
          </w:tcPr>
          <w:p>
            <w:pPr>
              <w:ind w:left="20"/>
              <w:spacing w:after="0"/>
              <w:rPr>
                <w:sz w:val="20"/>
                <w:szCs w:val="20"/>
                <w:color w:val="auto"/>
              </w:rPr>
            </w:pPr>
            <w:r>
              <w:rPr>
                <w:rFonts w:ascii="Arial" w:cs="Arial" w:eastAsia="Arial" w:hAnsi="Arial"/>
                <w:sz w:val="18"/>
                <w:szCs w:val="18"/>
                <w:color w:val="auto"/>
              </w:rPr>
              <w:t>- 6.25</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c>
          <w:tcPr>
            <w:tcW w:w="1040" w:type="dxa"/>
            <w:vAlign w:val="bottom"/>
          </w:tcPr>
          <w:p>
            <w:pPr>
              <w:ind w:left="20"/>
              <w:spacing w:after="0"/>
              <w:rPr>
                <w:sz w:val="20"/>
                <w:szCs w:val="20"/>
                <w:color w:val="auto"/>
              </w:rPr>
            </w:pPr>
            <w:r>
              <w:rPr>
                <w:rFonts w:ascii="Arial" w:cs="Arial" w:eastAsia="Arial" w:hAnsi="Arial"/>
                <w:sz w:val="18"/>
                <w:szCs w:val="18"/>
                <w:color w:val="auto"/>
              </w:rPr>
              <w:t>- 6.25</w:t>
            </w:r>
          </w:p>
        </w:tc>
        <w:tc>
          <w:tcPr>
            <w:tcW w:w="8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option activity, excluding performance-based options, for the year ended December 31,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Exercise Price</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2017</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3,660,014</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21,932,858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1,500,398</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10.72</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Assumed in connection with the Merger</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3,733,336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(178,382)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(570,614)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Expired/cancelled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2018</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8,144,752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2,351,316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Options exercisable, December 31, 2018</w:t>
            </w: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14.32</w:t>
            </w:r>
          </w:p>
        </w:tc>
        <w:tc>
          <w:tcPr>
            <w:tcW w:w="30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6.99</w:t>
            </w:r>
          </w:p>
        </w:tc>
        <w:tc>
          <w:tcPr>
            <w:tcW w:w="320" w:type="dxa"/>
            <w:vAlign w:val="bottom"/>
          </w:tcPr>
          <w:p>
            <w:pPr>
              <w:spacing w:after="0" w:line="20" w:lineRule="exact"/>
              <w:rPr>
                <w:sz w:val="1"/>
                <w:szCs w:val="1"/>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2,351,316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6,423,555</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vMerge w:val="continue"/>
          </w:tcPr>
          <w:p>
            <w:pPr>
              <w:spacing w:after="0"/>
              <w:rPr>
                <w:sz w:val="21"/>
                <w:szCs w:val="21"/>
                <w:color w:val="auto"/>
              </w:rPr>
            </w:pPr>
          </w:p>
        </w:tc>
        <w:tc>
          <w:tcPr>
            <w:tcW w:w="146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62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vMerge w:val="continue"/>
          </w:tcPr>
          <w:p>
            <w:pPr>
              <w:spacing w:after="0"/>
              <w:rPr>
                <w:sz w:val="21"/>
                <w:szCs w:val="21"/>
                <w:color w:val="auto"/>
              </w:rPr>
            </w:pPr>
          </w:p>
        </w:tc>
        <w:tc>
          <w:tcPr>
            <w:tcW w:w="14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Vested and expected to vest,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8,144,752</w:t>
            </w:r>
          </w:p>
        </w:tc>
        <w:tc>
          <w:tcPr>
            <w:tcW w:w="30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1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December 31, 2018</w:t>
            </w:r>
          </w:p>
        </w:tc>
        <w:tc>
          <w:tcPr>
            <w:tcW w:w="134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vMerge w:val="continue"/>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bottom w:val="single" w:sz="8" w:color="CFF0FC"/>
            </w:tcBorders>
            <w:vMerge w:val="continue"/>
            <w:shd w:val="clear" w:color="auto" w:fill="CFF0FC"/>
          </w:tcPr>
          <w:p>
            <w:pPr>
              <w:spacing w:after="0"/>
              <w:rPr>
                <w:sz w:val="9"/>
                <w:szCs w:val="9"/>
                <w:color w:val="auto"/>
              </w:rPr>
            </w:pPr>
          </w:p>
        </w:tc>
        <w:tc>
          <w:tcPr>
            <w:tcW w:w="1340" w:type="dxa"/>
            <w:vAlign w:val="bottom"/>
            <w:tcBorders>
              <w:bottom w:val="single" w:sz="8" w:color="auto"/>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46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162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4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weighted-average grant date fair values of options granted in the years ended December 31, 2018, 2017, and 2016 were $7.12, $8.47, and $5.22 per share, respectively. The total intrinsic value of options exercised during the years ended December 31, 2018, 2017, and 2016 were $1.2 million, $2.7 million, and $0.6 million, respectively. The fair value of options that vested during the years ended December 31, 2018, 2017, and 2016 were $13.6 million, $5.6 million, and $4.6 million, respectively. As of December 31, 2018, there was approximately $8.7 million of unrecognized compensation cost related to stock options under the Company’s 2014 Plan or made pursuant to the Inducement Award Program, which is expected to be recognized over a weighted average period of 2.86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i w:val="1"/>
          <w:iCs w:val="1"/>
          <w:color w:val="auto"/>
        </w:rPr>
        <w:t>Performance-Based Stock Options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December 12, 2018, pursuant to the Merger Agreement, each outstanding and unexercised performance-based option to acquire Keryx Shares granted under a Keryx equity plan converted into a service-based option or performance-based option to acquire Akebia Shares, with the number of shares and exercise price adjusted by the Exchange Multiplier. As a result, the Company issued 233,954 performance-based options related to the Merger. The Company did not have any performance based-options outstanding in fiscal year 2018 prior to the Merger. The potential range of shares issuable pursuant to the Company’s performance-based options range from 0% to 100% of the target shares based on financial measures. Performance-based options vest up to 50% upon achievement of performance condition and up to 50% one year following achievement of the performance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performance-based option activity for the year ended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Exercise Price</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2017</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233,954</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18.96</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Forfeited/cancelled</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(31,818)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13.52</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2018</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202,136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CFF0FC"/>
              <w:bottom w:val="single" w:sz="8" w:color="CFF0FC"/>
            </w:tcBorders>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Company did not record any stock-based compensation expense related to performance-based options during 2018, 2017 and 2016. There were no performance-based options that vested during fiscal years 2018, 2017 or 2016. As of December 31, 2018, there was up to approximately $0.5 million of unrecognized compensation costs related to performance-based stock options under the Company’s 2014 Plan, which if the performance conditions are achieved, is expected to be recognized in a 1.0 year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23, 2013, the Company issued 450,224 shares of restricted stock to employees and 79,067 shares of restricted stock to non-employees at a grant date fair value of $7.42 per share. The aggregate grant date fair value for the shares of restricted stock issued on December 23, 2013 totaled approximately $3.9 million. The Company records stock-based compensation expense for restricted stock awards based on the grant date fair value for employees and the reporting date and upon vesting fair value for non-employees. The fair value of the award is considered the intrinsic value as of each measurement date. Compensation expense related to the restricted stock awards was being recognized over the associated requisite service period. The Company recorded approximately $0.2 million of stock-based compensation expense related to restricted stock during 2017. Restricted shares were fully vested as of December 31, 2017 and there were no additional grants of restricted stock during the year ended December 31, 2018, as such, there was no stock-based compensation expense related to restricted stock during the year ended December 31,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28, 2018, as part of the Company’s annual grant of equity, the Company issued 367,250 RSUs to employees. In addition, the Company occasionally issues RSUs not in connection with the annual grant process to employees. 100% of each RSU grant vests on either the first or the third anniversary of the grant date, subject, in each case, to the individual’s continued service through the applicable vesting date. The expense recognized for these awards is based on the grant date fair value of the Company’s common stock multiplied by the number of units granted and recognized on a straight-line basis over the vesting period. The Company recorded approximately $5.8 million, $2.0 million and $0.8 million of stock-based compensation expense related to the Akebia employee RSUs in 2018, 2017 and 2016, respectively.</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12, 2018, pursuant to the Merger Agreement, each Keryx Share that was subject to a Keryx restricted share award, other than those Keryx restricted shares that accelerated or lapsed as a result of the completion of the Merger, was converted into an RSU award of Akebia, covering the number of Akebia Shares determined in accordance with the Exchange Multiplier. As a result, the Company issued 486,709 service-based RSUs in substitution for Keryx restricted share awards in connection with the Merger. These RSUs vest either (i) in 3 equal annual installments beginning after the one-year anniversary of the grant date or (ii) one third on the one year anniversary of the grant date with the remaining RSUs vesting on the first day of each calendar quarter over the next two years thereafter. The Company recorded approximately $0.9 million of stock-based compensation expense related to RSUs issued in 2018 in substitution for the Keryx restricted share awards.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A following table summarizes the Company’s RSU activity for the year ended December 31, 2018:</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December 31,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728,738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644,340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Issued in connection with the Merger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486,709</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(818,395)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(195,119)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Outstanding, December 31,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846,273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there was approximately $5.4 million of unrecognized compensation cost related to RSUs, which is expected to be recognized over a weighted average period of 2.2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first offering period under the ESPP opened on January 2, 2015. The Company issued 48,768 shares during the year ended December 31, 2018. The Company recorded approximately $0.2 million, $0.2 million and $0.1 million of stock-based compensation expense related to the ESPP during 2018, 2017 and 2016,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recognized the following compensation cost related to share-based awards: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8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80" w:type="dxa"/>
            <w:vAlign w:val="bottom"/>
            <w:gridSpan w:val="4"/>
          </w:tcPr>
          <w:p>
            <w:pPr>
              <w:jc w:val="right"/>
              <w:ind w:right="1696"/>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shd w:val="clear" w:color="auto" w:fill="CFF0FC"/>
          </w:tcPr>
          <w:p>
            <w:pPr>
              <w:jc w:val="right"/>
              <w:ind w:right="11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w:t>
            </w:r>
          </w:p>
        </w:tc>
        <w:tc>
          <w:tcPr>
            <w:tcW w:w="820" w:type="dxa"/>
            <w:vAlign w:val="bottom"/>
            <w:gridSpan w:val="3"/>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w:t>
            </w:r>
          </w:p>
        </w:tc>
        <w:tc>
          <w:tcPr>
            <w:tcW w:w="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Compensation expense by type of award:</w:t>
            </w:r>
          </w:p>
        </w:tc>
        <w:tc>
          <w:tcPr>
            <w:tcW w:w="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8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80" w:type="dxa"/>
            <w:vAlign w:val="bottom"/>
            <w:gridSpan w:val="4"/>
          </w:tcPr>
          <w:p>
            <w:pPr>
              <w:jc w:val="right"/>
              <w:ind w:right="1696"/>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080" w:type="dxa"/>
            <w:vAlign w:val="bottom"/>
            <w:gridSpan w:val="2"/>
            <w:shd w:val="clear" w:color="auto" w:fill="CFF0FC"/>
          </w:tcPr>
          <w:p>
            <w:pPr>
              <w:jc w:val="right"/>
              <w:ind w:right="11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12,114</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820" w:type="dxa"/>
            <w:vAlign w:val="bottom"/>
            <w:gridSpan w:val="3"/>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Restricted stock</w:t>
            </w: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Warrant</w:t>
            </w: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340" w:type="dxa"/>
            <w:vAlign w:val="bottom"/>
            <w:tcBorders>
              <w:top w:val="single" w:sz="8" w:color="auto"/>
            </w:tcBorders>
          </w:tcPr>
          <w:p>
            <w:pPr>
              <w:jc w:val="right"/>
              <w:ind w:right="1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19,040</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360" w:type="dxa"/>
            <w:vAlign w:val="bottom"/>
            <w:gridSpan w:val="2"/>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Included in the compensation expense of stock options and RSUs for the year ended December 31, 2018, is approximately $1.1 million related to awards assumed under the Merger and acceleration of the vesting for awards of certain officers of Keryx.</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Effective January 1, 2018, (as noted in Note 2) the Company adopted ASC 606, using the full retrospective transition method. Under this method, the Company has revised its consolidated financial statements for the year ended December 31, 2017, and applicable interim periods within those years, as if ASC 606 had been effective for those periods. The adoption of this guidance did not have a significant impact on the Company’s related tax disclosures.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9" w:name="page160"/>
    <w:bookmarkEnd w:id="159"/>
    <w:p>
      <w:pPr>
        <w:spacing w:after="0" w:line="297" w:lineRule="auto"/>
        <w:rPr>
          <w:sz w:val="20"/>
          <w:szCs w:val="20"/>
          <w:color w:val="auto"/>
        </w:rPr>
      </w:pPr>
      <w:r>
        <w:rPr>
          <w:rFonts w:ascii="Arial" w:cs="Arial" w:eastAsia="Arial" w:hAnsi="Arial"/>
          <w:sz w:val="16"/>
          <w:szCs w:val="16"/>
          <w:color w:val="auto"/>
        </w:rPr>
        <w:t>The Company’s income tax provision was computed based on the federal statutory rate and the state statutory rates, net of the related federal benefit. There was no current or deferred income tax expense or benefit for the years ended December 31, 2017 and 2016 due to the Company’s net losses and increases in its valuation allowance against its deferred tax assets. At December 31, 2018 the Company recorded a tax benefit of $28.3 million as a result of the Merger with Keryx. As part of purchase accounting, the Company recorded a deferred tax liability that is a source of income for which the Company can benefit from its tax attributes. The use of the Company’s tax attributes resulted in a release of the corresponding valuation allowance associated with this benefit.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each of the years ended December 31, 2018, 2017 and 2016 consisted of the following:</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740" w:type="dxa"/>
            <w:vAlign w:val="bottom"/>
            <w:gridSpan w:val="5"/>
          </w:tcPr>
          <w:p>
            <w:pPr>
              <w:ind w:left="100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108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(16,383)</w:t>
            </w: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(12,082)</w:t>
            </w:r>
          </w:p>
        </w:tc>
        <w:tc>
          <w:tcPr>
            <w:tcW w:w="14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(28,465)</w:t>
            </w:r>
          </w:p>
        </w:tc>
        <w:tc>
          <w:tcPr>
            <w:tcW w:w="200" w:type="dxa"/>
            <w:vAlign w:val="bottom"/>
          </w:tcPr>
          <w:p>
            <w:pPr>
              <w:spacing w:after="0"/>
              <w:rPr>
                <w:sz w:val="19"/>
                <w:szCs w:val="19"/>
                <w:color w:val="auto"/>
              </w:rPr>
            </w:pPr>
          </w:p>
        </w:tc>
        <w:tc>
          <w:tcPr>
            <w:tcW w:w="108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Taxes</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effective income tax rate differs from the statutory federal income tax rate as follows for the years ended December 31, 2018, 2017 and 2016:</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Federal tax at statutory rate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4"/>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State and local tax at statutory rate</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Equity compensation</w:t>
            </w:r>
          </w:p>
        </w:tc>
        <w:tc>
          <w:tcPr>
            <w:tcW w:w="134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(0.6)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Alternative minimum tax</w:t>
            </w:r>
          </w:p>
        </w:tc>
        <w:tc>
          <w:tcPr>
            <w:tcW w:w="134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Impact of US tax reform</w:t>
            </w:r>
          </w:p>
        </w:tc>
        <w:tc>
          <w:tcPr>
            <w:tcW w:w="134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(54.7)</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Non-Deductible Transaction Costs</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(3.1)</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13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Reduction in DTA for change in ownership</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(26.1)</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vMerge w:val="continue"/>
            <w:shd w:val="clear" w:color="auto" w:fill="CFF0FC"/>
          </w:tcPr>
          <w:p>
            <w:pPr>
              <w:spacing w:after="0"/>
              <w:rPr>
                <w:sz w:val="20"/>
                <w:szCs w:val="20"/>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16.5%</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22, 2017, "H.R.1," known as the Tax Cuts and Jobs Act, was signed into law. The Tax Cuts and Jobs Act, among other items, reduces the corporate income tax rate from 35% to 21%, effective January 1, 2018. As such, Akebia completed a revaluation of its net deferred tax assets. Akebia's deferred tax assets, net of deferred tax liabilities, represent expected corporate tax benefits anticipated to be realized in the future. The reduction in the federal corporate tax rate reduces these benefits.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year ended December 31, 2017, the Company evaluated the impact of the "Tax Cuts and Jobs Act," and determined that a reduction in its deferred tax asset of $43.0 million be recorded in the fourth quarter of 2017. However, the Company’s lack of earnings history and the uncertainty surrounding the Company’s ability to generate taxable income prior to the utilization of the deferred tax assets is completely offset by a valuation allowance. In 2018 the Company completed its review of the Tax Cuts and Jobs Act and has finalized adjustments related to its deferred tax assets and liabilities that resulted from the changes in the tax law.</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year ended December 31, 2017, the Company had taxable income primarily due to timing differences. The income was fully offset with available net operating losses, or NOLs, for regular federal and state tax purposes. The Company did have a tax liability that was based on the Alternative Minimum Tax and resulted in approximately $0.8 million of Federal Tax, however due to tax reform, the amount is fully refundable through 2021 and thus the net result is that the Company recorded an income tax receivable of approximately $0.8 million rather than a tax expense for the year ended December 31, 2017.</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0" w:name="page161"/>
    <w:bookmarkEnd w:id="160"/>
    <w:p>
      <w:pPr>
        <w:ind w:right="60"/>
        <w:spacing w:after="0" w:line="27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valuation allowance has been provided on its deferred tax assets. The Company continues to maintain the underlying tax benefits to offset future taxable income and to monitor the need for a valuation allowance based on the profitability of its future operations. The valuation allowance increased by approximately $23.3 million and decreased by approximately $4.9 million, during the years ended December 31, 2018 and 2017, respectively. Significant components of the Company’s deferred tax assets and liabilities are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65"/>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4,993</w:t>
            </w:r>
          </w:p>
        </w:tc>
        <w:tc>
          <w:tcPr>
            <w:tcW w:w="220" w:type="dxa"/>
            <w:vAlign w:val="bottom"/>
          </w:tcPr>
          <w:p>
            <w:pPr>
              <w:spacing w:after="0"/>
              <w:rPr>
                <w:sz w:val="21"/>
                <w:szCs w:val="21"/>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28,533</w:t>
            </w:r>
          </w:p>
        </w:tc>
        <w:tc>
          <w:tcPr>
            <w:tcW w:w="2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32,093</w:t>
            </w: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2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25,322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non-current liabilities</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7,567</w:t>
            </w:r>
          </w:p>
        </w:tc>
        <w:tc>
          <w:tcPr>
            <w:tcW w:w="22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Net operating loss carryforward</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189,842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42,335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Borders>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244,201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108,293</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valuation allowance</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(131,424)</w:t>
            </w: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(108,112)</w:t>
            </w:r>
          </w:p>
        </w:tc>
      </w:tr>
      <w:tr>
        <w:trPr>
          <w:trHeight w:val="237"/>
        </w:trPr>
        <w:tc>
          <w:tcPr>
            <w:tcW w:w="20" w:type="dxa"/>
            <w:vAlign w:val="bottom"/>
          </w:tcPr>
          <w:p>
            <w:pPr>
              <w:spacing w:after="0"/>
              <w:rPr>
                <w:sz w:val="20"/>
                <w:szCs w:val="20"/>
                <w:color w:val="auto"/>
              </w:rPr>
            </w:pPr>
          </w:p>
        </w:tc>
        <w:tc>
          <w:tcPr>
            <w:tcW w:w="51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108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112,777</w:t>
            </w:r>
          </w:p>
        </w:tc>
        <w:tc>
          <w:tcPr>
            <w:tcW w:w="220" w:type="dxa"/>
            <w:vAlign w:val="bottom"/>
            <w:tcBorders>
              <w:bottom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FF0FC"/>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43"/>
        </w:trPr>
        <w:tc>
          <w:tcPr>
            <w:tcW w:w="20" w:type="dxa"/>
            <w:vAlign w:val="bottom"/>
          </w:tcPr>
          <w:p>
            <w:pPr>
              <w:spacing w:after="0"/>
              <w:rPr>
                <w:sz w:val="21"/>
                <w:szCs w:val="21"/>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(81,847)</w:t>
            </w: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(37,440)</w:t>
            </w:r>
          </w:p>
        </w:tc>
        <w:tc>
          <w:tcPr>
            <w:tcW w:w="3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(119,408)</w:t>
            </w:r>
          </w:p>
        </w:tc>
        <w:tc>
          <w:tcPr>
            <w:tcW w:w="3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w:t>
            </w:r>
          </w:p>
        </w:tc>
      </w:tr>
      <w:tr>
        <w:trPr>
          <w:trHeight w:val="223"/>
        </w:trPr>
        <w:tc>
          <w:tcPr>
            <w:tcW w:w="20" w:type="dxa"/>
            <w:vAlign w:val="bottom"/>
          </w:tcPr>
          <w:p>
            <w:pPr>
              <w:spacing w:after="0"/>
              <w:rPr>
                <w:sz w:val="19"/>
                <w:szCs w:val="19"/>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Net deferred tax liability</w:t>
            </w:r>
          </w:p>
        </w:tc>
        <w:tc>
          <w:tcPr>
            <w:tcW w:w="10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At December 31, 2018 and 2017, the Company has approximately $0.6 million (after amortization of $1.3 million) and $0.8 million (after amortization of $1.1 million), respectively, of start-up expenses capitalized for income tax purposes with amortization available to offset future federal, state and local income tax.</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2018 and 2017, the Company has approximately $790.0 million and $179.7 million, respectively, of federal NOL carry-forwards which expire through 2037. Included in the $790.0 million of federal NOLs are losses of $208.0 million that will carry forward indefinitely as a result of the Tax Cuts and Jobs Act. Additionally, at December 31, 2018 and 2017, the Company has approximately $442.4 million and $74.6 million, respectively, of state NOL carry-forwards which expired through 2038. The Company also has approximately $3.7 million of state research and development tax credit carryforwards which expire through 2038.</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provisions of the Internal Revenue Code, the net operating losses and tax credit carry-forwards are subject to review and possible adjustment by the Internal Revenue Service and state tax authorities. Net operating losses and tax credit carryforwards may become subject to an annual limitation under Internal Revenue Code 382 and 383 if there is more than a 50% change in ownership of the stockholders that own 5% or more of the company’s outstanding stock over a three-year period. The Company has completed an evaluation of its ownership changes and concluded that an ownership change did occur on December 12, 2018 for both Akebia and Keryx in connection with the Merger. As a consequence of this ownership change, the Company’s NOL’s and tax credit carryforwards allocable to the tax periods preceding the ownership change became subject to limitation under Section 382. The Company has reduced its associated deferred tax assets by $44.9 million as a result of the limitation.</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generated research credits but has not conducted a formal study to document its qualified activities. This study may result in an adjustment to the Company’s research and development credit carryforwards; however, until a study is completed and any adjustment is known, no amounts are being presented as an uncertain tax position. A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61" w:name="page162"/>
    <w:bookmarkEnd w:id="161"/>
    <w:p>
      <w:pPr>
        <w:ind w:right="100"/>
        <w:spacing w:after="0" w:line="312" w:lineRule="auto"/>
        <w:rPr>
          <w:sz w:val="20"/>
          <w:szCs w:val="20"/>
          <w:color w:val="auto"/>
        </w:rPr>
      </w:pPr>
      <w:r>
        <w:rPr>
          <w:rFonts w:ascii="Arial" w:cs="Arial" w:eastAsia="Arial" w:hAnsi="Arial"/>
          <w:sz w:val="16"/>
          <w:szCs w:val="16"/>
          <w:color w:val="auto"/>
        </w:rPr>
        <w:t>The Company files income tax returns in the U.S. federal and various state and local jurisdictions. For federal and state income tax purposes, the 2017, 2016 and 2015 tax years remain open for examination under the normal three-year statute of limitations. The statute of limitations for income tax audits in the United States will commence upon utilization of net operating losses and will expire three years from the filing of the tax return the loss was utilized on.</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There was no accrual for uncertain tax positions or for interest and penalties related to uncertain tax positions for 2018, 2017 and 2016. The Company does not believe that there will be a material change in its unrecognized tax positions over the next twelve months. All of the unrecognized tax benefits, if recognized, would be offset by the valuation allowance.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Retirement Plan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2008, the Company established a retirement plan, or the Plan, authorized by Section 401(k) of the Internal Revenue Code. In accordance with the Plan, all employees who have attained the age of 21 are eligible to participate in the Plan as of the first Entry Date, as defined, following their date of employment. Each employee can contribute a percentage of compensation up to a maximum of the statutory limits per year. Company contributions are discretionary and contributions in the amount of approximately $0.3 million, $0.2 million and $0.2 million were made during the years ended December 31, 2018, 2017 and 2016,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leases approximately 65,167 square feet of office and lab space in Cambridge, Massachusetts under a lease which was most recently amended in April 2018, collectively the Cambridge Lease. Under the Third Amendment to the Cambridge Lease, or the Third Amendment, executed in July 2016, total monthly lease payments under the initial base rent were approximately $242,000 and are subject to annual rent escalations. In addition to such annual rent escalations, base rent payments for a portion of said premises commenced on January 1, 2017 in the monthly amount of approximately $22,000. The Fourth Amendment to the Cambridge Lease, executed in May 2017, provided additional storage space to the Company and did not impact rent payments. In April 2018, the Company entered into a Fifth Amendment to the Cambridge Lease, or the Fifth Amendment, for an additional 19,805 square feet of office space on the 12</w:t>
      </w:r>
      <w:r>
        <w:rPr>
          <w:rFonts w:ascii="Arial" w:cs="Arial" w:eastAsia="Arial" w:hAnsi="Arial"/>
          <w:sz w:val="13"/>
          <w:szCs w:val="13"/>
          <w:color w:val="auto"/>
        </w:rPr>
        <w:t>th</w:t>
      </w:r>
      <w:r>
        <w:rPr>
          <w:rFonts w:ascii="Arial" w:cs="Arial" w:eastAsia="Arial" w:hAnsi="Arial"/>
          <w:sz w:val="16"/>
          <w:szCs w:val="16"/>
          <w:color w:val="auto"/>
        </w:rPr>
        <w:t xml:space="preserve"> floor. Monthly lease payments for the existing 45,362 square feet of office and lab space, under the Third Amendment, remain unchanged. The new space leased by the Company was delivered in September 2018 and additional monthly lease payments of approximately $135,000 will commence in February 2019 and are subject to annual rent escalations, commencing in September 2019.</w:t>
      </w:r>
    </w:p>
    <w:p>
      <w:pPr>
        <w:spacing w:after="0" w:line="16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Additionally, as a result of the Merger, the Company now has a lease for 27,300 square feet of office space in Boston, Massachusetts, or the Boston Lease, which expires in February 2023. The total monthly lease payments under the base rent are approximately $136,000 and are subject to annual rent escalations.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Committed landlord contributions included in the Cambridge Lease totaled $3,289,170, including $1,083,453 in leasehold improvements not yet utilized. The landlord contributions are being accounted for as a deferred lease incentive and reduction in monthly rent expense over the term of the lease. The term of the Cambridge Lease with respect to the office space expires on September 11, 2026, with one five year extension option available. The term of the Cambridge Lease with respect to the lab space expires on November 30, 2021, with an extension option for one additional period of two years. The term of the Boston Lease office space expires on February 28, 2023, with an extension option for one additional five year extension option available. Under the Fifth Amendment, the total security deposit in connection with the Cambridge Lease increased by $0.5 million from $1.3 million to $1.8 million. In May 2018, the security deposit was reduced by $0.2 million to $1.6 million, which remains in effect as of December 31, 2018. Additionally, the Company recorded $0.8 million for the security deposit under the Boston Lease. Both the Cambridge Lease and the Boston Lease have their security deposits is in the form of a letter of credit, all of which are included in other assets in the Company’s consolidated balance sheets as of December 31, 2018.</w:t>
      </w:r>
    </w:p>
    <w:p>
      <w:pPr>
        <w:spacing w:after="0" w:line="16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recognizes rent expense for the space it currently occupies under the Cambridge Lease and records a deferred lease obligation representing the cumulative difference between actual facility lease payments and lease expense recognized ratably over the lease period, which is included in the Company’s consolidated balance sheets as of December 31, 2018 and December 31, 2017.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At December 31, 2018, the Company’s future minimum payments required under these leases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Operating</w:t>
            </w: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Lease</w:t>
            </w: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tcPr>
          <w:p>
            <w:pPr>
              <w:jc w:val="center"/>
              <w:ind w:right="3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32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2020</w:t>
            </w: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7,008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2022</w:t>
            </w: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6,735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recorded approximately $3.7 million, $3.2 million and $2.5 million in rent expense for the years ended December 31, 2018, 2017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part of the Merger, the Company retained Keryx’s commercial supply agreements with BioVectra Inc., or BioVectra, and Siegfried Evionnaz SA, or Siegfried, to supply commercial drug substance for Auryxia.</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the BioVectra Manufacture and Supply Agreement and the Product Manufacture and Supply and Facility Construction Agreement, collectively the BioVectra Agreement, the Company has agreed to purchase a minimum quantity of drug substance of Auryxia at predetermined prices. The price per metric kilogram will decrease with an increase in quantity above the minimum purchase quantity. In addition, the BioVectra Agreement contained contingent milestone payments for capital developments in connection with construction of an expansion of the site of the BioVectra production facility for the manufacture of drug substance for Auryxia. These milestone payments were achieved by BioVectra and fully recorded prior to the Merger. These milestone payments are recorded in other assets and amortized into drug substance as inventory is released to the Company. The term of the BioVectra Agreement expires in late 2026, after which, it automatically renews for specified terms until terminated. The Company may terminate the BioVectra Agreement prior to the expiration of the contract term, which could result in early termination fee. As of December 31, 2018, the Company is required to purchase a minimum quantity of drug substance for Auryxia annually at a total cost of approximately $154.0 million through the end of the contract term.</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part of purchase accounting, the Company identified an executory contract in the supply agreement between Keryx and BioVectra, which includes future firm purchase commitments. This executory contract was deemed to have an off-market element related to the amount of purchase commitments that exceed the current forecast and as such, the Company recorded a liability in purchase accounting. As of the acquisition date, the preliminary fair value of the off-market element was $29.5 million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Siegfried Master Manufacturing Services and Supply Agreement, or the Siegfried Agreement, the Company has agreed to purchase a minimum quantity of drug substance of Auryxia at predetermined prices. The price per metric kilogram will decrease with an increase in quantity above the minimum purchase quantity. The term of the Siegfried Agreement expires on December 31, 2021, after which, it automatically renews for one-year terms until terminated. The Siegfried Agreement provides for certain termination rights prior to December 31, 2021 for the Company. As of December 31, 2018, the Company is required to purchase a minimum quantity of drug substance for Auryxia annually at a total cost of approximately $85.1 million through the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Third Party Contracts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Company’s agreement with IQVIA, formerly known as Quintiles IMS, to provide contract research organization services for the PRO</w:t>
      </w:r>
      <w:r>
        <w:rPr>
          <w:rFonts w:ascii="Arial" w:cs="Arial" w:eastAsia="Arial" w:hAnsi="Arial"/>
          <w:sz w:val="14"/>
          <w:szCs w:val="14"/>
          <w:color w:val="auto"/>
        </w:rPr>
        <w:t>2</w:t>
      </w:r>
      <w:r>
        <w:rPr>
          <w:rFonts w:ascii="Arial" w:cs="Arial" w:eastAsia="Arial" w:hAnsi="Arial"/>
          <w:sz w:val="17"/>
          <w:szCs w:val="17"/>
          <w:color w:val="auto"/>
        </w:rPr>
        <w:t>TECT and INNO</w:t>
      </w:r>
      <w:r>
        <w:rPr>
          <w:rFonts w:ascii="Arial" w:cs="Arial" w:eastAsia="Arial" w:hAnsi="Arial"/>
          <w:sz w:val="14"/>
          <w:szCs w:val="14"/>
          <w:color w:val="auto"/>
        </w:rPr>
        <w:t>2</w:t>
      </w:r>
      <w:r>
        <w:rPr>
          <w:rFonts w:ascii="Arial" w:cs="Arial" w:eastAsia="Arial" w:hAnsi="Arial"/>
          <w:sz w:val="17"/>
          <w:szCs w:val="17"/>
          <w:color w:val="auto"/>
        </w:rPr>
        <w:t>VATE programs, the total remaining contract costs as of December 31, 2018 were approximately $106.3 million. The estimated period of substantive performance for the committed work with IQVIA is through the end of 2020. The Company also contracts with various other organizations to conduct research and development activities with remaining contract costs to the Company of approximately $102.8 million at December 31, 2018. The scope of the services under these research and development contracts can be modified and the contracts cancelled by the Company upon written notice. In some instances, the contracts may be cancelled by the third party upon written notice.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in the table below were excluded from the calculation of diluted net loss per share, prior to the use of the treasury stock method, due to their anti-dilutive effect: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6"/>
          </w:tcPr>
          <w:p>
            <w:pPr>
              <w:jc w:val="right"/>
              <w:ind w:right="43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3"/>
              </w:rPr>
              <w:t>2016</w:t>
            </w: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2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8,346,888</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3,660,014</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3,148,006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92,972</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962,316</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728,738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431,688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9,818,815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4,898,363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2"/>
              </w:rPr>
              <w:t>3,672,666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18. Quarterly Results (unaudited)</w:t>
            </w: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8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right="35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13"/>
              <w:spacing w:after="0" w:line="147" w:lineRule="exact"/>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2"/>
                <w:szCs w:val="12"/>
                <w:color w:val="auto"/>
              </w:rPr>
            </w:pPr>
          </w:p>
        </w:tc>
        <w:tc>
          <w:tcPr>
            <w:tcW w:w="1000" w:type="dxa"/>
            <w:vAlign w:val="bottom"/>
            <w:gridSpan w:val="2"/>
          </w:tcPr>
          <w:p>
            <w:pPr>
              <w:jc w:val="center"/>
              <w:ind w:right="358"/>
              <w:spacing w:after="0" w:line="147"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980" w:type="dxa"/>
            <w:vAlign w:val="bottom"/>
            <w:gridSpan w:val="3"/>
          </w:tcPr>
          <w:p>
            <w:pPr>
              <w:jc w:val="center"/>
              <w:ind w:right="1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13"/>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58"/>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80" w:type="dxa"/>
            <w:vAlign w:val="bottom"/>
            <w:gridSpan w:val="7"/>
          </w:tcPr>
          <w:p>
            <w:pPr>
              <w:jc w:val="center"/>
              <w:ind w:left="12"/>
              <w:spacing w:after="0" w:line="147"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License, collaboration and other revenue</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rPr>
              <w:t>45,930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48,793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53,169</w:t>
            </w: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53,026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rPr>
              <w:t>70,428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84,455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81,012</w:t>
            </w: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142,240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(24,498)</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(35,662)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(27,843)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(90,158)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rPr>
              <w:t>1,080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1,593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(28,338)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(23,418)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
              <w:spacing w:after="0"/>
              <w:rPr>
                <w:sz w:val="20"/>
                <w:szCs w:val="20"/>
                <w:color w:val="auto"/>
              </w:rPr>
            </w:pPr>
            <w:r>
              <w:rPr>
                <w:rFonts w:ascii="Arial" w:cs="Arial" w:eastAsia="Arial" w:hAnsi="Arial"/>
                <w:sz w:val="18"/>
                <w:szCs w:val="18"/>
                <w:color w:val="auto"/>
              </w:rPr>
              <w:t>(34,069)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(26,047)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(60,054)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
              <w:spacing w:after="0"/>
              <w:rPr>
                <w:sz w:val="20"/>
                <w:szCs w:val="20"/>
                <w:color w:val="auto"/>
              </w:rPr>
            </w:pPr>
            <w:r>
              <w:rPr>
                <w:rFonts w:ascii="Arial" w:cs="Arial" w:eastAsia="Arial" w:hAnsi="Arial"/>
                <w:sz w:val="18"/>
                <w:szCs w:val="18"/>
                <w:color w:val="auto"/>
              </w:rPr>
              <w:t>(0.60)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number of common shares: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basic and diluted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w w:val="99"/>
              </w:rPr>
              <w:t>48,613,565</w:t>
            </w:r>
          </w:p>
        </w:tc>
        <w:tc>
          <w:tcPr>
            <w:tcW w:w="340" w:type="dxa"/>
            <w:vAlign w:val="bottom"/>
          </w:tcPr>
          <w:p>
            <w:pPr>
              <w:spacing w:after="0"/>
              <w:rPr>
                <w:sz w:val="20"/>
                <w:szCs w:val="20"/>
                <w:color w:val="auto"/>
              </w:rPr>
            </w:pP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w w:val="88"/>
              </w:rPr>
              <w:t>56,890,295</w:t>
            </w:r>
          </w:p>
        </w:tc>
        <w:tc>
          <w:tcPr>
            <w:tcW w:w="1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57,027,598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69,404,187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right="35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13"/>
              <w:spacing w:after="0" w:line="147" w:lineRule="exact"/>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2"/>
                <w:szCs w:val="12"/>
                <w:color w:val="auto"/>
              </w:rPr>
            </w:pPr>
          </w:p>
        </w:tc>
        <w:tc>
          <w:tcPr>
            <w:tcW w:w="1000" w:type="dxa"/>
            <w:vAlign w:val="bottom"/>
            <w:gridSpan w:val="2"/>
          </w:tcPr>
          <w:p>
            <w:pPr>
              <w:jc w:val="center"/>
              <w:ind w:right="358"/>
              <w:spacing w:after="0" w:line="147"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980" w:type="dxa"/>
            <w:vAlign w:val="bottom"/>
            <w:gridSpan w:val="3"/>
          </w:tcPr>
          <w:p>
            <w:pPr>
              <w:jc w:val="center"/>
              <w:ind w:right="1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13"/>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5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80" w:type="dxa"/>
            <w:vAlign w:val="bottom"/>
            <w:gridSpan w:val="7"/>
          </w:tcPr>
          <w:p>
            <w:pPr>
              <w:jc w:val="center"/>
              <w:ind w:left="12"/>
              <w:spacing w:after="0" w:line="147"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53"/>
              <w:spacing w:after="0"/>
              <w:rPr>
                <w:sz w:val="20"/>
                <w:szCs w:val="20"/>
                <w:color w:val="auto"/>
              </w:rPr>
            </w:pPr>
            <w:r>
              <w:rPr>
                <w:rFonts w:ascii="Arial" w:cs="Arial" w:eastAsia="Arial" w:hAnsi="Arial"/>
                <w:sz w:val="18"/>
                <w:szCs w:val="18"/>
                <w:color w:val="auto"/>
              </w:rPr>
              <w:t>20,865</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98"/>
              <w:spacing w:after="0"/>
              <w:rPr>
                <w:sz w:val="20"/>
                <w:szCs w:val="20"/>
                <w:color w:val="auto"/>
              </w:rPr>
            </w:pPr>
            <w:r>
              <w:rPr>
                <w:rFonts w:ascii="Arial" w:cs="Arial" w:eastAsia="Arial" w:hAnsi="Arial"/>
                <w:sz w:val="18"/>
                <w:szCs w:val="18"/>
                <w:color w:val="auto"/>
              </w:rPr>
              <w:t>28,520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41,283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rPr>
              <w:t>65,837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50,656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65,459</w:t>
            </w: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75,949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(44,972)</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(22,136)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(24,176)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rPr>
              <w:t>429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rPr>
              <w:t>618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(44,543)</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(21,518)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(23,134)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
              <w:spacing w:after="0"/>
              <w:rPr>
                <w:sz w:val="20"/>
                <w:szCs w:val="20"/>
                <w:color w:val="auto"/>
              </w:rPr>
            </w:pPr>
            <w:r>
              <w:rPr>
                <w:rFonts w:ascii="Arial" w:cs="Arial" w:eastAsia="Arial" w:hAnsi="Arial"/>
                <w:sz w:val="18"/>
                <w:szCs w:val="18"/>
                <w:color w:val="auto"/>
              </w:rPr>
              <w:t>(0.53)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number of common shares: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w w:val="99"/>
              </w:rPr>
              <w:t>38,759,221</w:t>
            </w:r>
          </w:p>
        </w:tc>
        <w:tc>
          <w:tcPr>
            <w:tcW w:w="340" w:type="dxa"/>
            <w:vAlign w:val="bottom"/>
          </w:tcPr>
          <w:p>
            <w:pPr>
              <w:spacing w:after="0"/>
              <w:rPr>
                <w:sz w:val="19"/>
                <w:szCs w:val="19"/>
                <w:color w:val="auto"/>
              </w:rPr>
            </w:pPr>
          </w:p>
        </w:tc>
        <w:tc>
          <w:tcPr>
            <w:tcW w:w="1000" w:type="dxa"/>
            <w:vAlign w:val="bottom"/>
            <w:gridSpan w:val="2"/>
          </w:tcPr>
          <w:p>
            <w:pPr>
              <w:jc w:val="right"/>
              <w:ind w:right="98"/>
              <w:spacing w:after="0"/>
              <w:rPr>
                <w:sz w:val="20"/>
                <w:szCs w:val="20"/>
                <w:color w:val="auto"/>
              </w:rPr>
            </w:pPr>
            <w:r>
              <w:rPr>
                <w:rFonts w:ascii="Arial" w:cs="Arial" w:eastAsia="Arial" w:hAnsi="Arial"/>
                <w:sz w:val="18"/>
                <w:szCs w:val="18"/>
                <w:color w:val="auto"/>
                <w:w w:val="88"/>
              </w:rPr>
              <w:t>40,819,957</w:t>
            </w: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46,938,618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47,353,166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53"/>
              <w:spacing w:after="0"/>
              <w:rPr>
                <w:sz w:val="20"/>
                <w:szCs w:val="20"/>
                <w:color w:val="auto"/>
              </w:rPr>
            </w:pPr>
            <w:r>
              <w:rPr>
                <w:rFonts w:ascii="Arial" w:cs="Arial" w:eastAsia="Arial" w:hAnsi="Arial"/>
                <w:sz w:val="18"/>
                <w:szCs w:val="18"/>
                <w:color w:val="auto"/>
                <w:w w:val="99"/>
              </w:rPr>
              <w:t>38,759,221</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98"/>
              <w:spacing w:after="0"/>
              <w:rPr>
                <w:sz w:val="20"/>
                <w:szCs w:val="20"/>
                <w:color w:val="auto"/>
              </w:rPr>
            </w:pPr>
            <w:r>
              <w:rPr>
                <w:rFonts w:ascii="Arial" w:cs="Arial" w:eastAsia="Arial" w:hAnsi="Arial"/>
                <w:sz w:val="18"/>
                <w:szCs w:val="18"/>
                <w:color w:val="auto"/>
                <w:w w:val="88"/>
              </w:rPr>
              <w:t>40,819,957</w:t>
            </w: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46,938,618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49,719,548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Revenue amount for the quarter ended December 31, 2017 has been revised to reflect the adoptions of ASC 606, with full retrospective application.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86" w:right="379" w:bottom="1440" w:gutter="0" w:footer="0" w:header="0"/>
        </w:sectPr>
      </w:pPr>
    </w:p>
    <w:bookmarkStart w:id="164" w:name="page165"/>
    <w:bookmarkEnd w:id="164"/>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is responsible for establishing and maintaining adequate internal control over financial reporting (as defined in Rule 13a-15(f) and 15d-15(f) under the Exchange Act).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policy or procedures may deteriorate. Management conducted an assessment of the effectiveness of our internal control over financial reporting based on the criteria set forth in I</w:t>
      </w:r>
      <w:r>
        <w:rPr>
          <w:rFonts w:ascii="Arial" w:cs="Arial" w:eastAsia="Arial" w:hAnsi="Arial"/>
          <w:sz w:val="16"/>
          <w:szCs w:val="16"/>
          <w:i w:val="1"/>
          <w:iCs w:val="1"/>
          <w:color w:val="auto"/>
        </w:rPr>
        <w:t>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or COSO. Based on the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has concluded that our internal control over financial reporting as of December 31, 2018 was effective to provide reasonable assurance regarding the reliability of financial reporting and the preparation of financial statements in accordance with U.S. GAAP.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w:t>
      </w:r>
    </w:p>
    <w:p>
      <w:pPr>
        <w:ind w:right="340" w:firstLine="8"/>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2018,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2018, our disclosure controls and procedures were effective at the reasonable assurance level.</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has excluded from its assessment of and conclusion on the effectiveness of internal control over financial reporting the internal controls of Keryx, acquired on December 12, 2018, which is included in the consolidated financial statements of Akebia as of and for the year ended December 31, 2018 aggregating $126.3 million (including $70.2 million in inventory), or 13%, and $49.7 million, or 8%, of total and net assets, respectively, and $6.9 million, or 3%, and $3.8 million, or 2%, of revenues and pre-tax losses, respectively, for the year then ended.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during the fourth quarter of 2018, as such term is defined in Rules 13a-15(f) and 15(d)-15(f) promulgated under the Exchange Act, that have materially affected, or are reasonably likely to materially affect, our internal control over financial reporting.</w:t>
      </w:r>
    </w:p>
    <w:p>
      <w:pPr>
        <w:spacing w:after="0" w:line="3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5" w:name="page166"/>
    <w:bookmarkEnd w:id="165"/>
    <w:p>
      <w:pPr>
        <w:jc w:val="center"/>
        <w:ind w:right="-359"/>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Securities and Exchange Commission, or SEC, with respect to our 2019 Annual Meeting of Stockholders and is incorporated herein by reference.</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2019 Annual Meeting of Stockholders and is incorporated herein by reference.</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2019 Annual Meeting of Stockholders and is incorporated herein by reference.</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2019 Annual Meeting of Stockholders and is incorporated herein by reference.</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2019 Annual Meeting of Stockholders and is incorporated herein by reference.</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337" w:right="599" w:bottom="1440" w:gutter="0" w:footer="0" w:header="0"/>
        </w:sectPr>
      </w:pPr>
    </w:p>
    <w:bookmarkStart w:id="166" w:name="page167"/>
    <w:bookmarkEnd w:id="166"/>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35"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66" w:lineRule="exact"/>
        <w:rPr>
          <w:sz w:val="20"/>
          <w:szCs w:val="20"/>
          <w:color w:val="auto"/>
        </w:rPr>
      </w:pPr>
    </w:p>
    <w:p>
      <w:pPr>
        <w:ind w:left="1040" w:hanging="519"/>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Schedules have been omitted as all required information has been disclosed in the financial statements and related footnotes.</w:t>
      </w:r>
    </w:p>
    <w:p>
      <w:pPr>
        <w:spacing w:after="0" w:line="266" w:lineRule="exact"/>
        <w:rPr>
          <w:sz w:val="20"/>
          <w:szCs w:val="20"/>
          <w:color w:val="auto"/>
        </w:rPr>
      </w:pPr>
    </w:p>
    <w:p>
      <w:pPr>
        <w:ind w:left="1040" w:hanging="519"/>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Annual Report on Form 10-K.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0260" w:type="dxa"/>
            <w:vAlign w:val="bottom"/>
            <w:gridSpan w:val="18"/>
          </w:tcPr>
          <w:p>
            <w:pPr>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18"/>
                <w:szCs w:val="18"/>
                <w:color w:val="auto"/>
              </w:rPr>
            </w:pPr>
          </w:p>
        </w:tc>
      </w:tr>
      <w:tr>
        <w:trPr>
          <w:trHeight w:val="294"/>
        </w:trPr>
        <w:tc>
          <w:tcPr>
            <w:tcW w:w="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60" w:type="dxa"/>
            <w:vAlign w:val="bottom"/>
            <w:tcBorders>
              <w:top w:val="single" w:sz="8" w:color="auto"/>
            </w:tcBorders>
            <w:gridSpan w:val="18"/>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Agreement and Plan of Merger, dated as of June 28, 2018, by and among Akebia Therapeutics, Inc., Alpha Therapeutics Merger Sub, Inc.,</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and Keryx Biopharmaceuticals, Inc. (incorporated by reference to Exhibit 2.1 to the Company’s Current Report on Form 8-K, filed on June</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208">
              <w:r>
                <w:rPr>
                  <w:rFonts w:ascii="Arial" w:cs="Arial" w:eastAsia="Arial" w:hAnsi="Arial"/>
                  <w:sz w:val="18"/>
                  <w:szCs w:val="18"/>
                  <w:color w:val="0000EE"/>
                  <w:w w:val="94"/>
                </w:rPr>
                <w:t>28, 2018) **</w:t>
              </w:r>
            </w:hyperlink>
          </w:p>
        </w:tc>
        <w:tc>
          <w:tcPr>
            <w:tcW w:w="1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9"/>
              </w:rPr>
            </w:pPr>
            <w:hyperlink r:id="rId209">
              <w:r>
                <w:rPr>
                  <w:rFonts w:ascii="Arial" w:cs="Arial" w:eastAsia="Arial" w:hAnsi="Arial"/>
                  <w:sz w:val="18"/>
                  <w:szCs w:val="18"/>
                  <w:color w:val="0000EE"/>
                  <w:w w:val="99"/>
                </w:rPr>
                <w:t>First Amendment to Agreement and Plan of Merger, dated as of October 1, 2018, by and among Akebia Therapeutics, Inc., Alpha</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Therapeutics Merger Sub, Inc. and Keryx Biopharmaceuticals, Inc. (incorporated by reference to Exhibit 2.1 to the Company’s Current Report</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09">
              <w:r>
                <w:rPr>
                  <w:rFonts w:ascii="Arial" w:cs="Arial" w:eastAsia="Arial" w:hAnsi="Arial"/>
                  <w:sz w:val="18"/>
                  <w:szCs w:val="18"/>
                  <w:color w:val="0000EE"/>
                  <w:w w:val="92"/>
                </w:rPr>
                <w:t>on Form 8-K, filed on October 1, 2018)</w:t>
              </w:r>
            </w:hyperlink>
          </w:p>
        </w:tc>
        <w:tc>
          <w:tcPr>
            <w:tcW w:w="740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40" w:type="dxa"/>
            <w:vAlign w:val="bottom"/>
            <w:tcBorders>
              <w:bottom w:val="single" w:sz="8" w:color="0000EE"/>
            </w:tcBorders>
            <w:gridSpan w:val="17"/>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Ninth Amended and Restated Certificate of Incorporation (incorporated by reference to Exhibit 3.1 to the Company’s Current Report on Form</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210">
              <w:r>
                <w:rPr>
                  <w:rFonts w:ascii="Arial" w:cs="Arial" w:eastAsia="Arial" w:hAnsi="Arial"/>
                  <w:sz w:val="18"/>
                  <w:szCs w:val="18"/>
                  <w:color w:val="0000EE"/>
                  <w:w w:val="93"/>
                </w:rPr>
                <w:t>8-K, filed on March 28, 2014)</w:t>
              </w:r>
            </w:hyperlink>
          </w:p>
        </w:tc>
        <w:tc>
          <w:tcPr>
            <w:tcW w:w="808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2"/>
              </w:rPr>
            </w:pPr>
            <w:hyperlink r:id="rId211">
              <w:r>
                <w:rPr>
                  <w:rFonts w:ascii="Arial" w:cs="Arial" w:eastAsia="Arial" w:hAnsi="Arial"/>
                  <w:sz w:val="18"/>
                  <w:szCs w:val="18"/>
                  <w:color w:val="0000EE"/>
                  <w:w w:val="92"/>
                </w:rPr>
                <w:t>Amended and Restated Bylaws (incorporated by reference to Exhibit 3.2 to the Company’s Current Report on Form 8-K, filed on March 28,</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11">
              <w:r>
                <w:rPr>
                  <w:rFonts w:ascii="Arial" w:cs="Arial" w:eastAsia="Arial" w:hAnsi="Arial"/>
                  <w:sz w:val="18"/>
                  <w:szCs w:val="18"/>
                  <w:color w:val="0000EE"/>
                  <w:w w:val="86"/>
                </w:rPr>
                <w:t>2014)</w:t>
              </w:r>
            </w:hyperlink>
          </w:p>
        </w:tc>
        <w:tc>
          <w:tcPr>
            <w:tcW w:w="5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120" w:type="dxa"/>
            <w:vAlign w:val="bottom"/>
            <w:tcBorders>
              <w:bottom w:val="single" w:sz="8" w:color="0000EE"/>
            </w:tcBorders>
            <w:gridSpan w:val="15"/>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Form of Common Stock Certificate (incorporated by reference to Exhibit 4.1 to the Company’s Registration Statement on Form S-1/A (333-</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193969)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on March 4, 2014)</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00" w:type="dxa"/>
            <w:vAlign w:val="bottom"/>
            <w:tcBorders>
              <w:bottom w:val="single" w:sz="8" w:color="0000EE"/>
            </w:tcBorders>
            <w:gridSpan w:val="16"/>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Fourth Amended and Restated Investors’ Rights Agreement, dated March 5, 2014 (incorporated by reference to Exhibit 4.4 to the Company’s</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10-K for the year ending December 31, 2014 and filed on March 4, 2015)</w:t>
              </w:r>
            </w:hyperlink>
          </w:p>
        </w:tc>
        <w:tc>
          <w:tcPr>
            <w:tcW w:w="496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Common Stock Purchase Warrant between Akebia Therapeutics, Inc. and Janssen Pharmaceutica NV, dated February 9, 2017 (incorporated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by reference to Exhibit 4.1 to the Company’s Quarterly Report on Form 10-Q, filed on May 9, 2017)</w:t>
              </w:r>
            </w:hyperlink>
          </w:p>
        </w:tc>
        <w:tc>
          <w:tcPr>
            <w:tcW w:w="2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20" w:type="dxa"/>
            <w:vAlign w:val="bottom"/>
            <w:gridSpan w:val="7"/>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020" w:type="dxa"/>
            <w:vAlign w:val="bottom"/>
            <w:tcBorders>
              <w:bottom w:val="single" w:sz="8" w:color="0000EE"/>
            </w:tcBorders>
            <w:gridSpan w:val="12"/>
          </w:tcPr>
          <w:p>
            <w:pPr>
              <w:spacing w:after="0"/>
              <w:rPr>
                <w:rFonts w:ascii="Arial" w:cs="Arial" w:eastAsia="Arial" w:hAnsi="Arial"/>
                <w:sz w:val="18"/>
                <w:szCs w:val="18"/>
                <w:color w:val="0000EE"/>
                <w:w w:val="91"/>
              </w:rPr>
            </w:pPr>
            <w:hyperlink r:id="rId215">
              <w:r>
                <w:rPr>
                  <w:rFonts w:ascii="Arial" w:cs="Arial" w:eastAsia="Arial" w:hAnsi="Arial"/>
                  <w:sz w:val="18"/>
                  <w:szCs w:val="18"/>
                  <w:color w:val="0000EE"/>
                  <w:w w:val="91"/>
                </w:rPr>
                <w:t>Investment Agreement between Akebia Therapeutics, Inc. and Vifor (International) Ltd., dated May 12, 2017 (incorporated by reference to</w:t>
              </w:r>
            </w:hyperlink>
          </w:p>
        </w:tc>
        <w:tc>
          <w:tcPr>
            <w:tcW w:w="2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Exhibit 4.1 to the Company’s Quarterly Report on Form 10-Q, filed on August 8, 2017)</w:t>
              </w:r>
            </w:hyperlink>
          </w:p>
        </w:tc>
        <w:tc>
          <w:tcPr>
            <w:tcW w:w="39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8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Amendment No. 1 to Fourth Amended and Restated Investors’ Rights Agreement, dated June 28, 2017 (incorporated by reference to Exhibit</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4.</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to the Company’s Annual Report on Form 10-K, filed on March 12, 2018)</w:t>
              </w:r>
            </w:hyperlink>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Borders>
              <w:top w:val="single" w:sz="8" w:color="0000EE"/>
            </w:tcBorders>
            <w:gridSpan w:val="6"/>
          </w:tcPr>
          <w:p>
            <w:pPr>
              <w:ind w:left="4420"/>
              <w:spacing w:after="0"/>
              <w:rPr>
                <w:sz w:val="20"/>
                <w:szCs w:val="20"/>
                <w:color w:val="auto"/>
              </w:rPr>
            </w:pPr>
            <w:r>
              <w:rPr>
                <w:rFonts w:ascii="Arial" w:cs="Arial" w:eastAsia="Arial" w:hAnsi="Arial"/>
                <w:sz w:val="18"/>
                <w:szCs w:val="18"/>
                <w:color w:val="auto"/>
              </w:rPr>
              <w:t>166</w:t>
            </w:r>
          </w:p>
        </w:tc>
        <w:tc>
          <w:tcPr>
            <w:tcW w:w="3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8"/>
                <w:szCs w:val="18"/>
                <w:color w:val="auto"/>
              </w:rPr>
            </w:pPr>
          </w:p>
        </w:tc>
        <w:tc>
          <w:tcPr>
            <w:tcW w:w="10260" w:type="dxa"/>
            <w:vAlign w:val="bottom"/>
            <w:tcBorders>
              <w:bottom w:val="single" w:sz="8" w:color="auto"/>
            </w:tcBorders>
            <w:gridSpan w:val="32"/>
          </w:tcPr>
          <w:p>
            <w:pPr>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18"/>
                <w:szCs w:val="18"/>
                <w:color w:val="auto"/>
              </w:rPr>
            </w:pPr>
          </w:p>
        </w:tc>
      </w:tr>
      <w:tr>
        <w:trPr>
          <w:trHeight w:val="294"/>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9860" w:type="dxa"/>
            <w:vAlign w:val="bottom"/>
            <w:tcBorders>
              <w:bottom w:val="single" w:sz="8" w:color="0000EE"/>
            </w:tcBorders>
            <w:gridSpan w:val="21"/>
          </w:tcPr>
          <w:p>
            <w:pPr>
              <w:spacing w:after="0"/>
              <w:rPr>
                <w:rFonts w:ascii="Arial" w:cs="Arial" w:eastAsia="Arial" w:hAnsi="Arial"/>
                <w:sz w:val="18"/>
                <w:szCs w:val="18"/>
                <w:color w:val="0000EE"/>
                <w:w w:val="92"/>
              </w:rPr>
            </w:pPr>
            <w:hyperlink r:id="rId219">
              <w:r>
                <w:rPr>
                  <w:rFonts w:ascii="Arial" w:cs="Arial" w:eastAsia="Arial" w:hAnsi="Arial"/>
                  <w:sz w:val="18"/>
                  <w:szCs w:val="18"/>
                  <w:color w:val="0000EE"/>
                  <w:w w:val="92"/>
                </w:rPr>
                <w:t>Form of Director and Officer Indemnification Agreement (incorporated by reference to Exhibit 10.1 to the Company’s Annual Report on</w:t>
              </w:r>
            </w:hyperlink>
          </w:p>
        </w:tc>
        <w:tc>
          <w:tcPr>
            <w:tcW w:w="4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Form 10-K, filed on March 12, 2018)</w:t>
              </w:r>
            </w:hyperlink>
          </w:p>
        </w:tc>
        <w:tc>
          <w:tcPr>
            <w:tcW w:w="756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EE"/>
              </w:rPr>
            </w:pPr>
            <w:hyperlink r:id="rId220">
              <w:r>
                <w:rPr>
                  <w:rFonts w:ascii="Arial" w:cs="Arial" w:eastAsia="Arial" w:hAnsi="Arial"/>
                  <w:sz w:val="18"/>
                  <w:szCs w:val="18"/>
                  <w:color w:val="0000EE"/>
                </w:rPr>
                <w:t>Office Lease Agreement Between MA-Riverview/245 First Street, L.L.C. and Akebia Therapeutics, Inc., dated December 3, 2013</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(incorporated by reference to Exhibit 10.2 to the Company’s Registration Statement on Form S-1 (333-193969), filed on February 14, 2014)</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Borders>
              <w:bottom w:val="single" w:sz="8" w:color="0000EE"/>
            </w:tcBorders>
            <w:gridSpan w:val="32"/>
          </w:tcPr>
          <w:p>
            <w:pPr>
              <w:spacing w:after="0"/>
              <w:rPr>
                <w:rFonts w:ascii="Arial" w:cs="Arial" w:eastAsia="Arial" w:hAnsi="Arial"/>
                <w:sz w:val="18"/>
                <w:szCs w:val="18"/>
                <w:color w:val="0000EE"/>
                <w:w w:val="90"/>
              </w:rPr>
            </w:pPr>
            <w:hyperlink r:id="rId221">
              <w:r>
                <w:rPr>
                  <w:rFonts w:ascii="Arial" w:cs="Arial" w:eastAsia="Arial" w:hAnsi="Arial"/>
                  <w:sz w:val="18"/>
                  <w:szCs w:val="18"/>
                  <w:color w:val="0000EE"/>
                  <w:w w:val="90"/>
                </w:rPr>
                <w:t>First Amendment to Office Lease Agreement Between Jamestown Premier 245 First, LLC and Akebia Therapeutics, Inc., dated December 15,</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2014 (incorporated by reference to Exhibit 10.3 to the Company’s 10-K for the year ending December 31, 2014 and filed on March 4, 2015)</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20" w:type="dxa"/>
            <w:vAlign w:val="bottom"/>
            <w:tcBorders>
              <w:bottom w:val="single" w:sz="8" w:color="0000EE"/>
            </w:tcBorders>
            <w:gridSpan w:val="31"/>
          </w:tcPr>
          <w:p>
            <w:pPr>
              <w:spacing w:after="0"/>
              <w:rPr>
                <w:rFonts w:ascii="Arial" w:cs="Arial" w:eastAsia="Arial" w:hAnsi="Arial"/>
                <w:sz w:val="18"/>
                <w:szCs w:val="18"/>
                <w:color w:val="0000EE"/>
                <w:w w:val="90"/>
              </w:rPr>
            </w:pPr>
            <w:hyperlink r:id="rId222">
              <w:r>
                <w:rPr>
                  <w:rFonts w:ascii="Arial" w:cs="Arial" w:eastAsia="Arial" w:hAnsi="Arial"/>
                  <w:sz w:val="18"/>
                  <w:szCs w:val="18"/>
                  <w:color w:val="0000EE"/>
                  <w:w w:val="90"/>
                </w:rPr>
                <w:t>Second Amendment to Office Lease Agreement Between Jamestown Premier 245 First, LLC and Akebia Therapeutics, Inc., dated November</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EE"/>
                <w:w w:val="93"/>
              </w:rPr>
            </w:pPr>
            <w:hyperlink r:id="rId222">
              <w:r>
                <w:rPr>
                  <w:rFonts w:ascii="Arial" w:cs="Arial" w:eastAsia="Arial" w:hAnsi="Arial"/>
                  <w:sz w:val="18"/>
                  <w:szCs w:val="18"/>
                  <w:color w:val="0000EE"/>
                  <w:w w:val="93"/>
                </w:rPr>
                <w:t>23, 2015 (incorporated by reference to Exhibit 10.4 to the Company’s 10-K for the year ending December 31, 2015 and filed on March 14,</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22">
              <w:r>
                <w:rPr>
                  <w:rFonts w:ascii="Arial" w:cs="Arial" w:eastAsia="Arial" w:hAnsi="Arial"/>
                  <w:sz w:val="18"/>
                  <w:szCs w:val="18"/>
                  <w:color w:val="0000EE"/>
                  <w:w w:val="86"/>
                </w:rPr>
                <w:t>2016)</w:t>
              </w:r>
            </w:hyperlink>
          </w:p>
        </w:tc>
        <w:tc>
          <w:tcPr>
            <w:tcW w:w="9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EE"/>
                <w:w w:val="94"/>
              </w:rPr>
            </w:pPr>
            <w:hyperlink r:id="rId223">
              <w:r>
                <w:rPr>
                  <w:rFonts w:ascii="Arial" w:cs="Arial" w:eastAsia="Arial" w:hAnsi="Arial"/>
                  <w:sz w:val="18"/>
                  <w:szCs w:val="18"/>
                  <w:color w:val="0000EE"/>
                  <w:w w:val="94"/>
                </w:rPr>
                <w:t>Third Amendment to Office Lease Agreement Between Jamestown Premier 245 First, LLC and Akebia Therapeutics, Inc., dated July 25,</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top w:val="single" w:sz="8" w:color="0000EE"/>
            </w:tcBorders>
            <w:gridSpan w:val="22"/>
          </w:tcPr>
          <w:p>
            <w:pPr>
              <w:spacing w:after="0" w:line="196" w:lineRule="exact"/>
              <w:rPr>
                <w:rFonts w:ascii="Arial" w:cs="Arial" w:eastAsia="Arial" w:hAnsi="Arial"/>
                <w:sz w:val="18"/>
                <w:szCs w:val="18"/>
                <w:color w:val="0000EE"/>
                <w:w w:val="98"/>
              </w:rPr>
            </w:pPr>
            <w:hyperlink r:id="rId223">
              <w:r>
                <w:rPr>
                  <w:rFonts w:ascii="Arial" w:cs="Arial" w:eastAsia="Arial" w:hAnsi="Arial"/>
                  <w:sz w:val="18"/>
                  <w:szCs w:val="18"/>
                  <w:color w:val="0000EE"/>
                  <w:w w:val="98"/>
                </w:rPr>
                <w:t>2016 (incorporated by reference to Exhibit 10.1 to the Company’s Quarterly Report on Form 10-Q, filed on November 9, 2016)</w:t>
              </w:r>
            </w:hyperlink>
          </w:p>
        </w:tc>
        <w:tc>
          <w:tcPr>
            <w:tcW w:w="3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20" w:type="dxa"/>
            <w:vAlign w:val="bottom"/>
            <w:tcBorders>
              <w:bottom w:val="single" w:sz="8" w:color="0000EE"/>
            </w:tcBorders>
            <w:gridSpan w:val="31"/>
          </w:tcPr>
          <w:p>
            <w:pPr>
              <w:spacing w:after="0"/>
              <w:rPr>
                <w:rFonts w:ascii="Arial" w:cs="Arial" w:eastAsia="Arial" w:hAnsi="Arial"/>
                <w:sz w:val="18"/>
                <w:szCs w:val="18"/>
                <w:color w:val="0000EE"/>
                <w:w w:val="90"/>
              </w:rPr>
            </w:pPr>
            <w:hyperlink r:id="rId224">
              <w:r>
                <w:rPr>
                  <w:rFonts w:ascii="Arial" w:cs="Arial" w:eastAsia="Arial" w:hAnsi="Arial"/>
                  <w:sz w:val="18"/>
                  <w:szCs w:val="18"/>
                  <w:color w:val="0000EE"/>
                  <w:w w:val="90"/>
                </w:rPr>
                <w:t>Fourth Amendment to Office Lease Agreement Between CLPF-Cambridge Science Center, LLC and Akebia Therapeutics, Inc., dated May 1,</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EE"/>
                <w:w w:val="94"/>
              </w:rPr>
            </w:pPr>
            <w:hyperlink r:id="rId224">
              <w:r>
                <w:rPr>
                  <w:rFonts w:ascii="Arial" w:cs="Arial" w:eastAsia="Arial" w:hAnsi="Arial"/>
                  <w:sz w:val="18"/>
                  <w:szCs w:val="18"/>
                  <w:color w:val="0000EE"/>
                  <w:w w:val="94"/>
                </w:rPr>
                <w:t>2017 (incorporated by reference to Exhibit 10.6 to the Company’s 10-K for the year ending December 31, 2017, filed on March 12, 2018)</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9980" w:type="dxa"/>
            <w:vAlign w:val="bottom"/>
            <w:tcBorders>
              <w:bottom w:val="single" w:sz="8" w:color="0000EE"/>
            </w:tcBorders>
            <w:gridSpan w:val="25"/>
          </w:tcPr>
          <w:p>
            <w:pPr>
              <w:spacing w:after="0"/>
              <w:rPr>
                <w:rFonts w:ascii="Arial" w:cs="Arial" w:eastAsia="Arial" w:hAnsi="Arial"/>
                <w:sz w:val="18"/>
                <w:szCs w:val="18"/>
                <w:color w:val="0000EE"/>
                <w:w w:val="90"/>
              </w:rPr>
            </w:pPr>
            <w:hyperlink r:id="rId225">
              <w:r>
                <w:rPr>
                  <w:rFonts w:ascii="Arial" w:cs="Arial" w:eastAsia="Arial" w:hAnsi="Arial"/>
                  <w:sz w:val="18"/>
                  <w:szCs w:val="18"/>
                  <w:color w:val="0000EE"/>
                  <w:w w:val="90"/>
                </w:rPr>
                <w:t>Amended and Restated 2008 Equity Incentive Plan (incorporated by reference to Exhibit 10.5 to the Company’s Registration Statement on</w:t>
              </w:r>
            </w:hyperlink>
          </w:p>
        </w:tc>
        <w:tc>
          <w:tcPr>
            <w:tcW w:w="2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Form S-1 (333-193969), filed on February 14, 2014)</w:t>
              </w:r>
            </w:hyperlink>
          </w:p>
        </w:tc>
        <w:tc>
          <w:tcPr>
            <w:tcW w:w="646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10260" w:type="dxa"/>
            <w:vAlign w:val="bottom"/>
            <w:gridSpan w:val="32"/>
          </w:tcPr>
          <w:p>
            <w:pPr>
              <w:spacing w:after="0"/>
              <w:rPr>
                <w:rFonts w:ascii="Arial" w:cs="Arial" w:eastAsia="Arial" w:hAnsi="Arial"/>
                <w:sz w:val="18"/>
                <w:szCs w:val="18"/>
                <w:color w:val="0000EE"/>
                <w:w w:val="96"/>
              </w:rPr>
            </w:pPr>
            <w:hyperlink r:id="rId226">
              <w:r>
                <w:rPr>
                  <w:rFonts w:ascii="Arial" w:cs="Arial" w:eastAsia="Arial" w:hAnsi="Arial"/>
                  <w:sz w:val="18"/>
                  <w:szCs w:val="18"/>
                  <w:color w:val="0000EE"/>
                  <w:w w:val="96"/>
                </w:rPr>
                <w:t>Amendment No. 1 to Amended and Restated 2008 Equity Incentive Plan (incorporated by reference to Exhibit 10.6 to the Company’s</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Registration Statement on Form S-1 (333-193969), filed on February 14, 2014)</w:t>
              </w:r>
            </w:hyperlink>
          </w:p>
        </w:tc>
        <w:tc>
          <w:tcPr>
            <w:tcW w:w="6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9440" w:type="dxa"/>
            <w:vAlign w:val="bottom"/>
            <w:tcBorders>
              <w:bottom w:val="single" w:sz="8" w:color="0000EE"/>
            </w:tcBorders>
            <w:gridSpan w:val="15"/>
          </w:tcPr>
          <w:p>
            <w:pPr>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Executive Employment Agreement with John P. Butler, dated September 16, 2013 (incorporated by reference to Exhibit 10.7 to the</w:t>
              </w:r>
            </w:hyperlink>
          </w:p>
        </w:tc>
        <w:tc>
          <w:tcPr>
            <w:tcW w:w="82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Company’s Registration Statement on Form S-1 (333-193969), filed on February 14, 2014)</w:t>
              </w:r>
            </w:hyperlink>
          </w:p>
        </w:tc>
        <w:tc>
          <w:tcPr>
            <w:tcW w:w="36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10260" w:type="dxa"/>
            <w:vAlign w:val="bottom"/>
            <w:gridSpan w:val="32"/>
          </w:tcPr>
          <w:p>
            <w:pPr>
              <w:spacing w:after="0"/>
              <w:rPr>
                <w:rFonts w:ascii="Arial" w:cs="Arial" w:eastAsia="Arial" w:hAnsi="Arial"/>
                <w:sz w:val="18"/>
                <w:szCs w:val="18"/>
                <w:color w:val="0000EE"/>
                <w:w w:val="96"/>
              </w:rPr>
            </w:pPr>
            <w:hyperlink r:id="rId228">
              <w:r>
                <w:rPr>
                  <w:rFonts w:ascii="Arial" w:cs="Arial" w:eastAsia="Arial" w:hAnsi="Arial"/>
                  <w:sz w:val="18"/>
                  <w:szCs w:val="18"/>
                  <w:color w:val="0000EE"/>
                  <w:w w:val="96"/>
                </w:rPr>
                <w:t>Executive Employment Agreement with Jason A. Amello, dated September 23, 2013 (incorporated by reference to Exhibit 10.8 to the</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Company’s Registration Statement on Form S-1 (333-193969), filed on February 14, 2014)</w:t>
              </w:r>
            </w:hyperlink>
          </w:p>
        </w:tc>
        <w:tc>
          <w:tcPr>
            <w:tcW w:w="3060" w:type="dxa"/>
            <w:vAlign w:val="bottom"/>
            <w:tcBorders>
              <w:top w:val="single" w:sz="8" w:color="0000EE"/>
            </w:tcBorders>
            <w:gridSpan w:val="6"/>
          </w:tcPr>
          <w:p>
            <w:pPr>
              <w:spacing w:after="0"/>
              <w:rPr>
                <w:sz w:val="17"/>
                <w:szCs w:val="17"/>
                <w:color w:val="auto"/>
              </w:rPr>
            </w:pPr>
          </w:p>
        </w:tc>
        <w:tc>
          <w:tcPr>
            <w:tcW w:w="6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9760" w:type="dxa"/>
            <w:vAlign w:val="bottom"/>
            <w:tcBorders>
              <w:bottom w:val="single" w:sz="8" w:color="0000EE"/>
            </w:tcBorders>
            <w:gridSpan w:val="19"/>
          </w:tcPr>
          <w:p>
            <w:pPr>
              <w:spacing w:after="0"/>
              <w:rPr>
                <w:rFonts w:ascii="Arial" w:cs="Arial" w:eastAsia="Arial" w:hAnsi="Arial"/>
                <w:sz w:val="18"/>
                <w:szCs w:val="18"/>
                <w:color w:val="0000EE"/>
                <w:w w:val="91"/>
              </w:rPr>
            </w:pPr>
            <w:hyperlink r:id="rId229">
              <w:r>
                <w:rPr>
                  <w:rFonts w:ascii="Arial" w:cs="Arial" w:eastAsia="Arial" w:hAnsi="Arial"/>
                  <w:sz w:val="18"/>
                  <w:szCs w:val="18"/>
                  <w:color w:val="0000EE"/>
                  <w:w w:val="91"/>
                </w:rPr>
                <w:t>Form of Non-Statutory Stock Option Agreement for officers (incorporated by reference to Exhibit 10.24 to the Company’s Registration</w:t>
              </w:r>
            </w:hyperlink>
          </w:p>
        </w:tc>
        <w:tc>
          <w:tcPr>
            <w:tcW w:w="5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Statement on Form S-1/A (333-193969), filed on March 4, 2014)</w:t>
              </w:r>
            </w:hyperlink>
          </w:p>
        </w:tc>
        <w:tc>
          <w:tcPr>
            <w:tcW w:w="556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10.12†</w:t>
            </w:r>
          </w:p>
        </w:tc>
        <w:tc>
          <w:tcPr>
            <w:tcW w:w="10260" w:type="dxa"/>
            <w:vAlign w:val="bottom"/>
            <w:gridSpan w:val="32"/>
          </w:tcPr>
          <w:p>
            <w:pPr>
              <w:spacing w:after="0"/>
              <w:rPr>
                <w:rFonts w:ascii="Arial" w:cs="Arial" w:eastAsia="Arial" w:hAnsi="Arial"/>
                <w:sz w:val="18"/>
                <w:szCs w:val="18"/>
                <w:color w:val="0000EE"/>
                <w:w w:val="94"/>
              </w:rPr>
            </w:pPr>
            <w:hyperlink r:id="rId230">
              <w:r>
                <w:rPr>
                  <w:rFonts w:ascii="Arial" w:cs="Arial" w:eastAsia="Arial" w:hAnsi="Arial"/>
                  <w:sz w:val="18"/>
                  <w:szCs w:val="18"/>
                  <w:color w:val="0000EE"/>
                  <w:w w:val="94"/>
                </w:rPr>
                <w:t>Form of Non-Statutory Stock Option Agreement for non-employee directors (incorporated by reference to Exhibit 10.25 to the Company’s</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Registration Statement on Form S-1/A (333-193969), filed on March 4, 2014)</w:t>
              </w:r>
            </w:hyperlink>
          </w:p>
        </w:tc>
        <w:tc>
          <w:tcPr>
            <w:tcW w:w="4360" w:type="dxa"/>
            <w:vAlign w:val="bottom"/>
            <w:tcBorders>
              <w:top w:val="single" w:sz="8" w:color="0000EE"/>
            </w:tcBorders>
            <w:gridSpan w:val="16"/>
          </w:tcPr>
          <w:p>
            <w:pPr>
              <w:spacing w:after="0"/>
              <w:rPr>
                <w:sz w:val="17"/>
                <w:szCs w:val="17"/>
                <w:color w:val="auto"/>
              </w:rPr>
            </w:pPr>
          </w:p>
        </w:tc>
        <w:tc>
          <w:tcPr>
            <w:tcW w:w="2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10.13†</w:t>
            </w:r>
          </w:p>
        </w:tc>
        <w:tc>
          <w:tcPr>
            <w:tcW w:w="10260" w:type="dxa"/>
            <w:vAlign w:val="bottom"/>
            <w:gridSpan w:val="32"/>
          </w:tcPr>
          <w:p>
            <w:pPr>
              <w:spacing w:after="0"/>
              <w:rPr>
                <w:rFonts w:ascii="Arial" w:cs="Arial" w:eastAsia="Arial" w:hAnsi="Arial"/>
                <w:sz w:val="18"/>
                <w:szCs w:val="18"/>
                <w:color w:val="0000EE"/>
                <w:w w:val="94"/>
              </w:rPr>
            </w:pPr>
            <w:hyperlink r:id="rId231">
              <w:r>
                <w:rPr>
                  <w:rFonts w:ascii="Arial" w:cs="Arial" w:eastAsia="Arial" w:hAnsi="Arial"/>
                  <w:sz w:val="18"/>
                  <w:szCs w:val="18"/>
                  <w:color w:val="0000EE"/>
                  <w:w w:val="94"/>
                </w:rPr>
                <w:t>Amended and Restated Non-Employee Director Compensation Program, effective January 1, 2018 (incorporated by reference to Exhibit</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231">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13</w:t>
              </w:r>
              <w:r>
                <w:rPr>
                  <w:rFonts w:ascii="Arial" w:cs="Arial" w:eastAsia="Arial" w:hAnsi="Arial"/>
                  <w:sz w:val="18"/>
                  <w:szCs w:val="18"/>
                  <w:color w:val="0000EE"/>
                  <w:w w:val="90"/>
                </w:rPr>
                <w:t xml:space="preserve"> to the Company’s 10-K for the year ending December 31, 2017 and filed on March 12, 2018)</w:t>
              </w:r>
            </w:hyperlink>
          </w:p>
        </w:tc>
        <w:tc>
          <w:tcPr>
            <w:tcW w:w="2660" w:type="dxa"/>
            <w:vAlign w:val="bottom"/>
            <w:tcBorders>
              <w:top w:val="single" w:sz="8" w:color="0000EE"/>
            </w:tcBorders>
            <w:gridSpan w:val="8"/>
          </w:tcPr>
          <w:p>
            <w:pPr>
              <w:spacing w:after="0"/>
              <w:rPr>
                <w:sz w:val="17"/>
                <w:szCs w:val="17"/>
                <w:color w:val="auto"/>
              </w:rPr>
            </w:pPr>
          </w:p>
        </w:tc>
        <w:tc>
          <w:tcPr>
            <w:tcW w:w="4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10.14†</w:t>
            </w:r>
          </w:p>
        </w:tc>
        <w:tc>
          <w:tcPr>
            <w:tcW w:w="10220" w:type="dxa"/>
            <w:vAlign w:val="bottom"/>
            <w:tcBorders>
              <w:bottom w:val="single" w:sz="8" w:color="0000EE"/>
            </w:tcBorders>
            <w:gridSpan w:val="31"/>
          </w:tcPr>
          <w:p>
            <w:pPr>
              <w:spacing w:after="0"/>
              <w:rPr>
                <w:rFonts w:ascii="Arial" w:cs="Arial" w:eastAsia="Arial" w:hAnsi="Arial"/>
                <w:sz w:val="18"/>
                <w:szCs w:val="18"/>
                <w:color w:val="0000EE"/>
                <w:w w:val="90"/>
              </w:rPr>
            </w:pPr>
            <w:hyperlink r:id="rId232">
              <w:r>
                <w:rPr>
                  <w:rFonts w:ascii="Arial" w:cs="Arial" w:eastAsia="Arial" w:hAnsi="Arial"/>
                  <w:sz w:val="18"/>
                  <w:szCs w:val="18"/>
                  <w:color w:val="0000EE"/>
                  <w:w w:val="90"/>
                </w:rPr>
                <w:t>Form of Executive Severance Agreement for officers (incorporated by reference to Exhibit 10.27 to the Company’s Registration Statement on</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Form S-1/A (333-193969), filed on March 4, 2014)</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760" w:type="dxa"/>
            <w:vAlign w:val="bottom"/>
            <w:gridSpan w:val="10"/>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10260" w:type="dxa"/>
            <w:vAlign w:val="bottom"/>
            <w:gridSpan w:val="32"/>
          </w:tcPr>
          <w:p>
            <w:pPr>
              <w:spacing w:after="0"/>
              <w:rPr>
                <w:rFonts w:ascii="Arial" w:cs="Arial" w:eastAsia="Arial" w:hAnsi="Arial"/>
                <w:sz w:val="18"/>
                <w:szCs w:val="18"/>
                <w:color w:val="0000EE"/>
                <w:w w:val="92"/>
              </w:rPr>
            </w:pPr>
            <w:hyperlink r:id="rId233">
              <w:r>
                <w:rPr>
                  <w:rFonts w:ascii="Arial" w:cs="Arial" w:eastAsia="Arial" w:hAnsi="Arial"/>
                  <w:sz w:val="18"/>
                  <w:szCs w:val="18"/>
                  <w:color w:val="0000EE"/>
                  <w:w w:val="92"/>
                </w:rPr>
                <w:t>2014 Incentive Plan (incorporated by reference to exhibit 10.29 to the Company’s Registration Statement on Form S-1/A (333-193969), filed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on March 4, 2014)</w:t>
              </w:r>
            </w:hyperlink>
          </w:p>
        </w:tc>
        <w:tc>
          <w:tcPr>
            <w:tcW w:w="8820" w:type="dxa"/>
            <w:vAlign w:val="bottom"/>
            <w:tcBorders>
              <w:top w:val="single" w:sz="8" w:color="0000EE"/>
            </w:tcBorders>
            <w:gridSpan w:val="27"/>
          </w:tcPr>
          <w:p>
            <w:pPr>
              <w:spacing w:after="0"/>
              <w:rPr>
                <w:sz w:val="17"/>
                <w:szCs w:val="17"/>
                <w:color w:val="auto"/>
              </w:rPr>
            </w:pPr>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10260" w:type="dxa"/>
            <w:vAlign w:val="bottom"/>
            <w:gridSpan w:val="32"/>
          </w:tcPr>
          <w:p>
            <w:pPr>
              <w:spacing w:after="0"/>
              <w:rPr>
                <w:rFonts w:ascii="Arial" w:cs="Arial" w:eastAsia="Arial" w:hAnsi="Arial"/>
                <w:sz w:val="18"/>
                <w:szCs w:val="18"/>
                <w:color w:val="0000EE"/>
                <w:w w:val="93"/>
              </w:rPr>
            </w:pPr>
            <w:hyperlink r:id="rId234">
              <w:r>
                <w:rPr>
                  <w:rFonts w:ascii="Arial" w:cs="Arial" w:eastAsia="Arial" w:hAnsi="Arial"/>
                  <w:sz w:val="18"/>
                  <w:szCs w:val="18"/>
                  <w:color w:val="0000EE"/>
                  <w:w w:val="93"/>
                </w:rPr>
                <w:t>2014 Employee Stock Purchase Plan (incorporated by reference to Exhibit 10.30 to the Company’s Registration Statement on Form S-1/A</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(333-193969), filed on March 4, 2014)</w:t>
              </w:r>
            </w:hyperlink>
          </w:p>
        </w:tc>
        <w:tc>
          <w:tcPr>
            <w:tcW w:w="7140" w:type="dxa"/>
            <w:vAlign w:val="bottom"/>
            <w:tcBorders>
              <w:top w:val="single" w:sz="8" w:color="0000EE"/>
            </w:tcBorders>
            <w:gridSpan w:val="20"/>
          </w:tcPr>
          <w:p>
            <w:pPr>
              <w:spacing w:after="0"/>
              <w:rPr>
                <w:sz w:val="17"/>
                <w:szCs w:val="17"/>
                <w:color w:val="auto"/>
              </w:rPr>
            </w:pPr>
          </w:p>
        </w:tc>
        <w:tc>
          <w:tcPr>
            <w:tcW w:w="3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10.17†</w:t>
            </w:r>
          </w:p>
        </w:tc>
        <w:tc>
          <w:tcPr>
            <w:tcW w:w="10200" w:type="dxa"/>
            <w:vAlign w:val="bottom"/>
            <w:tcBorders>
              <w:bottom w:val="single" w:sz="8" w:color="0000EE"/>
            </w:tcBorders>
            <w:gridSpan w:val="30"/>
          </w:tcPr>
          <w:p>
            <w:pPr>
              <w:spacing w:after="0"/>
              <w:rPr>
                <w:rFonts w:ascii="Arial" w:cs="Arial" w:eastAsia="Arial" w:hAnsi="Arial"/>
                <w:sz w:val="18"/>
                <w:szCs w:val="18"/>
                <w:color w:val="0000EE"/>
                <w:w w:val="91"/>
              </w:rPr>
            </w:pPr>
            <w:hyperlink r:id="rId235">
              <w:r>
                <w:rPr>
                  <w:rFonts w:ascii="Arial" w:cs="Arial" w:eastAsia="Arial" w:hAnsi="Arial"/>
                  <w:sz w:val="18"/>
                  <w:szCs w:val="18"/>
                  <w:color w:val="0000EE"/>
                  <w:w w:val="91"/>
                </w:rPr>
                <w:t>Cash Incentive Plan (incorporated by reference to Exhibit 10.31 to the Company’s Registration Statement on Form S-1/A (333-193969), filed</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on March 4, 2014)</w:t>
              </w:r>
            </w:hyperlink>
          </w:p>
        </w:tc>
        <w:tc>
          <w:tcPr>
            <w:tcW w:w="892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9660" w:type="dxa"/>
            <w:vAlign w:val="bottom"/>
            <w:tcBorders>
              <w:bottom w:val="single" w:sz="8" w:color="0000EE"/>
            </w:tcBorders>
            <w:gridSpan w:val="18"/>
          </w:tcPr>
          <w:p>
            <w:pPr>
              <w:spacing w:after="0"/>
              <w:rPr>
                <w:rFonts w:ascii="Arial" w:cs="Arial" w:eastAsia="Arial" w:hAnsi="Arial"/>
                <w:sz w:val="18"/>
                <w:szCs w:val="18"/>
                <w:color w:val="0000EE"/>
                <w:w w:val="91"/>
              </w:rPr>
            </w:pPr>
            <w:hyperlink r:id="rId236">
              <w:r>
                <w:rPr>
                  <w:rFonts w:ascii="Arial" w:cs="Arial" w:eastAsia="Arial" w:hAnsi="Arial"/>
                  <w:sz w:val="18"/>
                  <w:szCs w:val="18"/>
                  <w:color w:val="0000EE"/>
                  <w:w w:val="91"/>
                </w:rPr>
                <w:t>Form of Officer Restricted Stock Unit Award Agreement under 2014 Incentive Plan (incorporated by reference to Exhibit 10.18 to the</w:t>
              </w:r>
            </w:hyperlink>
          </w:p>
        </w:tc>
        <w:tc>
          <w:tcPr>
            <w:tcW w:w="6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Company’s Annual Report on Form 10-K, filed on March 12, 2018)</w:t>
              </w:r>
            </w:hyperlink>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Borders>
              <w:top w:val="single" w:sz="8" w:color="0000EE"/>
            </w:tcBorders>
            <w:gridSpan w:val="7"/>
          </w:tcPr>
          <w:p>
            <w:pPr>
              <w:ind w:left="4420"/>
              <w:spacing w:after="0"/>
              <w:rPr>
                <w:sz w:val="20"/>
                <w:szCs w:val="20"/>
                <w:color w:val="auto"/>
              </w:rPr>
            </w:pPr>
            <w:r>
              <w:rPr>
                <w:rFonts w:ascii="Arial" w:cs="Arial" w:eastAsia="Arial" w:hAnsi="Arial"/>
                <w:sz w:val="18"/>
                <w:szCs w:val="18"/>
                <w:color w:val="auto"/>
                <w:w w:val="86"/>
              </w:rPr>
              <w:t>167</w:t>
            </w:r>
          </w:p>
        </w:tc>
        <w:tc>
          <w:tcPr>
            <w:tcW w:w="2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8"/>
                <w:szCs w:val="18"/>
                <w:color w:val="auto"/>
              </w:rPr>
            </w:pPr>
          </w:p>
        </w:tc>
        <w:tc>
          <w:tcPr>
            <w:tcW w:w="10260" w:type="dxa"/>
            <w:vAlign w:val="bottom"/>
            <w:tcBorders>
              <w:bottom w:val="single" w:sz="8" w:color="auto"/>
            </w:tcBorders>
            <w:gridSpan w:val="30"/>
          </w:tcPr>
          <w:p>
            <w:pPr>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18"/>
                <w:szCs w:val="18"/>
                <w:color w:val="auto"/>
              </w:rPr>
            </w:pPr>
          </w:p>
        </w:tc>
      </w:tr>
      <w:tr>
        <w:trPr>
          <w:trHeight w:val="294"/>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10.19†</w:t>
            </w:r>
          </w:p>
        </w:tc>
        <w:tc>
          <w:tcPr>
            <w:tcW w:w="9860" w:type="dxa"/>
            <w:vAlign w:val="bottom"/>
            <w:tcBorders>
              <w:bottom w:val="single" w:sz="8" w:color="0000EE"/>
            </w:tcBorders>
            <w:gridSpan w:val="19"/>
          </w:tcPr>
          <w:p>
            <w:pPr>
              <w:spacing w:after="0"/>
              <w:rPr>
                <w:rFonts w:ascii="Arial" w:cs="Arial" w:eastAsia="Arial" w:hAnsi="Arial"/>
                <w:sz w:val="18"/>
                <w:szCs w:val="18"/>
                <w:color w:val="0000EE"/>
                <w:w w:val="92"/>
              </w:rPr>
            </w:pPr>
            <w:hyperlink r:id="rId239">
              <w:r>
                <w:rPr>
                  <w:rFonts w:ascii="Arial" w:cs="Arial" w:eastAsia="Arial" w:hAnsi="Arial"/>
                  <w:sz w:val="18"/>
                  <w:szCs w:val="18"/>
                  <w:color w:val="0000EE"/>
                  <w:w w:val="92"/>
                </w:rPr>
                <w:t>Form of Officer Inducement Award Non-Statutory Stock Option Agreement (incorporated by reference to Exhibit 4.4 to the Company’s</w:t>
              </w:r>
            </w:hyperlink>
          </w:p>
        </w:tc>
        <w:tc>
          <w:tcPr>
            <w:tcW w:w="4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39">
              <w:r>
                <w:rPr>
                  <w:rFonts w:ascii="Arial" w:cs="Arial" w:eastAsia="Arial" w:hAnsi="Arial"/>
                  <w:sz w:val="18"/>
                  <w:szCs w:val="18"/>
                  <w:color w:val="0000EE"/>
                  <w:w w:val="90"/>
                </w:rPr>
                <w:t>Registration Statement on Form S-8 (333-222728), filed on January 26, 2018)</w:t>
              </w:r>
            </w:hyperlink>
          </w:p>
        </w:tc>
        <w:tc>
          <w:tcPr>
            <w:tcW w:w="464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10.20†</w:t>
            </w:r>
          </w:p>
        </w:tc>
        <w:tc>
          <w:tcPr>
            <w:tcW w:w="9540" w:type="dxa"/>
            <w:vAlign w:val="bottom"/>
            <w:tcBorders>
              <w:bottom w:val="single" w:sz="8" w:color="0000EE"/>
            </w:tcBorders>
            <w:gridSpan w:val="16"/>
          </w:tcPr>
          <w:p>
            <w:pPr>
              <w:spacing w:after="0"/>
              <w:rPr>
                <w:rFonts w:ascii="Arial" w:cs="Arial" w:eastAsia="Arial" w:hAnsi="Arial"/>
                <w:sz w:val="18"/>
                <w:szCs w:val="18"/>
                <w:color w:val="0000EE"/>
                <w:w w:val="92"/>
              </w:rPr>
            </w:pPr>
            <w:hyperlink r:id="rId240">
              <w:r>
                <w:rPr>
                  <w:rFonts w:ascii="Arial" w:cs="Arial" w:eastAsia="Arial" w:hAnsi="Arial"/>
                  <w:sz w:val="18"/>
                  <w:szCs w:val="18"/>
                  <w:color w:val="0000EE"/>
                  <w:w w:val="92"/>
                </w:rPr>
                <w:t>Form of Inducement Award Non-Statutory Stock Option Agreement for non-officers (incorporated by reference to Exhibit 4.5 to the</w:t>
              </w:r>
            </w:hyperlink>
          </w:p>
        </w:tc>
        <w:tc>
          <w:tcPr>
            <w:tcW w:w="72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Company’s Registration Statement on Form S-8 (333-222728), filed on January 26, 2018)</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Master Services Agreement, between Akebia Therapeutics, Inc., and Quintiles, Inc., dated as of June 8, 2015 (incorporated by reference to</w:t>
              </w:r>
            </w:hyperlink>
          </w:p>
        </w:tc>
        <w:tc>
          <w:tcPr>
            <w:tcW w:w="2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Exhibit 10.1 to the Company’s Quarterly Report on Form 10-Q, filed on August 11, 2015)</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7"/>
              </w:rPr>
            </w:pPr>
            <w:hyperlink r:id="rId242">
              <w:r>
                <w:rPr>
                  <w:rFonts w:ascii="Arial" w:cs="Arial" w:eastAsia="Arial" w:hAnsi="Arial"/>
                  <w:sz w:val="18"/>
                  <w:szCs w:val="18"/>
                  <w:color w:val="0000EE"/>
                  <w:w w:val="97"/>
                </w:rPr>
                <w:t>Collaboration Agreement between Akebia Therapeutics, Inc. and Mitsubishi Tanabe Pharma Corporation, dated December 11, 2015</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4"/>
              </w:rPr>
            </w:pPr>
            <w:hyperlink r:id="rId242">
              <w:r>
                <w:rPr>
                  <w:rFonts w:ascii="Arial" w:cs="Arial" w:eastAsia="Arial" w:hAnsi="Arial"/>
                  <w:sz w:val="18"/>
                  <w:szCs w:val="18"/>
                  <w:color w:val="0000EE"/>
                  <w:w w:val="94"/>
                </w:rPr>
                <w:t>(incorporated by reference to Exhibit 10.29 to the Company’s 10-K for the year ending December 31, 2015 and filed on March 14, 2016)</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10220" w:type="dxa"/>
            <w:vAlign w:val="bottom"/>
            <w:tcBorders>
              <w:bottom w:val="single" w:sz="8" w:color="0000EE"/>
            </w:tcBorders>
            <w:gridSpan w:val="28"/>
          </w:tcPr>
          <w:p>
            <w:pPr>
              <w:spacing w:after="0"/>
              <w:rPr>
                <w:rFonts w:ascii="Arial" w:cs="Arial" w:eastAsia="Arial" w:hAnsi="Arial"/>
                <w:sz w:val="18"/>
                <w:szCs w:val="18"/>
                <w:color w:val="0000EE"/>
                <w:w w:val="90"/>
              </w:rPr>
            </w:pPr>
            <w:hyperlink r:id="rId243">
              <w:r>
                <w:rPr>
                  <w:rFonts w:ascii="Arial" w:cs="Arial" w:eastAsia="Arial" w:hAnsi="Arial"/>
                  <w:sz w:val="18"/>
                  <w:szCs w:val="18"/>
                  <w:color w:val="0000EE"/>
                  <w:w w:val="90"/>
                </w:rPr>
                <w:t>Letter Agreement between Akebia Therapeutics, Inc. and Mitsubishi Tanabe Pharma Corporation, dated September 26, 2017 (incorporated by</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43">
              <w:r>
                <w:rPr>
                  <w:rFonts w:ascii="Arial" w:cs="Arial" w:eastAsia="Arial" w:hAnsi="Arial"/>
                  <w:sz w:val="18"/>
                  <w:szCs w:val="18"/>
                  <w:color w:val="0000EE"/>
                  <w:w w:val="91"/>
                </w:rPr>
                <w:t>reference to Exhibit 10.1 to the Company’s Quarterly Report on Form 10-Q, filed on November 8, 2017)</w:t>
              </w:r>
            </w:hyperlink>
          </w:p>
        </w:tc>
        <w:tc>
          <w:tcPr>
            <w:tcW w:w="272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3"/>
              </w:rPr>
            </w:pPr>
            <w:hyperlink r:id="rId244">
              <w:r>
                <w:rPr>
                  <w:rFonts w:ascii="Arial" w:cs="Arial" w:eastAsia="Arial" w:hAnsi="Arial"/>
                  <w:sz w:val="18"/>
                  <w:szCs w:val="18"/>
                  <w:color w:val="0000EE"/>
                  <w:w w:val="93"/>
                </w:rPr>
                <w:t>Collaboration and License Agreement, between Akebia Therapeutics, Inc. and Otsuka Pharmaceutical Co. Ltd., dated December 18, 2016</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244">
              <w:r>
                <w:rPr>
                  <w:rFonts w:ascii="Arial" w:cs="Arial" w:eastAsia="Arial" w:hAnsi="Arial"/>
                  <w:sz w:val="18"/>
                  <w:szCs w:val="18"/>
                  <w:color w:val="0000EE"/>
                  <w:w w:val="91"/>
                </w:rPr>
                <w:t>(incorporated by reference to Exhibit 10.26 to the Company’s 10-K for the year ending December 31, 2016 and filed on March 6, 2017)</w:t>
              </w:r>
            </w:hyperlink>
          </w:p>
        </w:tc>
        <w:tc>
          <w:tcPr>
            <w:tcW w:w="60" w:type="dxa"/>
            <w:vAlign w:val="bottom"/>
            <w:tcBorders>
              <w:top w:val="single" w:sz="8" w:color="0000EE"/>
            </w:tcBorders>
          </w:tcPr>
          <w:p>
            <w:pPr>
              <w:spacing w:after="0"/>
              <w:rPr>
                <w:sz w:val="17"/>
                <w:szCs w:val="17"/>
                <w:color w:val="auto"/>
              </w:rPr>
            </w:pPr>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7"/>
              </w:rPr>
            </w:pPr>
            <w:hyperlink r:id="rId245">
              <w:r>
                <w:rPr>
                  <w:rFonts w:ascii="Arial" w:cs="Arial" w:eastAsia="Arial" w:hAnsi="Arial"/>
                  <w:sz w:val="18"/>
                  <w:szCs w:val="18"/>
                  <w:color w:val="0000EE"/>
                  <w:w w:val="97"/>
                </w:rPr>
                <w:t>Collaboration and License Agreement between Akebia Therapeutics, Inc. and Otsuka Pharmaceutical Co. Ltd., dated April 25, 2017</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(incorporated by reference to Exhibit 10.1 to the Company’s Quarterly Report on Form 10-Q, filed on August 8, 2017)</w:t>
              </w:r>
            </w:hyperlink>
          </w:p>
        </w:tc>
        <w:tc>
          <w:tcPr>
            <w:tcW w:w="980" w:type="dxa"/>
            <w:vAlign w:val="bottom"/>
            <w:tcBorders>
              <w:top w:val="single" w:sz="8" w:color="0000EE"/>
            </w:tcBorders>
            <w:gridSpan w:val="4"/>
          </w:tcPr>
          <w:p>
            <w:pPr>
              <w:spacing w:after="0"/>
              <w:rPr>
                <w:sz w:val="17"/>
                <w:szCs w:val="17"/>
                <w:color w:val="auto"/>
              </w:rPr>
            </w:pPr>
          </w:p>
        </w:tc>
        <w:tc>
          <w:tcPr>
            <w:tcW w:w="74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89"/>
              </w:rPr>
            </w:pPr>
            <w:hyperlink r:id="rId246">
              <w:r>
                <w:rPr>
                  <w:rFonts w:ascii="Arial" w:cs="Arial" w:eastAsia="Arial" w:hAnsi="Arial"/>
                  <w:sz w:val="18"/>
                  <w:szCs w:val="18"/>
                  <w:color w:val="0000EE"/>
                  <w:w w:val="89"/>
                </w:rPr>
                <w:t>Research and License Agreement between Akebia Therapeutics, Inc. and Janssen Pharmaceutica NV, dated February 9, 2017 (incorporated by</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reference to Exhibit 10.1 to the Company’s Quarterly Report on Form 10-Q, filed on May 9, 2017)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9780" w:type="dxa"/>
            <w:vAlign w:val="bottom"/>
            <w:tcBorders>
              <w:bottom w:val="single" w:sz="8" w:color="0000EE"/>
            </w:tcBorders>
            <w:gridSpan w:val="18"/>
          </w:tcPr>
          <w:p>
            <w:pPr>
              <w:spacing w:after="0"/>
              <w:rPr>
                <w:rFonts w:ascii="Arial" w:cs="Arial" w:eastAsia="Arial" w:hAnsi="Arial"/>
                <w:sz w:val="18"/>
                <w:szCs w:val="18"/>
                <w:color w:val="0000EE"/>
                <w:w w:val="91"/>
              </w:rPr>
            </w:pPr>
            <w:hyperlink r:id="rId247">
              <w:r>
                <w:rPr>
                  <w:rFonts w:ascii="Arial" w:cs="Arial" w:eastAsia="Arial" w:hAnsi="Arial"/>
                  <w:sz w:val="18"/>
                  <w:szCs w:val="18"/>
                  <w:color w:val="0000EE"/>
                  <w:w w:val="91"/>
                </w:rPr>
                <w:t>License Agreement between Akebia Therapeutics, Inc. and Vifor (International) Ltd., dated May 12, 2017 (incorporated by reference to</w:t>
              </w:r>
            </w:hyperlink>
          </w:p>
        </w:tc>
        <w:tc>
          <w:tcPr>
            <w:tcW w:w="4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Exhibit 10.2 to the Company’s Quarterly Report on Form 10-Q, filed on August 8, 2017)</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10.28†</w:t>
            </w:r>
          </w:p>
        </w:tc>
        <w:tc>
          <w:tcPr>
            <w:tcW w:w="10020" w:type="dxa"/>
            <w:vAlign w:val="bottom"/>
            <w:tcBorders>
              <w:bottom w:val="single" w:sz="8" w:color="0000EE"/>
            </w:tcBorders>
            <w:gridSpan w:val="22"/>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Offer Letter to Rita Jain, dated April 28, 2017 (incorporated by reference to Exhibit 10.28 to the Company’s Annual Report on Form 10-K,</w:t>
              </w:r>
            </w:hyperlink>
          </w:p>
        </w:tc>
        <w:tc>
          <w:tcPr>
            <w:tcW w:w="2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48">
              <w:r>
                <w:rPr>
                  <w:rFonts w:ascii="Arial" w:cs="Arial" w:eastAsia="Arial" w:hAnsi="Arial"/>
                  <w:sz w:val="18"/>
                  <w:szCs w:val="18"/>
                  <w:color w:val="0000EE"/>
                </w:rPr>
                <w:t>filed on March 12, 2018)</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10.29*†</w:t>
            </w:r>
          </w:p>
        </w:tc>
        <w:tc>
          <w:tcPr>
            <w:tcW w:w="60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74">
              <w:r>
                <w:rPr>
                  <w:rFonts w:ascii="Arial" w:cs="Arial" w:eastAsia="Arial" w:hAnsi="Arial"/>
                  <w:sz w:val="18"/>
                  <w:szCs w:val="18"/>
                  <w:color w:val="0000EE"/>
                  <w:w w:val="91"/>
                </w:rPr>
                <w:t>Form of Officer Restricted Stock Unit Award Agreement under 2014 Incentive Plan</w:t>
              </w:r>
            </w:hyperlink>
          </w:p>
        </w:tc>
        <w:tc>
          <w:tcPr>
            <w:tcW w:w="422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920" w:type="dxa"/>
            <w:vAlign w:val="bottom"/>
          </w:tcPr>
          <w:p>
            <w:pPr>
              <w:ind w:left="10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10260" w:type="dxa"/>
            <w:vAlign w:val="bottom"/>
            <w:gridSpan w:val="30"/>
          </w:tcPr>
          <w:p>
            <w:pPr>
              <w:spacing w:after="0"/>
              <w:rPr>
                <w:sz w:val="20"/>
                <w:szCs w:val="20"/>
                <w:color w:val="auto"/>
              </w:rPr>
            </w:pPr>
            <w:r>
              <w:rPr>
                <w:rFonts w:ascii="Arial" w:cs="Arial" w:eastAsia="Arial" w:hAnsi="Arial"/>
                <w:sz w:val="18"/>
                <w:szCs w:val="18"/>
                <w:color w:val="auto"/>
              </w:rPr>
              <w:t>[reserved]</w:t>
            </w:r>
          </w:p>
        </w:tc>
        <w:tc>
          <w:tcPr>
            <w:tcW w:w="20" w:type="dxa"/>
            <w:vAlign w:val="bottom"/>
          </w:tcPr>
          <w:p>
            <w:pPr>
              <w:spacing w:after="0"/>
              <w:rPr>
                <w:sz w:val="24"/>
                <w:szCs w:val="24"/>
                <w:color w:val="auto"/>
              </w:rPr>
            </w:pPr>
          </w:p>
        </w:tc>
      </w:tr>
      <w:tr>
        <w:trPr>
          <w:trHeight w:val="297"/>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10.31*†</w:t>
            </w:r>
          </w:p>
        </w:tc>
        <w:tc>
          <w:tcPr>
            <w:tcW w:w="10260" w:type="dxa"/>
            <w:vAlign w:val="bottom"/>
            <w:gridSpan w:val="30"/>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Amended and Restated Non-Employee Director Compensation Program, effective January 30, 2019</w:t>
              </w:r>
            </w:hyperlink>
          </w:p>
        </w:tc>
        <w:tc>
          <w:tcPr>
            <w:tcW w:w="20" w:type="dxa"/>
            <w:vAlign w:val="bottom"/>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10.32†</w:t>
            </w:r>
          </w:p>
        </w:tc>
        <w:tc>
          <w:tcPr>
            <w:tcW w:w="10260" w:type="dxa"/>
            <w:vAlign w:val="bottom"/>
            <w:gridSpan w:val="30"/>
          </w:tcPr>
          <w:p>
            <w:pPr>
              <w:spacing w:after="0"/>
              <w:rPr>
                <w:rFonts w:ascii="Arial" w:cs="Arial" w:eastAsia="Arial" w:hAnsi="Arial"/>
                <w:sz w:val="18"/>
                <w:szCs w:val="18"/>
                <w:color w:val="0000EE"/>
                <w:w w:val="98"/>
              </w:rPr>
            </w:pPr>
            <w:hyperlink r:id="rId249">
              <w:r>
                <w:rPr>
                  <w:rFonts w:ascii="Arial" w:cs="Arial" w:eastAsia="Arial" w:hAnsi="Arial"/>
                  <w:sz w:val="18"/>
                  <w:szCs w:val="18"/>
                  <w:color w:val="0000EE"/>
                  <w:w w:val="98"/>
                </w:rPr>
                <w:t>Amendment No. 1 to the Akebia Therapeutics, Inc. 2014 Incentive Plan (incorporated by reference to Exhibit 4.4 to the Company’s</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Registration Statement on Form S-8, filed on January 25, 2019)</w:t>
              </w:r>
            </w:hyperlink>
          </w:p>
        </w:tc>
        <w:tc>
          <w:tcPr>
            <w:tcW w:w="7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2"/>
              </w:rPr>
            </w:pPr>
            <w:hyperlink r:id="rId250">
              <w:r>
                <w:rPr>
                  <w:rFonts w:ascii="Arial" w:cs="Arial" w:eastAsia="Arial" w:hAnsi="Arial"/>
                  <w:sz w:val="18"/>
                  <w:szCs w:val="18"/>
                  <w:color w:val="0000EE"/>
                  <w:w w:val="92"/>
                </w:rPr>
                <w:t>Fifth Amendment to Office Lease Agreement Between CLPF-Cambridge Science Center, LLC and Akebia Therapeutics, Inc. dated April 9,</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2018 (incorporated by reference to Exhibit 10.1 to the Company’s Quarterly Report on Form 10-Q, filed on August 8, 2018)</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0" w:type="dxa"/>
            <w:vAlign w:val="bottom"/>
            <w:gridSpan w:val="11"/>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2"/>
              </w:rPr>
            </w:pPr>
            <w:hyperlink r:id="rId251">
              <w:r>
                <w:rPr>
                  <w:rFonts w:ascii="Arial" w:cs="Arial" w:eastAsia="Arial" w:hAnsi="Arial"/>
                  <w:sz w:val="18"/>
                  <w:szCs w:val="18"/>
                  <w:color w:val="0000EE"/>
                  <w:w w:val="92"/>
                </w:rPr>
                <w:t>Registration Rights Agreement, dated December 12, 2018, by and between Akebia Therapeutics, Inc. and Baupost Group Securities, L.L.C.</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51">
              <w:r>
                <w:rPr>
                  <w:rFonts w:ascii="Arial" w:cs="Arial" w:eastAsia="Arial" w:hAnsi="Arial"/>
                  <w:sz w:val="18"/>
                  <w:szCs w:val="18"/>
                  <w:color w:val="0000EE"/>
                  <w:w w:val="91"/>
                </w:rPr>
                <w:t>(incorporated by reference to Exhibit 10.1 to the Company’s Current Report on Form 8-K, filed on December 13, 2018)</w:t>
              </w:r>
            </w:hyperlink>
          </w:p>
        </w:tc>
        <w:tc>
          <w:tcPr>
            <w:tcW w:w="1440" w:type="dxa"/>
            <w:vAlign w:val="bottom"/>
            <w:tcBorders>
              <w:top w:val="single" w:sz="8" w:color="0000EE"/>
            </w:tcBorders>
            <w:gridSpan w:val="11"/>
          </w:tcPr>
          <w:p>
            <w:pPr>
              <w:spacing w:after="0"/>
              <w:rPr>
                <w:sz w:val="17"/>
                <w:szCs w:val="17"/>
                <w:color w:val="auto"/>
              </w:rPr>
            </w:pPr>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24"/>
                <w:szCs w:val="24"/>
                <w:color w:val="auto"/>
              </w:rPr>
            </w:pPr>
          </w:p>
        </w:tc>
        <w:tc>
          <w:tcPr>
            <w:tcW w:w="9760" w:type="dxa"/>
            <w:vAlign w:val="bottom"/>
            <w:tcBorders>
              <w:bottom w:val="single" w:sz="8" w:color="0000EE"/>
            </w:tcBorders>
            <w:gridSpan w:val="17"/>
          </w:tcPr>
          <w:p>
            <w:pPr>
              <w:spacing w:after="0"/>
              <w:rPr>
                <w:rFonts w:ascii="Arial" w:cs="Arial" w:eastAsia="Arial" w:hAnsi="Arial"/>
                <w:sz w:val="18"/>
                <w:szCs w:val="18"/>
                <w:color w:val="0000EE"/>
                <w:w w:val="90"/>
              </w:rPr>
            </w:pPr>
            <w:hyperlink r:id="rId252">
              <w:r>
                <w:rPr>
                  <w:rFonts w:ascii="Arial" w:cs="Arial" w:eastAsia="Arial" w:hAnsi="Arial"/>
                  <w:sz w:val="18"/>
                  <w:szCs w:val="18"/>
                  <w:color w:val="0000EE"/>
                  <w:w w:val="90"/>
                </w:rPr>
                <w:t>Notes Conversion Agreement, dated as of June 28, 2018, by and among Akebia Therapeutics, Inc., Keryx Biopharmaceuticals, Inc. and</w:t>
              </w:r>
            </w:hyperlink>
          </w:p>
        </w:tc>
        <w:tc>
          <w:tcPr>
            <w:tcW w:w="5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1"/>
              </w:rPr>
            </w:pPr>
            <w:hyperlink r:id="rId252">
              <w:r>
                <w:rPr>
                  <w:rFonts w:ascii="Arial" w:cs="Arial" w:eastAsia="Arial" w:hAnsi="Arial"/>
                  <w:sz w:val="18"/>
                  <w:szCs w:val="18"/>
                  <w:color w:val="0000EE"/>
                  <w:w w:val="91"/>
                </w:rPr>
                <w:t>Baupost Group Securities, L.L.C. (incorporated by reference to Exhibit 10.1 to the Company’s Current Report on Form 8-K, filed on June 28,</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52">
              <w:r>
                <w:rPr>
                  <w:rFonts w:ascii="Arial" w:cs="Arial" w:eastAsia="Arial" w:hAnsi="Arial"/>
                  <w:sz w:val="18"/>
                  <w:szCs w:val="18"/>
                  <w:color w:val="0000EE"/>
                  <w:w w:val="86"/>
                </w:rPr>
                <w:t>2018)</w:t>
              </w:r>
            </w:hyperlink>
          </w:p>
        </w:tc>
        <w:tc>
          <w:tcPr>
            <w:tcW w:w="1380" w:type="dxa"/>
            <w:vAlign w:val="bottom"/>
            <w:tcBorders>
              <w:top w:val="single" w:sz="8" w:color="0000EE"/>
            </w:tcBorders>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24"/>
                <w:szCs w:val="24"/>
                <w:color w:val="auto"/>
              </w:rPr>
            </w:pPr>
          </w:p>
        </w:tc>
        <w:tc>
          <w:tcPr>
            <w:tcW w:w="10120" w:type="dxa"/>
            <w:vAlign w:val="bottom"/>
            <w:tcBorders>
              <w:bottom w:val="single" w:sz="8" w:color="0000EE"/>
            </w:tcBorders>
            <w:gridSpan w:val="25"/>
          </w:tcPr>
          <w:p>
            <w:pPr>
              <w:spacing w:after="0"/>
              <w:rPr>
                <w:rFonts w:ascii="Arial" w:cs="Arial" w:eastAsia="Arial" w:hAnsi="Arial"/>
                <w:sz w:val="18"/>
                <w:szCs w:val="18"/>
                <w:color w:val="0000EE"/>
                <w:w w:val="90"/>
              </w:rPr>
            </w:pPr>
            <w:hyperlink r:id="rId253">
              <w:r>
                <w:rPr>
                  <w:rFonts w:ascii="Arial" w:cs="Arial" w:eastAsia="Arial" w:hAnsi="Arial"/>
                  <w:sz w:val="18"/>
                  <w:szCs w:val="18"/>
                  <w:color w:val="0000EE"/>
                  <w:w w:val="90"/>
                </w:rPr>
                <w:t>Amended and Restated License Agreement by and between Panion &amp; BF Biotech, Inc. and Keryx Biopharmaceuticals, Inc. dated March 17,</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2008 (incorporated by reference to Exhibit 10.1 to Keryx Biopharmaceuticals, Inc.’s Quarterly Report on Form 10-Q, filed on May 10, 2018)</w:t>
              </w:r>
            </w:hyperlink>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tcBorders>
              <w:top w:val="single" w:sz="8" w:color="0000EE"/>
            </w:tcBorders>
            <w:gridSpan w:val="4"/>
          </w:tcPr>
          <w:p>
            <w:pPr>
              <w:ind w:left="4420"/>
              <w:spacing w:after="0"/>
              <w:rPr>
                <w:sz w:val="20"/>
                <w:szCs w:val="20"/>
                <w:color w:val="auto"/>
              </w:rPr>
            </w:pPr>
            <w:r>
              <w:rPr>
                <w:rFonts w:ascii="Arial" w:cs="Arial" w:eastAsia="Arial" w:hAnsi="Arial"/>
                <w:sz w:val="18"/>
                <w:szCs w:val="18"/>
                <w:color w:val="auto"/>
              </w:rPr>
              <w:t>168</w:t>
            </w: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0260" w:type="dxa"/>
            <w:vAlign w:val="bottom"/>
            <w:gridSpan w:val="30"/>
          </w:tcPr>
          <w:p>
            <w:pPr>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18"/>
                <w:szCs w:val="18"/>
                <w:color w:val="auto"/>
              </w:rPr>
            </w:pPr>
          </w:p>
        </w:tc>
      </w:tr>
      <w:tr>
        <w:trPr>
          <w:trHeight w:val="294"/>
        </w:trPr>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4"/>
                <w:szCs w:val="24"/>
                <w:color w:val="auto"/>
              </w:rPr>
            </w:pPr>
          </w:p>
        </w:tc>
        <w:tc>
          <w:tcPr>
            <w:tcW w:w="10080" w:type="dxa"/>
            <w:vAlign w:val="bottom"/>
            <w:tcBorders>
              <w:top w:val="single" w:sz="8" w:color="auto"/>
              <w:bottom w:val="single" w:sz="8" w:color="0000EE"/>
            </w:tcBorders>
            <w:gridSpan w:val="24"/>
          </w:tcPr>
          <w:p>
            <w:pPr>
              <w:spacing w:after="0"/>
              <w:rPr>
                <w:rFonts w:ascii="Arial" w:cs="Arial" w:eastAsia="Arial" w:hAnsi="Arial"/>
                <w:sz w:val="18"/>
                <w:szCs w:val="18"/>
                <w:color w:val="0000EE"/>
                <w:w w:val="90"/>
              </w:rPr>
            </w:pPr>
            <w:hyperlink r:id="rId256">
              <w:r>
                <w:rPr>
                  <w:rFonts w:ascii="Arial" w:cs="Arial" w:eastAsia="Arial" w:hAnsi="Arial"/>
                  <w:sz w:val="18"/>
                  <w:szCs w:val="18"/>
                  <w:color w:val="0000EE"/>
                  <w:w w:val="90"/>
                </w:rPr>
                <w:t>First Amendment to Amended and Restated License Agreement by and between Panion &amp; BF Biotech, Inc. and Keryx Biopharmaceuticals,</w:t>
              </w:r>
            </w:hyperlink>
          </w:p>
        </w:tc>
        <w:tc>
          <w:tcPr>
            <w:tcW w:w="180" w:type="dxa"/>
            <w:vAlign w:val="bottom"/>
            <w:tcBorders>
              <w:top w:val="single" w:sz="8" w:color="auto"/>
            </w:tcBorders>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4"/>
              </w:rPr>
            </w:pPr>
            <w:hyperlink r:id="rId256">
              <w:r>
                <w:rPr>
                  <w:rFonts w:ascii="Arial" w:cs="Arial" w:eastAsia="Arial" w:hAnsi="Arial"/>
                  <w:sz w:val="18"/>
                  <w:szCs w:val="18"/>
                  <w:color w:val="0000EE"/>
                  <w:w w:val="94"/>
                </w:rPr>
                <w:t>Inc. dated March 17, 2008 (incorporated by reference to Exhibit 10.16 to Keryx Biopharmaceuticals, Inc.’s Annual Report on Form 10-K,</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filed on March 31, 2009)</w:t>
              </w:r>
            </w:hyperlink>
          </w:p>
        </w:tc>
        <w:tc>
          <w:tcPr>
            <w:tcW w:w="3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24"/>
                <w:szCs w:val="24"/>
                <w:color w:val="auto"/>
              </w:rPr>
            </w:pPr>
          </w:p>
        </w:tc>
        <w:tc>
          <w:tcPr>
            <w:tcW w:w="98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83">
              <w:r>
                <w:rPr>
                  <w:rFonts w:ascii="Arial" w:cs="Arial" w:eastAsia="Arial" w:hAnsi="Arial"/>
                  <w:sz w:val="18"/>
                  <w:szCs w:val="18"/>
                  <w:color w:val="0000EE"/>
                  <w:w w:val="90"/>
                </w:rPr>
                <w:t>Letter Agreement by and between Panion &amp; BF Biotech, Inc., the Company and Keryx Biopharmaceuticals, Inc. dated October 24, 2018</w:t>
              </w:r>
            </w:hyperlink>
          </w:p>
        </w:tc>
        <w:tc>
          <w:tcPr>
            <w:tcW w:w="4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88"/>
              </w:rPr>
            </w:pPr>
            <w:hyperlink r:id="rId257">
              <w:r>
                <w:rPr>
                  <w:rFonts w:ascii="Arial" w:cs="Arial" w:eastAsia="Arial" w:hAnsi="Arial"/>
                  <w:sz w:val="18"/>
                  <w:szCs w:val="18"/>
                  <w:color w:val="0000EE"/>
                  <w:w w:val="88"/>
                </w:rPr>
                <w:t>Amended and Restated Sub-License Agreement, dated June 8, 2009, as amended by the First Amendment thereto, dated June 12, 2013, by</w:t>
              </w:r>
            </w:hyperlink>
          </w:p>
        </w:tc>
        <w:tc>
          <w:tcPr>
            <w:tcW w:w="2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57">
              <w:r>
                <w:rPr>
                  <w:rFonts w:ascii="Arial" w:cs="Arial" w:eastAsia="Arial" w:hAnsi="Arial"/>
                  <w:sz w:val="18"/>
                  <w:szCs w:val="18"/>
                  <w:color w:val="0000EE"/>
                  <w:w w:val="90"/>
                </w:rPr>
                <w:t>and between Keryx Biopharmaceuticals, Inc., Japan Tobacco, Inc. and Torii Pharmaceutical Co., Ltd (incorporated by reference to Exhibit</w:t>
              </w:r>
            </w:hyperlink>
          </w:p>
        </w:tc>
        <w:tc>
          <w:tcPr>
            <w:tcW w:w="3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Keryx Biopharmaceuticals, Inc.’s Quarterly Report on Form 10-Q, filed on November 7, 2017)</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24"/>
                <w:szCs w:val="24"/>
                <w:color w:val="auto"/>
              </w:rPr>
            </w:pPr>
          </w:p>
        </w:tc>
        <w:tc>
          <w:tcPr>
            <w:tcW w:w="10020" w:type="dxa"/>
            <w:vAlign w:val="bottom"/>
            <w:tcBorders>
              <w:bottom w:val="single" w:sz="8" w:color="0000EE"/>
            </w:tcBorders>
            <w:gridSpan w:val="23"/>
          </w:tcPr>
          <w:p>
            <w:pPr>
              <w:spacing w:after="0"/>
              <w:rPr>
                <w:rFonts w:ascii="Arial" w:cs="Arial" w:eastAsia="Arial" w:hAnsi="Arial"/>
                <w:sz w:val="18"/>
                <w:szCs w:val="18"/>
                <w:color w:val="0000EE"/>
                <w:w w:val="91"/>
              </w:rPr>
            </w:pPr>
            <w:hyperlink r:id="rId258">
              <w:r>
                <w:rPr>
                  <w:rFonts w:ascii="Arial" w:cs="Arial" w:eastAsia="Arial" w:hAnsi="Arial"/>
                  <w:sz w:val="18"/>
                  <w:szCs w:val="18"/>
                  <w:color w:val="0000EE"/>
                  <w:w w:val="91"/>
                </w:rPr>
                <w:t>Master Manufacturing Services Agreement by and between Keryx Biopharmaceuticals, Inc. and Patheon Manufacturing Services LLC and</w:t>
              </w:r>
            </w:hyperlink>
          </w:p>
        </w:tc>
        <w:tc>
          <w:tcPr>
            <w:tcW w:w="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258">
              <w:r>
                <w:rPr>
                  <w:rFonts w:ascii="Arial" w:cs="Arial" w:eastAsia="Arial" w:hAnsi="Arial"/>
                  <w:sz w:val="18"/>
                  <w:szCs w:val="18"/>
                  <w:color w:val="0000EE"/>
                  <w:w w:val="89"/>
                </w:rPr>
                <w:t>certain of its affiliates, dated September 27, 2016, and related Product Agreement dated September 27, 2016, and related Product Agreement</w:t>
              </w:r>
            </w:hyperlink>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258">
              <w:r>
                <w:rPr>
                  <w:rFonts w:ascii="Arial" w:cs="Arial" w:eastAsia="Arial" w:hAnsi="Arial"/>
                  <w:sz w:val="18"/>
                  <w:szCs w:val="18"/>
                  <w:color w:val="0000EE"/>
                  <w:w w:val="92"/>
                </w:rPr>
                <w:t>dated October 12, 2016 (incorporated by reference to Exhibit 10.12 to Keryx Biopharmaceuticals, Inc.’s Annual Report on Form 10-K, filed</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258">
              <w:r>
                <w:rPr>
                  <w:rFonts w:ascii="Arial" w:cs="Arial" w:eastAsia="Arial" w:hAnsi="Arial"/>
                  <w:sz w:val="18"/>
                  <w:szCs w:val="18"/>
                  <w:color w:val="0000EE"/>
                  <w:w w:val="90"/>
                </w:rPr>
                <w:t>on March 1, 2017)</w:t>
              </w:r>
            </w:hyperlink>
          </w:p>
        </w:tc>
        <w:tc>
          <w:tcPr>
            <w:tcW w:w="892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rFonts w:ascii="Arial" w:cs="Arial" w:eastAsia="Arial" w:hAnsi="Arial"/>
                <w:sz w:val="18"/>
                <w:szCs w:val="18"/>
                <w:color w:val="0000EE"/>
                <w:w w:val="90"/>
              </w:rPr>
            </w:pPr>
            <w:hyperlink r:id="rId259">
              <w:r>
                <w:rPr>
                  <w:rFonts w:ascii="Arial" w:cs="Arial" w:eastAsia="Arial" w:hAnsi="Arial"/>
                  <w:sz w:val="18"/>
                  <w:szCs w:val="18"/>
                  <w:color w:val="0000EE"/>
                  <w:w w:val="90"/>
                </w:rPr>
                <w:t>Product Agreement, dated August 29, 2017, by and between Keryx Biopharmaceuticals, Inc. and Patheon Inc. (an affiliate of Patheon</w:t>
              </w:r>
            </w:hyperlink>
          </w:p>
        </w:tc>
        <w:tc>
          <w:tcPr>
            <w:tcW w:w="64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2"/>
              </w:rPr>
            </w:pPr>
            <w:hyperlink r:id="rId259">
              <w:r>
                <w:rPr>
                  <w:rFonts w:ascii="Arial" w:cs="Arial" w:eastAsia="Arial" w:hAnsi="Arial"/>
                  <w:sz w:val="18"/>
                  <w:szCs w:val="18"/>
                  <w:color w:val="0000EE"/>
                  <w:w w:val="92"/>
                </w:rPr>
                <w:t>Manufacturing Services LLC) related to the Master Manufacturing Services Agreement by and between Keryx Biopharmaceuticals, Inc. and</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tcBorders>
              <w:top w:val="single" w:sz="8" w:color="0000EE"/>
            </w:tcBorders>
            <w:gridSpan w:val="26"/>
          </w:tcPr>
          <w:p>
            <w:pPr>
              <w:spacing w:after="0" w:line="196" w:lineRule="exact"/>
              <w:rPr>
                <w:rFonts w:ascii="Arial" w:cs="Arial" w:eastAsia="Arial" w:hAnsi="Arial"/>
                <w:sz w:val="18"/>
                <w:szCs w:val="18"/>
                <w:color w:val="0000EE"/>
                <w:w w:val="93"/>
              </w:rPr>
            </w:pPr>
            <w:hyperlink r:id="rId259">
              <w:r>
                <w:rPr>
                  <w:rFonts w:ascii="Arial" w:cs="Arial" w:eastAsia="Arial" w:hAnsi="Arial"/>
                  <w:sz w:val="18"/>
                  <w:szCs w:val="18"/>
                  <w:color w:val="0000EE"/>
                  <w:w w:val="93"/>
                </w:rPr>
                <w:t>Patheon Manufacturing Services LLC and certain of its affiliates dated November 12, 2016 (incorporated by reference to Exhibit 10.2 to</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Keryx Biopharmaceuticals, Inc.’s Quarterly Report on Form 10-Q, filed on November 7, 2017)</w:t>
              </w:r>
            </w:hyperlink>
          </w:p>
        </w:tc>
        <w:tc>
          <w:tcPr>
            <w:tcW w:w="4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rPr>
            </w:pPr>
            <w:hyperlink r:id="rId260">
              <w:r>
                <w:rPr>
                  <w:rFonts w:ascii="Arial" w:cs="Arial" w:eastAsia="Arial" w:hAnsi="Arial"/>
                  <w:sz w:val="18"/>
                  <w:szCs w:val="18"/>
                  <w:color w:val="0000EE"/>
                </w:rPr>
                <w:t>Product Manufacture and Supply and Facility Construction Agreement, dated December 11, 2017, by and between Keryx</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60">
              <w:r>
                <w:rPr>
                  <w:rFonts w:ascii="Arial" w:cs="Arial" w:eastAsia="Arial" w:hAnsi="Arial"/>
                  <w:sz w:val="18"/>
                  <w:szCs w:val="18"/>
                  <w:color w:val="0000EE"/>
                  <w:w w:val="91"/>
                </w:rPr>
                <w:t>Biopharmaceuticals, Inc. and BioVectra Inc. (incorporated by reference to Exhibit 10.12 to Keryx Biopharmaceuticals, Inc.’s Annual Report</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on Form 10-K, filed on February 21, 2018)</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4"/>
              </w:rPr>
            </w:pPr>
            <w:hyperlink r:id="rId261">
              <w:r>
                <w:rPr>
                  <w:rFonts w:ascii="Arial" w:cs="Arial" w:eastAsia="Arial" w:hAnsi="Arial"/>
                  <w:sz w:val="18"/>
                  <w:szCs w:val="18"/>
                  <w:color w:val="0000EE"/>
                  <w:w w:val="94"/>
                </w:rPr>
                <w:t>Master Manufacturing Services and Supply Agreement, dated December 20, 2017, by and between Keryx Biopharmaceuticals, Inc. and</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4"/>
              </w:rPr>
            </w:pPr>
            <w:hyperlink r:id="rId261">
              <w:r>
                <w:rPr>
                  <w:rFonts w:ascii="Arial" w:cs="Arial" w:eastAsia="Arial" w:hAnsi="Arial"/>
                  <w:sz w:val="18"/>
                  <w:szCs w:val="18"/>
                  <w:color w:val="0000EE"/>
                  <w:w w:val="94"/>
                </w:rPr>
                <w:t>Siegfried Evionnaz SA (incorporated by reference to Exhibit 10.13 to Keryx Biopharmaceuticals, Inc.’s Annual Report on Form 10-K, filed</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on February 21, 2018)</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4"/>
                <w:szCs w:val="24"/>
                <w:color w:val="auto"/>
              </w:rPr>
            </w:pPr>
          </w:p>
        </w:tc>
        <w:tc>
          <w:tcPr>
            <w:tcW w:w="10260" w:type="dxa"/>
            <w:vAlign w:val="bottom"/>
            <w:tcBorders>
              <w:bottom w:val="single" w:sz="8" w:color="0000EE"/>
            </w:tcBorders>
            <w:gridSpan w:val="30"/>
          </w:tcPr>
          <w:p>
            <w:pPr>
              <w:spacing w:after="0"/>
              <w:rPr>
                <w:rFonts w:ascii="Arial" w:cs="Arial" w:eastAsia="Arial" w:hAnsi="Arial"/>
                <w:sz w:val="18"/>
                <w:szCs w:val="18"/>
                <w:color w:val="0000EE"/>
                <w:w w:val="91"/>
              </w:rPr>
            </w:pPr>
            <w:hyperlink r:id="rId262">
              <w:r>
                <w:rPr>
                  <w:rFonts w:ascii="Arial" w:cs="Arial" w:eastAsia="Arial" w:hAnsi="Arial"/>
                  <w:sz w:val="18"/>
                  <w:szCs w:val="18"/>
                  <w:color w:val="0000EE"/>
                  <w:w w:val="91"/>
                </w:rPr>
                <w:t>One Marina Park Drive Office Lease dated April 29, 2015, by and between Keryx Biopharmaceuticals, Inc. and Fallon Cornerstone One MPD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3"/>
              </w:rPr>
            </w:pPr>
            <w:hyperlink r:id="rId262">
              <w:r>
                <w:rPr>
                  <w:rFonts w:ascii="Arial" w:cs="Arial" w:eastAsia="Arial" w:hAnsi="Arial"/>
                  <w:sz w:val="18"/>
                  <w:szCs w:val="18"/>
                  <w:color w:val="0000EE"/>
                  <w:w w:val="93"/>
                </w:rPr>
                <w:t>LLC (incorporated by reference to Exhibit 10.29 to Keryx Biopharmaceuticals, Inc.’s Annual Report on Form 10-K, filed on March 1, 2017)</w:t>
              </w:r>
            </w:hyperlink>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24"/>
                <w:szCs w:val="24"/>
                <w:color w:val="auto"/>
              </w:rPr>
            </w:pPr>
          </w:p>
        </w:tc>
        <w:tc>
          <w:tcPr>
            <w:tcW w:w="10120" w:type="dxa"/>
            <w:vAlign w:val="bottom"/>
            <w:tcBorders>
              <w:top w:val="single" w:sz="8" w:color="0000EE"/>
            </w:tcBorders>
            <w:gridSpan w:val="26"/>
          </w:tcPr>
          <w:p>
            <w:pPr>
              <w:spacing w:after="0"/>
              <w:rPr>
                <w:rFonts w:ascii="Arial" w:cs="Arial" w:eastAsia="Arial" w:hAnsi="Arial"/>
                <w:sz w:val="18"/>
                <w:szCs w:val="18"/>
                <w:color w:val="0000EE"/>
                <w:w w:val="91"/>
              </w:rPr>
            </w:pPr>
            <w:hyperlink r:id="rId263">
              <w:r>
                <w:rPr>
                  <w:rFonts w:ascii="Arial" w:cs="Arial" w:eastAsia="Arial" w:hAnsi="Arial"/>
                  <w:sz w:val="18"/>
                  <w:szCs w:val="18"/>
                  <w:color w:val="0000EE"/>
                  <w:w w:val="91"/>
                </w:rPr>
                <w:t>Amendment No. 1 to the Product Manufacture and Supply and Facility Construction Agreement, dated May 5, 2018, by and between Keryx</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2"/>
              </w:rPr>
            </w:pPr>
            <w:hyperlink r:id="rId263">
              <w:r>
                <w:rPr>
                  <w:rFonts w:ascii="Arial" w:cs="Arial" w:eastAsia="Arial" w:hAnsi="Arial"/>
                  <w:sz w:val="18"/>
                  <w:szCs w:val="18"/>
                  <w:color w:val="0000EE"/>
                  <w:w w:val="92"/>
                </w:rPr>
                <w:t>Biopharmaceuticals, Inc. and BioVectra Inc. (incorporated by reference to Exhibit 10.6 to Keryx Biopharmaceuticals, Inc.’s Quarterly Report</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on Form 10-Q, filed on August 9, 2018)</w:t>
              </w:r>
            </w:hyperlink>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24"/>
                <w:szCs w:val="24"/>
                <w:color w:val="auto"/>
              </w:rPr>
            </w:pPr>
          </w:p>
        </w:tc>
        <w:tc>
          <w:tcPr>
            <w:tcW w:w="10200" w:type="dxa"/>
            <w:vAlign w:val="bottom"/>
            <w:tcBorders>
              <w:bottom w:val="single" w:sz="8" w:color="0000EE"/>
            </w:tcBorders>
            <w:gridSpan w:val="29"/>
          </w:tcPr>
          <w:p>
            <w:pPr>
              <w:spacing w:after="0"/>
              <w:rPr>
                <w:rFonts w:ascii="Arial" w:cs="Arial" w:eastAsia="Arial" w:hAnsi="Arial"/>
                <w:sz w:val="18"/>
                <w:szCs w:val="18"/>
                <w:color w:val="0000EE"/>
                <w:w w:val="91"/>
              </w:rPr>
            </w:pPr>
            <w:hyperlink r:id="rId264">
              <w:r>
                <w:rPr>
                  <w:rFonts w:ascii="Arial" w:cs="Arial" w:eastAsia="Arial" w:hAnsi="Arial"/>
                  <w:sz w:val="18"/>
                  <w:szCs w:val="18"/>
                  <w:color w:val="0000EE"/>
                  <w:w w:val="91"/>
                </w:rPr>
                <w:t>Loan and Security Agreement by and between Keryx Biopharmaceuticals, Inc. and Silicon Valley Bank, dated July 18, 2018 (incorporated by</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reference to Exhibit 10.1 to Keryx Biopharmaceuticals, Inc.’s Current Report on Form 8-K, filed on July 20, 2018)</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42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10.47†</w:t>
            </w:r>
          </w:p>
        </w:tc>
        <w:tc>
          <w:tcPr>
            <w:tcW w:w="10260" w:type="dxa"/>
            <w:vAlign w:val="bottom"/>
            <w:gridSpan w:val="30"/>
          </w:tcPr>
          <w:p>
            <w:pPr>
              <w:spacing w:after="0"/>
              <w:rPr>
                <w:rFonts w:ascii="Arial" w:cs="Arial" w:eastAsia="Arial" w:hAnsi="Arial"/>
                <w:sz w:val="18"/>
                <w:szCs w:val="18"/>
                <w:color w:val="0000EE"/>
                <w:w w:val="96"/>
              </w:rPr>
            </w:pPr>
            <w:hyperlink r:id="rId265">
              <w:r>
                <w:rPr>
                  <w:rFonts w:ascii="Arial" w:cs="Arial" w:eastAsia="Arial" w:hAnsi="Arial"/>
                  <w:sz w:val="18"/>
                  <w:szCs w:val="18"/>
                  <w:color w:val="0000EE"/>
                  <w:w w:val="96"/>
                </w:rPr>
                <w:t>Keryx Biopharmaceuticals, Inc. 1999 Stock Option Plan (incorporated by reference to Exhibit 10.2 to Keryx Biopharmaceuticals, Inc.’s</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265">
              <w:r>
                <w:rPr>
                  <w:rFonts w:ascii="Arial" w:cs="Arial" w:eastAsia="Arial" w:hAnsi="Arial"/>
                  <w:sz w:val="18"/>
                  <w:szCs w:val="18"/>
                  <w:color w:val="0000EE"/>
                  <w:w w:val="92"/>
                </w:rPr>
                <w:t>Quarterly Report on Form 10-Q, filed on March 21, 2003)</w:t>
              </w:r>
            </w:hyperlink>
          </w:p>
        </w:tc>
        <w:tc>
          <w:tcPr>
            <w:tcW w:w="5560" w:type="dxa"/>
            <w:vAlign w:val="bottom"/>
            <w:tcBorders>
              <w:top w:val="single" w:sz="8" w:color="0000EE"/>
            </w:tcBorders>
            <w:gridSpan w:val="10"/>
          </w:tcPr>
          <w:p>
            <w:pPr>
              <w:spacing w:after="0"/>
              <w:rPr>
                <w:sz w:val="17"/>
                <w:szCs w:val="17"/>
                <w:color w:val="auto"/>
              </w:rPr>
            </w:pPr>
          </w:p>
        </w:tc>
        <w:tc>
          <w:tcPr>
            <w:tcW w:w="5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10.48†</w:t>
            </w:r>
          </w:p>
        </w:tc>
        <w:tc>
          <w:tcPr>
            <w:tcW w:w="10000" w:type="dxa"/>
            <w:vAlign w:val="bottom"/>
            <w:tcBorders>
              <w:bottom w:val="single" w:sz="8" w:color="0000EE"/>
            </w:tcBorders>
            <w:gridSpan w:val="22"/>
          </w:tcPr>
          <w:p>
            <w:pPr>
              <w:spacing w:after="0"/>
              <w:rPr>
                <w:rFonts w:ascii="Arial" w:cs="Arial" w:eastAsia="Arial" w:hAnsi="Arial"/>
                <w:sz w:val="18"/>
                <w:szCs w:val="18"/>
                <w:color w:val="0000EE"/>
                <w:w w:val="92"/>
              </w:rPr>
            </w:pPr>
            <w:hyperlink r:id="rId266">
              <w:r>
                <w:rPr>
                  <w:rFonts w:ascii="Arial" w:cs="Arial" w:eastAsia="Arial" w:hAnsi="Arial"/>
                  <w:sz w:val="18"/>
                  <w:szCs w:val="18"/>
                  <w:color w:val="0000EE"/>
                  <w:w w:val="92"/>
                </w:rPr>
                <w:t>Keryx Biopharmaceuticals, Inc. 2004 Long-Term Incentive Plan (incorporated by reference to Keryx Biopharmaceuticals, Inc.’s Definitive</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Proxy Statement on Schedule 14A, filed on April 29, 2004)</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4280" w:type="dxa"/>
            <w:vAlign w:val="bottom"/>
            <w:gridSpan w:val="7"/>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10.49†</w:t>
            </w:r>
          </w:p>
        </w:tc>
        <w:tc>
          <w:tcPr>
            <w:tcW w:w="10260" w:type="dxa"/>
            <w:vAlign w:val="bottom"/>
            <w:tcBorders>
              <w:bottom w:val="single" w:sz="8" w:color="0000EE"/>
            </w:tcBorders>
            <w:gridSpan w:val="30"/>
          </w:tcPr>
          <w:p>
            <w:pPr>
              <w:spacing w:after="0"/>
              <w:rPr>
                <w:rFonts w:ascii="Arial" w:cs="Arial" w:eastAsia="Arial" w:hAnsi="Arial"/>
                <w:sz w:val="18"/>
                <w:szCs w:val="18"/>
                <w:color w:val="0000EE"/>
                <w:w w:val="91"/>
              </w:rPr>
            </w:pPr>
            <w:hyperlink r:id="rId267">
              <w:r>
                <w:rPr>
                  <w:rFonts w:ascii="Arial" w:cs="Arial" w:eastAsia="Arial" w:hAnsi="Arial"/>
                  <w:sz w:val="18"/>
                  <w:szCs w:val="18"/>
                  <w:color w:val="0000EE"/>
                  <w:w w:val="91"/>
                </w:rPr>
                <w:t>Amendment to the Keryx Biopharmaceuticals, Inc. 2004 Long-Term Incentive Plan dated April 11, 2006 (incorporated by reference to Exhibit</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Keryx Biopharmaceuticals, Inc.’s Quarterly Report on Form 10-Q, filed on August 9, 2006)</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5780" w:type="dxa"/>
            <w:vAlign w:val="bottom"/>
            <w:gridSpan w:val="8"/>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10.50†</w:t>
            </w:r>
          </w:p>
        </w:tc>
        <w:tc>
          <w:tcPr>
            <w:tcW w:w="10260" w:type="dxa"/>
            <w:vAlign w:val="bottom"/>
            <w:gridSpan w:val="30"/>
          </w:tcPr>
          <w:p>
            <w:pPr>
              <w:spacing w:after="0"/>
              <w:rPr>
                <w:rFonts w:ascii="Arial" w:cs="Arial" w:eastAsia="Arial" w:hAnsi="Arial"/>
                <w:sz w:val="18"/>
                <w:szCs w:val="18"/>
                <w:color w:val="0000EE"/>
                <w:w w:val="93"/>
              </w:rPr>
            </w:pPr>
            <w:hyperlink r:id="rId268">
              <w:r>
                <w:rPr>
                  <w:rFonts w:ascii="Arial" w:cs="Arial" w:eastAsia="Arial" w:hAnsi="Arial"/>
                  <w:sz w:val="18"/>
                  <w:szCs w:val="18"/>
                  <w:color w:val="0000EE"/>
                  <w:w w:val="93"/>
                </w:rPr>
                <w:t>Keryx Biopharmaceuticals, Inc. 2007 Incentive Plan, (incorporated by reference to Annex D to Keryx Biopharmaceuticals, Inc.’s Definitive</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68">
              <w:r>
                <w:rPr>
                  <w:rFonts w:ascii="Arial" w:cs="Arial" w:eastAsia="Arial" w:hAnsi="Arial"/>
                  <w:sz w:val="18"/>
                  <w:szCs w:val="18"/>
                  <w:color w:val="0000EE"/>
                </w:rPr>
                <w:t>Proxy Statement on Schedule 14A, filed on April 30, 2007)</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4280" w:type="dxa"/>
            <w:vAlign w:val="bottom"/>
            <w:gridSpan w:val="7"/>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0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10.51†</w:t>
            </w:r>
          </w:p>
        </w:tc>
        <w:tc>
          <w:tcPr>
            <w:tcW w:w="9240" w:type="dxa"/>
            <w:vAlign w:val="bottom"/>
            <w:tcBorders>
              <w:bottom w:val="single" w:sz="8" w:color="0000EE"/>
            </w:tcBorders>
            <w:gridSpan w:val="14"/>
          </w:tcPr>
          <w:p>
            <w:pPr>
              <w:spacing w:after="0"/>
              <w:rPr>
                <w:rFonts w:ascii="Arial" w:cs="Arial" w:eastAsia="Arial" w:hAnsi="Arial"/>
                <w:sz w:val="18"/>
                <w:szCs w:val="18"/>
                <w:color w:val="0000EE"/>
                <w:w w:val="91"/>
              </w:rPr>
            </w:pPr>
            <w:hyperlink r:id="rId269">
              <w:r>
                <w:rPr>
                  <w:rFonts w:ascii="Arial" w:cs="Arial" w:eastAsia="Arial" w:hAnsi="Arial"/>
                  <w:sz w:val="18"/>
                  <w:szCs w:val="18"/>
                  <w:color w:val="0000EE"/>
                  <w:w w:val="91"/>
                </w:rPr>
                <w:t>Keryx Biopharmaceuticals, Inc. Amended and Restated 2013 Incentive Plan (incorporated by reference to Exhibit 10.1 to Keryx</w:t>
              </w:r>
            </w:hyperlink>
          </w:p>
        </w:tc>
        <w:tc>
          <w:tcPr>
            <w:tcW w:w="102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Biopharmaceuticals, Inc.’s Current Report on Form 8-K, filed on May 27, 2016)</w:t>
              </w:r>
            </w:hyperlink>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80" w:type="dxa"/>
            <w:vAlign w:val="bottom"/>
            <w:tcBorders>
              <w:top w:val="single" w:sz="8" w:color="0000EE"/>
            </w:tcBorders>
            <w:gridSpan w:val="8"/>
          </w:tcPr>
          <w:p>
            <w:pPr>
              <w:ind w:left="4420"/>
              <w:spacing w:after="0"/>
              <w:rPr>
                <w:sz w:val="20"/>
                <w:szCs w:val="20"/>
                <w:color w:val="auto"/>
              </w:rPr>
            </w:pPr>
            <w:r>
              <w:rPr>
                <w:rFonts w:ascii="Arial" w:cs="Arial" w:eastAsia="Arial" w:hAnsi="Arial"/>
                <w:sz w:val="18"/>
                <w:szCs w:val="18"/>
                <w:color w:val="auto"/>
              </w:rPr>
              <w:t>169</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8"/>
                <w:szCs w:val="18"/>
                <w:color w:val="auto"/>
              </w:rPr>
            </w:pPr>
          </w:p>
        </w:tc>
        <w:tc>
          <w:tcPr>
            <w:tcW w:w="10260" w:type="dxa"/>
            <w:vAlign w:val="bottom"/>
            <w:tcBorders>
              <w:bottom w:val="single" w:sz="8" w:color="auto"/>
            </w:tcBorders>
            <w:gridSpan w:val="33"/>
          </w:tcPr>
          <w:p>
            <w:pPr>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18"/>
                <w:szCs w:val="18"/>
                <w:color w:val="auto"/>
              </w:rPr>
            </w:pPr>
          </w:p>
        </w:tc>
      </w:tr>
      <w:tr>
        <w:trPr>
          <w:trHeight w:val="294"/>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10.52†</w:t>
            </w:r>
          </w:p>
        </w:tc>
        <w:tc>
          <w:tcPr>
            <w:tcW w:w="10260" w:type="dxa"/>
            <w:vAlign w:val="bottom"/>
            <w:gridSpan w:val="33"/>
          </w:tcPr>
          <w:p>
            <w:pPr>
              <w:spacing w:after="0"/>
              <w:rPr>
                <w:rFonts w:ascii="Arial" w:cs="Arial" w:eastAsia="Arial" w:hAnsi="Arial"/>
                <w:sz w:val="18"/>
                <w:szCs w:val="18"/>
                <w:color w:val="0000EE"/>
                <w:w w:val="94"/>
              </w:rPr>
            </w:pPr>
            <w:hyperlink r:id="rId272">
              <w:r>
                <w:rPr>
                  <w:rFonts w:ascii="Arial" w:cs="Arial" w:eastAsia="Arial" w:hAnsi="Arial"/>
                  <w:sz w:val="18"/>
                  <w:szCs w:val="18"/>
                  <w:color w:val="0000EE"/>
                  <w:w w:val="94"/>
                </w:rPr>
                <w:t>Keryx Biopharmaceuticals, Inc. 2018 Equity Incentive Plan (incorporated by reference to Exhibit 99.1 to Keryx Biopharmaceuticals, Inc.’s</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272">
              <w:r>
                <w:rPr>
                  <w:rFonts w:ascii="Arial" w:cs="Arial" w:eastAsia="Arial" w:hAnsi="Arial"/>
                  <w:sz w:val="18"/>
                  <w:szCs w:val="18"/>
                  <w:color w:val="0000EE"/>
                  <w:w w:val="90"/>
                </w:rPr>
                <w:t>Registration Statement on Form S-8, filed on June 29, 2018)</w:t>
              </w:r>
            </w:hyperlink>
          </w:p>
        </w:tc>
        <w:tc>
          <w:tcPr>
            <w:tcW w:w="5640" w:type="dxa"/>
            <w:vAlign w:val="bottom"/>
            <w:tcBorders>
              <w:top w:val="single" w:sz="8" w:color="0000EE"/>
            </w:tcBorders>
            <w:gridSpan w:val="16"/>
          </w:tcPr>
          <w:p>
            <w:pPr>
              <w:spacing w:after="0"/>
              <w:rPr>
                <w:sz w:val="17"/>
                <w:szCs w:val="17"/>
                <w:color w:val="auto"/>
              </w:rPr>
            </w:pPr>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10.53†</w:t>
            </w:r>
          </w:p>
        </w:tc>
        <w:tc>
          <w:tcPr>
            <w:tcW w:w="9840" w:type="dxa"/>
            <w:vAlign w:val="bottom"/>
            <w:tcBorders>
              <w:bottom w:val="single" w:sz="8" w:color="0000EE"/>
            </w:tcBorders>
            <w:gridSpan w:val="23"/>
          </w:tcPr>
          <w:p>
            <w:pPr>
              <w:spacing w:after="0"/>
              <w:rPr>
                <w:rFonts w:ascii="Arial" w:cs="Arial" w:eastAsia="Arial" w:hAnsi="Arial"/>
                <w:sz w:val="18"/>
                <w:szCs w:val="18"/>
                <w:color w:val="0000EE"/>
                <w:w w:val="91"/>
              </w:rPr>
            </w:pPr>
            <w:hyperlink r:id="rId273">
              <w:r>
                <w:rPr>
                  <w:rFonts w:ascii="Arial" w:cs="Arial" w:eastAsia="Arial" w:hAnsi="Arial"/>
                  <w:sz w:val="18"/>
                  <w:szCs w:val="18"/>
                  <w:color w:val="0000EE"/>
                  <w:w w:val="91"/>
                </w:rPr>
                <w:t>Form of Indemnification Agreement between Keryx Biopharmaceuticals, Inc. and its directors and officers (incorporated by reference to</w:t>
              </w:r>
            </w:hyperlink>
          </w:p>
        </w:tc>
        <w:tc>
          <w:tcPr>
            <w:tcW w:w="4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3"/>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Exhibit 10.1 to Keryx Biopharmaceuticals, Inc.’s Quarterly Report on Form 10-Q, filed on November m 2016)</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10.54†</w:t>
            </w:r>
          </w:p>
        </w:tc>
        <w:tc>
          <w:tcPr>
            <w:tcW w:w="10260" w:type="dxa"/>
            <w:vAlign w:val="bottom"/>
            <w:gridSpan w:val="33"/>
          </w:tcPr>
          <w:p>
            <w:pPr>
              <w:spacing w:after="0"/>
              <w:rPr>
                <w:rFonts w:ascii="Arial" w:cs="Arial" w:eastAsia="Arial" w:hAnsi="Arial"/>
                <w:sz w:val="18"/>
                <w:szCs w:val="18"/>
                <w:color w:val="0000EE"/>
                <w:w w:val="91"/>
              </w:rPr>
            </w:pPr>
            <w:hyperlink r:id="rId274">
              <w:r>
                <w:rPr>
                  <w:rFonts w:ascii="Arial" w:cs="Arial" w:eastAsia="Arial" w:hAnsi="Arial"/>
                  <w:sz w:val="18"/>
                  <w:szCs w:val="18"/>
                  <w:color w:val="0000EE"/>
                  <w:w w:val="91"/>
                </w:rPr>
                <w:t>Employment Agreement by and between Keryx Biopharmaceuticals, Inc. and Jodie Morrison dated May 10, 2018 (incorporated by reference</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to Exhibit 10.5 to Keryx Biopharmaceuticals, Inc.’s Quarterly Report on Form 10-Q, filed on May 10, 2018)</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10.55†</w:t>
            </w:r>
          </w:p>
        </w:tc>
        <w:tc>
          <w:tcPr>
            <w:tcW w:w="10260" w:type="dxa"/>
            <w:vAlign w:val="bottom"/>
            <w:gridSpan w:val="33"/>
          </w:tcPr>
          <w:p>
            <w:pPr>
              <w:spacing w:after="0"/>
              <w:rPr>
                <w:rFonts w:ascii="Arial" w:cs="Arial" w:eastAsia="Arial" w:hAnsi="Arial"/>
                <w:sz w:val="18"/>
                <w:szCs w:val="18"/>
                <w:color w:val="0000EE"/>
                <w:w w:val="93"/>
              </w:rPr>
            </w:pPr>
            <w:hyperlink r:id="rId275">
              <w:r>
                <w:rPr>
                  <w:rFonts w:ascii="Arial" w:cs="Arial" w:eastAsia="Arial" w:hAnsi="Arial"/>
                  <w:sz w:val="18"/>
                  <w:szCs w:val="18"/>
                  <w:color w:val="0000EE"/>
                  <w:w w:val="93"/>
                </w:rPr>
                <w:t>Amendment to Employment Agreement by and between Keryx Biopharmaceuticals, Inc. and Jodie Morrison dated as of October 31, 2018</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3"/>
          </w:tcPr>
          <w:p>
            <w:pPr>
              <w:spacing w:after="0" w:line="196" w:lineRule="exact"/>
              <w:rPr>
                <w:rFonts w:ascii="Arial" w:cs="Arial" w:eastAsia="Arial" w:hAnsi="Arial"/>
                <w:sz w:val="18"/>
                <w:szCs w:val="18"/>
                <w:color w:val="0000EE"/>
                <w:w w:val="93"/>
              </w:rPr>
            </w:pPr>
            <w:hyperlink r:id="rId275">
              <w:r>
                <w:rPr>
                  <w:rFonts w:ascii="Arial" w:cs="Arial" w:eastAsia="Arial" w:hAnsi="Arial"/>
                  <w:sz w:val="18"/>
                  <w:szCs w:val="18"/>
                  <w:color w:val="0000EE"/>
                  <w:w w:val="93"/>
                </w:rPr>
                <w:t>(incorporated by reference to Exhibit 10.2 to Keryx Biopharmaceuticals, Inc.’s Quarterly Report on Form 10-Q, filed on November 8, 2018)</w:t>
              </w:r>
            </w:hyperlink>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10.56*†</w:t>
            </w:r>
          </w:p>
        </w:tc>
        <w:tc>
          <w:tcPr>
            <w:tcW w:w="982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189">
              <w:r>
                <w:rPr>
                  <w:rFonts w:ascii="Arial" w:cs="Arial" w:eastAsia="Arial" w:hAnsi="Arial"/>
                  <w:sz w:val="18"/>
                  <w:szCs w:val="18"/>
                  <w:color w:val="0000EE"/>
                  <w:w w:val="92"/>
                </w:rPr>
                <w:t>Form of Employee Agreement (Confidentiality, Non-Competition, Non-Solicitation and Development Agreement) applicable to officers</w:t>
              </w:r>
            </w:hyperlink>
          </w:p>
        </w:tc>
        <w:tc>
          <w:tcPr>
            <w:tcW w:w="280" w:type="dxa"/>
            <w:vAlign w:val="bottom"/>
            <w:tcBorders>
              <w:top w:val="single" w:sz="8" w:color="0000EE"/>
            </w:tcBorders>
            <w:gridSpan w:val="6"/>
          </w:tcPr>
          <w:p>
            <w:pPr>
              <w:spacing w:after="0"/>
              <w:rPr>
                <w:sz w:val="24"/>
                <w:szCs w:val="24"/>
                <w:color w:val="auto"/>
              </w:rPr>
            </w:pPr>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10.57†</w:t>
            </w:r>
          </w:p>
        </w:tc>
        <w:tc>
          <w:tcPr>
            <w:tcW w:w="10260" w:type="dxa"/>
            <w:vAlign w:val="bottom"/>
            <w:gridSpan w:val="33"/>
          </w:tcPr>
          <w:p>
            <w:pPr>
              <w:spacing w:after="0"/>
              <w:rPr>
                <w:rFonts w:ascii="Arial" w:cs="Arial" w:eastAsia="Arial" w:hAnsi="Arial"/>
                <w:sz w:val="18"/>
                <w:szCs w:val="18"/>
                <w:color w:val="0000EE"/>
                <w:w w:val="94"/>
              </w:rPr>
            </w:pPr>
            <w:hyperlink r:id="rId276">
              <w:r>
                <w:rPr>
                  <w:rFonts w:ascii="Arial" w:cs="Arial" w:eastAsia="Arial" w:hAnsi="Arial"/>
                  <w:sz w:val="18"/>
                  <w:szCs w:val="18"/>
                  <w:color w:val="0000EE"/>
                  <w:w w:val="94"/>
                </w:rPr>
                <w:t>Keryx Biopharmaceuticals, Inc. Fourth Amended and Restated Directors Equity Compensation Plan (incorporated by reference to Exhibit</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27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Keryx Biopharmaceuticals, Inc.’s Current Report on Form 8-K, filed on May 27, 2016)</w:t>
              </w:r>
            </w:hyperlink>
          </w:p>
        </w:tc>
        <w:tc>
          <w:tcPr>
            <w:tcW w:w="3100" w:type="dxa"/>
            <w:vAlign w:val="bottom"/>
            <w:tcBorders>
              <w:top w:val="single" w:sz="8" w:color="0000EE"/>
            </w:tcBorders>
            <w:gridSpan w:val="13"/>
          </w:tcPr>
          <w:p>
            <w:pPr>
              <w:spacing w:after="0"/>
              <w:rPr>
                <w:sz w:val="17"/>
                <w:szCs w:val="17"/>
                <w:color w:val="auto"/>
              </w:rPr>
            </w:pPr>
          </w:p>
        </w:tc>
        <w:tc>
          <w:tcPr>
            <w:tcW w:w="3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10.58†</w:t>
            </w:r>
          </w:p>
        </w:tc>
        <w:tc>
          <w:tcPr>
            <w:tcW w:w="10220" w:type="dxa"/>
            <w:vAlign w:val="bottom"/>
            <w:tcBorders>
              <w:bottom w:val="single" w:sz="8" w:color="0000EE"/>
            </w:tcBorders>
            <w:gridSpan w:val="31"/>
          </w:tcPr>
          <w:p>
            <w:pPr>
              <w:spacing w:after="0"/>
              <w:rPr>
                <w:rFonts w:ascii="Arial" w:cs="Arial" w:eastAsia="Arial" w:hAnsi="Arial"/>
                <w:sz w:val="18"/>
                <w:szCs w:val="18"/>
                <w:color w:val="0000EE"/>
                <w:w w:val="91"/>
              </w:rPr>
            </w:pPr>
            <w:hyperlink r:id="rId277">
              <w:r>
                <w:rPr>
                  <w:rFonts w:ascii="Arial" w:cs="Arial" w:eastAsia="Arial" w:hAnsi="Arial"/>
                  <w:sz w:val="18"/>
                  <w:szCs w:val="18"/>
                  <w:color w:val="0000EE"/>
                  <w:w w:val="91"/>
                </w:rPr>
                <w:t>Keryx Biopharmaceuticals, Inc. Third Amended and Restated Directors Equity Compensation Plan (incorporated by reference to Exhibit 10.1</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3"/>
          </w:tcPr>
          <w:p>
            <w:pPr>
              <w:spacing w:after="0" w:line="196" w:lineRule="exact"/>
              <w:rPr>
                <w:rFonts w:ascii="Arial" w:cs="Arial" w:eastAsia="Arial" w:hAnsi="Arial"/>
                <w:sz w:val="18"/>
                <w:szCs w:val="18"/>
                <w:color w:val="0000EE"/>
                <w:w w:val="99"/>
              </w:rPr>
            </w:pPr>
            <w:hyperlink r:id="rId277">
              <w:r>
                <w:rPr>
                  <w:rFonts w:ascii="Arial" w:cs="Arial" w:eastAsia="Arial" w:hAnsi="Arial"/>
                  <w:sz w:val="18"/>
                  <w:szCs w:val="18"/>
                  <w:color w:val="0000EE"/>
                  <w:w w:val="99"/>
                </w:rPr>
                <w:t>to Keryx Biopharmaceuticals, Inc.’s Quarterly Report on Form 10-Q for the quarter ended June 30, 2014, filed on August 7, 2014)</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Arial" w:cs="Arial" w:eastAsia="Arial" w:hAnsi="Arial"/>
                <w:sz w:val="18"/>
                <w:szCs w:val="18"/>
                <w:color w:val="auto"/>
              </w:rPr>
              <w:t>10.59*†</w:t>
            </w:r>
          </w:p>
        </w:tc>
        <w:tc>
          <w:tcPr>
            <w:tcW w:w="1004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198">
              <w:r>
                <w:rPr>
                  <w:rFonts w:ascii="Arial" w:cs="Arial" w:eastAsia="Arial" w:hAnsi="Arial"/>
                  <w:sz w:val="18"/>
                  <w:szCs w:val="18"/>
                  <w:color w:val="0000EE"/>
                  <w:w w:val="91"/>
                </w:rPr>
                <w:t>Keryx Biopharmaceuticals, Inc. Director Non-Statutory Stock Option Award Terms and Conditions under the Third Amended and Restated</w:t>
              </w:r>
            </w:hyperlink>
          </w:p>
        </w:tc>
        <w:tc>
          <w:tcPr>
            <w:tcW w:w="2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3"/>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Directors Equity Compensation Plan</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10.60*!</w:t>
            </w:r>
          </w:p>
        </w:tc>
        <w:tc>
          <w:tcPr>
            <w:tcW w:w="240" w:type="dxa"/>
            <w:vAlign w:val="bottom"/>
          </w:tcPr>
          <w:p>
            <w:pPr>
              <w:spacing w:after="0"/>
              <w:rPr>
                <w:sz w:val="24"/>
                <w:szCs w:val="24"/>
                <w:color w:val="auto"/>
              </w:rPr>
            </w:pPr>
          </w:p>
        </w:tc>
        <w:tc>
          <w:tcPr>
            <w:tcW w:w="10260" w:type="dxa"/>
            <w:vAlign w:val="bottom"/>
            <w:gridSpan w:val="33"/>
          </w:tcPr>
          <w:p>
            <w:pPr>
              <w:spacing w:after="0"/>
              <w:rPr>
                <w:rFonts w:ascii="Arial" w:cs="Arial" w:eastAsia="Arial" w:hAnsi="Arial"/>
                <w:sz w:val="18"/>
                <w:szCs w:val="18"/>
                <w:color w:val="0000EE"/>
                <w:w w:val="96"/>
              </w:rPr>
            </w:pPr>
            <w:hyperlink w:anchor="page199">
              <w:r>
                <w:rPr>
                  <w:rFonts w:ascii="Arial" w:cs="Arial" w:eastAsia="Arial" w:hAnsi="Arial"/>
                  <w:sz w:val="18"/>
                  <w:szCs w:val="18"/>
                  <w:color w:val="0000EE"/>
                  <w:w w:val="96"/>
                </w:rPr>
                <w:t>Exclusive Distribution Agreement between Keryx Biopharmaceuticals, Inc. and Cardinal Health 105, Inc., dated October 16, 2014 and</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3"/>
          </w:tcPr>
          <w:p>
            <w:pPr>
              <w:spacing w:after="0" w:line="196" w:lineRule="exact"/>
              <w:rPr>
                <w:rFonts w:ascii="Arial" w:cs="Arial" w:eastAsia="Arial" w:hAnsi="Arial"/>
                <w:sz w:val="18"/>
                <w:szCs w:val="18"/>
                <w:color w:val="0000EE"/>
                <w:w w:val="95"/>
              </w:rPr>
            </w:pPr>
            <w:hyperlink w:anchor="page199">
              <w:r>
                <w:rPr>
                  <w:rFonts w:ascii="Arial" w:cs="Arial" w:eastAsia="Arial" w:hAnsi="Arial"/>
                  <w:sz w:val="18"/>
                  <w:szCs w:val="18"/>
                  <w:color w:val="0000EE"/>
                  <w:w w:val="95"/>
                </w:rPr>
                <w:t>Amendment to Exclusive Distribution Agreement between Keryx Biopharmaceuticals, Inc. and Cardinal Health 105, Inc., dated April 14,</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99">
              <w:r>
                <w:rPr>
                  <w:rFonts w:ascii="Arial" w:cs="Arial" w:eastAsia="Arial" w:hAnsi="Arial"/>
                  <w:sz w:val="18"/>
                  <w:szCs w:val="18"/>
                  <w:color w:val="0000EE"/>
                  <w:w w:val="84"/>
                </w:rPr>
                <w:t>2015</w:t>
              </w:r>
            </w:hyperlink>
          </w:p>
        </w:tc>
        <w:tc>
          <w:tcPr>
            <w:tcW w:w="10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10260" w:type="dxa"/>
            <w:vAlign w:val="bottom"/>
            <w:gridSpan w:val="33"/>
          </w:tcPr>
          <w:p>
            <w:pPr>
              <w:spacing w:after="0"/>
              <w:rPr>
                <w:rFonts w:ascii="Arial" w:cs="Arial" w:eastAsia="Arial" w:hAnsi="Arial"/>
                <w:sz w:val="18"/>
                <w:szCs w:val="18"/>
                <w:color w:val="0000EE"/>
                <w:w w:val="93"/>
              </w:rPr>
            </w:pPr>
            <w:hyperlink w:anchor="page234">
              <w:r>
                <w:rPr>
                  <w:rFonts w:ascii="Arial" w:cs="Arial" w:eastAsia="Arial" w:hAnsi="Arial"/>
                  <w:sz w:val="18"/>
                  <w:szCs w:val="18"/>
                  <w:color w:val="0000EE"/>
                  <w:w w:val="93"/>
                </w:rPr>
                <w:t>Manufacture and Supply Agreement between Keryx Biopharmaceuticals, Inc. and BioVectra Inc., dated May 26, 2017 and Amendment to</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Manufacture and Supply Agreement between Keryx Biopharmaceuticals, Inc. and BioVectra Inc., dated December 11, 2017</w:t>
              </w:r>
            </w:hyperlink>
          </w:p>
        </w:tc>
        <w:tc>
          <w:tcPr>
            <w:tcW w:w="3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920" w:type="dxa"/>
            <w:vAlign w:val="bottom"/>
          </w:tcPr>
          <w:p>
            <w:pPr>
              <w:ind w:left="10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24"/>
                <w:szCs w:val="24"/>
                <w:color w:val="auto"/>
              </w:rPr>
            </w:pPr>
          </w:p>
        </w:tc>
        <w:tc>
          <w:tcPr>
            <w:tcW w:w="2580" w:type="dxa"/>
            <w:vAlign w:val="bottom"/>
            <w:gridSpan w:val="5"/>
          </w:tcPr>
          <w:p>
            <w:pPr>
              <w:spacing w:after="0"/>
              <w:rPr>
                <w:rFonts w:ascii="Arial" w:cs="Arial" w:eastAsia="Arial" w:hAnsi="Arial"/>
                <w:sz w:val="18"/>
                <w:szCs w:val="18"/>
                <w:color w:val="0000EE"/>
                <w:w w:val="93"/>
              </w:rPr>
            </w:pPr>
            <w:hyperlink r:id="rId278">
              <w:r>
                <w:rPr>
                  <w:rFonts w:ascii="Arial" w:cs="Arial" w:eastAsia="Arial" w:hAnsi="Arial"/>
                  <w:sz w:val="18"/>
                  <w:szCs w:val="18"/>
                  <w:color w:val="0000EE"/>
                  <w:w w:val="93"/>
                </w:rPr>
                <w:t>Form of Controlled Equity Offering</w:t>
              </w:r>
            </w:hyperlink>
          </w:p>
        </w:tc>
        <w:tc>
          <w:tcPr>
            <w:tcW w:w="240" w:type="dxa"/>
            <w:vAlign w:val="bottom"/>
            <w:tcBorders>
              <w:bottom w:val="single" w:sz="8" w:color="0000EE"/>
            </w:tcBorders>
            <w:gridSpan w:val="3"/>
          </w:tcPr>
          <w:p>
            <w:pPr>
              <w:spacing w:after="0"/>
              <w:rPr>
                <w:rFonts w:ascii="Arial" w:cs="Arial" w:eastAsia="Arial" w:hAnsi="Arial"/>
                <w:sz w:val="15"/>
                <w:szCs w:val="15"/>
                <w:color w:val="0000EE"/>
                <w:w w:val="97"/>
              </w:rPr>
            </w:pPr>
            <w:hyperlink r:id="rId278">
              <w:r>
                <w:rPr>
                  <w:rFonts w:ascii="Arial" w:cs="Arial" w:eastAsia="Arial" w:hAnsi="Arial"/>
                  <w:sz w:val="15"/>
                  <w:szCs w:val="15"/>
                  <w:color w:val="0000EE"/>
                  <w:w w:val="97"/>
                </w:rPr>
                <w:t>SM</w:t>
              </w:r>
            </w:hyperlink>
          </w:p>
        </w:tc>
        <w:tc>
          <w:tcPr>
            <w:tcW w:w="7440" w:type="dxa"/>
            <w:vAlign w:val="bottom"/>
            <w:gridSpan w:val="25"/>
          </w:tcPr>
          <w:p>
            <w:pPr>
              <w:ind w:left="20"/>
              <w:spacing w:after="0"/>
              <w:rPr>
                <w:rFonts w:ascii="Arial" w:cs="Arial" w:eastAsia="Arial" w:hAnsi="Arial"/>
                <w:sz w:val="18"/>
                <w:szCs w:val="18"/>
                <w:color w:val="0000EE"/>
              </w:rPr>
            </w:pPr>
            <w:hyperlink r:id="rId278">
              <w:r>
                <w:rPr>
                  <w:rFonts w:ascii="Arial" w:cs="Arial" w:eastAsia="Arial" w:hAnsi="Arial"/>
                  <w:sz w:val="18"/>
                  <w:szCs w:val="18"/>
                  <w:color w:val="0000EE"/>
                </w:rPr>
                <w:t>Sales Agreement, by and between Akebia Therapeutics, Inc. and Cantor Fitzgerald &amp; Co.</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5240" w:type="dxa"/>
            <w:vAlign w:val="bottom"/>
            <w:tcBorders>
              <w:bottom w:val="single" w:sz="8" w:color="0000EE"/>
            </w:tcBorders>
            <w:gridSpan w:val="5"/>
          </w:tcPr>
          <w:p>
            <w:pPr>
              <w:spacing w:after="0" w:line="20" w:lineRule="exact"/>
              <w:rPr>
                <w:sz w:val="1"/>
                <w:szCs w:val="1"/>
                <w:color w:val="auto"/>
              </w:rPr>
            </w:pPr>
          </w:p>
        </w:tc>
        <w:tc>
          <w:tcPr>
            <w:tcW w:w="640" w:type="dxa"/>
            <w:vAlign w:val="bottom"/>
            <w:tcBorders>
              <w:bottom w:val="single" w:sz="8" w:color="0000EE"/>
            </w:tcBorders>
            <w:gridSpan w:val="2"/>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60" w:type="dxa"/>
            <w:vAlign w:val="bottom"/>
            <w:tcBorders>
              <w:bottom w:val="single" w:sz="8" w:color="0000EE"/>
            </w:tcBorders>
            <w:gridSpan w:val="14"/>
          </w:tcPr>
          <w:p>
            <w:pPr>
              <w:spacing w:after="0" w:line="183" w:lineRule="exact"/>
              <w:rPr>
                <w:rFonts w:ascii="Arial" w:cs="Arial" w:eastAsia="Arial" w:hAnsi="Arial"/>
                <w:sz w:val="18"/>
                <w:szCs w:val="18"/>
                <w:color w:val="0000EE"/>
                <w:w w:val="91"/>
              </w:rPr>
            </w:pPr>
            <w:hyperlink r:id="rId278">
              <w:r>
                <w:rPr>
                  <w:rFonts w:ascii="Arial" w:cs="Arial" w:eastAsia="Arial" w:hAnsi="Arial"/>
                  <w:sz w:val="18"/>
                  <w:szCs w:val="18"/>
                  <w:color w:val="0000EE"/>
                  <w:w w:val="91"/>
                </w:rPr>
                <w:t>(incorporated by reference to Exhibit 1.1 to the Company’s Registration Statement on Form S-3, filed on May 5, 2016)</w:t>
              </w:r>
            </w:hyperlink>
          </w:p>
        </w:tc>
        <w:tc>
          <w:tcPr>
            <w:tcW w:w="170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r>
      <w:tr>
        <w:trPr>
          <w:trHeight w:val="439"/>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4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71">
              <w:r>
                <w:rPr>
                  <w:rFonts w:ascii="Arial" w:cs="Arial" w:eastAsia="Arial" w:hAnsi="Arial"/>
                  <w:sz w:val="18"/>
                  <w:szCs w:val="18"/>
                  <w:color w:val="0000EE"/>
                  <w:w w:val="91"/>
                </w:rPr>
                <w:t>List of Subsidiaries</w:t>
              </w:r>
            </w:hyperlink>
          </w:p>
        </w:tc>
        <w:tc>
          <w:tcPr>
            <w:tcW w:w="8860" w:type="dxa"/>
            <w:vAlign w:val="bottom"/>
            <w:gridSpan w:val="31"/>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22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72">
              <w:r>
                <w:rPr>
                  <w:rFonts w:ascii="Arial" w:cs="Arial" w:eastAsia="Arial" w:hAnsi="Arial"/>
                  <w:sz w:val="18"/>
                  <w:szCs w:val="18"/>
                  <w:color w:val="0000EE"/>
                  <w:w w:val="92"/>
                </w:rPr>
                <w:t>Consent of Ernst &amp; Young LLP</w:t>
              </w:r>
            </w:hyperlink>
          </w:p>
        </w:tc>
        <w:tc>
          <w:tcPr>
            <w:tcW w:w="7980" w:type="dxa"/>
            <w:vAlign w:val="bottom"/>
            <w:gridSpan w:val="29"/>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gridSpan w:val="33"/>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Consent of UHY LLP</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2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74">
              <w:r>
                <w:rPr>
                  <w:rFonts w:ascii="Arial" w:cs="Arial" w:eastAsia="Arial" w:hAnsi="Arial"/>
                  <w:sz w:val="18"/>
                  <w:szCs w:val="18"/>
                  <w:color w:val="0000EE"/>
                  <w:w w:val="91"/>
                </w:rPr>
                <w:t>Certification of Principal Executive Officer Required Under Rule 13a-14(a) of the Securities Exchange Act of 1934, as amended</w:t>
              </w:r>
            </w:hyperlink>
          </w:p>
        </w:tc>
        <w:tc>
          <w:tcPr>
            <w:tcW w:w="10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gridSpan w:val="33"/>
          </w:tcPr>
          <w:p>
            <w:pPr>
              <w:spacing w:after="0"/>
              <w:rPr>
                <w:rFonts w:ascii="Arial" w:cs="Arial" w:eastAsia="Arial" w:hAnsi="Arial"/>
                <w:sz w:val="18"/>
                <w:szCs w:val="18"/>
                <w:color w:val="0000EE"/>
              </w:rPr>
            </w:pPr>
            <w:hyperlink w:anchor="page275">
              <w:r>
                <w:rPr>
                  <w:rFonts w:ascii="Arial" w:cs="Arial" w:eastAsia="Arial" w:hAnsi="Arial"/>
                  <w:sz w:val="18"/>
                  <w:szCs w:val="18"/>
                  <w:color w:val="0000EE"/>
                </w:rPr>
                <w:t>Certification of Principal Financial Officer Required Under Rule 13a-14(a) of the Securities Exchange Act of 1934, as amended</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80" w:type="dxa"/>
            <w:vAlign w:val="bottom"/>
            <w:gridSpan w:val="7"/>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gridSpan w:val="33"/>
          </w:tcPr>
          <w:p>
            <w:pPr>
              <w:spacing w:after="0"/>
              <w:rPr>
                <w:rFonts w:ascii="Arial" w:cs="Arial" w:eastAsia="Arial" w:hAnsi="Arial"/>
                <w:sz w:val="18"/>
                <w:szCs w:val="18"/>
                <w:color w:val="0000EE"/>
                <w:w w:val="92"/>
              </w:rPr>
            </w:pPr>
            <w:hyperlink w:anchor="page276">
              <w:r>
                <w:rPr>
                  <w:rFonts w:ascii="Arial" w:cs="Arial" w:eastAsia="Arial" w:hAnsi="Arial"/>
                  <w:sz w:val="18"/>
                  <w:szCs w:val="18"/>
                  <w:color w:val="0000EE"/>
                  <w:w w:val="92"/>
                </w:rPr>
                <w:t>Certification of Principal Executive Officer and Principal Financial Officer Required Under Rule 13a-14(b) of the Securities Exchange Act of</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1934, as amended, and 18 U.S.C. 1350</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9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gridSpan w:val="33"/>
          </w:tcPr>
          <w:p>
            <w:pPr>
              <w:spacing w:after="0"/>
              <w:rPr>
                <w:rFonts w:ascii="Arial" w:cs="Arial" w:eastAsia="Arial" w:hAnsi="Arial"/>
                <w:sz w:val="18"/>
                <w:szCs w:val="18"/>
                <w:color w:val="0000EE"/>
                <w:w w:val="99"/>
              </w:rPr>
            </w:pPr>
            <w:hyperlink w:anchor="page277">
              <w:r>
                <w:rPr>
                  <w:rFonts w:ascii="Arial" w:cs="Arial" w:eastAsia="Arial" w:hAnsi="Arial"/>
                  <w:sz w:val="18"/>
                  <w:szCs w:val="18"/>
                  <w:color w:val="0000EE"/>
                  <w:w w:val="99"/>
                </w:rPr>
                <w:t>Akebia Therapeutics, Inc. and Keryx Biopharmaceuticals, Inc. Unaudited Pro Forma Condensed Combined Financial Statements</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9"/>
            <w:shd w:val="clear" w:color="auto" w:fill="0000EE"/>
          </w:tcPr>
          <w:p>
            <w:pPr>
              <w:spacing w:after="0" w:line="20" w:lineRule="exact"/>
              <w:rPr>
                <w:sz w:val="1"/>
                <w:szCs w:val="1"/>
                <w:color w:val="auto"/>
              </w:rPr>
            </w:pPr>
          </w:p>
        </w:tc>
        <w:tc>
          <w:tcPr>
            <w:tcW w:w="5960" w:type="dxa"/>
            <w:vAlign w:val="bottom"/>
            <w:gridSpan w:val="9"/>
            <w:shd w:val="clear" w:color="auto" w:fill="0000EE"/>
          </w:tcPr>
          <w:p>
            <w:pPr>
              <w:spacing w:after="0" w:line="20" w:lineRule="exact"/>
              <w:rPr>
                <w:sz w:val="1"/>
                <w:szCs w:val="1"/>
                <w:color w:val="auto"/>
              </w:rPr>
            </w:pPr>
          </w:p>
        </w:tc>
        <w:tc>
          <w:tcPr>
            <w:tcW w:w="9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gridSpan w:val="33"/>
          </w:tcPr>
          <w:p>
            <w:pPr>
              <w:spacing w:after="0"/>
              <w:rPr>
                <w:rFonts w:ascii="Arial" w:cs="Arial" w:eastAsia="Arial" w:hAnsi="Arial"/>
                <w:sz w:val="18"/>
                <w:szCs w:val="18"/>
                <w:color w:val="0000EE"/>
                <w:w w:val="90"/>
              </w:rPr>
            </w:pPr>
            <w:hyperlink w:anchor="page289">
              <w:r>
                <w:rPr>
                  <w:rFonts w:ascii="Arial" w:cs="Arial" w:eastAsia="Arial" w:hAnsi="Arial"/>
                  <w:sz w:val="18"/>
                  <w:szCs w:val="18"/>
                  <w:color w:val="0000EE"/>
                  <w:w w:val="90"/>
                </w:rPr>
                <w:t>Historical Consolidated Financial Statements of Keryx Biopharmaceuticals, Inc. as of, and for the years ended December 31, 2017, 2016, and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289">
              <w:r>
                <w:rPr>
                  <w:rFonts w:ascii="Arial" w:cs="Arial" w:eastAsia="Arial" w:hAnsi="Arial"/>
                  <w:sz w:val="18"/>
                  <w:szCs w:val="18"/>
                  <w:color w:val="0000EE"/>
                </w:rPr>
                <w:t>2015 and the six months ended, June 30, 2018</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3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XBRL Instance Document</w:t>
            </w:r>
          </w:p>
        </w:tc>
        <w:tc>
          <w:tcPr>
            <w:tcW w:w="6940" w:type="dxa"/>
            <w:vAlign w:val="bottom"/>
            <w:gridSpan w:val="24"/>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3"/>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1"/>
          </w:tcPr>
          <w:p>
            <w:pPr>
              <w:ind w:left="4420"/>
              <w:spacing w:after="0"/>
              <w:rPr>
                <w:sz w:val="20"/>
                <w:szCs w:val="20"/>
                <w:color w:val="auto"/>
              </w:rPr>
            </w:pPr>
            <w:r>
              <w:rPr>
                <w:rFonts w:ascii="Arial" w:cs="Arial" w:eastAsia="Arial" w:hAnsi="Arial"/>
                <w:sz w:val="18"/>
                <w:szCs w:val="18"/>
                <w:color w:val="auto"/>
              </w:rPr>
              <w:t>170</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60" w:type="dxa"/>
            <w:vAlign w:val="bottom"/>
          </w:tcPr>
          <w:p>
            <w:pPr>
              <w:spacing w:after="0"/>
              <w:rPr>
                <w:sz w:val="17"/>
                <w:szCs w:val="17"/>
                <w:color w:val="auto"/>
              </w:rPr>
            </w:pPr>
          </w:p>
        </w:tc>
      </w:tr>
      <w:tr>
        <w:trPr>
          <w:trHeight w:val="213"/>
        </w:trPr>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8"/>
                <w:szCs w:val="18"/>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 of Exhibit</w:t>
            </w:r>
          </w:p>
        </w:tc>
      </w:tr>
      <w:tr>
        <w:trPr>
          <w:trHeight w:val="334"/>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3"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Filed, or submitted electronically, herewith</w:t>
      </w:r>
    </w:p>
    <w:p>
      <w:pPr>
        <w:spacing w:after="0" w:line="22"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9"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Indicates portions of the exhibit (indicated by asterisks) have been omitted pursuant to a request for confidential treatment</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Confidential treatment pending as to certain portions, which portions are omitted and filed separately with the Commission</w:t>
      </w:r>
    </w:p>
    <w:p>
      <w:pPr>
        <w:spacing w:after="0" w:line="18" w:lineRule="exact"/>
        <w:rPr>
          <w:rFonts w:ascii="Arial" w:cs="Arial" w:eastAsia="Arial" w:hAnsi="Arial"/>
          <w:sz w:val="16"/>
          <w:szCs w:val="16"/>
          <w:color w:val="auto"/>
        </w:rPr>
      </w:pPr>
    </w:p>
    <w:p>
      <w:pPr>
        <w:ind w:left="520" w:right="540" w:hanging="513"/>
        <w:spacing w:after="0" w:line="288" w:lineRule="auto"/>
        <w:rPr>
          <w:rFonts w:ascii="Arial" w:cs="Arial" w:eastAsia="Arial" w:hAnsi="Arial"/>
          <w:sz w:val="16"/>
          <w:szCs w:val="16"/>
          <w:color w:val="auto"/>
        </w:rPr>
      </w:pPr>
      <w:r>
        <w:rPr>
          <w:rFonts w:ascii="Arial" w:cs="Arial" w:eastAsia="Arial" w:hAnsi="Arial"/>
          <w:sz w:val="16"/>
          <w:szCs w:val="16"/>
          <w:color w:val="auto"/>
        </w:rPr>
        <w:t>**The schedules to the Agreement and Plan of Merger have been omitted pursuant to Item 601(b)(2) of Regulation S-K. The Company will furnish copies of such schedules to the Securities and Exchange Commission upon request by the Commission</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80" w:type="dxa"/>
            <w:vAlign w:val="bottom"/>
            <w:gridSpan w:val="2"/>
          </w:tcPr>
          <w:p>
            <w:pPr>
              <w:ind w:left="2360"/>
              <w:spacing w:after="0"/>
              <w:rPr>
                <w:sz w:val="20"/>
                <w:szCs w:val="20"/>
                <w:color w:val="auto"/>
              </w:rPr>
            </w:pPr>
            <w:r>
              <w:rPr>
                <w:rFonts w:ascii="Arial" w:cs="Arial" w:eastAsia="Arial" w:hAnsi="Arial"/>
                <w:sz w:val="18"/>
                <w:szCs w:val="18"/>
                <w:b w:val="1"/>
                <w:bCs w:val="1"/>
                <w:color w:val="auto"/>
              </w:rPr>
              <w:t>AKEBIA THERAPEUTICS, INC.</w:t>
            </w:r>
          </w:p>
        </w:tc>
      </w:tr>
      <w:tr>
        <w:trPr>
          <w:trHeight w:val="446"/>
        </w:trPr>
        <w:tc>
          <w:tcPr>
            <w:tcW w:w="3940" w:type="dxa"/>
            <w:vAlign w:val="bottom"/>
          </w:tcPr>
          <w:p>
            <w:pPr>
              <w:spacing w:after="0"/>
              <w:rPr>
                <w:sz w:val="20"/>
                <w:szCs w:val="20"/>
                <w:color w:val="auto"/>
              </w:rPr>
            </w:pPr>
            <w:r>
              <w:rPr>
                <w:rFonts w:ascii="Arial" w:cs="Arial" w:eastAsia="Arial" w:hAnsi="Arial"/>
                <w:sz w:val="18"/>
                <w:szCs w:val="18"/>
                <w:color w:val="auto"/>
              </w:rPr>
              <w:t>Date: March 26, 2019</w:t>
            </w:r>
          </w:p>
        </w:tc>
        <w:tc>
          <w:tcPr>
            <w:tcW w:w="7480" w:type="dxa"/>
            <w:vAlign w:val="bottom"/>
            <w:gridSpan w:val="2"/>
          </w:tcPr>
          <w:p>
            <w:pPr>
              <w:ind w:left="2360"/>
              <w:spacing w:after="0"/>
              <w:rPr>
                <w:sz w:val="20"/>
                <w:szCs w:val="20"/>
                <w:color w:val="auto"/>
              </w:rPr>
            </w:pPr>
            <w:r>
              <w:rPr>
                <w:rFonts w:ascii="Arial" w:cs="Arial" w:eastAsia="Arial" w:hAnsi="Arial"/>
                <w:sz w:val="18"/>
                <w:szCs w:val="18"/>
                <w:color w:val="auto"/>
              </w:rPr>
              <w:t>By:  /s/ John P. Butler</w:t>
            </w:r>
          </w:p>
        </w:tc>
      </w:tr>
      <w:tr>
        <w:trPr>
          <w:trHeight w:val="195"/>
        </w:trPr>
        <w:tc>
          <w:tcPr>
            <w:tcW w:w="3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P. Butler</w:t>
            </w:r>
          </w:p>
        </w:tc>
      </w:tr>
      <w:tr>
        <w:trPr>
          <w:trHeight w:val="216"/>
        </w:trPr>
        <w:tc>
          <w:tcPr>
            <w:tcW w:w="3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 (Principal Executive</w:t>
            </w:r>
          </w:p>
        </w:tc>
      </w:tr>
      <w:tr>
        <w:trPr>
          <w:trHeight w:val="230"/>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Officer)</w:t>
            </w: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was signed by the following persons on behalf of the registrant and in the capacities and on the date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40" w:type="dxa"/>
            <w:vAlign w:val="bottom"/>
          </w:tcPr>
          <w:p>
            <w:pPr>
              <w:spacing w:after="0"/>
              <w:rPr>
                <w:sz w:val="20"/>
                <w:szCs w:val="20"/>
                <w:color w:val="auto"/>
              </w:rPr>
            </w:pPr>
            <w:r>
              <w:rPr>
                <w:rFonts w:ascii="Arial" w:cs="Arial" w:eastAsia="Arial" w:hAnsi="Arial"/>
                <w:sz w:val="18"/>
                <w:szCs w:val="18"/>
                <w:color w:val="auto"/>
              </w:rPr>
              <w:t>Date: March 26, 2019</w:t>
            </w:r>
          </w:p>
        </w:tc>
        <w:tc>
          <w:tcPr>
            <w:tcW w:w="7480" w:type="dxa"/>
            <w:vAlign w:val="bottom"/>
            <w:gridSpan w:val="2"/>
          </w:tcPr>
          <w:p>
            <w:pPr>
              <w:ind w:left="2360"/>
              <w:spacing w:after="0"/>
              <w:rPr>
                <w:sz w:val="20"/>
                <w:szCs w:val="20"/>
                <w:color w:val="auto"/>
              </w:rPr>
            </w:pPr>
            <w:r>
              <w:rPr>
                <w:rFonts w:ascii="Arial" w:cs="Arial" w:eastAsia="Arial" w:hAnsi="Arial"/>
                <w:sz w:val="18"/>
                <w:szCs w:val="18"/>
                <w:color w:val="auto"/>
              </w:rPr>
              <w:t>By:  /s/ John P. Butler</w:t>
            </w:r>
          </w:p>
        </w:tc>
      </w:tr>
      <w:tr>
        <w:trPr>
          <w:trHeight w:val="195"/>
        </w:trPr>
        <w:tc>
          <w:tcPr>
            <w:tcW w:w="3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P. Butler</w:t>
            </w:r>
          </w:p>
        </w:tc>
      </w:tr>
      <w:tr>
        <w:trPr>
          <w:trHeight w:val="216"/>
        </w:trPr>
        <w:tc>
          <w:tcPr>
            <w:tcW w:w="3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Director, Chief Executive Officer and President (Principal</w:t>
            </w:r>
          </w:p>
        </w:tc>
      </w:tr>
      <w:tr>
        <w:trPr>
          <w:trHeight w:val="230"/>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bl>
    <w:p>
      <w:pPr>
        <w:spacing w:after="0" w:line="200" w:lineRule="exact"/>
        <w:rPr>
          <w:sz w:val="20"/>
          <w:szCs w:val="20"/>
          <w:color w:val="auto"/>
        </w:rPr>
      </w:pPr>
    </w:p>
    <w:p>
      <w:pPr>
        <w:sectPr>
          <w:pgSz w:w="11900" w:h="16838" w:orient="portrait"/>
          <w:cols w:equalWidth="0" w:num="1">
            <w:col w:w="11420"/>
          </w:cols>
          <w:pgMar w:left="240" w:top="33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Date: March 26, 2019</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A. Amello</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Senior Vice President, Chief Financial Officer and Treasurer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Adrian Adams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Adrian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Chairman</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A. Canute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Scott A. Canute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J. Enyedy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J. Enyedy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C. Gilman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Steven C. Gilman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Maxine Gowen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Maxine Gowen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T. Heffernan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T.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Jodie P. Morrison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Jodie P.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-130810</wp:posOffset>
            </wp:positionV>
            <wp:extent cx="29673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24" w:lineRule="auto"/>
        <w:tabs>
          <w:tab w:leader="none" w:pos="420" w:val="left"/>
        </w:tabs>
        <w:rPr>
          <w:sz w:val="20"/>
          <w:szCs w:val="20"/>
          <w:color w:val="auto"/>
        </w:rPr>
      </w:pP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8"/>
          <w:szCs w:val="18"/>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82550</wp:posOffset>
            </wp:positionV>
            <wp:extent cx="29673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Rogers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24" w:lineRule="auto"/>
        <w:tabs>
          <w:tab w:leader="none" w:pos="420" w:val="left"/>
        </w:tabs>
        <w:rPr>
          <w:sz w:val="20"/>
          <w:szCs w:val="20"/>
          <w:color w:val="auto"/>
        </w:rPr>
      </w:pP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8"/>
          <w:szCs w:val="18"/>
          <w:color w:val="auto"/>
        </w:rPr>
        <w:t>/s/ Cynthia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82550</wp:posOffset>
            </wp:positionV>
            <wp:extent cx="29673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Cynthia Smith</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5580" w:space="720"/>
            <w:col w:w="5120"/>
          </w:cols>
          <w:pgMar w:left="240" w:top="338"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20"/>
          </w:cols>
          <w:pgMar w:left="240" w:top="338" w:right="23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t>EXHIBIT 10.29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w:t>
      </w:r>
      <w:r>
        <w:rPr>
          <w:rFonts w:ascii="Arial" w:cs="Arial" w:eastAsia="Arial" w:hAnsi="Arial"/>
          <w:sz w:val="17"/>
          <w:szCs w:val="17"/>
          <w:b w:val="1"/>
          <w:bCs w:val="1"/>
          <w:color w:val="auto"/>
        </w:rPr>
        <w:t>FFICER</w:t>
      </w:r>
      <w:r>
        <w:rPr>
          <w:rFonts w:ascii="Arial" w:cs="Arial" w:eastAsia="Arial" w:hAnsi="Arial"/>
          <w:sz w:val="25"/>
          <w:szCs w:val="25"/>
          <w:b w:val="1"/>
          <w:bCs w:val="1"/>
          <w:color w:val="auto"/>
        </w:rPr>
        <w:t xml:space="preserve"> R</w:t>
      </w:r>
      <w:r>
        <w:rPr>
          <w:rFonts w:ascii="Arial" w:cs="Arial" w:eastAsia="Arial" w:hAnsi="Arial"/>
          <w:sz w:val="17"/>
          <w:szCs w:val="17"/>
          <w:b w:val="1"/>
          <w:bCs w:val="1"/>
          <w:color w:val="auto"/>
        </w:rPr>
        <w:t>ESTRICTED</w:t>
      </w:r>
      <w:r>
        <w:rPr>
          <w:rFonts w:ascii="Arial" w:cs="Arial" w:eastAsia="Arial" w:hAnsi="Arial"/>
          <w:sz w:val="25"/>
          <w:szCs w:val="25"/>
          <w:b w:val="1"/>
          <w:bCs w:val="1"/>
          <w:color w:val="auto"/>
        </w:rPr>
        <w:t xml:space="preserve"> S</w:t>
      </w:r>
      <w:r>
        <w:rPr>
          <w:rFonts w:ascii="Arial" w:cs="Arial" w:eastAsia="Arial" w:hAnsi="Arial"/>
          <w:sz w:val="17"/>
          <w:szCs w:val="17"/>
          <w:b w:val="1"/>
          <w:bCs w:val="1"/>
          <w:color w:val="auto"/>
        </w:rPr>
        <w:t>TOCK</w:t>
      </w:r>
      <w:r>
        <w:rPr>
          <w:rFonts w:ascii="Arial" w:cs="Arial" w:eastAsia="Arial" w:hAnsi="Arial"/>
          <w:sz w:val="25"/>
          <w:szCs w:val="25"/>
          <w:b w:val="1"/>
          <w:bCs w:val="1"/>
          <w:color w:val="auto"/>
        </w:rPr>
        <w:t xml:space="preserve"> U</w:t>
      </w:r>
      <w:r>
        <w:rPr>
          <w:rFonts w:ascii="Arial" w:cs="Arial" w:eastAsia="Arial" w:hAnsi="Arial"/>
          <w:sz w:val="17"/>
          <w:szCs w:val="17"/>
          <w:b w:val="1"/>
          <w:bCs w:val="1"/>
          <w:color w:val="auto"/>
        </w:rPr>
        <w:t>NIT</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WARD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granted under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AKEBIA THERAPEUTICS,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w:t>
      </w:r>
      <w:r>
        <w:rPr>
          <w:rFonts w:ascii="Arial" w:cs="Arial" w:eastAsia="Arial" w:hAnsi="Arial"/>
          <w:sz w:val="14"/>
          <w:szCs w:val="14"/>
          <w:u w:val="single" w:color="auto"/>
          <w:color w:val="auto"/>
        </w:rPr>
        <w:t>ESTRICTED</w:t>
      </w:r>
      <w:r>
        <w:rPr>
          <w:rFonts w:ascii="Arial" w:cs="Arial" w:eastAsia="Arial" w:hAnsi="Arial"/>
          <w:sz w:val="22"/>
          <w:szCs w:val="22"/>
          <w:u w:val="single" w:color="auto"/>
          <w:color w:val="auto"/>
        </w:rPr>
        <w:t xml:space="preserve"> S</w:t>
      </w:r>
      <w:r>
        <w:rPr>
          <w:rFonts w:ascii="Arial" w:cs="Arial" w:eastAsia="Arial" w:hAnsi="Arial"/>
          <w:sz w:val="14"/>
          <w:szCs w:val="14"/>
          <w:u w:val="single" w:color="auto"/>
          <w:color w:val="auto"/>
        </w:rPr>
        <w:t>TOCK</w:t>
      </w:r>
      <w:r>
        <w:rPr>
          <w:rFonts w:ascii="Arial" w:cs="Arial" w:eastAsia="Arial" w:hAnsi="Arial"/>
          <w:sz w:val="22"/>
          <w:szCs w:val="22"/>
          <w:u w:val="single" w:color="auto"/>
          <w:color w:val="auto"/>
        </w:rPr>
        <w:t xml:space="preserve"> U</w:t>
      </w:r>
      <w:r>
        <w:rPr>
          <w:rFonts w:ascii="Arial" w:cs="Arial" w:eastAsia="Arial" w:hAnsi="Arial"/>
          <w:sz w:val="14"/>
          <w:szCs w:val="14"/>
          <w:u w:val="single" w:color="auto"/>
          <w:color w:val="auto"/>
        </w:rPr>
        <w:t>NIT</w:t>
      </w:r>
      <w:r>
        <w:rPr>
          <w:rFonts w:ascii="Arial" w:cs="Arial" w:eastAsia="Arial" w:hAnsi="Arial"/>
          <w:sz w:val="22"/>
          <w:szCs w:val="22"/>
          <w:u w:val="single" w:color="auto"/>
          <w:color w:val="auto"/>
        </w:rPr>
        <w:t xml:space="preserve"> A</w:t>
      </w:r>
      <w:r>
        <w:rPr>
          <w:rFonts w:ascii="Arial" w:cs="Arial" w:eastAsia="Arial" w:hAnsi="Arial"/>
          <w:sz w:val="14"/>
          <w:szCs w:val="14"/>
          <w:u w:val="single" w:color="auto"/>
          <w:color w:val="auto"/>
        </w:rPr>
        <w:t>WARD</w:t>
      </w:r>
      <w:r>
        <w:rPr>
          <w:rFonts w:ascii="Arial" w:cs="Arial" w:eastAsia="Arial" w:hAnsi="Arial"/>
          <w:sz w:val="22"/>
          <w:szCs w:val="22"/>
          <w:u w:val="single" w:color="auto"/>
          <w:color w:val="auto"/>
        </w:rPr>
        <w:t xml:space="preserve"> A</w:t>
      </w:r>
      <w:r>
        <w:rPr>
          <w:rFonts w:ascii="Arial" w:cs="Arial" w:eastAsia="Arial" w:hAnsi="Arial"/>
          <w:sz w:val="14"/>
          <w:szCs w:val="14"/>
          <w:u w:val="single" w:color="auto"/>
          <w:color w:val="auto"/>
        </w:rPr>
        <w:t>GREEMENT</w:t>
      </w:r>
    </w:p>
    <w:p>
      <w:pPr>
        <w:spacing w:after="0" w:line="220" w:lineRule="exact"/>
        <w:rPr>
          <w:sz w:val="20"/>
          <w:szCs w:val="20"/>
          <w:color w:val="auto"/>
        </w:rPr>
      </w:pPr>
    </w:p>
    <w:p>
      <w:pPr>
        <w:ind w:right="60" w:firstLine="950"/>
        <w:spacing w:after="0" w:line="297" w:lineRule="auto"/>
        <w:rPr>
          <w:sz w:val="20"/>
          <w:szCs w:val="20"/>
          <w:color w:val="auto"/>
        </w:rPr>
      </w:pPr>
      <w:r>
        <w:rPr>
          <w:rFonts w:ascii="Arial" w:cs="Arial" w:eastAsia="Arial" w:hAnsi="Arial"/>
          <w:sz w:val="19"/>
          <w:szCs w:val="19"/>
          <w:color w:val="auto"/>
        </w:rPr>
        <w:t>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evidences the grant of a restricted stock unit award by Akebia Therapeutics,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to the undersigned (the “</w:t>
      </w:r>
      <w:r>
        <w:rPr>
          <w:rFonts w:ascii="Arial" w:cs="Arial" w:eastAsia="Arial" w:hAnsi="Arial"/>
          <w:sz w:val="19"/>
          <w:szCs w:val="19"/>
          <w:u w:val="single" w:color="auto"/>
          <w:color w:val="auto"/>
        </w:rPr>
        <w:t>Participant</w:t>
      </w:r>
      <w:r>
        <w:rPr>
          <w:rFonts w:ascii="Arial" w:cs="Arial" w:eastAsia="Arial" w:hAnsi="Arial"/>
          <w:sz w:val="19"/>
          <w:szCs w:val="19"/>
          <w:color w:val="auto"/>
        </w:rPr>
        <w:t>”), pursuant to and subject to the terms of the Akebia Therapeutics, Inc. 2014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purposes of this Agreement, the “</w:t>
      </w:r>
      <w:r>
        <w:rPr>
          <w:rFonts w:ascii="Arial" w:cs="Arial" w:eastAsia="Arial" w:hAnsi="Arial"/>
          <w:sz w:val="19"/>
          <w:szCs w:val="19"/>
          <w:u w:val="single" w:color="auto"/>
          <w:color w:val="auto"/>
        </w:rPr>
        <w:t>Grant Date</w:t>
      </w:r>
      <w:r>
        <w:rPr>
          <w:rFonts w:ascii="Arial" w:cs="Arial" w:eastAsia="Arial" w:hAnsi="Arial"/>
          <w:sz w:val="19"/>
          <w:szCs w:val="19"/>
          <w:color w:val="auto"/>
        </w:rPr>
        <w:t>” will mean [●].</w:t>
      </w:r>
    </w:p>
    <w:p>
      <w:pPr>
        <w:spacing w:after="0" w:line="148" w:lineRule="exact"/>
        <w:rPr>
          <w:sz w:val="20"/>
          <w:szCs w:val="20"/>
          <w:color w:val="auto"/>
        </w:rPr>
      </w:pPr>
    </w:p>
    <w:p>
      <w:pPr>
        <w:jc w:val="both"/>
        <w:ind w:right="380" w:firstLine="958"/>
        <w:spacing w:after="0" w:line="297" w:lineRule="auto"/>
        <w:tabs>
          <w:tab w:leader="none" w:pos="1753"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Restricted Stock Unit Award</w:t>
      </w:r>
      <w:r>
        <w:rPr>
          <w:rFonts w:ascii="Arial" w:cs="Arial" w:eastAsia="Arial" w:hAnsi="Arial"/>
          <w:sz w:val="19"/>
          <w:szCs w:val="19"/>
          <w:color w:val="auto"/>
        </w:rPr>
        <w:t>. The Participant is hereby awarded, pursuant to the Plan and subject to its terms, a Restricted Stock Unit award (the “</w:t>
      </w:r>
      <w:r>
        <w:rPr>
          <w:rFonts w:ascii="Arial" w:cs="Arial" w:eastAsia="Arial" w:hAnsi="Arial"/>
          <w:sz w:val="19"/>
          <w:szCs w:val="19"/>
          <w:u w:val="single" w:color="auto"/>
          <w:color w:val="auto"/>
        </w:rPr>
        <w:t>Award</w:t>
      </w:r>
      <w:r>
        <w:rPr>
          <w:rFonts w:ascii="Arial" w:cs="Arial" w:eastAsia="Arial" w:hAnsi="Arial"/>
          <w:sz w:val="19"/>
          <w:szCs w:val="19"/>
          <w:color w:val="auto"/>
        </w:rPr>
        <w:t>”) giving the Participant the conditional right to receive, without payment but subject to the conditions and limitations set forth in this Agreement and in the Plan, [●] shares of Stock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right="20" w:firstLine="958"/>
        <w:spacing w:after="0" w:line="251" w:lineRule="auto"/>
        <w:tabs>
          <w:tab w:leader="none" w:pos="1761"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Meaning of Certain Terms</w:t>
      </w:r>
      <w:r>
        <w:rPr>
          <w:rFonts w:ascii="Arial" w:cs="Arial" w:eastAsia="Arial" w:hAnsi="Arial"/>
          <w:sz w:val="22"/>
          <w:szCs w:val="22"/>
          <w:color w:val="auto"/>
        </w:rPr>
        <w:t>. Except as otherwise defined herein, all capitalized terms used herein have the same meaning as in the Plan. For purposes of this Award, the following terms have the following meanings:</w:t>
      </w:r>
    </w:p>
    <w:p>
      <w:pPr>
        <w:spacing w:after="0" w:line="173" w:lineRule="exact"/>
        <w:rPr>
          <w:rFonts w:ascii="Arial" w:cs="Arial" w:eastAsia="Arial" w:hAnsi="Arial"/>
          <w:sz w:val="22"/>
          <w:szCs w:val="22"/>
          <w:color w:val="auto"/>
        </w:rPr>
      </w:pPr>
    </w:p>
    <w:p>
      <w:pPr>
        <w:ind w:right="40" w:firstLine="1910"/>
        <w:spacing w:after="0" w:line="271" w:lineRule="auto"/>
        <w:tabs>
          <w:tab w:leader="none" w:pos="2780" w:val="left"/>
        </w:tabs>
        <w:numPr>
          <w:ilvl w:val="1"/>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occurrence of any of the following events other than in connection with the consummation of an initial public offering of the Company’s securities: (i) any “person” (as such term is used in Sections 13(d) and 14(d) of the Securities Exchange Act of 1934, as amended) who is not a shareholder of the Company as of the date of this Agreement or an affiliate thereof is or becomes the “beneficial owner” (as defined in Rule 13d-3 under said Act), directly or indirectly, of securities of the Company representing 50% or more of the total voting power represented by the Company’s then outstanding voting securities; (ii) a change in the composition of the Board occurring within a two-year period, as a result of which less than a majority of the directors are Incumbent Directors; (iii) the date of the consummation of a merger, scheme of arrangement or consolidation of the Company with any other corporation that has been approved by the stockholders of the Company, other than a merger, scheme of arrangement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(iv) the date of the consummation of the sale or disposition by the Company of all or substantially all the Company’s assets. Notwithstanding the foregoing, a transaction will not constitute a Change in Control if: (i) its sole purpose is to change the domicile of the Company’s incorporation; or (ii) its sole purpose is to create a holding company that will be owned in substantially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4" w:name="page175"/>
    <w:bookmarkEnd w:id="174"/>
    <w:p>
      <w:pPr>
        <w:jc w:val="both"/>
        <w:ind w:right="200"/>
        <w:spacing w:after="0"/>
        <w:rPr>
          <w:sz w:val="20"/>
          <w:szCs w:val="20"/>
          <w:color w:val="auto"/>
        </w:rPr>
      </w:pPr>
      <w:r>
        <w:rPr>
          <w:rFonts w:ascii="Arial" w:cs="Arial" w:eastAsia="Arial" w:hAnsi="Arial"/>
          <w:sz w:val="22"/>
          <w:szCs w:val="22"/>
          <w:color w:val="auto"/>
        </w:rPr>
        <w:t>same proportions by the persons who held the Company’s securities immediately before such transaction. In all respects, the definition of Change in Control will be interpreted to comply with Section 409A of the Code, and any successor statute, regulation and guidance thereto.</w:t>
      </w:r>
    </w:p>
    <w:p>
      <w:pPr>
        <w:spacing w:after="0" w:line="186" w:lineRule="exact"/>
        <w:rPr>
          <w:sz w:val="20"/>
          <w:szCs w:val="20"/>
          <w:color w:val="auto"/>
        </w:rPr>
      </w:pPr>
    </w:p>
    <w:p>
      <w:pPr>
        <w:jc w:val="both"/>
        <w:ind w:right="120" w:firstLine="1910"/>
        <w:spacing w:after="0" w:line="287" w:lineRule="auto"/>
        <w:tabs>
          <w:tab w:leader="none" w:pos="2803" w:val="left"/>
        </w:tabs>
        <w:numPr>
          <w:ilvl w:val="1"/>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Incumbent Directors</w:t>
      </w:r>
      <w:r>
        <w:rPr>
          <w:rFonts w:ascii="Arial" w:cs="Arial" w:eastAsia="Arial" w:hAnsi="Arial"/>
          <w:sz w:val="19"/>
          <w:szCs w:val="19"/>
          <w:color w:val="auto"/>
        </w:rPr>
        <w:t>” means directors who either (A) are directors of the Company as of the date hereof, or (B) are elected, or nominated for election, to the Board with the affirmative votes of at least a majority of the remaining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43" w:lineRule="exact"/>
        <w:rPr>
          <w:rFonts w:ascii="Arial" w:cs="Arial" w:eastAsia="Arial" w:hAnsi="Arial"/>
          <w:sz w:val="19"/>
          <w:szCs w:val="19"/>
          <w:color w:val="auto"/>
        </w:rPr>
      </w:pPr>
    </w:p>
    <w:p>
      <w:pPr>
        <w:ind w:firstLine="958"/>
        <w:spacing w:after="0" w:line="238" w:lineRule="auto"/>
        <w:tabs>
          <w:tab w:leader="none" w:pos="1761"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Unless earlier terminated, forfeited, relinquished or expired, and subject to Section 6 of this Agreement and the terms of any Executive Severance Agreement or other written agreement between the Participant and the Company, the Award will become vested, subject to the Participant’s continuous Employment though the applicable vesting date, as follows:</w:t>
      </w:r>
    </w:p>
    <w:p>
      <w:pPr>
        <w:spacing w:after="0" w:line="185" w:lineRule="exact"/>
        <w:rPr>
          <w:rFonts w:ascii="Arial" w:cs="Arial" w:eastAsia="Arial" w:hAnsi="Arial"/>
          <w:sz w:val="22"/>
          <w:szCs w:val="22"/>
          <w:color w:val="auto"/>
        </w:rPr>
      </w:pPr>
    </w:p>
    <w:p>
      <w:pPr>
        <w:ind w:left="2800" w:hanging="890"/>
        <w:spacing w:after="0"/>
        <w:tabs>
          <w:tab w:leader="none" w:pos="2800" w:val="left"/>
        </w:tabs>
        <w:numPr>
          <w:ilvl w:val="1"/>
          <w:numId w:val="92"/>
        </w:numPr>
        <w:rPr>
          <w:rFonts w:ascii="Arial" w:cs="Arial" w:eastAsia="Arial" w:hAnsi="Arial"/>
          <w:sz w:val="19"/>
          <w:szCs w:val="19"/>
          <w:color w:val="auto"/>
        </w:rPr>
      </w:pPr>
      <w:r>
        <w:rPr>
          <w:rFonts w:ascii="Arial" w:cs="Arial" w:eastAsia="Arial" w:hAnsi="Arial"/>
          <w:sz w:val="19"/>
          <w:szCs w:val="19"/>
          <w:color w:val="auto"/>
        </w:rPr>
        <w:t>1/3 of the Shares subject to the Award will become vested on each of the first three anniversaries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Grant Date.</w:t>
      </w:r>
    </w:p>
    <w:p>
      <w:pPr>
        <w:spacing w:after="0" w:line="188" w:lineRule="exact"/>
        <w:rPr>
          <w:rFonts w:ascii="Arial" w:cs="Arial" w:eastAsia="Arial" w:hAnsi="Arial"/>
          <w:sz w:val="19"/>
          <w:szCs w:val="19"/>
          <w:color w:val="auto"/>
        </w:rPr>
      </w:pPr>
    </w:p>
    <w:p>
      <w:pPr>
        <w:ind w:right="20" w:firstLine="1910"/>
        <w:spacing w:after="0"/>
        <w:tabs>
          <w:tab w:leader="none" w:pos="2803" w:val="left"/>
        </w:tabs>
        <w:numPr>
          <w:ilvl w:val="1"/>
          <w:numId w:val="92"/>
        </w:numPr>
        <w:rPr>
          <w:rFonts w:ascii="Arial" w:cs="Arial" w:eastAsia="Arial" w:hAnsi="Arial"/>
          <w:sz w:val="22"/>
          <w:szCs w:val="22"/>
          <w:color w:val="auto"/>
        </w:rPr>
      </w:pPr>
      <w:r>
        <w:rPr>
          <w:rFonts w:ascii="Arial" w:cs="Arial" w:eastAsia="Arial" w:hAnsi="Arial"/>
          <w:sz w:val="22"/>
          <w:szCs w:val="22"/>
          <w:color w:val="auto"/>
        </w:rPr>
        <w:t>Notwithstanding the foregoing Section 3(a), the Award, to the extent outstanding immediately prior to a Change in Control but not then vested in full, will automatically and immediately become fully vested upon such Change in Control.</w:t>
      </w:r>
    </w:p>
    <w:p>
      <w:pPr>
        <w:spacing w:after="0" w:line="186" w:lineRule="exact"/>
        <w:rPr>
          <w:rFonts w:ascii="Arial" w:cs="Arial" w:eastAsia="Arial" w:hAnsi="Arial"/>
          <w:sz w:val="22"/>
          <w:szCs w:val="22"/>
          <w:color w:val="auto"/>
        </w:rPr>
      </w:pPr>
    </w:p>
    <w:p>
      <w:pPr>
        <w:ind w:right="20" w:firstLine="958"/>
        <w:spacing w:after="0" w:line="282" w:lineRule="auto"/>
        <w:tabs>
          <w:tab w:leader="none" w:pos="1753"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Subject to Section 5 of this Agreement, the Company will, within thirty (30) days of the vesting date described in Section 3 with respect to any portion of the Award, effect delivery of the Shares with respect to such vested portion to the Participant (or, in the event of the Participant’s death, to the person to whom the Award has passed by will or the laws of descent and distribution). No Shares will be issued pursuant to this Award unless and until all legal requirements applicable to the issuance or transfer of such Shares have been complied with to the satisfaction of the Administrator.</w:t>
      </w:r>
    </w:p>
    <w:p>
      <w:pPr>
        <w:spacing w:after="0" w:line="147" w:lineRule="exact"/>
        <w:rPr>
          <w:rFonts w:ascii="Arial" w:cs="Arial" w:eastAsia="Arial" w:hAnsi="Arial"/>
          <w:sz w:val="19"/>
          <w:szCs w:val="19"/>
          <w:color w:val="auto"/>
        </w:rPr>
      </w:pPr>
    </w:p>
    <w:p>
      <w:pPr>
        <w:ind w:right="80" w:firstLine="958"/>
        <w:spacing w:after="0" w:line="282" w:lineRule="auto"/>
        <w:tabs>
          <w:tab w:leader="none" w:pos="1761"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Dividends; Other Rights</w:t>
      </w:r>
      <w:r>
        <w:rPr>
          <w:rFonts w:ascii="Arial" w:cs="Arial" w:eastAsia="Arial" w:hAnsi="Arial"/>
          <w:sz w:val="19"/>
          <w:szCs w:val="19"/>
          <w:color w:val="auto"/>
        </w:rPr>
        <w:t>. The Award will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will have the rights of a shareholder only as to those Shares, if any, that are actually delivered under this Award.</w:t>
      </w:r>
    </w:p>
    <w:p>
      <w:pPr>
        <w:spacing w:after="0" w:line="147" w:lineRule="exact"/>
        <w:rPr>
          <w:rFonts w:ascii="Arial" w:cs="Arial" w:eastAsia="Arial" w:hAnsi="Arial"/>
          <w:sz w:val="19"/>
          <w:szCs w:val="19"/>
          <w:color w:val="auto"/>
        </w:rPr>
      </w:pPr>
    </w:p>
    <w:p>
      <w:pPr>
        <w:ind w:right="160" w:firstLine="958"/>
        <w:spacing w:after="0" w:line="282" w:lineRule="auto"/>
        <w:tabs>
          <w:tab w:leader="none" w:pos="1761"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Treatment of Award Upon Cessation of Employment</w:t>
      </w:r>
      <w:r>
        <w:rPr>
          <w:rFonts w:ascii="Arial" w:cs="Arial" w:eastAsia="Arial" w:hAnsi="Arial"/>
          <w:sz w:val="19"/>
          <w:szCs w:val="19"/>
          <w:color w:val="auto"/>
        </w:rPr>
        <w:t>. If the Participant’s Employment ceases, the Award, to the extent not already vested, will be immediately forfeited. Notwithstanding the foregoing, to the extent the Participant is a party to an Executive Severance Agreement or other written agreement with the Company that provides for the Award to remain outstanding and continue to vest during a specified period of time following the Participant’s cessation of Employment (such period,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the Award will remain outstanding and will continue to vest,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75" w:name="page176"/>
    <w:bookmarkEnd w:id="175"/>
    <w:p>
      <w:pPr>
        <w:ind w:right="240"/>
        <w:spacing w:after="0" w:line="287" w:lineRule="auto"/>
        <w:rPr>
          <w:sz w:val="20"/>
          <w:szCs w:val="20"/>
          <w:color w:val="auto"/>
        </w:rPr>
      </w:pPr>
      <w:r>
        <w:rPr>
          <w:rFonts w:ascii="Arial" w:cs="Arial" w:eastAsia="Arial" w:hAnsi="Arial"/>
          <w:sz w:val="19"/>
          <w:szCs w:val="19"/>
          <w:color w:val="auto"/>
        </w:rPr>
        <w:t>Shares will be delivered upon such vesting, in accordance with the terms of this Agreement during the Severance Period as if the Participant had remained employed during such period, subject to any conditions on continued vesting and delivery as may be contained in such Executive Severance Agreement or other written agreement. For the avoidance of doubt, any portion of the Award that fails to vest during the Severance Period will immediately be forfeited on the last day of such period.</w:t>
      </w:r>
    </w:p>
    <w:p>
      <w:pPr>
        <w:spacing w:after="0" w:line="143" w:lineRule="exact"/>
        <w:rPr>
          <w:sz w:val="20"/>
          <w:szCs w:val="20"/>
          <w:color w:val="auto"/>
        </w:rPr>
      </w:pPr>
    </w:p>
    <w:p>
      <w:pPr>
        <w:ind w:left="1760" w:hanging="802"/>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910"/>
        <w:spacing w:after="0" w:line="287" w:lineRule="auto"/>
        <w:tabs>
          <w:tab w:leader="none" w:pos="2790"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Participant expressly acknowledges that because this Award consists of an unfunded and unsecured promise by the Company to deliver Shares in the future, subject to the terms hereof, it is not possible to make a so-called “83(b) election” with respect to the Award. In no event will the Company have any liability relating to the failure or alleged failure of any payment or benefit under this Agreement to comply with, or be exempt from, the requirements of Section 409A.</w:t>
      </w:r>
    </w:p>
    <w:p>
      <w:pPr>
        <w:spacing w:after="0" w:line="143" w:lineRule="exact"/>
        <w:rPr>
          <w:rFonts w:ascii="Arial" w:cs="Arial" w:eastAsia="Arial" w:hAnsi="Arial"/>
          <w:sz w:val="19"/>
          <w:szCs w:val="19"/>
          <w:color w:val="auto"/>
        </w:rPr>
      </w:pPr>
    </w:p>
    <w:p>
      <w:pPr>
        <w:ind w:right="260" w:firstLine="1910"/>
        <w:spacing w:after="0" w:line="247" w:lineRule="auto"/>
        <w:tabs>
          <w:tab w:leader="none" w:pos="2803" w:val="left"/>
        </w:tabs>
        <w:numPr>
          <w:ilvl w:val="1"/>
          <w:numId w:val="93"/>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will instead be paid on the next business day following the expiration of such six (6) month period or, if earlier, upon the Participant’s death; except (A) to the extent of amounts that do not constitute a deferral of compensation within the meaning of Treasury Regulation Section 1.409A-1(b) or (B) other amounts or benefits that are not subject to the requirements of Section 409A.</w:t>
      </w:r>
    </w:p>
    <w:p>
      <w:pPr>
        <w:spacing w:after="0" w:line="178" w:lineRule="exact"/>
        <w:rPr>
          <w:rFonts w:ascii="Arial" w:cs="Arial" w:eastAsia="Arial" w:hAnsi="Arial"/>
          <w:sz w:val="21"/>
          <w:szCs w:val="21"/>
          <w:color w:val="auto"/>
        </w:rPr>
      </w:pPr>
    </w:p>
    <w:p>
      <w:pPr>
        <w:ind w:firstLine="1910"/>
        <w:spacing w:after="0" w:line="252" w:lineRule="auto"/>
        <w:tabs>
          <w:tab w:leader="none" w:pos="2790" w:val="left"/>
        </w:tabs>
        <w:numPr>
          <w:ilvl w:val="1"/>
          <w:numId w:val="93"/>
        </w:numPr>
        <w:rPr>
          <w:rFonts w:ascii="Arial" w:cs="Arial" w:eastAsia="Arial" w:hAnsi="Arial"/>
          <w:sz w:val="21"/>
          <w:szCs w:val="21"/>
          <w:color w:val="auto"/>
        </w:rPr>
      </w:pPr>
      <w:r>
        <w:rPr>
          <w:rFonts w:ascii="Arial" w:cs="Arial" w:eastAsia="Arial" w:hAnsi="Arial"/>
          <w:sz w:val="21"/>
          <w:szCs w:val="21"/>
          <w:color w:val="auto"/>
        </w:rPr>
        <w:t>For purposes of this Award, all references to “termination of employment” and correlative phrases will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74" w:lineRule="exact"/>
        <w:rPr>
          <w:rFonts w:ascii="Arial" w:cs="Arial" w:eastAsia="Arial" w:hAnsi="Arial"/>
          <w:sz w:val="21"/>
          <w:szCs w:val="21"/>
          <w:color w:val="auto"/>
        </w:rPr>
      </w:pPr>
    </w:p>
    <w:p>
      <w:pPr>
        <w:ind w:right="60" w:firstLine="1910"/>
        <w:spacing w:after="0" w:line="274" w:lineRule="auto"/>
        <w:tabs>
          <w:tab w:leader="none" w:pos="2803"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award, vesting or delivery of the Shares acquired hereunder may give rise to “wages” subject to withholding. The Participant expressly acknowledges and agrees that his or her rights hereunder, including the right to be delivered Shares upon vesting, are subject to the Participant promptly paying the Company in cash (or by such other means as may be acceptable to the Administrator in its discretion) all taxes required to be withheld. No Shares will be delivered pursuant to this Award unless and until the Participant will have remitted to the Company in cash or by check an amount sufficient to satisfy any federal, state or local withholding tax requirements or tax payments, or will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176" w:name="page177"/>
    <w:bookmarkEnd w:id="176"/>
    <w:p>
      <w:pPr>
        <w:ind w:left="1760" w:hanging="802"/>
        <w:spacing w:after="0"/>
        <w:tabs>
          <w:tab w:leader="none" w:pos="176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Forfeiture; Recovery of 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20" w:firstLine="1910"/>
        <w:spacing w:after="0" w:line="282" w:lineRule="auto"/>
        <w:tabs>
          <w:tab w:leader="none" w:pos="2780"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Administrator may cancel, rescind, withhold or otherwise limit or restrict the Award at any time if the Participant is not in compliance with all applicable provisions of this Agreement and the Plan, or if the Participant breaches any agreement with the Company or its subsidiaries with respect to non-competition, non-solicitation, invention assignment or confidentiality, including, but not limited to, any employment agreement or offer letter with the Company or the Company’s standard Employee Agreement (Confidentiality, Non-Solicitation, Non-Competition and Developments Agreement).</w:t>
      </w:r>
    </w:p>
    <w:p>
      <w:pPr>
        <w:spacing w:after="0" w:line="147" w:lineRule="exact"/>
        <w:rPr>
          <w:rFonts w:ascii="Arial" w:cs="Arial" w:eastAsia="Arial" w:hAnsi="Arial"/>
          <w:sz w:val="19"/>
          <w:szCs w:val="19"/>
          <w:color w:val="auto"/>
        </w:rPr>
      </w:pPr>
    </w:p>
    <w:p>
      <w:pPr>
        <w:ind w:firstLine="1910"/>
        <w:spacing w:after="0" w:line="287" w:lineRule="auto"/>
        <w:tabs>
          <w:tab w:leader="none" w:pos="2803" w:val="left"/>
        </w:tabs>
        <w:numPr>
          <w:ilvl w:val="1"/>
          <w:numId w:val="94"/>
        </w:numPr>
        <w:rPr>
          <w:rFonts w:ascii="Arial" w:cs="Arial" w:eastAsia="Arial" w:hAnsi="Arial"/>
          <w:sz w:val="19"/>
          <w:szCs w:val="19"/>
          <w:color w:val="auto"/>
        </w:rPr>
      </w:pPr>
      <w:r>
        <w:rPr>
          <w:rFonts w:ascii="Arial" w:cs="Arial" w:eastAsia="Arial" w:hAnsi="Arial"/>
          <w:sz w:val="19"/>
          <w:szCs w:val="19"/>
          <w:color w:val="auto"/>
        </w:rPr>
        <w:t>By accepting the Award, the Participant expressly acknowledges and agrees that his or her rights, and those of any permitted transferee of the Award, under the Award, including to any Stock delivered under the Award or proceeds from the disposition thereof, are subject to Section 6(a)(5) of the Plan (including any successor provision). Nothing in the preceding sentence will be construed as limiting the general application of Section 11 of this Agreement.</w:t>
      </w:r>
    </w:p>
    <w:p>
      <w:pPr>
        <w:spacing w:after="0" w:line="143" w:lineRule="exact"/>
        <w:rPr>
          <w:rFonts w:ascii="Arial" w:cs="Arial" w:eastAsia="Arial" w:hAnsi="Arial"/>
          <w:sz w:val="19"/>
          <w:szCs w:val="19"/>
          <w:color w:val="auto"/>
        </w:rPr>
      </w:pPr>
    </w:p>
    <w:p>
      <w:pPr>
        <w:ind w:left="1760" w:hanging="802"/>
        <w:spacing w:after="0"/>
        <w:tabs>
          <w:tab w:leader="none" w:pos="176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Transfer of Award</w:t>
      </w:r>
      <w:r>
        <w:rPr>
          <w:rFonts w:ascii="Arial" w:cs="Arial" w:eastAsia="Arial" w:hAnsi="Arial"/>
          <w:sz w:val="19"/>
          <w:szCs w:val="19"/>
          <w:color w:val="auto"/>
        </w:rPr>
        <w:t>. The Award may not be transferred except as expressly permitted under Section 6(a)(3)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88" w:lineRule="exact"/>
        <w:rPr>
          <w:rFonts w:ascii="Arial" w:cs="Arial" w:eastAsia="Arial" w:hAnsi="Arial"/>
          <w:sz w:val="19"/>
          <w:szCs w:val="19"/>
          <w:color w:val="auto"/>
        </w:rPr>
      </w:pPr>
    </w:p>
    <w:p>
      <w:pPr>
        <w:ind w:right="180" w:firstLine="958"/>
        <w:spacing w:after="0" w:line="238" w:lineRule="auto"/>
        <w:tabs>
          <w:tab w:leader="none" w:pos="1869"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Effect on Employment</w:t>
      </w:r>
      <w:r>
        <w:rPr>
          <w:rFonts w:ascii="Arial" w:cs="Arial" w:eastAsia="Arial" w:hAnsi="Arial"/>
          <w:sz w:val="22"/>
          <w:szCs w:val="22"/>
          <w:color w:val="auto"/>
        </w:rPr>
        <w:t>. Neither the grant of this Award, nor the delivery of Shares under this Award, will give the Participant any right to be retained in the employ or service of the Company or any of its Affiliates, affect the right of the Company or any of its Affiliates to discharge or discipline such Participant at any time, or affect any right of such Participant to terminate his or her Employment at any time.</w:t>
      </w:r>
    </w:p>
    <w:p>
      <w:pPr>
        <w:spacing w:after="0" w:line="185" w:lineRule="exact"/>
        <w:rPr>
          <w:rFonts w:ascii="Arial" w:cs="Arial" w:eastAsia="Arial" w:hAnsi="Arial"/>
          <w:sz w:val="22"/>
          <w:szCs w:val="22"/>
          <w:color w:val="auto"/>
        </w:rPr>
      </w:pPr>
    </w:p>
    <w:p>
      <w:pPr>
        <w:jc w:val="both"/>
        <w:ind w:right="180" w:firstLine="958"/>
        <w:spacing w:after="0" w:line="252" w:lineRule="auto"/>
        <w:tabs>
          <w:tab w:leader="none" w:pos="1861"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Provisions of the Plan</w:t>
      </w:r>
      <w:r>
        <w:rPr>
          <w:rFonts w:ascii="Arial" w:cs="Arial" w:eastAsia="Arial" w:hAnsi="Arial"/>
          <w:sz w:val="21"/>
          <w:szCs w:val="21"/>
          <w:color w:val="auto"/>
        </w:rPr>
        <w:t>. This Agreement is subject in its entirety to the provisions of the Plan, which are incorporated herein by reference. A copy of the Plan as in effect on the Grant Date has been furnished to the Participant. By accepting this Award, the Participant agrees to be bound by the terms of the Plan and this Agreement. In the event of any conflict between the terms of this Agreement and the Plan, the terms of the Plan will control.</w:t>
      </w:r>
    </w:p>
    <w:p>
      <w:pPr>
        <w:spacing w:after="0" w:line="174" w:lineRule="exact"/>
        <w:rPr>
          <w:rFonts w:ascii="Arial" w:cs="Arial" w:eastAsia="Arial" w:hAnsi="Arial"/>
          <w:sz w:val="21"/>
          <w:szCs w:val="21"/>
          <w:color w:val="auto"/>
        </w:rPr>
      </w:pPr>
    </w:p>
    <w:p>
      <w:pPr>
        <w:ind w:right="160" w:firstLine="958"/>
        <w:spacing w:after="0" w:line="238" w:lineRule="auto"/>
        <w:tabs>
          <w:tab w:leader="none" w:pos="1869"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Provisions of Executive Severance Agreement</w:t>
      </w:r>
      <w:r>
        <w:rPr>
          <w:rFonts w:ascii="Arial" w:cs="Arial" w:eastAsia="Arial" w:hAnsi="Arial"/>
          <w:sz w:val="22"/>
          <w:szCs w:val="22"/>
          <w:color w:val="auto"/>
        </w:rPr>
        <w:t>. To the extent the Participant has entered into an Executive Severance Agreement with the Company, for so long as such Executive Severance Agreement remains in effect, the terms of such Executive Severance Agreement as they relate to the Award will control in the event of any conflict with the terms of this Agreement.</w:t>
      </w:r>
    </w:p>
    <w:p>
      <w:pPr>
        <w:spacing w:after="0" w:line="185" w:lineRule="exact"/>
        <w:rPr>
          <w:rFonts w:ascii="Arial" w:cs="Arial" w:eastAsia="Arial" w:hAnsi="Arial"/>
          <w:sz w:val="22"/>
          <w:szCs w:val="22"/>
          <w:color w:val="auto"/>
        </w:rPr>
      </w:pPr>
    </w:p>
    <w:p>
      <w:pPr>
        <w:ind w:right="120" w:firstLine="958"/>
        <w:spacing w:after="0" w:line="282" w:lineRule="auto"/>
        <w:tabs>
          <w:tab w:leader="none" w:pos="185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Acknowledgements</w:t>
      </w:r>
      <w:r>
        <w:rPr>
          <w:rFonts w:ascii="Arial" w:cs="Arial" w:eastAsia="Arial" w:hAnsi="Arial"/>
          <w:sz w:val="19"/>
          <w:szCs w:val="19"/>
          <w:color w:val="auto"/>
        </w:rPr>
        <w:t>. The Participant acknowledges and agrees that (i)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77" w:name="page178"/>
    <w:bookmarkEnd w:id="177"/>
    <w:p>
      <w:pPr>
        <w:ind w:left="960"/>
        <w:spacing w:after="0"/>
        <w:rPr>
          <w:sz w:val="20"/>
          <w:szCs w:val="20"/>
          <w:color w:val="auto"/>
        </w:rPr>
      </w:pPr>
      <w:r>
        <w:rPr>
          <w:rFonts w:ascii="Arial" w:cs="Arial" w:eastAsia="Arial" w:hAnsi="Arial"/>
          <w:sz w:val="19"/>
          <w:szCs w:val="19"/>
          <w:color w:val="auto"/>
        </w:rPr>
        <w:t>IN WITNESS WHEREOF, the Company has caused this Agreement to be executed by its duly authorized officer.</w:t>
      </w:r>
    </w:p>
    <w:p>
      <w:pPr>
        <w:spacing w:after="0" w:line="25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AKEBIA THERAPEUTICS, INC.</w:t>
      </w:r>
    </w:p>
    <w:p>
      <w:pPr>
        <w:spacing w:after="0" w:line="220"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7620</wp:posOffset>
            </wp:positionV>
            <wp:extent cx="28555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6080"/>
        <w:spacing w:after="0"/>
        <w:tabs>
          <w:tab w:leader="none" w:pos="6900" w:val="left"/>
        </w:tabs>
        <w:rPr>
          <w:sz w:val="20"/>
          <w:szCs w:val="20"/>
          <w:color w:val="auto"/>
        </w:rPr>
      </w:pPr>
      <w:r>
        <w:rPr>
          <w:rFonts w:ascii="Arial" w:cs="Arial" w:eastAsia="Arial" w:hAnsi="Arial"/>
          <w:sz w:val="22"/>
          <w:szCs w:val="22"/>
          <w:color w:val="auto"/>
        </w:rPr>
        <w:t>Name:</w:t>
        <w:tab/>
        <w:t>[●]</w:t>
      </w:r>
    </w:p>
    <w:p>
      <w:pPr>
        <w:ind w:left="6080"/>
        <w:spacing w:after="0"/>
        <w:tabs>
          <w:tab w:leader="none" w:pos="6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7620</wp:posOffset>
            </wp:positionV>
            <wp:extent cx="28301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[Participant’s Name]</w:t>
      </w:r>
    </w:p>
    <w:p>
      <w:pPr>
        <w:sectPr>
          <w:pgSz w:w="11900" w:h="16838" w:orient="portrait"/>
          <w:cols w:equalWidth="0" w:num="1">
            <w:col w:w="10800"/>
          </w:cols>
          <w:pgMar w:left="240" w:top="348" w:right="85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EXHIBIT 10.31</w:t>
      </w:r>
    </w:p>
    <w:p>
      <w:pPr>
        <w:spacing w:after="0" w:line="9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AKEBIA THERAPEUTICS, INC.</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AMENDED AND RESTATED NON-EMPLOYEE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 PROGRAM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30, 2019</w:t>
      </w:r>
    </w:p>
    <w:p>
      <w:pPr>
        <w:spacing w:after="0" w:line="212"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Non-employee members of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of Akebia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be eligible to receive cash and equity compensation as set forth in this Amended and Restated Non-Employee Director Compensation Program (this “</w:t>
      </w:r>
      <w:r>
        <w:rPr>
          <w:rFonts w:ascii="Arial" w:cs="Arial" w:eastAsia="Arial" w:hAnsi="Arial"/>
          <w:sz w:val="21"/>
          <w:szCs w:val="21"/>
          <w:b w:val="1"/>
          <w:bCs w:val="1"/>
          <w:i w:val="1"/>
          <w:iCs w:val="1"/>
          <w:color w:val="auto"/>
        </w:rPr>
        <w:t>Program</w:t>
      </w:r>
      <w:r>
        <w:rPr>
          <w:rFonts w:ascii="Arial" w:cs="Arial" w:eastAsia="Arial" w:hAnsi="Arial"/>
          <w:sz w:val="21"/>
          <w:szCs w:val="21"/>
          <w:color w:val="auto"/>
        </w:rPr>
        <w:t>”), which was initially adopted on February 28, 2014 and was amended, restated and adopted pursuant to the Board’s action at its January 30, 2019 meeting, with an effective date of January 30, 2019.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21"/>
          <w:szCs w:val="21"/>
          <w:b w:val="1"/>
          <w:bCs w:val="1"/>
          <w:i w:val="1"/>
          <w:iCs w:val="1"/>
          <w:color w:val="auto"/>
        </w:rPr>
        <w:t>Non-Employee Director</w:t>
      </w:r>
      <w:r>
        <w:rPr>
          <w:rFonts w:ascii="Arial" w:cs="Arial" w:eastAsia="Arial" w:hAnsi="Arial"/>
          <w:sz w:val="21"/>
          <w:szCs w:val="21"/>
          <w:color w:val="auto"/>
        </w:rPr>
        <w:t>”) who may be eligible to receive such cash or equity compensation, unless such Non-Employee Director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declines the receipt of such cash or equity compensation by written notice to the Company. This Program shall remain in effect until it is revised or rescinded by further action of the Board. This Program shall be reviewed by the Board periodically and may be amended, modified or terminated by the Board at any time in its sole discretion and nothing herein should be construed as a guarantee to any Non-Employee Director of any particular level of cash or equity compensation. The terms and conditions of this Program shall supersede any prior cash and/or equity compensation arrangements for service as a member of the Board between the Company and any of its Non-Employee Directors. This Program shall become effective on the date set forth above (the “</w:t>
      </w:r>
      <w:r>
        <w:rPr>
          <w:rFonts w:ascii="Arial" w:cs="Arial" w:eastAsia="Arial" w:hAnsi="Arial"/>
          <w:sz w:val="21"/>
          <w:szCs w:val="21"/>
          <w:b w:val="1"/>
          <w:bCs w:val="1"/>
          <w:i w:val="1"/>
          <w:i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Date</w:t>
      </w:r>
      <w:r>
        <w:rPr>
          <w:rFonts w:ascii="Arial" w:cs="Arial" w:eastAsia="Arial" w:hAnsi="Arial"/>
          <w:sz w:val="21"/>
          <w:szCs w:val="21"/>
          <w:color w:val="auto"/>
        </w:rPr>
        <w:t>”).</w:t>
      </w:r>
    </w:p>
    <w:p>
      <w:pPr>
        <w:spacing w:after="0" w:line="182" w:lineRule="exact"/>
        <w:rPr>
          <w:sz w:val="20"/>
          <w:szCs w:val="20"/>
          <w:color w:val="auto"/>
        </w:rPr>
      </w:pPr>
    </w:p>
    <w:p>
      <w:pPr>
        <w:ind w:left="1700" w:hanging="815"/>
        <w:spacing w:after="0"/>
        <w:tabs>
          <w:tab w:leader="none" w:pos="17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763"/>
        <w:spacing w:after="0" w:line="251" w:lineRule="auto"/>
        <w:tabs>
          <w:tab w:leader="none" w:pos="2643"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Annual Retainers</w:t>
      </w:r>
      <w:r>
        <w:rPr>
          <w:rFonts w:ascii="Arial" w:cs="Arial" w:eastAsia="Arial" w:hAnsi="Arial"/>
          <w:sz w:val="22"/>
          <w:szCs w:val="22"/>
          <w:color w:val="auto"/>
        </w:rPr>
        <w:t>. Each Non-Employee Director shall be eligible to receive an annual retainer of $45,000 for service on the Board.</w:t>
      </w:r>
    </w:p>
    <w:p>
      <w:pPr>
        <w:spacing w:after="0" w:line="173" w:lineRule="exact"/>
        <w:rPr>
          <w:rFonts w:ascii="Arial" w:cs="Arial" w:eastAsia="Arial" w:hAnsi="Arial"/>
          <w:sz w:val="22"/>
          <w:szCs w:val="22"/>
          <w:color w:val="auto"/>
        </w:rPr>
      </w:pPr>
    </w:p>
    <w:p>
      <w:pPr>
        <w:ind w:firstLine="1763"/>
        <w:spacing w:after="0" w:line="251" w:lineRule="auto"/>
        <w:tabs>
          <w:tab w:leader="none" w:pos="2655"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Additional Annual Retainers</w:t>
      </w:r>
      <w:r>
        <w:rPr>
          <w:rFonts w:ascii="Arial" w:cs="Arial" w:eastAsia="Arial" w:hAnsi="Arial"/>
          <w:sz w:val="22"/>
          <w:szCs w:val="22"/>
          <w:color w:val="auto"/>
        </w:rPr>
        <w:t>. In addition to the annual retainer payable pursuant to Section 1(a) above, a Non-Employee Director shall be eligible to receive the following annual retainers:</w:t>
      </w:r>
    </w:p>
    <w:p>
      <w:pPr>
        <w:spacing w:after="0" w:line="173" w:lineRule="exact"/>
        <w:rPr>
          <w:rFonts w:ascii="Arial" w:cs="Arial" w:eastAsia="Arial" w:hAnsi="Arial"/>
          <w:sz w:val="22"/>
          <w:szCs w:val="22"/>
          <w:color w:val="auto"/>
        </w:rPr>
      </w:pPr>
    </w:p>
    <w:p>
      <w:pPr>
        <w:jc w:val="both"/>
        <w:ind w:firstLine="2642"/>
        <w:spacing w:after="0" w:line="238" w:lineRule="auto"/>
        <w:tabs>
          <w:tab w:leader="none" w:pos="3486" w:val="left"/>
        </w:tabs>
        <w:numPr>
          <w:ilvl w:val="2"/>
          <w:numId w:val="95"/>
        </w:numPr>
        <w:rPr>
          <w:rFonts w:ascii="Arial" w:cs="Arial" w:eastAsia="Arial" w:hAnsi="Arial"/>
          <w:sz w:val="22"/>
          <w:szCs w:val="22"/>
          <w:color w:val="auto"/>
        </w:rPr>
      </w:pPr>
      <w:r>
        <w:rPr>
          <w:rFonts w:ascii="Arial" w:cs="Arial" w:eastAsia="Arial" w:hAnsi="Arial"/>
          <w:sz w:val="22"/>
          <w:szCs w:val="22"/>
          <w:u w:val="single" w:color="auto"/>
          <w:color w:val="auto"/>
        </w:rPr>
        <w:t>Chairperson of the Board</w:t>
      </w:r>
      <w:r>
        <w:rPr>
          <w:rFonts w:ascii="Arial" w:cs="Arial" w:eastAsia="Arial" w:hAnsi="Arial"/>
          <w:sz w:val="22"/>
          <w:szCs w:val="22"/>
          <w:color w:val="auto"/>
        </w:rPr>
        <w:t>. A Non-Employee Director serving as Chairperson of the Board shall be eligible to receive an additional annual retainer of $35,000 for such service; provided, that, in the event that a Non-Employee Director is one of two concurrently serving Chairpersons of the Board, the additional annual retainer payable to such Non-Employee Director pursuant to this Section 1(b)(i) shall be $17,500.</w:t>
      </w:r>
    </w:p>
    <w:p>
      <w:pPr>
        <w:spacing w:after="0" w:line="185" w:lineRule="exact"/>
        <w:rPr>
          <w:rFonts w:ascii="Arial" w:cs="Arial" w:eastAsia="Arial" w:hAnsi="Arial"/>
          <w:sz w:val="22"/>
          <w:szCs w:val="22"/>
          <w:color w:val="auto"/>
        </w:rPr>
      </w:pPr>
    </w:p>
    <w:p>
      <w:pPr>
        <w:jc w:val="both"/>
        <w:ind w:firstLine="2642"/>
        <w:spacing w:after="0" w:line="238" w:lineRule="auto"/>
        <w:tabs>
          <w:tab w:leader="none" w:pos="3546" w:val="left"/>
        </w:tabs>
        <w:numPr>
          <w:ilvl w:val="2"/>
          <w:numId w:val="95"/>
        </w:numPr>
        <w:rPr>
          <w:rFonts w:ascii="Arial" w:cs="Arial" w:eastAsia="Arial" w:hAnsi="Arial"/>
          <w:sz w:val="22"/>
          <w:szCs w:val="22"/>
          <w:color w:val="auto"/>
        </w:rPr>
      </w:pPr>
      <w:r>
        <w:rPr>
          <w:rFonts w:ascii="Arial" w:cs="Arial" w:eastAsia="Arial" w:hAnsi="Arial"/>
          <w:sz w:val="22"/>
          <w:szCs w:val="22"/>
          <w:u w:val="single" w:color="auto"/>
          <w:color w:val="auto"/>
        </w:rPr>
        <w:t>Audit Committee</w:t>
      </w:r>
      <w:r>
        <w:rPr>
          <w:rFonts w:ascii="Arial" w:cs="Arial" w:eastAsia="Arial" w:hAnsi="Arial"/>
          <w:sz w:val="22"/>
          <w:szCs w:val="22"/>
          <w:color w:val="auto"/>
        </w:rPr>
        <w:t>. A Non-Employee Director serving as Chairperson of the Audit Committee shall be eligible to receive an additional annual retainer of $20,000 for such service. A Non-Employee Director serving as a member of the Audit Committee (other than the Chairperson) shall be eligible to receive an additional annual retainer of $10,000 for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9" w:name="page180"/>
    <w:bookmarkEnd w:id="179"/>
    <w:p>
      <w:pPr>
        <w:jc w:val="both"/>
        <w:ind w:firstLine="2642"/>
        <w:spacing w:after="0" w:line="238" w:lineRule="auto"/>
        <w:tabs>
          <w:tab w:leader="none" w:pos="3606" w:val="left"/>
        </w:tabs>
        <w:numPr>
          <w:ilvl w:val="2"/>
          <w:numId w:val="96"/>
        </w:numPr>
        <w:rPr>
          <w:rFonts w:ascii="Arial" w:cs="Arial" w:eastAsia="Arial" w:hAnsi="Arial"/>
          <w:sz w:val="22"/>
          <w:szCs w:val="22"/>
          <w:color w:val="auto"/>
        </w:rPr>
      </w:pPr>
      <w:r>
        <w:rPr>
          <w:rFonts w:ascii="Arial" w:cs="Arial" w:eastAsia="Arial" w:hAnsi="Arial"/>
          <w:sz w:val="22"/>
          <w:szCs w:val="22"/>
          <w:u w:val="single" w:color="auto"/>
          <w:color w:val="auto"/>
        </w:rPr>
        <w:t>Compensation Committee</w:t>
      </w:r>
      <w:r>
        <w:rPr>
          <w:rFonts w:ascii="Arial" w:cs="Arial" w:eastAsia="Arial" w:hAnsi="Arial"/>
          <w:sz w:val="22"/>
          <w:szCs w:val="22"/>
          <w:color w:val="auto"/>
        </w:rPr>
        <w:t>. A Non-Employee Director serving as Chairperson of the Compensation Committee shall be eligible to receive an additional annual retainer of $15,000 for such service. A Non-Employee Director serving as a member of the Compensation Committee (other than the Chairperson) shall be eligible to receive an additional annual retainer of $7,500 for such service.</w:t>
      </w:r>
    </w:p>
    <w:p>
      <w:pPr>
        <w:spacing w:after="0" w:line="185" w:lineRule="exact"/>
        <w:rPr>
          <w:rFonts w:ascii="Arial" w:cs="Arial" w:eastAsia="Arial" w:hAnsi="Arial"/>
          <w:sz w:val="22"/>
          <w:szCs w:val="22"/>
          <w:color w:val="auto"/>
        </w:rPr>
      </w:pPr>
    </w:p>
    <w:p>
      <w:pPr>
        <w:jc w:val="both"/>
        <w:ind w:firstLine="2642"/>
        <w:spacing w:after="0" w:line="287" w:lineRule="auto"/>
        <w:tabs>
          <w:tab w:leader="none" w:pos="3594" w:val="left"/>
        </w:tabs>
        <w:numPr>
          <w:ilvl w:val="2"/>
          <w:numId w:val="96"/>
        </w:numPr>
        <w:rPr>
          <w:rFonts w:ascii="Arial" w:cs="Arial" w:eastAsia="Arial" w:hAnsi="Arial"/>
          <w:sz w:val="19"/>
          <w:szCs w:val="19"/>
          <w:color w:val="auto"/>
        </w:rPr>
      </w:pPr>
      <w:r>
        <w:rPr>
          <w:rFonts w:ascii="Arial" w:cs="Arial" w:eastAsia="Arial" w:hAnsi="Arial"/>
          <w:sz w:val="19"/>
          <w:szCs w:val="19"/>
          <w:u w:val="single" w:color="auto"/>
          <w:color w:val="auto"/>
        </w:rPr>
        <w:t>Nominating and Corporate Governance Committee</w:t>
      </w:r>
      <w:r>
        <w:rPr>
          <w:rFonts w:ascii="Arial" w:cs="Arial" w:eastAsia="Arial" w:hAnsi="Arial"/>
          <w:sz w:val="19"/>
          <w:szCs w:val="19"/>
          <w:color w:val="auto"/>
        </w:rPr>
        <w:t>. A Non-Employee Director serving as Chairperson of the Nominating and Corporate Governance Committee shall be eligible to receive an additional annual retainer of $10,000 for such service. A Non-Employee Director serving as a member of the Nominating and Corporate Governance Committee (other than the Chairperson) shall be eligible to receive an additional annual retainer of $5,000 for such service.</w:t>
      </w:r>
    </w:p>
    <w:p>
      <w:pPr>
        <w:spacing w:after="0" w:line="143" w:lineRule="exact"/>
        <w:rPr>
          <w:rFonts w:ascii="Arial" w:cs="Arial" w:eastAsia="Arial" w:hAnsi="Arial"/>
          <w:sz w:val="19"/>
          <w:szCs w:val="19"/>
          <w:color w:val="auto"/>
        </w:rPr>
      </w:pPr>
    </w:p>
    <w:p>
      <w:pPr>
        <w:jc w:val="both"/>
        <w:ind w:firstLine="2642"/>
        <w:spacing w:after="0" w:line="252" w:lineRule="auto"/>
        <w:tabs>
          <w:tab w:leader="none" w:pos="3534" w:val="left"/>
        </w:tabs>
        <w:numPr>
          <w:ilvl w:val="2"/>
          <w:numId w:val="96"/>
        </w:numPr>
        <w:rPr>
          <w:rFonts w:ascii="Arial" w:cs="Arial" w:eastAsia="Arial" w:hAnsi="Arial"/>
          <w:sz w:val="21"/>
          <w:szCs w:val="21"/>
          <w:color w:val="auto"/>
        </w:rPr>
      </w:pPr>
      <w:r>
        <w:rPr>
          <w:rFonts w:ascii="Arial" w:cs="Arial" w:eastAsia="Arial" w:hAnsi="Arial"/>
          <w:sz w:val="21"/>
          <w:szCs w:val="21"/>
          <w:u w:val="single" w:color="auto"/>
          <w:color w:val="auto"/>
        </w:rPr>
        <w:t>Research and Development Committee</w:t>
      </w:r>
      <w:r>
        <w:rPr>
          <w:rFonts w:ascii="Arial" w:cs="Arial" w:eastAsia="Arial" w:hAnsi="Arial"/>
          <w:sz w:val="21"/>
          <w:szCs w:val="21"/>
          <w:color w:val="auto"/>
        </w:rPr>
        <w:t>. A Non-Employee Director serving as Chairperson of the Research and Development Committee shall be eligible to receive an additional annual retainer of $10,000 for such service. A Non-Employee Director serving as a member of the Research and Development Committee (other than the Chairperson) shall be eligible to receive an additional annual retainer of $5,000 for such service.</w:t>
      </w:r>
    </w:p>
    <w:p>
      <w:pPr>
        <w:spacing w:after="0" w:line="174" w:lineRule="exact"/>
        <w:rPr>
          <w:rFonts w:ascii="Arial" w:cs="Arial" w:eastAsia="Arial" w:hAnsi="Arial"/>
          <w:sz w:val="21"/>
          <w:szCs w:val="21"/>
          <w:color w:val="auto"/>
        </w:rPr>
      </w:pPr>
    </w:p>
    <w:p>
      <w:pPr>
        <w:jc w:val="both"/>
        <w:ind w:firstLine="1763"/>
        <w:spacing w:after="0" w:line="235" w:lineRule="auto"/>
        <w:tabs>
          <w:tab w:leader="none" w:pos="2643"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Payment of Retainers</w:t>
      </w:r>
      <w:r>
        <w:rPr>
          <w:rFonts w:ascii="Arial" w:cs="Arial" w:eastAsia="Arial" w:hAnsi="Arial"/>
          <w:sz w:val="22"/>
          <w:szCs w:val="22"/>
          <w:color w:val="auto"/>
        </w:rPr>
        <w:t>. The annual retainers described in Sections 1(a) and 1(b)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188" w:lineRule="exact"/>
        <w:rPr>
          <w:rFonts w:ascii="Arial" w:cs="Arial" w:eastAsia="Arial" w:hAnsi="Arial"/>
          <w:sz w:val="22"/>
          <w:szCs w:val="22"/>
          <w:color w:val="auto"/>
        </w:rPr>
      </w:pPr>
    </w:p>
    <w:p>
      <w:pPr>
        <w:jc w:val="both"/>
        <w:ind w:firstLine="885"/>
        <w:spacing w:after="0" w:line="273" w:lineRule="auto"/>
        <w:tabs>
          <w:tab w:leader="none" w:pos="168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Non-Employee Directors shall be granted the equity awards described below. Each award described below shall be granted under and shall be subject to the terms and provisions of the Company’s 2014 Incentive Plan, as amended, or any other successor Company equity incentive plan under which awards are permitted to be made to non-employee directors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shall be granted subject to the execution and delivery of (i) for option awards, a non-qualified stock option award agreement, including attached exhibits, in substantially the form of award agreement applicable to non-employee directors most recently approved by the Board Committee, and (ii) for restricted stock unit awards, a restricted stock unit award agreement, including attached exhibits, in substantially the form of award agreement applicable to non-employee directors most recently approved by the Board. All applicable terms of the Equity Plan apply to this Program as if fully set forth herein, and all grants of stock options and restricted stock units will be granted in accordance with the terms and conditions of, and hereby are subject in all respects to, the Equity Plan. For the avoidance of doubt, if there is any conflict between the terms of the Equity Plan and this Program, the Equity Plan shall control.</w:t>
      </w:r>
    </w:p>
    <w:p>
      <w:pPr>
        <w:spacing w:after="0" w:line="156" w:lineRule="exact"/>
        <w:rPr>
          <w:rFonts w:ascii="Arial" w:cs="Arial" w:eastAsia="Arial" w:hAnsi="Arial"/>
          <w:sz w:val="19"/>
          <w:szCs w:val="19"/>
          <w:color w:val="auto"/>
        </w:rPr>
      </w:pPr>
    </w:p>
    <w:p>
      <w:pPr>
        <w:jc w:val="both"/>
        <w:ind w:firstLine="1763"/>
        <w:spacing w:after="0" w:line="238" w:lineRule="auto"/>
        <w:tabs>
          <w:tab w:leader="none" w:pos="2643"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Non-Employee Director who is initially elected or appointed to the Board after the Effective Date shall be eligible to receive, on the date of such initial election or appointment, an option to purchase 80,200 shares of the Company’s common stock (subject to adjustment as provided in the Equity Plan). The awards described in this Section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Effective 1.30.19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2(a) shall be referred to as “</w:t>
      </w:r>
      <w:r>
        <w:rPr>
          <w:rFonts w:ascii="Arial" w:cs="Arial" w:eastAsia="Arial" w:hAnsi="Arial"/>
          <w:sz w:val="22"/>
          <w:szCs w:val="22"/>
          <w:b w:val="1"/>
          <w:bCs w:val="1"/>
          <w:i w:val="1"/>
          <w:iCs w:val="1"/>
          <w:color w:val="auto"/>
        </w:rPr>
        <w:t>Initial Awards</w:t>
      </w:r>
      <w:r>
        <w:rPr>
          <w:rFonts w:ascii="Arial" w:cs="Arial" w:eastAsia="Arial" w:hAnsi="Arial"/>
          <w:sz w:val="22"/>
          <w:szCs w:val="22"/>
          <w:color w:val="auto"/>
        </w:rPr>
        <w:t>.” No Non-Employee Director shall be granted more than one Initial Award.</w:t>
      </w:r>
    </w:p>
    <w:p>
      <w:pPr>
        <w:spacing w:after="0" w:line="206" w:lineRule="exact"/>
        <w:rPr>
          <w:sz w:val="20"/>
          <w:szCs w:val="20"/>
          <w:color w:val="auto"/>
        </w:rPr>
      </w:pPr>
    </w:p>
    <w:p>
      <w:pPr>
        <w:jc w:val="both"/>
        <w:ind w:firstLine="1763"/>
        <w:spacing w:after="0" w:line="245" w:lineRule="auto"/>
        <w:tabs>
          <w:tab w:leader="none" w:pos="2655"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Subsequent Awards</w:t>
      </w:r>
      <w:r>
        <w:rPr>
          <w:rFonts w:ascii="Arial" w:cs="Arial" w:eastAsia="Arial" w:hAnsi="Arial"/>
          <w:sz w:val="21"/>
          <w:szCs w:val="21"/>
          <w:color w:val="auto"/>
        </w:rPr>
        <w:t>.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option to purchase 20,100 shares of the Company’s common stock (subject to adjustment as provided in the Equity Plan) and 13,700 restricted stock units of the Company. The option awards described in this Section 2(b) shall be referred to as “</w:t>
      </w:r>
      <w:r>
        <w:rPr>
          <w:rFonts w:ascii="Arial" w:cs="Arial" w:eastAsia="Arial" w:hAnsi="Arial"/>
          <w:sz w:val="21"/>
          <w:szCs w:val="21"/>
          <w:b w:val="1"/>
          <w:bCs w:val="1"/>
          <w:i w:val="1"/>
          <w:iCs w:val="1"/>
          <w:color w:val="auto"/>
        </w:rPr>
        <w:t>Subsequent Options</w:t>
      </w:r>
      <w:r>
        <w:rPr>
          <w:rFonts w:ascii="Arial" w:cs="Arial" w:eastAsia="Arial" w:hAnsi="Arial"/>
          <w:sz w:val="21"/>
          <w:szCs w:val="21"/>
          <w:color w:val="auto"/>
        </w:rPr>
        <w:t>”, the restricted stock unit awards described in this Section 2(b) shall be referred to as “</w:t>
      </w:r>
      <w:r>
        <w:rPr>
          <w:rFonts w:ascii="Arial" w:cs="Arial" w:eastAsia="Arial" w:hAnsi="Arial"/>
          <w:sz w:val="21"/>
          <w:szCs w:val="21"/>
          <w:b w:val="1"/>
          <w:bCs w:val="1"/>
          <w:i w:val="1"/>
          <w:iCs w:val="1"/>
          <w:color w:val="auto"/>
        </w:rPr>
        <w:t>Subsequent RSUs</w:t>
      </w:r>
      <w:r>
        <w:rPr>
          <w:rFonts w:ascii="Arial" w:cs="Arial" w:eastAsia="Arial" w:hAnsi="Arial"/>
          <w:sz w:val="21"/>
          <w:szCs w:val="21"/>
          <w:color w:val="auto"/>
        </w:rPr>
        <w:t>”, and the Subsequent Options and Subsequent RSUs shall together be referred to as the “</w:t>
      </w:r>
      <w:r>
        <w:rPr>
          <w:rFonts w:ascii="Arial" w:cs="Arial" w:eastAsia="Arial" w:hAnsi="Arial"/>
          <w:sz w:val="21"/>
          <w:szCs w:val="21"/>
          <w:b w:val="1"/>
          <w:bCs w:val="1"/>
          <w:i w:val="1"/>
          <w:iCs w:val="1"/>
          <w:color w:val="auto"/>
        </w:rPr>
        <w:t>Subsequent Awards</w:t>
      </w:r>
      <w:r>
        <w:rPr>
          <w:rFonts w:ascii="Arial" w:cs="Arial" w:eastAsia="Arial" w:hAnsi="Arial"/>
          <w:sz w:val="21"/>
          <w:szCs w:val="21"/>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81" w:lineRule="exact"/>
        <w:rPr>
          <w:rFonts w:ascii="Arial" w:cs="Arial" w:eastAsia="Arial" w:hAnsi="Arial"/>
          <w:sz w:val="21"/>
          <w:szCs w:val="21"/>
          <w:color w:val="auto"/>
        </w:rPr>
      </w:pPr>
    </w:p>
    <w:p>
      <w:pPr>
        <w:jc w:val="both"/>
        <w:ind w:firstLine="1763"/>
        <w:spacing w:after="0" w:line="249" w:lineRule="auto"/>
        <w:tabs>
          <w:tab w:leader="none" w:pos="2643"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Termination of Service of Employee Directors</w:t>
      </w:r>
      <w:r>
        <w:rPr>
          <w:rFonts w:ascii="Arial" w:cs="Arial" w:eastAsia="Arial" w:hAnsi="Arial"/>
          <w:sz w:val="21"/>
          <w:szCs w:val="21"/>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w:t>
      </w:r>
    </w:p>
    <w:p>
      <w:pPr>
        <w:spacing w:after="0" w:line="178" w:lineRule="exact"/>
        <w:rPr>
          <w:rFonts w:ascii="Arial" w:cs="Arial" w:eastAsia="Arial" w:hAnsi="Arial"/>
          <w:sz w:val="21"/>
          <w:szCs w:val="21"/>
          <w:color w:val="auto"/>
        </w:rPr>
      </w:pPr>
    </w:p>
    <w:p>
      <w:pPr>
        <w:ind w:left="2660" w:hanging="897"/>
        <w:spacing w:after="0"/>
        <w:tabs>
          <w:tab w:leader="none" w:pos="2660"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06" w:lineRule="exact"/>
        <w:rPr>
          <w:rFonts w:ascii="Arial" w:cs="Arial" w:eastAsia="Arial" w:hAnsi="Arial"/>
          <w:sz w:val="22"/>
          <w:szCs w:val="22"/>
          <w:color w:val="auto"/>
        </w:rPr>
      </w:pPr>
    </w:p>
    <w:p>
      <w:pPr>
        <w:jc w:val="both"/>
        <w:ind w:firstLine="2642"/>
        <w:spacing w:after="0"/>
        <w:tabs>
          <w:tab w:leader="none" w:pos="3486" w:val="left"/>
        </w:tabs>
        <w:numPr>
          <w:ilvl w:val="2"/>
          <w:numId w:val="99"/>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The per share exercise price of each option granted to a Non-Employee Director shall equal the fair market value (as determined pursuant to the Equity Plan) of a share of common stock on the date the option is granted.</w:t>
      </w:r>
    </w:p>
    <w:p>
      <w:pPr>
        <w:spacing w:after="0" w:line="186" w:lineRule="exact"/>
        <w:rPr>
          <w:rFonts w:ascii="Arial" w:cs="Arial" w:eastAsia="Arial" w:hAnsi="Arial"/>
          <w:sz w:val="22"/>
          <w:szCs w:val="22"/>
          <w:color w:val="auto"/>
        </w:rPr>
      </w:pPr>
    </w:p>
    <w:p>
      <w:pPr>
        <w:jc w:val="both"/>
        <w:ind w:firstLine="2642"/>
        <w:spacing w:after="0" w:line="271" w:lineRule="auto"/>
        <w:tabs>
          <w:tab w:leader="none" w:pos="3546" w:val="left"/>
        </w:tabs>
        <w:numPr>
          <w:ilvl w:val="2"/>
          <w:numId w:val="99"/>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Each Initial Award shall vest and become exercisable in accordance with the following schedule, subject to the Non-Employee Director remaining in continuous service on the Board through each such vesting date: 25% of the Initial Award shall vest on the one-year anniversary of the date of grant and 75% shall vest ratably on the first day of each calendar quarter between the one-year anniversary of the date of grant and the fourth anniversary of the date of grant.</w:t>
      </w:r>
    </w:p>
    <w:p>
      <w:pPr>
        <w:spacing w:after="0" w:line="3" w:lineRule="exact"/>
        <w:rPr>
          <w:rFonts w:ascii="Arial" w:cs="Arial" w:eastAsia="Arial" w:hAnsi="Arial"/>
          <w:sz w:val="19"/>
          <w:szCs w:val="19"/>
          <w:color w:val="auto"/>
        </w:rPr>
      </w:pPr>
    </w:p>
    <w:p>
      <w:pPr>
        <w:jc w:val="both"/>
        <w:spacing w:after="0" w:line="277" w:lineRule="auto"/>
        <w:rPr>
          <w:rFonts w:ascii="Arial" w:cs="Arial" w:eastAsia="Arial" w:hAnsi="Arial"/>
          <w:sz w:val="19"/>
          <w:szCs w:val="19"/>
          <w:color w:val="auto"/>
        </w:rPr>
      </w:pPr>
      <w:r>
        <w:rPr>
          <w:rFonts w:ascii="Arial" w:cs="Arial" w:eastAsia="Arial" w:hAnsi="Arial"/>
          <w:sz w:val="19"/>
          <w:szCs w:val="19"/>
          <w:color w:val="auto"/>
        </w:rPr>
        <w:t>Each Subsequent Option shall vest and become exercisable in full on the first anniversary of the date of grant subject to the Non-Employee Director remaining in continuous service on the Board through such vesting date. Each Subsequent RSU shall vest in full on the first anniversary of the date of grant subject to the Non-Employee Director remaining in continuous service on the Board through such vesting date. In no event shall any portion of an Initial Award or Subsequent Award that is unvested or unexercisable at the time of a Non-Employee Director’s termination of service on the Board become vested and exercisable thereafter.</w:t>
      </w:r>
    </w:p>
    <w:p>
      <w:pPr>
        <w:spacing w:after="0" w:line="152" w:lineRule="exact"/>
        <w:rPr>
          <w:rFonts w:ascii="Arial" w:cs="Arial" w:eastAsia="Arial" w:hAnsi="Arial"/>
          <w:sz w:val="19"/>
          <w:szCs w:val="19"/>
          <w:color w:val="auto"/>
        </w:rPr>
      </w:pPr>
    </w:p>
    <w:p>
      <w:pPr>
        <w:ind w:left="3620" w:hanging="978"/>
        <w:spacing w:after="0"/>
        <w:tabs>
          <w:tab w:leader="none" w:pos="3620" w:val="left"/>
        </w:tabs>
        <w:numPr>
          <w:ilvl w:val="2"/>
          <w:numId w:val="9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each stock option granted to a Non-Employee Director shall be ten</w:t>
      </w:r>
    </w:p>
    <w:p>
      <w:pPr>
        <w:spacing w:after="0" w:line="42" w:lineRule="exact"/>
        <w:rPr>
          <w:rFonts w:ascii="Arial" w:cs="Arial" w:eastAsia="Arial" w:hAnsi="Arial"/>
          <w:sz w:val="19"/>
          <w:szCs w:val="19"/>
          <w:color w:val="auto"/>
        </w:rPr>
      </w:pPr>
    </w:p>
    <w:p>
      <w:pPr>
        <w:ind w:left="420" w:hanging="412"/>
        <w:spacing w:after="0"/>
        <w:tabs>
          <w:tab w:leader="none" w:pos="4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years from the date the option is granted.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Effective 1.30.19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81" w:name="page182"/>
    <w:bookmarkEnd w:id="181"/>
    <w:p>
      <w:pPr>
        <w:jc w:val="both"/>
        <w:ind w:firstLine="885"/>
        <w:spacing w:after="0" w:line="275" w:lineRule="auto"/>
        <w:tabs>
          <w:tab w:leader="none" w:pos="1688"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Reimbursements</w:t>
      </w:r>
      <w:r>
        <w:rPr>
          <w:rFonts w:ascii="Arial" w:cs="Arial" w:eastAsia="Arial" w:hAnsi="Arial"/>
          <w:sz w:val="19"/>
          <w:szCs w:val="19"/>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To the extent that any reimbursement under the this Program provides for a deferral of compensation under Section 409A of the Internal Revenue Code of 1986, as amended: (a) the amount eligible for reimbursement in one calendar year may not affect the amount eligible for reimbursement in any other calendar year; (b) the right to reimbursement is not subject to liquidation or exchange for another benefit; and (c) any such reimbursement of an expense must be made on or before the last day of the calendar year following the calendar year in which the expense was incurred.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Effective 1.30.19</w:t>
      </w:r>
    </w:p>
    <w:p>
      <w:pPr>
        <w:sectPr>
          <w:pgSz w:w="11900" w:h="16838" w:orient="portrait"/>
          <w:cols w:equalWidth="0" w:num="1">
            <w:col w:w="11420"/>
          </w:cols>
          <w:pgMar w:left="240" w:top="334"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0"/>
          <w:szCs w:val="20"/>
          <w:color w:val="auto"/>
        </w:rPr>
        <w:t>CONFIDENTIAL</w:t>
      </w:r>
    </w:p>
    <w:p>
      <w:pPr>
        <w:spacing w:after="0" w:line="206" w:lineRule="exact"/>
        <w:rPr>
          <w:sz w:val="20"/>
          <w:szCs w:val="20"/>
          <w:color w:val="auto"/>
        </w:rPr>
      </w:pPr>
    </w:p>
    <w:p>
      <w:pPr>
        <w:ind w:left="9960"/>
        <w:spacing w:after="0"/>
        <w:rPr>
          <w:sz w:val="20"/>
          <w:szCs w:val="20"/>
          <w:color w:val="auto"/>
        </w:rPr>
      </w:pPr>
      <w:r>
        <w:rPr>
          <w:rFonts w:ascii="Arial" w:cs="Arial" w:eastAsia="Arial" w:hAnsi="Arial"/>
          <w:sz w:val="21"/>
          <w:szCs w:val="21"/>
          <w:b w:val="1"/>
          <w:bCs w:val="1"/>
          <w:color w:val="auto"/>
        </w:rPr>
        <w:t>EXHIBIT 10.38</w:t>
      </w:r>
    </w:p>
    <w:p>
      <w:pPr>
        <w:spacing w:after="0" w:line="224"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Double asterisks denote omissions.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October 24,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Mr. Michael Chiang</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line="230" w:lineRule="auto"/>
        <w:rPr>
          <w:sz w:val="20"/>
          <w:szCs w:val="20"/>
          <w:color w:val="auto"/>
        </w:rPr>
      </w:pPr>
      <w:r>
        <w:rPr>
          <w:rFonts w:ascii="Arial" w:cs="Arial" w:eastAsia="Arial" w:hAnsi="Arial"/>
          <w:sz w:val="22"/>
          <w:szCs w:val="22"/>
          <w:color w:val="auto"/>
        </w:rPr>
        <w:t>Panion &amp; BF Biotech, Inc.</w:t>
      </w:r>
    </w:p>
    <w:p>
      <w:pPr>
        <w:spacing w:after="0" w:line="231" w:lineRule="auto"/>
        <w:rPr>
          <w:sz w:val="20"/>
          <w:szCs w:val="20"/>
          <w:color w:val="auto"/>
        </w:rPr>
      </w:pPr>
      <w:r>
        <w:rPr>
          <w:rFonts w:ascii="Arial" w:cs="Arial" w:eastAsia="Arial" w:hAnsi="Arial"/>
          <w:sz w:val="22"/>
          <w:szCs w:val="22"/>
          <w:color w:val="auto"/>
        </w:rPr>
        <w:t>16F No.3, Yuanqu St.</w:t>
      </w:r>
    </w:p>
    <w:p>
      <w:pPr>
        <w:spacing w:after="0" w:line="231" w:lineRule="auto"/>
        <w:rPr>
          <w:sz w:val="20"/>
          <w:szCs w:val="20"/>
          <w:color w:val="auto"/>
        </w:rPr>
      </w:pPr>
      <w:r>
        <w:rPr>
          <w:rFonts w:ascii="Arial" w:cs="Arial" w:eastAsia="Arial" w:hAnsi="Arial"/>
          <w:sz w:val="22"/>
          <w:szCs w:val="22"/>
          <w:color w:val="auto"/>
        </w:rPr>
        <w:t>Nangang District</w:t>
      </w:r>
    </w:p>
    <w:p>
      <w:pPr>
        <w:spacing w:after="0"/>
        <w:rPr>
          <w:sz w:val="20"/>
          <w:szCs w:val="20"/>
          <w:color w:val="auto"/>
        </w:rPr>
      </w:pPr>
      <w:r>
        <w:rPr>
          <w:rFonts w:ascii="Arial" w:cs="Arial" w:eastAsia="Arial" w:hAnsi="Arial"/>
          <w:sz w:val="22"/>
          <w:szCs w:val="22"/>
          <w:color w:val="auto"/>
        </w:rPr>
        <w:t>Taipei 115, Taiwan, ROC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Mr. John Butler</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line="230" w:lineRule="auto"/>
        <w:rPr>
          <w:sz w:val="20"/>
          <w:szCs w:val="20"/>
          <w:color w:val="auto"/>
        </w:rPr>
      </w:pPr>
      <w:r>
        <w:rPr>
          <w:rFonts w:ascii="Arial" w:cs="Arial" w:eastAsia="Arial" w:hAnsi="Arial"/>
          <w:sz w:val="22"/>
          <w:szCs w:val="22"/>
          <w:color w:val="auto"/>
        </w:rPr>
        <w:t>Akebia Therapeutics, Inc.</w:t>
      </w:r>
    </w:p>
    <w:p>
      <w:pPr>
        <w:spacing w:after="0" w:line="231" w:lineRule="auto"/>
        <w:rPr>
          <w:sz w:val="20"/>
          <w:szCs w:val="20"/>
          <w:color w:val="auto"/>
        </w:rPr>
      </w:pPr>
      <w:r>
        <w:rPr>
          <w:rFonts w:ascii="Arial" w:cs="Arial" w:eastAsia="Arial" w:hAnsi="Arial"/>
          <w:sz w:val="22"/>
          <w:szCs w:val="22"/>
          <w:color w:val="auto"/>
        </w:rPr>
        <w:t>245 First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Cambridge, MA 02142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Michael and John: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color w:val="auto"/>
        </w:rPr>
        <w:t>Letter Agreement</w:t>
      </w:r>
      <w:r>
        <w:rPr>
          <w:rFonts w:ascii="Arial" w:cs="Arial" w:eastAsia="Arial" w:hAnsi="Arial"/>
          <w:sz w:val="19"/>
          <w:szCs w:val="19"/>
          <w:color w:val="auto"/>
        </w:rPr>
        <w:t>”) sets forth the agreement between Keryx Biopharmaceuticals, Inc. (“</w:t>
      </w:r>
      <w:r>
        <w:rPr>
          <w:rFonts w:ascii="Arial" w:cs="Arial" w:eastAsia="Arial" w:hAnsi="Arial"/>
          <w:sz w:val="19"/>
          <w:szCs w:val="19"/>
          <w:b w:val="1"/>
          <w:bCs w:val="1"/>
          <w:color w:val="auto"/>
        </w:rPr>
        <w:t>Keryx</w:t>
      </w:r>
      <w:r>
        <w:rPr>
          <w:rFonts w:ascii="Arial" w:cs="Arial" w:eastAsia="Arial" w:hAnsi="Arial"/>
          <w:sz w:val="19"/>
          <w:szCs w:val="19"/>
          <w:color w:val="auto"/>
        </w:rPr>
        <w:t>”), Panion</w:t>
      </w:r>
    </w:p>
    <w:p>
      <w:pPr>
        <w:spacing w:after="0" w:line="49" w:lineRule="exact"/>
        <w:rPr>
          <w:sz w:val="20"/>
          <w:szCs w:val="20"/>
          <w:color w:val="auto"/>
        </w:rPr>
      </w:pPr>
    </w:p>
    <w:p>
      <w:pPr>
        <w:jc w:val="both"/>
        <w:ind w:firstLine="8"/>
        <w:spacing w:after="0" w:line="233" w:lineRule="auto"/>
        <w:tabs>
          <w:tab w:leader="none" w:pos="25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BF Biotech, Inc. (“</w:t>
      </w:r>
      <w:r>
        <w:rPr>
          <w:rFonts w:ascii="Arial" w:cs="Arial" w:eastAsia="Arial" w:hAnsi="Arial"/>
          <w:sz w:val="22"/>
          <w:szCs w:val="22"/>
          <w:b w:val="1"/>
          <w:bCs w:val="1"/>
          <w:color w:val="auto"/>
        </w:rPr>
        <w:t>Panion</w:t>
      </w:r>
      <w:r>
        <w:rPr>
          <w:rFonts w:ascii="Arial" w:cs="Arial" w:eastAsia="Arial" w:hAnsi="Arial"/>
          <w:sz w:val="22"/>
          <w:szCs w:val="22"/>
          <w:color w:val="auto"/>
        </w:rPr>
        <w:t>”) and Akebia Therapeutics, Inc. (“</w:t>
      </w:r>
      <w:r>
        <w:rPr>
          <w:rFonts w:ascii="Arial" w:cs="Arial" w:eastAsia="Arial" w:hAnsi="Arial"/>
          <w:sz w:val="22"/>
          <w:szCs w:val="22"/>
          <w:b w:val="1"/>
          <w:bCs w:val="1"/>
          <w:color w:val="auto"/>
        </w:rPr>
        <w:t>Akebia</w:t>
      </w:r>
      <w:r>
        <w:rPr>
          <w:rFonts w:ascii="Arial" w:cs="Arial" w:eastAsia="Arial" w:hAnsi="Arial"/>
          <w:sz w:val="22"/>
          <w:szCs w:val="22"/>
          <w:color w:val="auto"/>
        </w:rPr>
        <w:t>”) (each, individually,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pursuant to which the Parties agree to certain terms related to the Amended and Restated License Agreement between Panion and Keryx dated March 17, 2008, as amended on November 14, 2008 (the “</w:t>
      </w:r>
      <w:r>
        <w:rPr>
          <w:rFonts w:ascii="Arial" w:cs="Arial" w:eastAsia="Arial" w:hAnsi="Arial"/>
          <w:sz w:val="22"/>
          <w:szCs w:val="22"/>
          <w:b w:val="1"/>
          <w:bCs w:val="1"/>
          <w:color w:val="auto"/>
        </w:rPr>
        <w:t>License Agreement</w:t>
      </w:r>
      <w:r>
        <w:rPr>
          <w:rFonts w:ascii="Arial" w:cs="Arial" w:eastAsia="Arial" w:hAnsi="Arial"/>
          <w:sz w:val="22"/>
          <w:szCs w:val="22"/>
          <w:color w:val="auto"/>
        </w:rPr>
        <w:t>”). The effective date of this Letter Agreement is October 24, 2018 (the “</w:t>
      </w:r>
      <w:r>
        <w:rPr>
          <w:rFonts w:ascii="Arial" w:cs="Arial" w:eastAsia="Arial" w:hAnsi="Arial"/>
          <w:sz w:val="22"/>
          <w:szCs w:val="22"/>
          <w:b w:val="1"/>
          <w:bCs w:val="1"/>
          <w:color w:val="auto"/>
        </w:rPr>
        <w:t>Effective Date</w:t>
      </w:r>
      <w:r>
        <w:rPr>
          <w:rFonts w:ascii="Arial" w:cs="Arial" w:eastAsia="Arial" w:hAnsi="Arial"/>
          <w:sz w:val="22"/>
          <w:szCs w:val="22"/>
          <w:color w:val="auto"/>
        </w:rPr>
        <w:t>”). All terms not defined herein shall have the meaning set forth in the License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Parties hereby agree as follows:</w:t>
      </w:r>
    </w:p>
    <w:p>
      <w:pPr>
        <w:spacing w:after="0" w:line="98" w:lineRule="exact"/>
        <w:rPr>
          <w:sz w:val="20"/>
          <w:szCs w:val="20"/>
          <w:color w:val="auto"/>
        </w:rPr>
      </w:pPr>
    </w:p>
    <w:p>
      <w:pPr>
        <w:jc w:val="both"/>
        <w:ind w:left="880" w:hanging="440"/>
        <w:spacing w:after="0" w:line="248" w:lineRule="auto"/>
        <w:tabs>
          <w:tab w:leader="none" w:pos="8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As of the Effective Date, Panion hereby rescinds any and all termination threats or notices related to the License Agreement provided to Keryx prior to such date, including without limitation the notices dated [**] and [**]. Panion, as of the Effective Date, waives any and all rights it may have to terminate the License Agreement pursuant to Section 12.3.1(a) based on any alleged breach by Keryx of Section 7.2 of the License Agreement until the Amendment, as defined below, is executed. If the Amendment is executed, the Parties shall have those termination rights set forth in the License Agreement as may be modified by the Amendment.</w:t>
      </w:r>
    </w:p>
    <w:p>
      <w:pPr>
        <w:spacing w:after="0" w:line="123" w:lineRule="exact"/>
        <w:rPr>
          <w:rFonts w:ascii="Arial" w:cs="Arial" w:eastAsia="Arial" w:hAnsi="Arial"/>
          <w:sz w:val="21"/>
          <w:szCs w:val="21"/>
          <w:color w:val="auto"/>
        </w:rPr>
      </w:pPr>
    </w:p>
    <w:p>
      <w:pPr>
        <w:jc w:val="both"/>
        <w:ind w:left="880"/>
        <w:spacing w:after="0" w:line="249" w:lineRule="auto"/>
        <w:rPr>
          <w:rFonts w:ascii="Arial" w:cs="Arial" w:eastAsia="Arial" w:hAnsi="Arial"/>
          <w:sz w:val="21"/>
          <w:szCs w:val="21"/>
          <w:color w:val="auto"/>
        </w:rPr>
      </w:pPr>
      <w:r>
        <w:rPr>
          <w:rFonts w:ascii="Arial" w:cs="Arial" w:eastAsia="Arial" w:hAnsi="Arial"/>
          <w:sz w:val="21"/>
          <w:szCs w:val="21"/>
          <w:color w:val="auto"/>
        </w:rPr>
        <w:t xml:space="preserve">If the merger between Akebia and Keryx is not consummated, then Keryx and Panion will fulfill the obligations set forth in this Letter Agreement and negotiate in good faith an amendment to the License Agreement which shall include the terms set forth in </w:t>
      </w:r>
      <w:r>
        <w:rPr>
          <w:rFonts w:ascii="Arial" w:cs="Arial" w:eastAsia="Arial" w:hAnsi="Arial"/>
          <w:sz w:val="21"/>
          <w:szCs w:val="21"/>
          <w:u w:val="single" w:color="auto"/>
          <w:color w:val="auto"/>
        </w:rPr>
        <w:t>Attachment A</w:t>
      </w:r>
      <w:r>
        <w:rPr>
          <w:rFonts w:ascii="Arial" w:cs="Arial" w:eastAsia="Arial" w:hAnsi="Arial"/>
          <w:sz w:val="21"/>
          <w:szCs w:val="21"/>
          <w:color w:val="auto"/>
        </w:rPr>
        <w:t xml:space="preserve"> to this Letter Agreement (the “</w:t>
      </w:r>
      <w:r>
        <w:rPr>
          <w:rFonts w:ascii="Arial" w:cs="Arial" w:eastAsia="Arial" w:hAnsi="Arial"/>
          <w:sz w:val="21"/>
          <w:szCs w:val="21"/>
          <w:b w:val="1"/>
          <w:bCs w:val="1"/>
          <w:color w:val="auto"/>
        </w:rPr>
        <w:t>Amendment</w:t>
      </w:r>
      <w:r>
        <w:rPr>
          <w:rFonts w:ascii="Arial" w:cs="Arial" w:eastAsia="Arial" w:hAnsi="Arial"/>
          <w:sz w:val="21"/>
          <w:szCs w:val="21"/>
          <w:color w:val="auto"/>
        </w:rPr>
        <w:t xml:space="preserve">”) within [**] following the date the merger is formally abandoned;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merger is not consummated and the Amendment is not executed within such [**] period, then the waiver set forth above shall expire.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ActiveUS 172316334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color w:val="auto"/>
        </w:rPr>
        <w:t>CONFIDENTIAL</w:t>
      </w:r>
    </w:p>
    <w:p>
      <w:pPr>
        <w:spacing w:after="0" w:line="212" w:lineRule="exact"/>
        <w:rPr>
          <w:sz w:val="20"/>
          <w:szCs w:val="20"/>
          <w:color w:val="auto"/>
        </w:rPr>
      </w:pPr>
    </w:p>
    <w:p>
      <w:pPr>
        <w:ind w:left="880" w:hanging="440"/>
        <w:spacing w:after="0"/>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Keryx will pay Panion five hundred thousand United States dollars ($500,000) within [**] after the Effective Date.</w:t>
      </w:r>
    </w:p>
    <w:p>
      <w:pPr>
        <w:spacing w:after="0" w:line="109" w:lineRule="exact"/>
        <w:rPr>
          <w:rFonts w:ascii="Arial" w:cs="Arial" w:eastAsia="Arial" w:hAnsi="Arial"/>
          <w:sz w:val="21"/>
          <w:szCs w:val="21"/>
          <w:color w:val="auto"/>
        </w:rPr>
      </w:pPr>
    </w:p>
    <w:p>
      <w:pPr>
        <w:jc w:val="both"/>
        <w:ind w:left="880" w:hanging="440"/>
        <w:spacing w:after="0" w:line="235" w:lineRule="auto"/>
        <w:tabs>
          <w:tab w:leader="none" w:pos="8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terms and conditions set out in paragraph (d) of this Letter Agreement shall come into effect immediately following the closing of the merger contemplated in the Agreement and Plan of Merger dated June 28, 2018, as amended on October 1, 2018 and as may be amended further from time to time, by and among Akebia, Alpha Therapeutics Merger Sub, Inc., a Delaware corporation and a wholly-owned subsidiary of Akebia, and Keryx (such closing date, the “</w:t>
      </w:r>
      <w:r>
        <w:rPr>
          <w:rFonts w:ascii="Arial" w:cs="Arial" w:eastAsia="Arial" w:hAnsi="Arial"/>
          <w:sz w:val="22"/>
          <w:szCs w:val="22"/>
          <w:b w:val="1"/>
          <w:bCs w:val="1"/>
          <w:color w:val="auto"/>
        </w:rPr>
        <w:t>Closing</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All other terms of this Letter Agreement, except for the terms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Attachment A</w:t>
      </w:r>
      <w:r>
        <w:rPr>
          <w:rFonts w:ascii="Arial" w:cs="Arial" w:eastAsia="Arial" w:hAnsi="Arial"/>
          <w:sz w:val="22"/>
          <w:szCs w:val="22"/>
          <w:color w:val="auto"/>
        </w:rPr>
        <w:t>, will come into effect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Effective Date.</w:t>
      </w:r>
    </w:p>
    <w:p>
      <w:pPr>
        <w:spacing w:after="0" w:line="80" w:lineRule="exact"/>
        <w:rPr>
          <w:rFonts w:ascii="Arial" w:cs="Arial" w:eastAsia="Arial" w:hAnsi="Arial"/>
          <w:sz w:val="22"/>
          <w:szCs w:val="22"/>
          <w:color w:val="auto"/>
        </w:rPr>
      </w:pPr>
    </w:p>
    <w:p>
      <w:pPr>
        <w:jc w:val="both"/>
        <w:ind w:left="880" w:hanging="440"/>
        <w:spacing w:after="0"/>
        <w:tabs>
          <w:tab w:leader="none" w:pos="8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Promptly following the Closing Date, Akebia and Panion shall negotiate in good faith the Amendment which shall include the terms set forth in </w:t>
      </w:r>
      <w:r>
        <w:rPr>
          <w:rFonts w:ascii="Arial" w:cs="Arial" w:eastAsia="Arial" w:hAnsi="Arial"/>
          <w:sz w:val="22"/>
          <w:szCs w:val="22"/>
          <w:u w:val="single" w:color="auto"/>
          <w:color w:val="auto"/>
        </w:rPr>
        <w:t>Attachment A</w:t>
      </w:r>
      <w:r>
        <w:rPr>
          <w:rFonts w:ascii="Arial" w:cs="Arial" w:eastAsia="Arial" w:hAnsi="Arial"/>
          <w:sz w:val="22"/>
          <w:szCs w:val="22"/>
          <w:color w:val="auto"/>
        </w:rPr>
        <w:t xml:space="preserve"> to this Letter Agreement and shall use commercially reasonable efforts to enter into the Amendment within [**] following the Closing Date.</w:t>
      </w:r>
    </w:p>
    <w:p>
      <w:pPr>
        <w:spacing w:after="0" w:line="78" w:lineRule="exact"/>
        <w:rPr>
          <w:rFonts w:ascii="Arial" w:cs="Arial" w:eastAsia="Arial" w:hAnsi="Arial"/>
          <w:sz w:val="22"/>
          <w:szCs w:val="22"/>
          <w:color w:val="auto"/>
        </w:rPr>
      </w:pPr>
    </w:p>
    <w:p>
      <w:pPr>
        <w:jc w:val="both"/>
        <w:ind w:left="880" w:hanging="440"/>
        <w:spacing w:after="0" w:line="271" w:lineRule="auto"/>
        <w:tabs>
          <w:tab w:leader="none" w:pos="8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9.1 of the License Agreement, as of the Effective Date, Keryx shall have the sole right, but not the obligation, to conduct any litigation against an ANDA filer or other infringer of the Patent Rights in the Territory, as follows: In the event that Keryx or Panion becomes aware that a Compound or a Product being made, used or sold by a third party infringes the Patent Rights licensed hereunder, such Party shall promptly, but in any event within [**] of becoming aware of such infringement, advise the other Party of all known facts and circumstances relating thereto. Keryx shall have the sole right, but not the obligation, to enforce, at Keryx’s sole expense (including all costs, expenditures and attorney’s fees), the Patent Rights licensed under the License Agreement against infringement by any ANDA filer or other infringer in the Territory, and shall have the sole right to control the prosecution of such legal action and make all decisions with respect to such litigation, including the selection of outside counsel. Panion shall reasonably cooperate in any such enforcement and, if necessary, join as a party therein, at the expense of Keryx. Keryx shall have the right to retain 100% of the proceeds of any such enforcement action. Subject to any protective orders and Keryx’s confidentiality obligations to third parties, Keryx will keep Panion timely and fully apprised of all pleadings, motions, briefs and discovery requests, as well as all claims and defenses being asserted, and all material strategic decisions in any infringement litigation for Auryxia</w:t>
      </w:r>
      <w:r>
        <w:rPr>
          <w:rFonts w:ascii="Arial" w:cs="Arial" w:eastAsia="Arial" w:hAnsi="Arial"/>
          <w:sz w:val="16"/>
          <w:szCs w:val="16"/>
          <w:color w:val="auto"/>
        </w:rPr>
        <w:t>®</w:t>
      </w:r>
      <w:r>
        <w:rPr>
          <w:rFonts w:ascii="Arial" w:cs="Arial" w:eastAsia="Arial" w:hAnsi="Arial"/>
          <w:sz w:val="19"/>
          <w:szCs w:val="19"/>
          <w:color w:val="auto"/>
        </w:rPr>
        <w:t xml:space="preserve"> (ferric citrate) and Fexeric</w:t>
      </w:r>
      <w:r>
        <w:rPr>
          <w:rFonts w:ascii="Arial" w:cs="Arial" w:eastAsia="Arial" w:hAnsi="Arial"/>
          <w:sz w:val="16"/>
          <w:szCs w:val="16"/>
          <w:color w:val="auto"/>
        </w:rPr>
        <w:t>®</w:t>
      </w:r>
      <w:r>
        <w:rPr>
          <w:rFonts w:ascii="Arial" w:cs="Arial" w:eastAsia="Arial" w:hAnsi="Arial"/>
          <w:sz w:val="19"/>
          <w:szCs w:val="19"/>
          <w:color w:val="auto"/>
        </w:rPr>
        <w:t xml:space="preserve"> (ferric citrate). The Amendment shall include the language set forth in this paragraph (e) as well as additional details as are customary for similar provisions in similar license agreements.</w:t>
      </w:r>
    </w:p>
    <w:p>
      <w:pPr>
        <w:spacing w:after="0" w:line="296" w:lineRule="exact"/>
        <w:rPr>
          <w:rFonts w:ascii="Arial" w:cs="Arial" w:eastAsia="Arial" w:hAnsi="Arial"/>
          <w:sz w:val="19"/>
          <w:szCs w:val="19"/>
          <w:color w:val="auto"/>
        </w:rPr>
      </w:pPr>
    </w:p>
    <w:p>
      <w:pPr>
        <w:ind w:left="880" w:hanging="440"/>
        <w:spacing w:after="0"/>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Parties will agree on a regulatory plan for Fexeric</w:t>
      </w:r>
      <w:r>
        <w:rPr>
          <w:rFonts w:ascii="Arial" w:cs="Arial" w:eastAsia="Arial" w:hAnsi="Arial"/>
          <w:sz w:val="17"/>
          <w:szCs w:val="17"/>
          <w:color w:val="auto"/>
        </w:rPr>
        <w:t>®</w:t>
      </w:r>
      <w:r>
        <w:rPr>
          <w:rFonts w:ascii="Arial" w:cs="Arial" w:eastAsia="Arial" w:hAnsi="Arial"/>
          <w:sz w:val="21"/>
          <w:szCs w:val="21"/>
          <w:color w:val="auto"/>
        </w:rPr>
        <w:t xml:space="preserve"> in Europe within four (4) months after the Effective Date.</w:t>
      </w:r>
    </w:p>
    <w:p>
      <w:pPr>
        <w:spacing w:after="0" w:line="109" w:lineRule="exact"/>
        <w:rPr>
          <w:rFonts w:ascii="Arial" w:cs="Arial" w:eastAsia="Arial" w:hAnsi="Arial"/>
          <w:sz w:val="21"/>
          <w:szCs w:val="21"/>
          <w:color w:val="auto"/>
        </w:rPr>
      </w:pPr>
    </w:p>
    <w:p>
      <w:pPr>
        <w:jc w:val="both"/>
        <w:ind w:left="880" w:hanging="440"/>
        <w:spacing w:after="0" w:line="287" w:lineRule="auto"/>
        <w:tabs>
          <w:tab w:leader="none" w:pos="8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Except as expressly provided herein, no right, title, or interest is granted by a Party to the other Parties in, to, or under any intellectual property or tangible rights of such Party. No license or other right is or shall be created or granted hereunder by implication, estoppel, or otherwise. All rights of a Party not expressly granted by such Party to the other Parties under this Letter Agreement are reserved by such Party and may be used by such Party for any purpose.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ActiveUS 172316334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0"/>
          <w:szCs w:val="20"/>
          <w:color w:val="auto"/>
        </w:rPr>
        <w:t>CONFIDENTIAL</w:t>
      </w:r>
    </w:p>
    <w:p>
      <w:pPr>
        <w:spacing w:after="0" w:line="212" w:lineRule="exact"/>
        <w:rPr>
          <w:sz w:val="20"/>
          <w:szCs w:val="20"/>
          <w:color w:val="auto"/>
        </w:rPr>
      </w:pPr>
    </w:p>
    <w:p>
      <w:pPr>
        <w:jc w:val="both"/>
        <w:ind w:left="880" w:hanging="440"/>
        <w:spacing w:after="0" w:line="249" w:lineRule="auto"/>
        <w:tabs>
          <w:tab w:leader="none" w:pos="8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This Letter Agreement is binding upon and inures to the benefit of the Parties. The Parties agree that their rights and obligations under this Letter Agreement may not be transferred or assigned to a third party without the prior written consent of the other Parties, except to an affiliate of such Party or to a successor to all or substantially all of its business or assets relating to this Letter Agreement, whether by operation of law, sale, merger, or otherwise. Any attempted assignment that is inconsistent with this paragraph (h)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w:t>
      </w:r>
    </w:p>
    <w:p>
      <w:pPr>
        <w:spacing w:after="0" w:line="70" w:lineRule="exact"/>
        <w:rPr>
          <w:rFonts w:ascii="Arial" w:cs="Arial" w:eastAsia="Arial" w:hAnsi="Arial"/>
          <w:sz w:val="21"/>
          <w:szCs w:val="21"/>
          <w:color w:val="auto"/>
        </w:rPr>
      </w:pPr>
    </w:p>
    <w:p>
      <w:pPr>
        <w:jc w:val="both"/>
        <w:ind w:left="880" w:hanging="440"/>
        <w:spacing w:after="0" w:line="270" w:lineRule="auto"/>
        <w:tabs>
          <w:tab w:leader="none" w:pos="8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Party agrees to keep the terms of this Letter Agreement, as well as any confidential or proprietary information disclosed by one Party to another Party or the other Parties in connection with the transaction contemplated by this Letter Agreement and negotiations related thereto, or any Party’s business information, or other confidential or proprietary information relating to a Party’s products and product candidates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confidential in accordance with the following: Each Party will hold in confidence any Confidential Information of the other Parties, not disclose any such Confidential Information to third parties, and not copy or use such Confidential Information other than to effect the intent of this Letter Agreement (the “</w:t>
      </w:r>
      <w:r>
        <w:rPr>
          <w:rFonts w:ascii="Arial" w:cs="Arial" w:eastAsia="Arial" w:hAnsi="Arial"/>
          <w:sz w:val="19"/>
          <w:szCs w:val="19"/>
          <w:b w:val="1"/>
          <w:bCs w:val="1"/>
          <w:color w:val="auto"/>
        </w:rPr>
        <w:t>Purpose</w:t>
      </w:r>
      <w:r>
        <w:rPr>
          <w:rFonts w:ascii="Arial" w:cs="Arial" w:eastAsia="Arial" w:hAnsi="Arial"/>
          <w:sz w:val="19"/>
          <w:szCs w:val="19"/>
          <w:color w:val="auto"/>
        </w:rPr>
        <w:t>”). Each Party will treat all Confidential Information of the other Parties with the same degree of care as it accords to its own Confidential Information, and no less than reasonable care. Each Party will only disclose Confidential Information of the other Parties to those of its employees or consultants who have a need to know such Confidential Information in connection with the Purpose and have previously agreed to keep it confidential. If a receiving Party is legally required to disclose any Confidential Information, it will use its reasonable efforts to limit disclosure and to obtain confidential treatment or a protective order and allow to the fullest extent possible the disclosing Party to participate in the proceeding. If the receiving Party is nonetheless, under advice of legal counsel, legally compelled, under applicable law, rule, regulation or rule of a securities exchange, to disclose any Confidential Information, the receiving Party may disclose such Confidential Information solely to the extent necessary to comply with the legal requirement. The foregoing obligations will not apply to any Confidential Information which (as evidenced by contemporaneous documentation): (i) the receiving Party can demonstrate was in its rightful possession free of any obligation of confidence prior to its first receipt from the other Party, (ii) is publicly known through no fault of the receiving Party, (iii) is obtained from a third party who had a right to disclose it without any confidentiality obligations, or (iv) the receiving Party can show was independently developed without access to any Confidential Information of the other Party.</w:t>
      </w:r>
    </w:p>
    <w:p>
      <w:pPr>
        <w:spacing w:after="0" w:line="297" w:lineRule="exact"/>
        <w:rPr>
          <w:rFonts w:ascii="Arial" w:cs="Arial" w:eastAsia="Arial" w:hAnsi="Arial"/>
          <w:sz w:val="19"/>
          <w:szCs w:val="19"/>
          <w:color w:val="auto"/>
        </w:rPr>
      </w:pPr>
    </w:p>
    <w:p>
      <w:pPr>
        <w:jc w:val="both"/>
        <w:ind w:left="880"/>
        <w:spacing w:after="0" w:line="238" w:lineRule="auto"/>
        <w:rPr>
          <w:rFonts w:ascii="Arial" w:cs="Arial" w:eastAsia="Arial" w:hAnsi="Arial"/>
          <w:sz w:val="19"/>
          <w:szCs w:val="19"/>
          <w:color w:val="auto"/>
        </w:rPr>
      </w:pPr>
      <w:r>
        <w:rPr>
          <w:rFonts w:ascii="Arial" w:cs="Arial" w:eastAsia="Arial" w:hAnsi="Arial"/>
          <w:sz w:val="22"/>
          <w:szCs w:val="22"/>
          <w:color w:val="auto"/>
        </w:rPr>
        <w:t>Furthermore, no Party will make any public announcement or otherwise disclose to any third party the existence of this Letter Agreement or the fact that discussions concerning the Amendment are taking place without the express written consent of the other Parties, except to the extent such disclosure is required by applicable law, rule or regulation, or rule of a securities exchange.</w:t>
      </w:r>
    </w:p>
    <w:p>
      <w:pPr>
        <w:spacing w:after="0" w:line="76" w:lineRule="exact"/>
        <w:rPr>
          <w:rFonts w:ascii="Arial" w:cs="Arial" w:eastAsia="Arial" w:hAnsi="Arial"/>
          <w:sz w:val="19"/>
          <w:szCs w:val="19"/>
          <w:color w:val="auto"/>
        </w:rPr>
      </w:pPr>
    </w:p>
    <w:p>
      <w:pPr>
        <w:jc w:val="both"/>
        <w:ind w:left="880"/>
        <w:spacing w:after="0" w:line="234" w:lineRule="auto"/>
        <w:rPr>
          <w:rFonts w:ascii="Arial" w:cs="Arial" w:eastAsia="Arial" w:hAnsi="Arial"/>
          <w:sz w:val="19"/>
          <w:szCs w:val="19"/>
          <w:color w:val="auto"/>
        </w:rPr>
      </w:pPr>
      <w:r>
        <w:rPr>
          <w:rFonts w:ascii="Arial" w:cs="Arial" w:eastAsia="Arial" w:hAnsi="Arial"/>
          <w:sz w:val="22"/>
          <w:szCs w:val="22"/>
          <w:color w:val="auto"/>
        </w:rPr>
        <w:t>Notwithstanding anything to the contrary in this paragraph (i), each Party shall have the right to disclose Confidential Information of the other Parties on a “need to know basis” to their respective affiliates, potential and future collaborators (including without limitation sublicensees), potential or actual acquirers, merger partners, or assignees, potential or actual research and development collaborators, subcontractors, investment bankers, investors, lenders, or other potential financial partners, and their respective directors, employees, contractors and agents, each of whom prior to disclosure must be bound by obligations of nondisclosure and non-use no less restrictive than the obligations set forth in this paragraph (i).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ActiveUS 172316334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0"/>
          <w:szCs w:val="20"/>
          <w:color w:val="auto"/>
        </w:rPr>
        <w:t>CONFIDENTIAL</w:t>
      </w:r>
    </w:p>
    <w:p>
      <w:pPr>
        <w:spacing w:after="0" w:line="212" w:lineRule="exact"/>
        <w:rPr>
          <w:sz w:val="20"/>
          <w:szCs w:val="20"/>
          <w:color w:val="auto"/>
        </w:rPr>
      </w:pPr>
    </w:p>
    <w:p>
      <w:pPr>
        <w:jc w:val="both"/>
        <w:ind w:left="880" w:hanging="440"/>
        <w:spacing w:after="0" w:line="238" w:lineRule="auto"/>
        <w:tabs>
          <w:tab w:leader="none" w:pos="8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 delay, waiver, omission or forbearance on the part of any Party to exercise any right, option, duty or power arising out of any breach or default by any other Party of any of the terms, provisions or covenants hereof will constitute a waiver by such Party of its rights to enforce any such right, option, duty or power as against the other Parties, or its rights as to any subsequent breach or default by the other Parties.</w:t>
      </w:r>
    </w:p>
    <w:p>
      <w:pPr>
        <w:spacing w:after="0" w:line="76" w:lineRule="exact"/>
        <w:rPr>
          <w:rFonts w:ascii="Arial" w:cs="Arial" w:eastAsia="Arial" w:hAnsi="Arial"/>
          <w:sz w:val="22"/>
          <w:szCs w:val="22"/>
          <w:color w:val="auto"/>
        </w:rPr>
      </w:pPr>
    </w:p>
    <w:p>
      <w:pPr>
        <w:jc w:val="both"/>
        <w:ind w:left="880" w:hanging="440"/>
        <w:spacing w:after="0" w:line="248" w:lineRule="auto"/>
        <w:tabs>
          <w:tab w:leader="none" w:pos="8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This Letter Agreement shall be governed by and construed in accordance with the laws of the State of New York, exclusive of choice-of-law rules. Any dispute between the Parties arising from or relating to this Letter Agreement will be determined exclusively by the United States District Court for the Southern District of New York (and the appellate courts thereof), to whose jurisdiction the Parties irrevocably consent; provided, however, if for any reason that Court should lack jurisdiction over any such suit, the same shall be brought exclusively in the New York State Supreme Court, New York County, to whose jurisdiction the Parties irrevocably consent.</w:t>
      </w:r>
    </w:p>
    <w:p>
      <w:pPr>
        <w:spacing w:after="0" w:line="69" w:lineRule="exact"/>
        <w:rPr>
          <w:rFonts w:ascii="Arial" w:cs="Arial" w:eastAsia="Arial" w:hAnsi="Arial"/>
          <w:sz w:val="21"/>
          <w:szCs w:val="21"/>
          <w:color w:val="auto"/>
        </w:rPr>
      </w:pPr>
    </w:p>
    <w:p>
      <w:pPr>
        <w:jc w:val="both"/>
        <w:ind w:left="880" w:hanging="440"/>
        <w:spacing w:after="0" w:line="271" w:lineRule="auto"/>
        <w:tabs>
          <w:tab w:leader="none" w:pos="8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This Letter Agreement constitutes the full understanding and entire agreement among the Parties and supersedes any and all prior or contemporaneous oral or written understandings and agreements with respect to the subject matter hereof. For the avoidance of doubt, the License Agreement shall remain in full force and effect. No terms, conditions, understandings, or agreements purporting to modify, amend, waive or terminate this Letter Agreement, or any provision hereof, shall be binding except by the execution of a writing specified to be an explicit amendment to this Letter Agreement duly executed by the authorized signatories of the Parties. No modification, waiver, termination, rescission, discharge or cancellation of any right or claim under this Letter Agreement shall affect the right of any Party to enforce any other claim or right hereunder. This Letter Agreement may be executed in counterparts, each of which shall constitute an original and all of which shall together constitute a single agreement. This Letter Agreement may be executed and delivered electronically, including via PDF format, and upon such delivery such electronic signature will be deemed to have the same effect as if the original signature had been delivered to the other Parties. The negotiation, execution and performance of this Letter Agreement or the Amendment shall not constitute, or be construed as, an admission of liability or infirmity of any defense or claim whatsoever by any Party regarding the License Agreement, nor be admissible as evidence thereof in any dispute among the Parties.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ActiveUS 172316334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0"/>
          <w:szCs w:val="20"/>
          <w:color w:val="auto"/>
        </w:rPr>
        <w:t>CONFIDENTIAL</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To agree that this Letter Agreement accurately reflects our mutual agreement, please execute and return to me a copy of this Letter Agreement.</w:t>
      </w:r>
    </w:p>
    <w:p>
      <w:pPr>
        <w:spacing w:after="0" w:line="17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KERYX BIOPHARMACEUTICALS, INC.</w:t>
      </w:r>
    </w:p>
    <w:p>
      <w:pPr>
        <w:spacing w:after="0" w:line="200" w:lineRule="exact"/>
        <w:rPr>
          <w:sz w:val="20"/>
          <w:szCs w:val="20"/>
          <w:color w:val="auto"/>
        </w:rPr>
      </w:pPr>
    </w:p>
    <w:p>
      <w:pPr>
        <w:spacing w:after="0" w:line="222" w:lineRule="exact"/>
        <w:rPr>
          <w:sz w:val="20"/>
          <w:szCs w:val="20"/>
          <w:color w:val="auto"/>
        </w:rPr>
      </w:pPr>
    </w:p>
    <w:tbl>
      <w:tblPr>
        <w:tblLayout w:type="fixed"/>
        <w:tblInd w:w="570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Jodie Morrison</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920" w:type="dxa"/>
            <w:vAlign w:val="bottom"/>
          </w:tcPr>
          <w:p>
            <w:pPr>
              <w:spacing w:after="0" w:line="216" w:lineRule="exact"/>
              <w:rPr>
                <w:sz w:val="20"/>
                <w:szCs w:val="20"/>
                <w:color w:val="auto"/>
              </w:rPr>
            </w:pPr>
            <w:r>
              <w:rPr>
                <w:rFonts w:ascii="Arial" w:cs="Arial" w:eastAsia="Arial" w:hAnsi="Arial"/>
                <w:sz w:val="22"/>
                <w:szCs w:val="22"/>
                <w:color w:val="auto"/>
              </w:rPr>
              <w:t>Jodie Morrison</w:t>
            </w: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Interim Chief Executive Officer</w:t>
            </w:r>
          </w:p>
        </w:tc>
      </w:tr>
    </w:tbl>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gridSpan w:val="3"/>
          </w:tcPr>
          <w:p>
            <w:pPr>
              <w:spacing w:after="0"/>
              <w:rPr>
                <w:sz w:val="20"/>
                <w:szCs w:val="20"/>
                <w:color w:val="auto"/>
              </w:rPr>
            </w:pPr>
            <w:r>
              <w:rPr>
                <w:rFonts w:ascii="Arial" w:cs="Arial" w:eastAsia="Arial" w:hAnsi="Arial"/>
                <w:sz w:val="22"/>
                <w:szCs w:val="22"/>
                <w:color w:val="auto"/>
              </w:rPr>
              <w:t>Agreed to this  24</w:t>
            </w:r>
          </w:p>
        </w:tc>
        <w:tc>
          <w:tcPr>
            <w:tcW w:w="2260" w:type="dxa"/>
            <w:vAlign w:val="bottom"/>
            <w:gridSpan w:val="2"/>
          </w:tcPr>
          <w:p>
            <w:pPr>
              <w:ind w:left="40"/>
              <w:spacing w:after="0"/>
              <w:rPr>
                <w:sz w:val="20"/>
                <w:szCs w:val="20"/>
                <w:color w:val="auto"/>
              </w:rPr>
            </w:pPr>
            <w:r>
              <w:rPr>
                <w:rFonts w:ascii="Arial" w:cs="Arial" w:eastAsia="Arial" w:hAnsi="Arial"/>
                <w:sz w:val="22"/>
                <w:szCs w:val="22"/>
                <w:color w:val="auto"/>
              </w:rPr>
              <w:t>day of  October</w:t>
            </w:r>
          </w:p>
        </w:tc>
        <w:tc>
          <w:tcPr>
            <w:tcW w:w="1120" w:type="dxa"/>
            <w:vAlign w:val="bottom"/>
            <w:gridSpan w:val="2"/>
          </w:tcPr>
          <w:p>
            <w:pPr>
              <w:jc w:val="right"/>
              <w:ind w:right="100"/>
              <w:spacing w:after="0"/>
              <w:rPr>
                <w:sz w:val="20"/>
                <w:szCs w:val="20"/>
                <w:color w:val="auto"/>
              </w:rPr>
            </w:pPr>
            <w:r>
              <w:rPr>
                <w:rFonts w:ascii="Arial" w:cs="Arial" w:eastAsia="Arial" w:hAnsi="Arial"/>
                <w:sz w:val="22"/>
                <w:szCs w:val="22"/>
                <w:color w:val="auto"/>
              </w:rPr>
              <w:t>, 2018</w:t>
            </w:r>
          </w:p>
        </w:tc>
        <w:tc>
          <w:tcPr>
            <w:tcW w:w="300" w:type="dxa"/>
            <w:vAlign w:val="bottom"/>
          </w:tcPr>
          <w:p>
            <w:pPr>
              <w:spacing w:after="0"/>
              <w:rPr>
                <w:sz w:val="21"/>
                <w:szCs w:val="21"/>
                <w:color w:val="auto"/>
              </w:rPr>
            </w:pPr>
          </w:p>
        </w:tc>
      </w:tr>
      <w:tr>
        <w:trPr>
          <w:trHeight w:val="20"/>
        </w:trPr>
        <w:tc>
          <w:tcPr>
            <w:tcW w:w="134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0"/>
        </w:trPr>
        <w:tc>
          <w:tcPr>
            <w:tcW w:w="4580" w:type="dxa"/>
            <w:vAlign w:val="bottom"/>
            <w:gridSpan w:val="5"/>
          </w:tcPr>
          <w:p>
            <w:pPr>
              <w:spacing w:after="0"/>
              <w:rPr>
                <w:sz w:val="20"/>
                <w:szCs w:val="20"/>
                <w:color w:val="auto"/>
              </w:rPr>
            </w:pPr>
            <w:r>
              <w:rPr>
                <w:rFonts w:ascii="Arial" w:cs="Arial" w:eastAsia="Arial" w:hAnsi="Arial"/>
                <w:sz w:val="22"/>
                <w:szCs w:val="22"/>
                <w:color w:val="auto"/>
              </w:rPr>
              <w:t>PANION &amp; BF BIOTECH, INC.</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38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 Michael Chiang</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1540" w:type="dxa"/>
            <w:vAlign w:val="bottom"/>
            <w:gridSpan w:val="2"/>
          </w:tcPr>
          <w:p>
            <w:pPr>
              <w:spacing w:after="0" w:line="216" w:lineRule="exact"/>
              <w:rPr>
                <w:sz w:val="20"/>
                <w:szCs w:val="20"/>
                <w:color w:val="auto"/>
              </w:rPr>
            </w:pPr>
            <w:r>
              <w:rPr>
                <w:rFonts w:ascii="Arial" w:cs="Arial" w:eastAsia="Arial" w:hAnsi="Arial"/>
                <w:sz w:val="22"/>
                <w:szCs w:val="22"/>
                <w:color w:val="auto"/>
              </w:rPr>
              <w:t>Michael Chiang</w:t>
            </w: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3800" w:type="dxa"/>
            <w:vAlign w:val="bottom"/>
            <w:gridSpan w:val="4"/>
          </w:tcPr>
          <w:p>
            <w:pPr>
              <w:spacing w:after="0"/>
              <w:rPr>
                <w:sz w:val="20"/>
                <w:szCs w:val="20"/>
                <w:color w:val="auto"/>
              </w:rPr>
            </w:pPr>
            <w:r>
              <w:rPr>
                <w:rFonts w:ascii="Arial" w:cs="Arial" w:eastAsia="Arial" w:hAnsi="Arial"/>
                <w:sz w:val="22"/>
                <w:szCs w:val="22"/>
                <w:color w:val="auto"/>
              </w:rPr>
              <w:t>Executive President</w:t>
            </w: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675"/>
        </w:trPr>
        <w:tc>
          <w:tcPr>
            <w:tcW w:w="4580" w:type="dxa"/>
            <w:vAlign w:val="bottom"/>
            <w:gridSpan w:val="5"/>
          </w:tcPr>
          <w:p>
            <w:pPr>
              <w:spacing w:after="0"/>
              <w:rPr>
                <w:sz w:val="20"/>
                <w:szCs w:val="20"/>
                <w:color w:val="auto"/>
              </w:rPr>
            </w:pPr>
            <w:r>
              <w:rPr>
                <w:rFonts w:ascii="Arial" w:cs="Arial" w:eastAsia="Arial" w:hAnsi="Arial"/>
                <w:sz w:val="22"/>
                <w:szCs w:val="22"/>
                <w:color w:val="auto"/>
              </w:rPr>
              <w:t>Agreed to this _____ day of ________, 2018</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4580" w:type="dxa"/>
            <w:vAlign w:val="bottom"/>
            <w:gridSpan w:val="5"/>
          </w:tcPr>
          <w:p>
            <w:pPr>
              <w:spacing w:after="0"/>
              <w:rPr>
                <w:sz w:val="20"/>
                <w:szCs w:val="20"/>
                <w:color w:val="auto"/>
              </w:rPr>
            </w:pPr>
            <w:r>
              <w:rPr>
                <w:rFonts w:ascii="Arial" w:cs="Arial" w:eastAsia="Arial" w:hAnsi="Arial"/>
                <w:sz w:val="22"/>
                <w:szCs w:val="22"/>
                <w:color w:val="auto"/>
              </w:rPr>
              <w:t>AKEBIA THERAPEUTICS, INC.</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John P. Butler</w:t>
            </w:r>
          </w:p>
        </w:tc>
        <w:tc>
          <w:tcPr>
            <w:tcW w:w="7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1540" w:type="dxa"/>
            <w:vAlign w:val="bottom"/>
            <w:gridSpan w:val="2"/>
          </w:tcPr>
          <w:p>
            <w:pPr>
              <w:spacing w:after="0" w:line="216" w:lineRule="exact"/>
              <w:rPr>
                <w:sz w:val="20"/>
                <w:szCs w:val="20"/>
                <w:color w:val="auto"/>
              </w:rPr>
            </w:pPr>
            <w:r>
              <w:rPr>
                <w:rFonts w:ascii="Arial" w:cs="Arial" w:eastAsia="Arial" w:hAnsi="Arial"/>
                <w:sz w:val="22"/>
                <w:szCs w:val="22"/>
                <w:color w:val="auto"/>
              </w:rPr>
              <w:t>John P. Butler</w:t>
            </w: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3800" w:type="dxa"/>
            <w:vAlign w:val="bottom"/>
            <w:gridSpan w:val="4"/>
          </w:tcPr>
          <w:p>
            <w:pPr>
              <w:spacing w:after="0"/>
              <w:rPr>
                <w:sz w:val="20"/>
                <w:szCs w:val="20"/>
                <w:color w:val="auto"/>
              </w:rPr>
            </w:pPr>
            <w:r>
              <w:rPr>
                <w:rFonts w:ascii="Arial" w:cs="Arial" w:eastAsia="Arial" w:hAnsi="Arial"/>
                <w:sz w:val="22"/>
                <w:szCs w:val="22"/>
                <w:color w:val="auto"/>
              </w:rPr>
              <w:t>President and Chief Executive Officer</w:t>
            </w: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675"/>
        </w:trPr>
        <w:tc>
          <w:tcPr>
            <w:tcW w:w="4580" w:type="dxa"/>
            <w:vAlign w:val="bottom"/>
            <w:gridSpan w:val="5"/>
          </w:tcPr>
          <w:p>
            <w:pPr>
              <w:spacing w:after="0"/>
              <w:rPr>
                <w:sz w:val="20"/>
                <w:szCs w:val="20"/>
                <w:color w:val="auto"/>
              </w:rPr>
            </w:pPr>
            <w:r>
              <w:rPr>
                <w:rFonts w:ascii="Arial" w:cs="Arial" w:eastAsia="Arial" w:hAnsi="Arial"/>
                <w:sz w:val="22"/>
                <w:szCs w:val="22"/>
                <w:color w:val="auto"/>
              </w:rPr>
              <w:t>AKEBIA THERAPEUTICS, INC.</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38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 Jason A. Amello</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1540" w:type="dxa"/>
            <w:vAlign w:val="bottom"/>
            <w:gridSpan w:val="2"/>
          </w:tcPr>
          <w:p>
            <w:pPr>
              <w:spacing w:after="0" w:line="216" w:lineRule="exact"/>
              <w:rPr>
                <w:sz w:val="20"/>
                <w:szCs w:val="20"/>
                <w:color w:val="auto"/>
              </w:rPr>
            </w:pPr>
            <w:r>
              <w:rPr>
                <w:rFonts w:ascii="Arial" w:cs="Arial" w:eastAsia="Arial" w:hAnsi="Arial"/>
                <w:sz w:val="22"/>
                <w:szCs w:val="22"/>
                <w:color w:val="auto"/>
                <w:w w:val="95"/>
              </w:rPr>
              <w:t>Jason A. Amello</w:t>
            </w: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gridSpan w:val="7"/>
          </w:tcPr>
          <w:p>
            <w:pPr>
              <w:spacing w:after="0"/>
              <w:rPr>
                <w:sz w:val="20"/>
                <w:szCs w:val="20"/>
                <w:color w:val="auto"/>
              </w:rPr>
            </w:pPr>
            <w:r>
              <w:rPr>
                <w:rFonts w:ascii="Arial" w:cs="Arial" w:eastAsia="Arial" w:hAnsi="Arial"/>
                <w:sz w:val="22"/>
                <w:szCs w:val="22"/>
                <w:color w:val="auto"/>
                <w:w w:val="88"/>
              </w:rPr>
              <w:t>Senior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ActiveUS 172316334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51"/>
        </w:trPr>
        <w:tc>
          <w:tcPr>
            <w:tcW w:w="3780" w:type="dxa"/>
            <w:vAlign w:val="bottom"/>
          </w:tcPr>
          <w:p>
            <w:pPr>
              <w:spacing w:after="0"/>
              <w:rPr>
                <w:sz w:val="21"/>
                <w:szCs w:val="21"/>
                <w:color w:val="auto"/>
              </w:rPr>
            </w:pPr>
          </w:p>
        </w:tc>
        <w:tc>
          <w:tcPr>
            <w:tcW w:w="4160" w:type="dxa"/>
            <w:vAlign w:val="bottom"/>
            <w:gridSpan w:val="3"/>
          </w:tcPr>
          <w:p>
            <w:pPr>
              <w:jc w:val="center"/>
              <w:ind w:right="300"/>
              <w:spacing w:after="0"/>
              <w:rPr>
                <w:sz w:val="20"/>
                <w:szCs w:val="20"/>
                <w:color w:val="auto"/>
              </w:rPr>
            </w:pPr>
            <w:r>
              <w:rPr>
                <w:rFonts w:ascii="Arial" w:cs="Arial" w:eastAsia="Arial" w:hAnsi="Arial"/>
                <w:sz w:val="20"/>
                <w:szCs w:val="20"/>
                <w:color w:val="auto"/>
                <w:w w:val="99"/>
              </w:rPr>
              <w:t>CONFIDENTIAL</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415"/>
        </w:trPr>
        <w:tc>
          <w:tcPr>
            <w:tcW w:w="3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gridSpan w:val="2"/>
          </w:tcPr>
          <w:p>
            <w:pPr>
              <w:jc w:val="center"/>
              <w:ind w:right="1580"/>
              <w:spacing w:after="0"/>
              <w:rPr>
                <w:sz w:val="20"/>
                <w:szCs w:val="20"/>
                <w:color w:val="auto"/>
              </w:rPr>
            </w:pPr>
            <w:r>
              <w:rPr>
                <w:rFonts w:ascii="Arial" w:cs="Arial" w:eastAsia="Arial" w:hAnsi="Arial"/>
                <w:sz w:val="22"/>
                <w:szCs w:val="22"/>
                <w:b w:val="1"/>
                <w:bCs w:val="1"/>
                <w:color w:val="auto"/>
                <w:w w:val="90"/>
              </w:rPr>
              <w:t>Attachment A</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6"/>
        </w:trPr>
        <w:tc>
          <w:tcPr>
            <w:tcW w:w="5060" w:type="dxa"/>
            <w:vAlign w:val="bottom"/>
            <w:gridSpan w:val="2"/>
          </w:tcPr>
          <w:p>
            <w:pPr>
              <w:spacing w:after="0"/>
              <w:rPr>
                <w:sz w:val="20"/>
                <w:szCs w:val="20"/>
                <w:color w:val="auto"/>
              </w:rPr>
            </w:pPr>
            <w:r>
              <w:rPr>
                <w:rFonts w:ascii="Arial" w:cs="Arial" w:eastAsia="Arial" w:hAnsi="Arial"/>
                <w:sz w:val="22"/>
                <w:szCs w:val="22"/>
                <w:color w:val="auto"/>
                <w:w w:val="91"/>
              </w:rPr>
              <w:t>The following terms shall be included in the Amendment:</w:t>
            </w:r>
          </w:p>
        </w:tc>
        <w:tc>
          <w:tcPr>
            <w:tcW w:w="13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4"/>
        </w:trPr>
        <w:tc>
          <w:tcPr>
            <w:tcW w:w="3780" w:type="dxa"/>
            <w:vAlign w:val="bottom"/>
          </w:tcPr>
          <w:p>
            <w:pPr>
              <w:spacing w:after="0"/>
              <w:rPr>
                <w:sz w:val="20"/>
                <w:szCs w:val="20"/>
                <w:color w:val="auto"/>
              </w:rPr>
            </w:pPr>
            <w:r>
              <w:rPr>
                <w:rFonts w:ascii="Arial" w:cs="Arial" w:eastAsia="Arial" w:hAnsi="Arial"/>
                <w:sz w:val="22"/>
                <w:szCs w:val="22"/>
                <w:b w:val="1"/>
                <w:bCs w:val="1"/>
                <w:color w:val="auto"/>
              </w:rPr>
              <w:t>EU Joint Steering Committee:</w:t>
            </w:r>
          </w:p>
        </w:tc>
        <w:tc>
          <w:tcPr>
            <w:tcW w:w="7640" w:type="dxa"/>
            <w:vAlign w:val="bottom"/>
            <w:gridSpan w:val="9"/>
          </w:tcPr>
          <w:p>
            <w:pPr>
              <w:ind w:left="980"/>
              <w:spacing w:after="0"/>
              <w:rPr>
                <w:sz w:val="20"/>
                <w:szCs w:val="20"/>
                <w:color w:val="auto"/>
              </w:rPr>
            </w:pPr>
            <w:r>
              <w:rPr>
                <w:rFonts w:ascii="Arial" w:cs="Arial" w:eastAsia="Arial" w:hAnsi="Arial"/>
                <w:sz w:val="22"/>
                <w:szCs w:val="22"/>
                <w:color w:val="auto"/>
                <w:w w:val="97"/>
              </w:rPr>
              <w:t>The Parties will establish an EU Joint Steering Committee (the “</w:t>
            </w:r>
            <w:r>
              <w:rPr>
                <w:rFonts w:ascii="Arial" w:cs="Arial" w:eastAsia="Arial" w:hAnsi="Arial"/>
                <w:sz w:val="22"/>
                <w:szCs w:val="22"/>
                <w:b w:val="1"/>
                <w:bCs w:val="1"/>
                <w:color w:val="auto"/>
                <w:w w:val="97"/>
              </w:rPr>
              <w:t>JSC</w:t>
            </w:r>
            <w:r>
              <w:rPr>
                <w:rFonts w:ascii="Arial" w:cs="Arial" w:eastAsia="Arial" w:hAnsi="Arial"/>
                <w:sz w:val="22"/>
                <w:szCs w:val="22"/>
                <w:color w:val="auto"/>
                <w:w w:val="97"/>
              </w:rPr>
              <w:t>”),</w:t>
            </w:r>
          </w:p>
        </w:tc>
      </w:tr>
      <w:tr>
        <w:trPr>
          <w:trHeight w:val="216"/>
        </w:trPr>
        <w:tc>
          <w:tcPr>
            <w:tcW w:w="3780" w:type="dxa"/>
            <w:vAlign w:val="bottom"/>
          </w:tcPr>
          <w:p>
            <w:pPr>
              <w:spacing w:after="0"/>
              <w:rPr>
                <w:sz w:val="18"/>
                <w:szCs w:val="18"/>
                <w:color w:val="auto"/>
              </w:rPr>
            </w:pPr>
          </w:p>
        </w:tc>
        <w:tc>
          <w:tcPr>
            <w:tcW w:w="7640" w:type="dxa"/>
            <w:vAlign w:val="bottom"/>
            <w:gridSpan w:val="9"/>
          </w:tcPr>
          <w:p>
            <w:pPr>
              <w:ind w:left="980"/>
              <w:spacing w:after="0" w:line="217" w:lineRule="exact"/>
              <w:rPr>
                <w:sz w:val="20"/>
                <w:szCs w:val="20"/>
                <w:color w:val="auto"/>
              </w:rPr>
            </w:pPr>
            <w:r>
              <w:rPr>
                <w:rFonts w:ascii="Arial" w:cs="Arial" w:eastAsia="Arial" w:hAnsi="Arial"/>
                <w:sz w:val="22"/>
                <w:szCs w:val="22"/>
                <w:color w:val="auto"/>
                <w:w w:val="92"/>
              </w:rPr>
              <w:t>comprised of Panion and Akebia representatives, which shall oversee the</w:t>
            </w:r>
          </w:p>
        </w:tc>
      </w:tr>
      <w:tr>
        <w:trPr>
          <w:trHeight w:val="33"/>
        </w:trPr>
        <w:tc>
          <w:tcPr>
            <w:tcW w:w="3780" w:type="dxa"/>
            <w:vAlign w:val="bottom"/>
          </w:tcPr>
          <w:p>
            <w:pPr>
              <w:spacing w:after="0"/>
              <w:rPr>
                <w:sz w:val="2"/>
                <w:szCs w:val="2"/>
                <w:color w:val="auto"/>
              </w:rPr>
            </w:pPr>
          </w:p>
        </w:tc>
        <w:tc>
          <w:tcPr>
            <w:tcW w:w="4160" w:type="dxa"/>
            <w:vAlign w:val="bottom"/>
            <w:gridSpan w:val="3"/>
          </w:tcPr>
          <w:p>
            <w:pPr>
              <w:ind w:left="980"/>
              <w:spacing w:after="0" w:line="34" w:lineRule="exact"/>
              <w:rPr>
                <w:sz w:val="20"/>
                <w:szCs w:val="20"/>
                <w:color w:val="auto"/>
              </w:rPr>
            </w:pPr>
            <w:r>
              <w:rPr>
                <w:rFonts w:ascii="Arial" w:cs="Arial" w:eastAsia="Arial" w:hAnsi="Arial"/>
                <w:sz w:val="3"/>
                <w:szCs w:val="3"/>
                <w:color w:val="auto"/>
              </w:rPr>
              <w:t>development and commercialization</w:t>
            </w:r>
          </w:p>
        </w:tc>
        <w:tc>
          <w:tcPr>
            <w:tcW w:w="80" w:type="dxa"/>
            <w:vAlign w:val="bottom"/>
          </w:tcPr>
          <w:p>
            <w:pPr>
              <w:spacing w:after="0"/>
              <w:rPr>
                <w:sz w:val="2"/>
                <w:szCs w:val="2"/>
                <w:color w:val="auto"/>
              </w:rPr>
            </w:pPr>
          </w:p>
        </w:tc>
        <w:tc>
          <w:tcPr>
            <w:tcW w:w="1800" w:type="dxa"/>
            <w:vAlign w:val="bottom"/>
            <w:gridSpan w:val="2"/>
          </w:tcPr>
          <w:p>
            <w:pPr>
              <w:spacing w:after="0" w:line="34" w:lineRule="exact"/>
              <w:rPr>
                <w:sz w:val="20"/>
                <w:szCs w:val="20"/>
                <w:color w:val="auto"/>
              </w:rPr>
            </w:pPr>
            <w:r>
              <w:rPr>
                <w:rFonts w:ascii="Arial" w:cs="Arial" w:eastAsia="Arial" w:hAnsi="Arial"/>
                <w:sz w:val="3"/>
                <w:szCs w:val="3"/>
                <w:color w:val="auto"/>
              </w:rPr>
              <w:t>of Fexeric  (ferric</w:t>
            </w:r>
          </w:p>
        </w:tc>
        <w:tc>
          <w:tcPr>
            <w:tcW w:w="960" w:type="dxa"/>
            <w:vAlign w:val="bottom"/>
            <w:gridSpan w:val="2"/>
          </w:tcPr>
          <w:p>
            <w:pPr>
              <w:spacing w:after="0" w:line="34" w:lineRule="exact"/>
              <w:rPr>
                <w:sz w:val="20"/>
                <w:szCs w:val="20"/>
                <w:color w:val="auto"/>
              </w:rPr>
            </w:pPr>
            <w:r>
              <w:rPr>
                <w:rFonts w:ascii="Arial" w:cs="Arial" w:eastAsia="Arial" w:hAnsi="Arial"/>
                <w:sz w:val="3"/>
                <w:szCs w:val="3"/>
                <w:color w:val="auto"/>
              </w:rPr>
              <w:t>citrate) in</w:t>
            </w:r>
          </w:p>
        </w:tc>
        <w:tc>
          <w:tcPr>
            <w:tcW w:w="640" w:type="dxa"/>
            <w:vAlign w:val="bottom"/>
          </w:tcPr>
          <w:p>
            <w:pPr>
              <w:jc w:val="right"/>
              <w:spacing w:after="0" w:line="34" w:lineRule="exact"/>
              <w:rPr>
                <w:sz w:val="20"/>
                <w:szCs w:val="20"/>
                <w:color w:val="auto"/>
              </w:rPr>
            </w:pPr>
            <w:r>
              <w:rPr>
                <w:rFonts w:ascii="Arial" w:cs="Arial" w:eastAsia="Arial" w:hAnsi="Arial"/>
                <w:sz w:val="3"/>
                <w:szCs w:val="3"/>
                <w:color w:val="auto"/>
              </w:rPr>
              <w:t>Europe</w:t>
            </w:r>
          </w:p>
        </w:tc>
      </w:tr>
      <w:tr>
        <w:trPr>
          <w:trHeight w:val="183"/>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gridSpan w:val="2"/>
          </w:tcPr>
          <w:p>
            <w:pPr>
              <w:jc w:val="right"/>
              <w:ind w:right="81"/>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4"/>
        </w:trPr>
        <w:tc>
          <w:tcPr>
            <w:tcW w:w="3780" w:type="dxa"/>
            <w:vAlign w:val="bottom"/>
          </w:tcPr>
          <w:p>
            <w:pPr>
              <w:spacing w:after="0"/>
              <w:rPr>
                <w:sz w:val="19"/>
                <w:szCs w:val="19"/>
                <w:color w:val="auto"/>
              </w:rPr>
            </w:pPr>
          </w:p>
        </w:tc>
        <w:tc>
          <w:tcPr>
            <w:tcW w:w="7640" w:type="dxa"/>
            <w:vAlign w:val="bottom"/>
            <w:gridSpan w:val="9"/>
          </w:tcPr>
          <w:p>
            <w:pPr>
              <w:ind w:left="980"/>
              <w:spacing w:after="0" w:line="224" w:lineRule="exact"/>
              <w:rPr>
                <w:sz w:val="20"/>
                <w:szCs w:val="20"/>
                <w:color w:val="auto"/>
              </w:rPr>
            </w:pPr>
            <w:r>
              <w:rPr>
                <w:rFonts w:ascii="Arial" w:cs="Arial" w:eastAsia="Arial" w:hAnsi="Arial"/>
                <w:sz w:val="22"/>
                <w:szCs w:val="22"/>
                <w:color w:val="auto"/>
                <w:w w:val="92"/>
              </w:rPr>
              <w:t>consistent with the provisions in this Attachment A.  The JSC will have the</w:t>
            </w:r>
          </w:p>
        </w:tc>
      </w:tr>
      <w:tr>
        <w:trPr>
          <w:trHeight w:val="188"/>
        </w:trPr>
        <w:tc>
          <w:tcPr>
            <w:tcW w:w="3780" w:type="dxa"/>
            <w:vAlign w:val="bottom"/>
          </w:tcPr>
          <w:p>
            <w:pPr>
              <w:spacing w:after="0"/>
              <w:rPr>
                <w:sz w:val="16"/>
                <w:szCs w:val="16"/>
                <w:color w:val="auto"/>
              </w:rPr>
            </w:pPr>
          </w:p>
        </w:tc>
        <w:tc>
          <w:tcPr>
            <w:tcW w:w="4240" w:type="dxa"/>
            <w:vAlign w:val="bottom"/>
            <w:gridSpan w:val="4"/>
          </w:tcPr>
          <w:p>
            <w:pPr>
              <w:ind w:left="980"/>
              <w:spacing w:after="0" w:line="188" w:lineRule="exact"/>
              <w:rPr>
                <w:sz w:val="20"/>
                <w:szCs w:val="20"/>
                <w:color w:val="auto"/>
              </w:rPr>
            </w:pPr>
            <w:r>
              <w:rPr>
                <w:rFonts w:ascii="Arial" w:cs="Arial" w:eastAsia="Arial" w:hAnsi="Arial"/>
                <w:sz w:val="21"/>
                <w:szCs w:val="21"/>
                <w:color w:val="auto"/>
                <w:w w:val="98"/>
              </w:rPr>
              <w:t>following responsibilities: (1) review</w:t>
            </w:r>
          </w:p>
        </w:tc>
        <w:tc>
          <w:tcPr>
            <w:tcW w:w="12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21"/>
                <w:szCs w:val="21"/>
                <w:color w:val="auto"/>
              </w:rPr>
              <w:t>and discuss</w:t>
            </w:r>
          </w:p>
        </w:tc>
        <w:tc>
          <w:tcPr>
            <w:tcW w:w="2200" w:type="dxa"/>
            <w:vAlign w:val="bottom"/>
            <w:gridSpan w:val="4"/>
          </w:tcPr>
          <w:p>
            <w:pPr>
              <w:jc w:val="right"/>
              <w:spacing w:after="0" w:line="188" w:lineRule="exact"/>
              <w:rPr>
                <w:sz w:val="20"/>
                <w:szCs w:val="20"/>
                <w:color w:val="auto"/>
              </w:rPr>
            </w:pPr>
            <w:r>
              <w:rPr>
                <w:rFonts w:ascii="Arial" w:cs="Arial" w:eastAsia="Arial" w:hAnsi="Arial"/>
                <w:sz w:val="21"/>
                <w:szCs w:val="21"/>
                <w:color w:val="auto"/>
              </w:rPr>
              <w:t>a [**], (2) discuss and</w:t>
            </w:r>
          </w:p>
        </w:tc>
      </w:tr>
      <w:tr>
        <w:trPr>
          <w:trHeight w:val="275"/>
        </w:trPr>
        <w:tc>
          <w:tcPr>
            <w:tcW w:w="3780" w:type="dxa"/>
            <w:vAlign w:val="bottom"/>
          </w:tcPr>
          <w:p>
            <w:pPr>
              <w:spacing w:after="0"/>
              <w:rPr>
                <w:sz w:val="23"/>
                <w:szCs w:val="23"/>
                <w:color w:val="auto"/>
              </w:rPr>
            </w:pPr>
          </w:p>
        </w:tc>
        <w:tc>
          <w:tcPr>
            <w:tcW w:w="6040" w:type="dxa"/>
            <w:vAlign w:val="bottom"/>
            <w:gridSpan w:val="6"/>
          </w:tcPr>
          <w:p>
            <w:pPr>
              <w:ind w:left="980"/>
              <w:spacing w:after="0"/>
              <w:rPr>
                <w:sz w:val="20"/>
                <w:szCs w:val="20"/>
                <w:color w:val="auto"/>
              </w:rPr>
            </w:pPr>
            <w:r>
              <w:rPr>
                <w:rFonts w:ascii="Arial" w:cs="Arial" w:eastAsia="Arial" w:hAnsi="Arial"/>
                <w:sz w:val="22"/>
                <w:szCs w:val="22"/>
                <w:color w:val="auto"/>
                <w:w w:val="97"/>
              </w:rPr>
              <w:t>approve a [**], and (3) review and discuss a plan [**].</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74"/>
        </w:trPr>
        <w:tc>
          <w:tcPr>
            <w:tcW w:w="3780" w:type="dxa"/>
            <w:vAlign w:val="bottom"/>
          </w:tcPr>
          <w:p>
            <w:pPr>
              <w:spacing w:after="0"/>
              <w:rPr>
                <w:sz w:val="20"/>
                <w:szCs w:val="20"/>
                <w:color w:val="auto"/>
              </w:rPr>
            </w:pPr>
            <w:r>
              <w:rPr>
                <w:rFonts w:ascii="Arial" w:cs="Arial" w:eastAsia="Arial" w:hAnsi="Arial"/>
                <w:sz w:val="22"/>
                <w:szCs w:val="22"/>
                <w:b w:val="1"/>
                <w:bCs w:val="1"/>
                <w:color w:val="auto"/>
              </w:rPr>
              <w:t>Commercialization in Europe:</w:t>
            </w:r>
          </w:p>
        </w:tc>
        <w:tc>
          <w:tcPr>
            <w:tcW w:w="6040" w:type="dxa"/>
            <w:vAlign w:val="bottom"/>
            <w:gridSpan w:val="6"/>
          </w:tcPr>
          <w:p>
            <w:pPr>
              <w:ind w:left="980"/>
              <w:spacing w:after="0"/>
              <w:rPr>
                <w:sz w:val="20"/>
                <w:szCs w:val="20"/>
                <w:color w:val="auto"/>
              </w:rPr>
            </w:pPr>
            <w:r>
              <w:rPr>
                <w:rFonts w:ascii="Arial" w:cs="Arial" w:eastAsia="Arial" w:hAnsi="Arial"/>
                <w:sz w:val="22"/>
                <w:szCs w:val="22"/>
                <w:color w:val="auto"/>
                <w:w w:val="92"/>
              </w:rPr>
              <w:t>The  Parties  will  use  commercially  reasonable  efforts</w:t>
            </w:r>
          </w:p>
        </w:tc>
        <w:tc>
          <w:tcPr>
            <w:tcW w:w="10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w w:val="87"/>
              </w:rPr>
              <w:t>to  agree</w:t>
            </w:r>
          </w:p>
        </w:tc>
        <w:tc>
          <w:tcPr>
            <w:tcW w:w="640" w:type="dxa"/>
            <w:vAlign w:val="bottom"/>
          </w:tcPr>
          <w:p>
            <w:pPr>
              <w:jc w:val="right"/>
              <w:spacing w:after="0"/>
              <w:rPr>
                <w:sz w:val="20"/>
                <w:szCs w:val="20"/>
                <w:color w:val="auto"/>
              </w:rPr>
            </w:pPr>
            <w:r>
              <w:rPr>
                <w:rFonts w:ascii="Arial" w:cs="Arial" w:eastAsia="Arial" w:hAnsi="Arial"/>
                <w:sz w:val="22"/>
                <w:szCs w:val="22"/>
                <w:color w:val="auto"/>
              </w:rPr>
              <w:t>on  a</w:t>
            </w:r>
          </w:p>
        </w:tc>
      </w:tr>
      <w:tr>
        <w:trPr>
          <w:trHeight w:val="33"/>
        </w:trPr>
        <w:tc>
          <w:tcPr>
            <w:tcW w:w="3780" w:type="dxa"/>
            <w:vAlign w:val="bottom"/>
          </w:tcPr>
          <w:p>
            <w:pPr>
              <w:spacing w:after="0"/>
              <w:rPr>
                <w:sz w:val="2"/>
                <w:szCs w:val="2"/>
                <w:color w:val="auto"/>
              </w:rPr>
            </w:pPr>
          </w:p>
        </w:tc>
        <w:tc>
          <w:tcPr>
            <w:tcW w:w="4160" w:type="dxa"/>
            <w:vAlign w:val="bottom"/>
            <w:gridSpan w:val="3"/>
          </w:tcPr>
          <w:p>
            <w:pPr>
              <w:ind w:left="980"/>
              <w:spacing w:after="0" w:line="34" w:lineRule="exact"/>
              <w:rPr>
                <w:sz w:val="20"/>
                <w:szCs w:val="20"/>
                <w:color w:val="auto"/>
              </w:rPr>
            </w:pPr>
            <w:r>
              <w:rPr>
                <w:rFonts w:ascii="Arial" w:cs="Arial" w:eastAsia="Arial" w:hAnsi="Arial"/>
                <w:sz w:val="3"/>
                <w:szCs w:val="3"/>
                <w:color w:val="auto"/>
              </w:rPr>
              <w:t>commercialization plan for Fexeric</w:t>
            </w:r>
          </w:p>
        </w:tc>
        <w:tc>
          <w:tcPr>
            <w:tcW w:w="3480" w:type="dxa"/>
            <w:vAlign w:val="bottom"/>
            <w:gridSpan w:val="6"/>
          </w:tcPr>
          <w:p>
            <w:pPr>
              <w:jc w:val="right"/>
              <w:spacing w:after="0" w:line="34" w:lineRule="exact"/>
              <w:rPr>
                <w:sz w:val="20"/>
                <w:szCs w:val="20"/>
                <w:color w:val="auto"/>
              </w:rPr>
            </w:pPr>
            <w:r>
              <w:rPr>
                <w:rFonts w:ascii="Arial" w:cs="Arial" w:eastAsia="Arial" w:hAnsi="Arial"/>
                <w:sz w:val="3"/>
                <w:szCs w:val="3"/>
                <w:color w:val="auto"/>
              </w:rPr>
              <w:t>in Europe, which will include partnering</w:t>
            </w:r>
          </w:p>
        </w:tc>
      </w:tr>
      <w:tr>
        <w:trPr>
          <w:trHeight w:val="183"/>
        </w:trPr>
        <w:tc>
          <w:tcPr>
            <w:tcW w:w="3780" w:type="dxa"/>
            <w:vAlign w:val="bottom"/>
          </w:tcPr>
          <w:p>
            <w:pPr>
              <w:spacing w:after="0"/>
              <w:rPr>
                <w:sz w:val="15"/>
                <w:szCs w:val="15"/>
                <w:color w:val="auto"/>
              </w:rPr>
            </w:pPr>
          </w:p>
        </w:tc>
        <w:tc>
          <w:tcPr>
            <w:tcW w:w="4160" w:type="dxa"/>
            <w:vAlign w:val="bottom"/>
            <w:gridSpan w:val="3"/>
          </w:tcPr>
          <w:p>
            <w:pPr>
              <w:ind w:left="3960"/>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6"/>
        </w:trPr>
        <w:tc>
          <w:tcPr>
            <w:tcW w:w="3780" w:type="dxa"/>
            <w:vAlign w:val="bottom"/>
          </w:tcPr>
          <w:p>
            <w:pPr>
              <w:spacing w:after="0"/>
              <w:rPr>
                <w:sz w:val="18"/>
                <w:szCs w:val="18"/>
                <w:color w:val="auto"/>
              </w:rPr>
            </w:pPr>
          </w:p>
        </w:tc>
        <w:tc>
          <w:tcPr>
            <w:tcW w:w="7640" w:type="dxa"/>
            <w:vAlign w:val="bottom"/>
            <w:gridSpan w:val="9"/>
          </w:tcPr>
          <w:p>
            <w:pPr>
              <w:ind w:left="980"/>
              <w:spacing w:after="0" w:line="217" w:lineRule="exact"/>
              <w:rPr>
                <w:sz w:val="20"/>
                <w:szCs w:val="20"/>
                <w:color w:val="auto"/>
              </w:rPr>
            </w:pPr>
            <w:r>
              <w:rPr>
                <w:rFonts w:ascii="Arial" w:cs="Arial" w:eastAsia="Arial" w:hAnsi="Arial"/>
                <w:sz w:val="22"/>
                <w:szCs w:val="22"/>
                <w:color w:val="auto"/>
                <w:w w:val="97"/>
              </w:rPr>
              <w:t>with a third party, within [**] after the effective date of the Amendment,</w:t>
            </w:r>
          </w:p>
        </w:tc>
      </w:tr>
      <w:tr>
        <w:trPr>
          <w:trHeight w:val="216"/>
        </w:trPr>
        <w:tc>
          <w:tcPr>
            <w:tcW w:w="3780" w:type="dxa"/>
            <w:vAlign w:val="bottom"/>
          </w:tcPr>
          <w:p>
            <w:pPr>
              <w:spacing w:after="0"/>
              <w:rPr>
                <w:sz w:val="18"/>
                <w:szCs w:val="18"/>
                <w:color w:val="auto"/>
              </w:rPr>
            </w:pPr>
          </w:p>
        </w:tc>
        <w:tc>
          <w:tcPr>
            <w:tcW w:w="7640" w:type="dxa"/>
            <w:vAlign w:val="bottom"/>
            <w:gridSpan w:val="9"/>
          </w:tcPr>
          <w:p>
            <w:pPr>
              <w:ind w:left="980"/>
              <w:spacing w:after="0" w:line="217" w:lineRule="exact"/>
              <w:rPr>
                <w:sz w:val="20"/>
                <w:szCs w:val="20"/>
                <w:color w:val="auto"/>
              </w:rPr>
            </w:pPr>
            <w:r>
              <w:rPr>
                <w:rFonts w:ascii="Arial" w:cs="Arial" w:eastAsia="Arial" w:hAnsi="Arial"/>
                <w:sz w:val="22"/>
                <w:szCs w:val="22"/>
                <w:i w:val="1"/>
                <w:iCs w:val="1"/>
                <w:color w:val="auto"/>
                <w:w w:val="92"/>
              </w:rPr>
              <w:t xml:space="preserve">provided that </w:t>
            </w:r>
            <w:r>
              <w:rPr>
                <w:rFonts w:ascii="Arial" w:cs="Arial" w:eastAsia="Arial" w:hAnsi="Arial"/>
                <w:sz w:val="22"/>
                <w:szCs w:val="22"/>
                <w:color w:val="auto"/>
                <w:w w:val="92"/>
              </w:rPr>
              <w:t>if, within such [**] time period, there is no agreed-upon plan,</w:t>
            </w:r>
          </w:p>
        </w:tc>
      </w:tr>
      <w:tr>
        <w:trPr>
          <w:trHeight w:val="33"/>
        </w:trPr>
        <w:tc>
          <w:tcPr>
            <w:tcW w:w="3780" w:type="dxa"/>
            <w:vAlign w:val="bottom"/>
          </w:tcPr>
          <w:p>
            <w:pPr>
              <w:spacing w:after="0"/>
              <w:rPr>
                <w:sz w:val="2"/>
                <w:szCs w:val="2"/>
                <w:color w:val="auto"/>
              </w:rPr>
            </w:pPr>
          </w:p>
        </w:tc>
        <w:tc>
          <w:tcPr>
            <w:tcW w:w="6040" w:type="dxa"/>
            <w:vAlign w:val="bottom"/>
            <w:gridSpan w:val="6"/>
          </w:tcPr>
          <w:p>
            <w:pPr>
              <w:ind w:left="980"/>
              <w:spacing w:after="0" w:line="34" w:lineRule="exact"/>
              <w:rPr>
                <w:sz w:val="20"/>
                <w:szCs w:val="20"/>
                <w:color w:val="auto"/>
              </w:rPr>
            </w:pPr>
            <w:r>
              <w:rPr>
                <w:rFonts w:ascii="Arial" w:cs="Arial" w:eastAsia="Arial" w:hAnsi="Arial"/>
                <w:sz w:val="3"/>
                <w:szCs w:val="3"/>
                <w:color w:val="auto"/>
              </w:rPr>
              <w:t>Akebia, at its sole discretion, will either (1) launch Fexeric</w:t>
            </w:r>
          </w:p>
        </w:tc>
        <w:tc>
          <w:tcPr>
            <w:tcW w:w="100" w:type="dxa"/>
            <w:vAlign w:val="bottom"/>
          </w:tcPr>
          <w:p>
            <w:pPr>
              <w:spacing w:after="0"/>
              <w:rPr>
                <w:sz w:val="2"/>
                <w:szCs w:val="2"/>
                <w:color w:val="auto"/>
              </w:rPr>
            </w:pPr>
          </w:p>
        </w:tc>
        <w:tc>
          <w:tcPr>
            <w:tcW w:w="1500" w:type="dxa"/>
            <w:vAlign w:val="bottom"/>
            <w:gridSpan w:val="2"/>
          </w:tcPr>
          <w:p>
            <w:pPr>
              <w:jc w:val="right"/>
              <w:spacing w:after="0" w:line="34" w:lineRule="exact"/>
              <w:rPr>
                <w:sz w:val="20"/>
                <w:szCs w:val="20"/>
                <w:color w:val="auto"/>
              </w:rPr>
            </w:pPr>
            <w:r>
              <w:rPr>
                <w:rFonts w:ascii="Arial" w:cs="Arial" w:eastAsia="Arial" w:hAnsi="Arial"/>
                <w:sz w:val="3"/>
                <w:szCs w:val="3"/>
                <w:color w:val="auto"/>
              </w:rPr>
              <w:t>in [**] in Europe</w:t>
            </w:r>
          </w:p>
        </w:tc>
      </w:tr>
      <w:tr>
        <w:trPr>
          <w:trHeight w:val="201"/>
        </w:trPr>
        <w:tc>
          <w:tcPr>
            <w:tcW w:w="3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80" w:type="dxa"/>
            <w:vAlign w:val="bottom"/>
            <w:gridSpan w:val="4"/>
          </w:tcPr>
          <w:p>
            <w:pPr>
              <w:jc w:val="right"/>
              <w:ind w:right="24"/>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jc w:val="both"/>
        <w:ind w:left="4760"/>
        <w:spacing w:after="0" w:line="242" w:lineRule="auto"/>
        <w:rPr>
          <w:sz w:val="20"/>
          <w:szCs w:val="20"/>
          <w:color w:val="auto"/>
        </w:rPr>
      </w:pPr>
      <w:r>
        <w:rPr>
          <w:rFonts w:ascii="Arial" w:cs="Arial" w:eastAsia="Arial" w:hAnsi="Arial"/>
          <w:sz w:val="19"/>
          <w:szCs w:val="19"/>
          <w:color w:val="auto"/>
        </w:rPr>
        <w:t>within the [**] following the expiration of such [**] period, (2) agree to pay Panion a license maintenance fee, with no further obligation with respect to the development or commercialization of Fexeric</w:t>
      </w:r>
      <w:r>
        <w:rPr>
          <w:rFonts w:ascii="Arial" w:cs="Arial" w:eastAsia="Arial" w:hAnsi="Arial"/>
          <w:sz w:val="16"/>
          <w:szCs w:val="16"/>
          <w:color w:val="auto"/>
        </w:rPr>
        <w:t>®</w:t>
      </w:r>
      <w:r>
        <w:rPr>
          <w:rFonts w:ascii="Arial" w:cs="Arial" w:eastAsia="Arial" w:hAnsi="Arial"/>
          <w:sz w:val="19"/>
          <w:szCs w:val="19"/>
          <w:color w:val="auto"/>
        </w:rPr>
        <w:t xml:space="preserve"> in Europe, such fee to equal $[**] for the first full calendar year after the effective date of the Amendment, $[**] for the second full calendar year after the effective date of the Amendment, and $[**] for each subsequent full calendar year after the effective date of the Amendment, or (3) [**] on commercially reasonable terms to be negotiated by the Parties. If Akebia proceeds with option (3) above, Panion will not be required to pay any upfront payment in connection with [**].</w:t>
      </w:r>
    </w:p>
    <w:p>
      <w:pPr>
        <w:sectPr>
          <w:pgSz w:w="11900" w:h="16838" w:orient="portrait"/>
          <w:cols w:equalWidth="0" w:num="1">
            <w:col w:w="11420"/>
          </w:cols>
          <w:pgMar w:left="240" w:top="122"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License to Keryx-Owned IP:</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Akebia will provide Panion an exclusive license, with the right to sublicense with Akebia’s prior consent (which shall not be unreasonably withheld or delayed), under the Akebia/Keryx-owned patents covering Fexeric</w:t>
      </w:r>
      <w:r>
        <w:rPr>
          <w:rFonts w:ascii="Arial" w:cs="Arial" w:eastAsia="Arial" w:hAnsi="Arial"/>
          <w:sz w:val="16"/>
          <w:szCs w:val="16"/>
          <w:color w:val="auto"/>
        </w:rPr>
        <w:t>®</w:t>
      </w:r>
      <w:r>
        <w:rPr>
          <w:rFonts w:ascii="Arial" w:cs="Arial" w:eastAsia="Arial" w:hAnsi="Arial"/>
          <w:sz w:val="19"/>
          <w:szCs w:val="19"/>
          <w:color w:val="auto"/>
        </w:rPr>
        <w:t xml:space="preserve"> to make, use, sell, offer for sale and import Fexeric</w:t>
      </w:r>
      <w:r>
        <w:rPr>
          <w:rFonts w:ascii="Arial" w:cs="Arial" w:eastAsia="Arial" w:hAnsi="Arial"/>
          <w:sz w:val="16"/>
          <w:szCs w:val="16"/>
          <w:color w:val="auto"/>
        </w:rPr>
        <w:t>®</w:t>
      </w:r>
      <w:r>
        <w:rPr>
          <w:rFonts w:ascii="Arial" w:cs="Arial" w:eastAsia="Arial" w:hAnsi="Arial"/>
          <w:sz w:val="19"/>
          <w:szCs w:val="19"/>
          <w:color w:val="auto"/>
        </w:rPr>
        <w:t xml:space="preserve"> in the following countries: [**] in the Asia-Pacific region, [**] (the “</w:t>
      </w:r>
      <w:r>
        <w:rPr>
          <w:rFonts w:ascii="Arial" w:cs="Arial" w:eastAsia="Arial" w:hAnsi="Arial"/>
          <w:sz w:val="19"/>
          <w:szCs w:val="19"/>
          <w:b w:val="1"/>
          <w:bCs w:val="1"/>
          <w:color w:val="auto"/>
        </w:rPr>
        <w:t>Panion Territory</w:t>
      </w:r>
      <w:r>
        <w:rPr>
          <w:rFonts w:ascii="Arial" w:cs="Arial" w:eastAsia="Arial" w:hAnsi="Arial"/>
          <w:sz w:val="19"/>
          <w:szCs w:val="19"/>
          <w:color w:val="auto"/>
        </w:rPr>
        <w:t>”). In return, Panion will pay Akebia a [**]% royalty on net sales of Fexeric</w:t>
      </w:r>
      <w:r>
        <w:rPr>
          <w:rFonts w:ascii="Arial" w:cs="Arial" w:eastAsia="Arial" w:hAnsi="Arial"/>
          <w:sz w:val="16"/>
          <w:szCs w:val="16"/>
          <w:color w:val="auto"/>
        </w:rPr>
        <w:t>®</w:t>
      </w:r>
      <w:r>
        <w:rPr>
          <w:rFonts w:ascii="Arial" w:cs="Arial" w:eastAsia="Arial" w:hAnsi="Arial"/>
          <w:sz w:val="19"/>
          <w:szCs w:val="19"/>
          <w:color w:val="auto"/>
        </w:rPr>
        <w:t xml:space="preserve"> in the Panion Territory.</w:t>
      </w:r>
    </w:p>
    <w:p>
      <w:pPr>
        <w:spacing w:after="0" w:line="147" w:lineRule="exact"/>
        <w:rPr>
          <w:sz w:val="20"/>
          <w:szCs w:val="20"/>
          <w:color w:val="auto"/>
        </w:rPr>
      </w:pPr>
    </w:p>
    <w:p>
      <w:pPr>
        <w:sectPr>
          <w:pgSz w:w="11900" w:h="16838" w:orient="portrait"/>
          <w:cols w:equalWidth="0" w:num="2">
            <w:col w:w="4040" w:space="720"/>
            <w:col w:w="6660"/>
          </w:cols>
          <w:pgMar w:left="240" w:top="122" w:right="239" w:bottom="1440" w:gutter="0" w:footer="0" w:header="0"/>
          <w:type w:val="continuous"/>
        </w:sectPr>
      </w:pPr>
    </w:p>
    <w:p>
      <w:pPr>
        <w:spacing w:after="0"/>
        <w:tabs>
          <w:tab w:leader="none" w:pos="4740" w:val="left"/>
        </w:tabs>
        <w:rPr>
          <w:sz w:val="20"/>
          <w:szCs w:val="20"/>
          <w:color w:val="auto"/>
        </w:rPr>
      </w:pPr>
      <w:r>
        <w:rPr>
          <w:rFonts w:ascii="Arial" w:cs="Arial" w:eastAsia="Arial" w:hAnsi="Arial"/>
          <w:sz w:val="19"/>
          <w:szCs w:val="19"/>
          <w:b w:val="1"/>
          <w:bCs w:val="1"/>
          <w:color w:val="auto"/>
        </w:rPr>
        <w:t>Other:</w:t>
      </w:r>
      <w:r>
        <w:rPr>
          <w:sz w:val="20"/>
          <w:szCs w:val="20"/>
          <w:color w:val="auto"/>
        </w:rPr>
        <w:tab/>
      </w:r>
      <w:r>
        <w:rPr>
          <w:rFonts w:ascii="Arial" w:cs="Arial" w:eastAsia="Arial" w:hAnsi="Arial"/>
          <w:sz w:val="19"/>
          <w:szCs w:val="19"/>
          <w:color w:val="auto"/>
        </w:rPr>
        <w:t>The Amendment will contain such other terms and conditions as the Parties</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reasonably deem appropriate.</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These terms in this </w:t>
      </w:r>
      <w:r>
        <w:rPr>
          <w:rFonts w:ascii="Arial" w:cs="Arial" w:eastAsia="Arial" w:hAnsi="Arial"/>
          <w:sz w:val="22"/>
          <w:szCs w:val="22"/>
          <w:u w:val="single" w:color="auto"/>
          <w:color w:val="auto"/>
        </w:rPr>
        <w:t>Attachment A</w:t>
      </w:r>
      <w:r>
        <w:rPr>
          <w:rFonts w:ascii="Arial" w:cs="Arial" w:eastAsia="Arial" w:hAnsi="Arial"/>
          <w:sz w:val="22"/>
          <w:szCs w:val="22"/>
          <w:color w:val="auto"/>
        </w:rPr>
        <w:t xml:space="preserve"> are not legally binding and are for discussion purposes only; they are expressly subject to the approval of each Party’s senior management and/or Board of Directors.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SWDocIDLocation</w:t>
      </w:r>
    </w:p>
    <w:p>
      <w:pPr>
        <w:sectPr>
          <w:pgSz w:w="11900" w:h="16838" w:orient="portrait"/>
          <w:cols w:equalWidth="0" w:num="1">
            <w:col w:w="11420"/>
          </w:cols>
          <w:pgMar w:left="240" w:top="122" w:right="239" w:bottom="1440" w:gutter="0" w:footer="0" w:header="0"/>
          <w:type w:val="continuous"/>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10.56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EMPLOYEE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 NON-SOLICITATION,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NON-COMPETITION AND DEVELOPMENTS AGREEMENT</w:t>
      </w:r>
    </w:p>
    <w:p>
      <w:pPr>
        <w:spacing w:after="0" w:line="215" w:lineRule="exact"/>
        <w:rPr>
          <w:sz w:val="20"/>
          <w:szCs w:val="20"/>
          <w:color w:val="auto"/>
        </w:rPr>
      </w:pPr>
    </w:p>
    <w:p>
      <w:pPr>
        <w:ind w:right="140" w:firstLine="877"/>
        <w:spacing w:after="0"/>
        <w:rPr>
          <w:sz w:val="20"/>
          <w:szCs w:val="20"/>
          <w:color w:val="auto"/>
        </w:rPr>
      </w:pPr>
      <w:r>
        <w:rPr>
          <w:rFonts w:ascii="Arial" w:cs="Arial" w:eastAsia="Arial" w:hAnsi="Arial"/>
          <w:sz w:val="22"/>
          <w:szCs w:val="22"/>
          <w:color w:val="auto"/>
        </w:rPr>
        <w:t>In consideration of my [employment/continued employment] by Akebia Therapeutics, Inc. (“Akebia” or the “Company”), my access to Akebia confidential and proprietary business information and the discretionary grant to me of equity in the Company, I hereby covenant and agree with the Company as follows:</w:t>
      </w:r>
    </w:p>
    <w:p>
      <w:pPr>
        <w:spacing w:after="0" w:line="213" w:lineRule="exact"/>
        <w:rPr>
          <w:sz w:val="20"/>
          <w:szCs w:val="20"/>
          <w:color w:val="auto"/>
        </w:rPr>
      </w:pPr>
    </w:p>
    <w:p>
      <w:pPr>
        <w:ind w:firstLine="885"/>
        <w:spacing w:after="0" w:line="236" w:lineRule="auto"/>
        <w:tabs>
          <w:tab w:leader="none" w:pos="1688"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Exclusivity of Services</w:t>
      </w:r>
      <w:r>
        <w:rPr>
          <w:rFonts w:ascii="Arial" w:cs="Arial" w:eastAsia="Arial" w:hAnsi="Arial"/>
          <w:sz w:val="22"/>
          <w:szCs w:val="22"/>
          <w:color w:val="auto"/>
        </w:rPr>
        <w:t>: During the period of my employment by the Company, I shall devote my full time and best efforts to the business of the Company and I shall neither pursue, directly or indirectly, alone or as a partner, joint venturer, officer, director, employee, consultant, agent, independent contractor or significant stockholder of any company or business, any business opportunity outside the Company, nor take any position with any organization other than the Company, without the written approval of the Chief Executive Officer of the Company.</w:t>
      </w:r>
    </w:p>
    <w:p>
      <w:pPr>
        <w:spacing w:after="0" w:line="214" w:lineRule="exact"/>
        <w:rPr>
          <w:rFonts w:ascii="Arial" w:cs="Arial" w:eastAsia="Arial" w:hAnsi="Arial"/>
          <w:sz w:val="22"/>
          <w:szCs w:val="22"/>
          <w:color w:val="auto"/>
        </w:rPr>
      </w:pPr>
    </w:p>
    <w:p>
      <w:pPr>
        <w:ind w:left="1700" w:hanging="815"/>
        <w:spacing w:after="0"/>
        <w:tabs>
          <w:tab w:leader="none" w:pos="170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Confidentiality / Trade Secrets / Non-Disclosure</w:t>
      </w:r>
    </w:p>
    <w:p>
      <w:pPr>
        <w:spacing w:after="0" w:line="233" w:lineRule="exact"/>
        <w:rPr>
          <w:sz w:val="20"/>
          <w:szCs w:val="20"/>
          <w:color w:val="auto"/>
        </w:rPr>
      </w:pPr>
    </w:p>
    <w:p>
      <w:pPr>
        <w:ind w:right="100" w:firstLine="885"/>
        <w:spacing w:after="0" w:line="246" w:lineRule="auto"/>
        <w:tabs>
          <w:tab w:leader="none" w:pos="176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During the term of my employment by the Company and at any time following the termination of my employment by the Company for any or no reason, whether voluntary or involuntary, with or without cause, I will not, without the express prior written consent of the Senior Vice President, Chief Human Resources Officer of the Company, disclose to others, use or publish (other than as may be required by my duties while employed by the Company in the ordinary course of the Company’s business) any proprietary, secret or confidential information of the Company (“Confidential Information”), which for the purposes hereof shall include, without limitation, information designated by the Company as “proprietary,” “secret,” or “confidential” (or otherwise similarly designated) or information which is not generally known to those outside of the Company detailing, listing, describing or otherwise relating to:</w:t>
      </w:r>
    </w:p>
    <w:p>
      <w:pPr>
        <w:spacing w:after="0" w:line="207" w:lineRule="exact"/>
        <w:rPr>
          <w:rFonts w:ascii="Arial" w:cs="Arial" w:eastAsia="Arial" w:hAnsi="Arial"/>
          <w:sz w:val="21"/>
          <w:szCs w:val="21"/>
          <w:color w:val="auto"/>
        </w:rPr>
      </w:pPr>
    </w:p>
    <w:p>
      <w:pPr>
        <w:ind w:right="280" w:firstLine="1763"/>
        <w:spacing w:after="0" w:line="248" w:lineRule="auto"/>
        <w:tabs>
          <w:tab w:leader="none" w:pos="2607" w:val="left"/>
        </w:tabs>
        <w:numPr>
          <w:ilvl w:val="1"/>
          <w:numId w:val="108"/>
        </w:numPr>
        <w:rPr>
          <w:rFonts w:ascii="Arial" w:cs="Arial" w:eastAsia="Arial" w:hAnsi="Arial"/>
          <w:sz w:val="21"/>
          <w:szCs w:val="21"/>
          <w:color w:val="auto"/>
        </w:rPr>
      </w:pPr>
      <w:r>
        <w:rPr>
          <w:rFonts w:ascii="Arial" w:cs="Arial" w:eastAsia="Arial" w:hAnsi="Arial"/>
          <w:sz w:val="21"/>
          <w:szCs w:val="21"/>
          <w:color w:val="auto"/>
        </w:rPr>
        <w:t>the business, conduct or operations of the Company or any of the Company’s customers, licensors, licensees, collaborators, suppliers, vendors or consultants, including (without limitation) customer lists and customer contact information; manufacturing, development and other technical methodologies, processes and applications; production schedules; financial plans, information and data; pricing information; business and/or product development plans; marketing plans; drug formulations; and clinical trial data (including, without limitation, the identity of and information about trial participants; trial results; and related regulatory actions or inactions);</w:t>
      </w:r>
    </w:p>
    <w:p>
      <w:pPr>
        <w:spacing w:after="0" w:line="204" w:lineRule="exact"/>
        <w:rPr>
          <w:rFonts w:ascii="Arial" w:cs="Arial" w:eastAsia="Arial" w:hAnsi="Arial"/>
          <w:sz w:val="21"/>
          <w:szCs w:val="21"/>
          <w:color w:val="auto"/>
        </w:rPr>
      </w:pPr>
    </w:p>
    <w:p>
      <w:pPr>
        <w:ind w:right="380" w:firstLine="1763"/>
        <w:spacing w:after="0" w:line="297" w:lineRule="auto"/>
        <w:tabs>
          <w:tab w:leader="none" w:pos="2667"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any materials, devices, processes, methods, know-how, ways of business, programs, formulae, compositions, compounds, technology, intellectual property, inventions, research, development and the like, used in organizing, researching, developing, promoting, managing or exploiting the Company’s products or product candidates; and/or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9" w:name="page190"/>
    <w:bookmarkEnd w:id="189"/>
    <w:p>
      <w:pPr>
        <w:ind w:left="2740" w:hanging="977"/>
        <w:spacing w:after="0"/>
        <w:tabs>
          <w:tab w:leader="none" w:pos="274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existence or betterment of, or possible new uses or applications for, any of the Company’s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products or product candidates.</w:t>
      </w:r>
    </w:p>
    <w:p>
      <w:pPr>
        <w:spacing w:after="0" w:line="215" w:lineRule="exact"/>
        <w:rPr>
          <w:rFonts w:ascii="Arial" w:cs="Arial" w:eastAsia="Arial" w:hAnsi="Arial"/>
          <w:sz w:val="19"/>
          <w:szCs w:val="19"/>
          <w:color w:val="auto"/>
        </w:rPr>
      </w:pPr>
    </w:p>
    <w:p>
      <w:pPr>
        <w:ind w:firstLine="885"/>
        <w:spacing w:after="0" w:line="245" w:lineRule="auto"/>
        <w:tabs>
          <w:tab w:leader="none" w:pos="177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 further agree that during the term of my employment by the Company and at any time following the termination of my employment by the Company for any or no reason, whether voluntary or involuntary, with or without cause, I will not disclose to others, use or publish (other than as may be required by my duties while employed by the Company in the ordinary course of the Company’s business) any Company Trade Secrets. The term “Trade Secrets” shall be given its broadest possible interpretation under the Defend Trade Secrets Act of 2016, and shall include (without limitation)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that is compiled, or memorialized physically, electronically, graphically, photographically, or in writing by the Company.</w:t>
      </w:r>
    </w:p>
    <w:p>
      <w:pPr>
        <w:spacing w:after="0" w:line="212" w:lineRule="exact"/>
        <w:rPr>
          <w:rFonts w:ascii="Arial" w:cs="Arial" w:eastAsia="Arial" w:hAnsi="Arial"/>
          <w:sz w:val="21"/>
          <w:szCs w:val="21"/>
          <w:color w:val="auto"/>
        </w:rPr>
      </w:pPr>
    </w:p>
    <w:p>
      <w:pPr>
        <w:ind w:right="40" w:firstLine="885"/>
        <w:spacing w:after="0" w:line="246" w:lineRule="auto"/>
        <w:tabs>
          <w:tab w:leader="none" w:pos="176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 acknowledge and understand that: (i) I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a Trade Secret that is made in a complaint or other document filed in a lawsuit or other proceeding, if such filing is made under seal; and (iii) if I file a lawsuit for retaliation for reporting a suspected violation of law I may disclose the Trade Secret to my attorney and use the Trade Secret information in the court proceeding, provided I file any document containing the Trade Secret under seal and do not disclose the Trade Secret, except pursuant to court order.</w:t>
      </w:r>
    </w:p>
    <w:p>
      <w:pPr>
        <w:spacing w:after="0" w:line="207" w:lineRule="exact"/>
        <w:rPr>
          <w:rFonts w:ascii="Arial" w:cs="Arial" w:eastAsia="Arial" w:hAnsi="Arial"/>
          <w:sz w:val="21"/>
          <w:szCs w:val="21"/>
          <w:color w:val="auto"/>
        </w:rPr>
      </w:pPr>
    </w:p>
    <w:p>
      <w:pPr>
        <w:ind w:right="20" w:firstLine="885"/>
        <w:spacing w:after="0" w:line="247" w:lineRule="auto"/>
        <w:tabs>
          <w:tab w:leader="none" w:pos="177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 acknowledge that the obligations of confidentiality and non-disclosure set forth in this Section 2 extend to any proprietary information of any third parties contracting with the Company, whether or not the Company has undertaken an express obligation of confidentiality with regard to such parties. I also acknowledge that the Company is now and may hereafter be subject to non-disclosure or confidentiality agreements with third persons pursuant to which the Company must protect or refrain from use of proprietary information which is the property of such third persons. I hereby agree upon the direction of the Company to be bound by the terms of such agreements in the event I have access to the proprietary information protected thereunder to the same extent as if I was an original individual signatory thereto.</w:t>
      </w:r>
    </w:p>
    <w:p>
      <w:pPr>
        <w:spacing w:after="0" w:line="205" w:lineRule="exact"/>
        <w:rPr>
          <w:rFonts w:ascii="Arial" w:cs="Arial" w:eastAsia="Arial" w:hAnsi="Arial"/>
          <w:sz w:val="21"/>
          <w:szCs w:val="21"/>
          <w:color w:val="auto"/>
        </w:rPr>
      </w:pPr>
    </w:p>
    <w:p>
      <w:pPr>
        <w:ind w:right="80" w:firstLine="885"/>
        <w:spacing w:after="0" w:line="277" w:lineRule="auto"/>
        <w:tabs>
          <w:tab w:leader="none" w:pos="176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 understand that, notwithstanding the forgoing, this Agreement does not limit my ability to communicate with the Equal Employment Opportunity Commission, the National Labor Relations Board, the Occupational Safety and Health Administration, the Securities and Exchange Commission, any agency Inspector General, or any other federal, state or local governmental agency or commission (“Government Agencies”), including to report possible violations of federal law or regulation or making other disclosures that are protected under the whistleblower provisions of federal law or regulation, or otherwise participate in any investigation or proceeding that may be conducted by any Government Agency, including providing documents or other information, without notice to the Company, to any Government Agency.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0" w:name="page191"/>
    <w:bookmarkEnd w:id="190"/>
    <w:p>
      <w:pPr>
        <w:ind w:left="-40" w:right="80" w:firstLine="885"/>
        <w:spacing w:after="0" w:line="234" w:lineRule="auto"/>
        <w:tabs>
          <w:tab w:leader="none" w:pos="1648"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Return of Property</w:t>
      </w:r>
      <w:r>
        <w:rPr>
          <w:rFonts w:ascii="Arial" w:cs="Arial" w:eastAsia="Arial" w:hAnsi="Arial"/>
          <w:sz w:val="22"/>
          <w:szCs w:val="22"/>
          <w:color w:val="auto"/>
        </w:rPr>
        <w:t>: Upon the termination of my employment (and regardless of whether such termination is voluntary or involuntary), I will promptly return to the Senior Vice President, Chief Human Resources Officer of the Company all of Company property, including but not limited to all Confidential Information, documents, data and files (whether in electronic or hard copy form, and all copies and drafts thereof); keys, access card or badges; Company-issued credit cards; computers, cell phones or PDAs; and any other tangible equipment. By signing below, I authorize the Company, to the extent permissible under applicable law, to deduct from my final paycheck the cost of replacing any property that I fail to return or any money owed to the Company.</w:t>
      </w:r>
    </w:p>
    <w:p>
      <w:pPr>
        <w:spacing w:after="0" w:line="218" w:lineRule="exact"/>
        <w:rPr>
          <w:rFonts w:ascii="Arial" w:cs="Arial" w:eastAsia="Arial" w:hAnsi="Arial"/>
          <w:sz w:val="22"/>
          <w:szCs w:val="22"/>
          <w:color w:val="auto"/>
        </w:rPr>
      </w:pPr>
    </w:p>
    <w:p>
      <w:pPr>
        <w:ind w:left="1660" w:hanging="815"/>
        <w:spacing w:after="0"/>
        <w:tabs>
          <w:tab w:leader="none" w:pos="16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Assignment of Rights to Intellectual Property</w:t>
      </w:r>
    </w:p>
    <w:p>
      <w:pPr>
        <w:spacing w:after="0" w:line="206" w:lineRule="exact"/>
        <w:rPr>
          <w:sz w:val="20"/>
          <w:szCs w:val="20"/>
          <w:color w:val="auto"/>
        </w:rPr>
      </w:pPr>
    </w:p>
    <w:p>
      <w:pPr>
        <w:ind w:left="-40" w:firstLine="885"/>
        <w:spacing w:after="0" w:line="274" w:lineRule="auto"/>
        <w:tabs>
          <w:tab w:leader="none" w:pos="172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 agree that during my employment I shall not make, use or permit to be used any notes, memoranda, reports, lists, records, drawings, sketches, specifications, software programs, intellectual property, data, documentation or other materials of any nature relating to any matter within the scope of the business of the Company or concerning any of its dealings or affairs other than for the benefit of the Company. I further agree that I shall not, after the termination of my employment (regardless of whether such termination is voluntary or involuntary), use or permit to be used any such notes, memoranda, reports, lists, records, drawings, sketches, specifications, software and/or hardware programs, intellectual property, data, documentation or other materials, it being agreed that all of the foregoing shall be and remain the sole and exclusive property of the Company and that immediately upon the termination of my employment I shall deliver all of the foregoing, and all copies thereof, to the Senior Vice President, Chief Human Resources Officer of the Company, at its main office or at my assigned work location.</w:t>
      </w:r>
    </w:p>
    <w:p>
      <w:pPr>
        <w:spacing w:after="0" w:line="185" w:lineRule="exact"/>
        <w:rPr>
          <w:rFonts w:ascii="Arial" w:cs="Arial" w:eastAsia="Arial" w:hAnsi="Arial"/>
          <w:sz w:val="19"/>
          <w:szCs w:val="19"/>
          <w:color w:val="auto"/>
        </w:rPr>
      </w:pPr>
    </w:p>
    <w:p>
      <w:pPr>
        <w:ind w:left="-40" w:firstLine="885"/>
        <w:spacing w:after="0" w:line="275" w:lineRule="auto"/>
        <w:tabs>
          <w:tab w:leader="none" w:pos="173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If at any time or times during my employment I shall (either alone or with others) develop intellectual property (whether or not patentable or registrable under copyright or similar statutes or subject to analogous protection; hereinafter “Intellectual Property”), such Intellectual Property and the benefits thereof shall immediately become the sole and absolute property of the Company and its assigns, and I shall promptly disclose to the Senior Vice President, Chief Human Resources Officer of the Company (or any persons designated by it) such Intellectual Property and hereby assign any rights I may have or acquire in the Intellectual Property and benefits and/or rights resulting therefrom to the Company and its assigns without further compensation and shall communicate, without cost or delay, and without publishing the same, all available information relating thereof (with all necessary plans and models) to the Senior Vice President, Chief Human Resources Officer of the Company.</w:t>
      </w:r>
    </w:p>
    <w:p>
      <w:pPr>
        <w:spacing w:after="0" w:line="185" w:lineRule="exact"/>
        <w:rPr>
          <w:rFonts w:ascii="Arial" w:cs="Arial" w:eastAsia="Arial" w:hAnsi="Arial"/>
          <w:sz w:val="19"/>
          <w:szCs w:val="19"/>
          <w:color w:val="auto"/>
        </w:rPr>
      </w:pPr>
    </w:p>
    <w:p>
      <w:pPr>
        <w:jc w:val="both"/>
        <w:ind w:left="-40" w:right="160" w:firstLine="885"/>
        <w:spacing w:after="0"/>
        <w:tabs>
          <w:tab w:leader="none" w:pos="172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Upon disclosure of such Intellectual Property to the Company, I will, during my employment and at any time thereafter, at the request of and cost to the Company, sign, execute, make and do all such deeds, documents, acts and things as the Company and its duly authorized agents may reasonably require to:</w:t>
      </w:r>
    </w:p>
    <w:p>
      <w:pPr>
        <w:spacing w:after="0" w:line="213" w:lineRule="exact"/>
        <w:rPr>
          <w:rFonts w:ascii="Arial" w:cs="Arial" w:eastAsia="Arial" w:hAnsi="Arial"/>
          <w:sz w:val="22"/>
          <w:szCs w:val="22"/>
          <w:color w:val="auto"/>
        </w:rPr>
      </w:pPr>
    </w:p>
    <w:p>
      <w:pPr>
        <w:ind w:left="-40" w:right="60" w:firstLine="1763"/>
        <w:spacing w:after="0"/>
        <w:tabs>
          <w:tab w:leader="none" w:pos="2567"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208280</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577" w:right="279" w:bottom="1440" w:gutter="0" w:footer="0" w:header="0"/>
        </w:sectPr>
      </w:pPr>
    </w:p>
    <w:bookmarkStart w:id="191" w:name="page192"/>
    <w:bookmarkEnd w:id="191"/>
    <w:p>
      <w:pPr>
        <w:ind w:right="20" w:firstLine="1763"/>
        <w:spacing w:after="0" w:line="251" w:lineRule="auto"/>
        <w:tabs>
          <w:tab w:leader="none" w:pos="266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defend any opposition proceedings in respect of such applications and any opposition proceedings or petitions or applications for revocation of such letters patent, copyright or other analogous protection.</w:t>
      </w:r>
    </w:p>
    <w:p>
      <w:pPr>
        <w:spacing w:after="0" w:line="200" w:lineRule="exact"/>
        <w:rPr>
          <w:sz w:val="20"/>
          <w:szCs w:val="20"/>
          <w:color w:val="auto"/>
        </w:rPr>
      </w:pPr>
    </w:p>
    <w:p>
      <w:pPr>
        <w:ind w:firstLine="877"/>
        <w:spacing w:after="0" w:line="248" w:lineRule="auto"/>
        <w:rPr>
          <w:sz w:val="20"/>
          <w:szCs w:val="20"/>
          <w:color w:val="auto"/>
        </w:rPr>
      </w:pPr>
      <w:r>
        <w:rPr>
          <w:rFonts w:ascii="Arial" w:cs="Arial" w:eastAsia="Arial" w:hAnsi="Arial"/>
          <w:sz w:val="21"/>
          <w:szCs w:val="21"/>
          <w:color w:val="auto"/>
        </w:rPr>
        <w:t>In the event the Company is unable, after reasonable effort, to secure my signature on any letters patent, copyright or other analogous protection relating to Intellectual Property, whether because of my physical or mental incapacity or for any other reason whatsoever, I hereby irrevocably designate and appoint the Company and its duly authorized officers and agents as my agent and attorney-in-fact, to act for and in my behalf and stead to execute and file any such application or applications and to do all other lawfully permitted acts and to further the prosecution and insurance of letters patent, copyright or other analogous protection thereon with the same legal force and effect as if executed by me.</w:t>
      </w:r>
    </w:p>
    <w:p>
      <w:pPr>
        <w:spacing w:after="0" w:line="204" w:lineRule="exact"/>
        <w:rPr>
          <w:sz w:val="20"/>
          <w:szCs w:val="20"/>
          <w:color w:val="auto"/>
        </w:rPr>
      </w:pPr>
    </w:p>
    <w:p>
      <w:pPr>
        <w:ind w:right="240" w:firstLine="885"/>
        <w:spacing w:after="0" w:line="238" w:lineRule="auto"/>
        <w:tabs>
          <w:tab w:leader="none" w:pos="177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I represent that the Intellectual Property identified in </w:t>
      </w:r>
      <w:r>
        <w:rPr>
          <w:rFonts w:ascii="Arial" w:cs="Arial" w:eastAsia="Arial" w:hAnsi="Arial"/>
          <w:sz w:val="22"/>
          <w:szCs w:val="22"/>
          <w:b w:val="1"/>
          <w:bCs w:val="1"/>
          <w:i w:val="1"/>
          <w:iCs w:val="1"/>
          <w:color w:val="auto"/>
        </w:rPr>
        <w:t>Exhibit A</w:t>
      </w:r>
      <w:r>
        <w:rPr>
          <w:rFonts w:ascii="Arial" w:cs="Arial" w:eastAsia="Arial" w:hAnsi="Arial"/>
          <w:sz w:val="22"/>
          <w:szCs w:val="22"/>
          <w:color w:val="auto"/>
        </w:rPr>
        <w:t xml:space="preserve"> hereto comprises all the Intellectual Property which I have developed prior to my employment by the Company, which Intellectual Property is excluded from this Agreement (“Prior Development”). I understand that it is only necessary to list the title and purpose of such Intellectual Property but not details thereof.</w:t>
      </w:r>
    </w:p>
    <w:p>
      <w:pPr>
        <w:spacing w:after="0" w:line="212" w:lineRule="exact"/>
        <w:rPr>
          <w:rFonts w:ascii="Arial" w:cs="Arial" w:eastAsia="Arial" w:hAnsi="Arial"/>
          <w:sz w:val="22"/>
          <w:szCs w:val="22"/>
          <w:color w:val="auto"/>
        </w:rPr>
      </w:pPr>
    </w:p>
    <w:p>
      <w:pPr>
        <w:ind w:right="40" w:firstLine="885"/>
        <w:spacing w:after="0" w:line="235" w:lineRule="auto"/>
        <w:tabs>
          <w:tab w:leader="none" w:pos="176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If, in the course of my employment with the Company, I incorporate a Prior Development into any product, product candidate or service of the Company, the Company is hereby granted and shall have a nonexclusive, royalty-free, irrevocable, perpetual, worldwide license (with rights to sublicense through multiple tiers of sublicensees) to make, have made, import, modify, use, offer to sell, and sell such Prior Development. Notwithstanding the foregoing, I agree that I will not incorporate, or permit to be incorporated, Prior Developments in any product, product candidate or service of the Company without the Company’s prior written consent.</w:t>
      </w:r>
    </w:p>
    <w:p>
      <w:pPr>
        <w:spacing w:after="0" w:line="215" w:lineRule="exact"/>
        <w:rPr>
          <w:sz w:val="20"/>
          <w:szCs w:val="20"/>
          <w:color w:val="auto"/>
        </w:rPr>
      </w:pPr>
    </w:p>
    <w:p>
      <w:pPr>
        <w:ind w:left="1700" w:hanging="815"/>
        <w:spacing w:after="0"/>
        <w:tabs>
          <w:tab w:leader="none" w:pos="170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33" w:lineRule="exact"/>
        <w:rPr>
          <w:sz w:val="20"/>
          <w:szCs w:val="20"/>
          <w:color w:val="auto"/>
        </w:rPr>
      </w:pPr>
    </w:p>
    <w:p>
      <w:pPr>
        <w:ind w:right="160" w:firstLine="885"/>
        <w:spacing w:after="0" w:line="246" w:lineRule="auto"/>
        <w:tabs>
          <w:tab w:leader="none" w:pos="176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During my employment by the Company and for the six (6) month period following the date on which my employment terminates for any or no reason, whether voluntary or involuntary (the “Non-Compete Period”), and provided the Company first makes a one-time payment to me of $5,000, I will not, without the Company’s prior written consent, directly or indirectly: (i) become employed by or render any service to any person or entity that competes or plans to compete with the Business of the Company; or (ii) alone or as a partner, joint venturer, officer, director, employee, consultant, agent, independent contractor or stockholder of any company or business, engage in any business activity that directly or indirectly competes or plans to compete with any of the products being developed, marketed, distributed, planned, sold or otherwise provided by the Company at such time.</w:t>
      </w:r>
    </w:p>
    <w:p>
      <w:pPr>
        <w:spacing w:after="0" w:line="207" w:lineRule="exact"/>
        <w:rPr>
          <w:rFonts w:ascii="Arial" w:cs="Arial" w:eastAsia="Arial" w:hAnsi="Arial"/>
          <w:sz w:val="21"/>
          <w:szCs w:val="21"/>
          <w:color w:val="auto"/>
        </w:rPr>
      </w:pPr>
    </w:p>
    <w:p>
      <w:pPr>
        <w:ind w:right="20" w:firstLine="885"/>
        <w:spacing w:after="0" w:line="297" w:lineRule="auto"/>
        <w:tabs>
          <w:tab w:leader="none" w:pos="177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For the purpose of this Agreement, the “Business of the Company” means the research, development, licensing and/or commercialization of one or more products or product candidates (i) related to the treatment of anemia and related conditions and/or (ii) based on hypoxia-inducible factor (HIF) biology or hypoxia-inducible factor prolyl hydroxylase (HIF-PH)</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92" w:name="page193"/>
    <w:bookmarkEnd w:id="192"/>
    <w:p>
      <w:pPr>
        <w:ind w:right="640"/>
        <w:spacing w:after="0"/>
        <w:rPr>
          <w:sz w:val="20"/>
          <w:szCs w:val="20"/>
          <w:color w:val="auto"/>
        </w:rPr>
      </w:pPr>
      <w:r>
        <w:rPr>
          <w:rFonts w:ascii="Arial" w:cs="Arial" w:eastAsia="Arial" w:hAnsi="Arial"/>
          <w:sz w:val="22"/>
          <w:szCs w:val="22"/>
          <w:color w:val="auto"/>
        </w:rPr>
        <w:t>biology and/or (iii) related to the treatment of hyperphosphatemia or the control of serum phosphorus levels. The foregoing, however, shall not prevent my passive ownership of two percent (2%) or less of the equity securities of any publicly traded company.</w:t>
      </w:r>
    </w:p>
    <w:p>
      <w:pPr>
        <w:spacing w:after="0" w:line="213" w:lineRule="exact"/>
        <w:rPr>
          <w:sz w:val="20"/>
          <w:szCs w:val="20"/>
          <w:color w:val="auto"/>
        </w:rPr>
      </w:pPr>
    </w:p>
    <w:p>
      <w:pPr>
        <w:ind w:right="260" w:firstLine="885"/>
        <w:spacing w:after="0" w:line="328" w:lineRule="auto"/>
        <w:tabs>
          <w:tab w:leader="none" w:pos="176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 understand and agree that payment set forth in Section 5(a) above (i) has been mutually agreed upon by me and the Company, (ii) is fair and reasonable, and (iii) is sufficient in exchange for my obligations set forth in this Section 5.</w:t>
      </w:r>
    </w:p>
    <w:p>
      <w:pPr>
        <w:spacing w:after="0" w:line="132" w:lineRule="exact"/>
        <w:rPr>
          <w:rFonts w:ascii="Arial" w:cs="Arial" w:eastAsia="Arial" w:hAnsi="Arial"/>
          <w:sz w:val="19"/>
          <w:szCs w:val="19"/>
          <w:color w:val="auto"/>
        </w:rPr>
      </w:pPr>
    </w:p>
    <w:p>
      <w:pPr>
        <w:jc w:val="both"/>
        <w:ind w:right="300" w:firstLine="885"/>
        <w:spacing w:after="0"/>
        <w:tabs>
          <w:tab w:leader="none" w:pos="177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 understand that, at or around the time my employment with the Company ends, and in the Company’s sole discretion, the Company may waive my obligations in this Section 5, in which case the Company will not be required to provide me with the payment set forth in Section 5(a) above.</w:t>
      </w:r>
    </w:p>
    <w:p>
      <w:pPr>
        <w:spacing w:after="0" w:line="213" w:lineRule="exact"/>
        <w:rPr>
          <w:rFonts w:ascii="Arial" w:cs="Arial" w:eastAsia="Arial" w:hAnsi="Arial"/>
          <w:sz w:val="22"/>
          <w:szCs w:val="22"/>
          <w:color w:val="auto"/>
        </w:rPr>
      </w:pPr>
    </w:p>
    <w:p>
      <w:pPr>
        <w:jc w:val="both"/>
        <w:ind w:firstLine="885"/>
        <w:spacing w:after="0"/>
        <w:tabs>
          <w:tab w:leader="none" w:pos="176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 understand that my obligations set forth in Section 5(a) may not be enforceable if, at the time my employment with the Company terminates, I am (i) classified by the Company as non-exempt under the Federal Fair Labor Standards Act or (ii) enrolled in a full-time or part-time undergraduate or graduate educational institution.</w:t>
      </w:r>
    </w:p>
    <w:p>
      <w:pPr>
        <w:spacing w:after="0" w:line="213" w:lineRule="exact"/>
        <w:rPr>
          <w:rFonts w:ascii="Arial" w:cs="Arial" w:eastAsia="Arial" w:hAnsi="Arial"/>
          <w:sz w:val="22"/>
          <w:szCs w:val="22"/>
          <w:color w:val="auto"/>
        </w:rPr>
      </w:pPr>
    </w:p>
    <w:p>
      <w:pPr>
        <w:ind w:right="20" w:firstLine="885"/>
        <w:spacing w:after="0" w:line="235" w:lineRule="auto"/>
        <w:tabs>
          <w:tab w:leader="none" w:pos="174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 further understand that my obligations set forth in Section 5(a) may not be enforceable if I am laid off by the Company or if my employment is terminated by the Company without Cause. For purposes of this Agreement, “Cause” shall mean the following: (i) the Company determines in good faith that there exists a reasonable basis for its dissatisfaction with my employment or performance, such as lack of capacity or diligence, failure to conform to usual standards of conduct, or other culpable or inappropriate behavior; or (ii) in the Company’s honest judgment, the needs of the business require the termination of my employment.</w:t>
      </w:r>
    </w:p>
    <w:p>
      <w:pPr>
        <w:spacing w:after="0" w:line="215" w:lineRule="exact"/>
        <w:rPr>
          <w:rFonts w:ascii="Arial" w:cs="Arial" w:eastAsia="Arial" w:hAnsi="Arial"/>
          <w:sz w:val="22"/>
          <w:szCs w:val="22"/>
          <w:color w:val="auto"/>
        </w:rPr>
      </w:pPr>
    </w:p>
    <w:p>
      <w:pPr>
        <w:ind w:right="100" w:firstLine="885"/>
        <w:spacing w:after="0"/>
        <w:tabs>
          <w:tab w:leader="none" w:pos="177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For the avoidance of doubt, I understand that if my obligations set forth in Section 5(a) are not enforceable for any of the reasons set forth in Sections 5(e) or 5(f), then the Company will not be required to provide me with the payment described in Section 5(a).</w:t>
      </w:r>
    </w:p>
    <w:p>
      <w:pPr>
        <w:spacing w:after="0" w:line="213" w:lineRule="exact"/>
        <w:rPr>
          <w:sz w:val="20"/>
          <w:szCs w:val="20"/>
          <w:color w:val="auto"/>
        </w:rPr>
      </w:pPr>
    </w:p>
    <w:p>
      <w:pPr>
        <w:ind w:right="200" w:firstLine="885"/>
        <w:spacing w:after="0" w:line="238" w:lineRule="auto"/>
        <w:tabs>
          <w:tab w:leader="none" w:pos="1688"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During my employment by the Company and for a period of twelve (12) months thereafter (the “Restricted Period”), I will not, directly or indirectly, in any way encourage, induce or solicit (or attempt to encourage, induce or solicit) any employee, consultant or independent contractor to terminate his, her or its relationship with the Company.</w:t>
      </w:r>
    </w:p>
    <w:p>
      <w:pPr>
        <w:spacing w:after="0" w:line="212" w:lineRule="exact"/>
        <w:rPr>
          <w:rFonts w:ascii="Arial" w:cs="Arial" w:eastAsia="Arial" w:hAnsi="Arial"/>
          <w:sz w:val="22"/>
          <w:szCs w:val="22"/>
          <w:color w:val="auto"/>
        </w:rPr>
      </w:pPr>
    </w:p>
    <w:p>
      <w:pPr>
        <w:ind w:right="20" w:firstLine="885"/>
        <w:spacing w:after="0" w:line="270" w:lineRule="auto"/>
        <w:tabs>
          <w:tab w:leader="none" w:pos="1688"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Non-Solicitation of Certain Third Parties</w:t>
      </w:r>
      <w:r>
        <w:rPr>
          <w:rFonts w:ascii="Arial" w:cs="Arial" w:eastAsia="Arial" w:hAnsi="Arial"/>
          <w:sz w:val="19"/>
          <w:szCs w:val="19"/>
          <w:color w:val="auto"/>
        </w:rPr>
        <w:t>: I understand and agree that the relationship between the Company and certain third parties constitutes a valuable asset of the Company and may not be converted to my own use. Accordingly, during the Restricted Period, I will not, directly or indirectly (i) call-on, solicit, divert, take away or do business with (or in any manner attempt to call-on, solicit, divert, take away or do business with) any past, present or prospective customer, account, collaborator, licensee or other business relation of the Company with whom I interacted or learned of during my employment with the Company;</w:t>
      </w:r>
    </w:p>
    <w:p>
      <w:pPr>
        <w:spacing w:after="0" w:line="4" w:lineRule="exact"/>
        <w:rPr>
          <w:rFonts w:ascii="Arial" w:cs="Arial" w:eastAsia="Arial" w:hAnsi="Arial"/>
          <w:sz w:val="19"/>
          <w:szCs w:val="19"/>
          <w:color w:val="auto"/>
        </w:rPr>
      </w:pPr>
    </w:p>
    <w:p>
      <w:pPr>
        <w:jc w:val="both"/>
        <w:ind w:right="220" w:firstLine="8"/>
        <w:spacing w:after="0" w:line="234" w:lineRule="auto"/>
        <w:tabs>
          <w:tab w:leader="none" w:pos="31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 any way interfere with the relationship between any such customer, account, collaborator, licensee or business relation and the Company; or (iii) solicit or encourage any customer, account, collaborator, licensee or other business relation of the Company to terminate or diminish its relationship with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3" w:name="page194"/>
    <w:bookmarkEnd w:id="193"/>
    <w:p>
      <w:pPr>
        <w:ind w:left="-20" w:right="60" w:firstLine="885"/>
        <w:spacing w:after="0" w:line="273" w:lineRule="auto"/>
        <w:tabs>
          <w:tab w:leader="none" w:pos="1668"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No Conflicting Obligations</w:t>
      </w:r>
      <w:r>
        <w:rPr>
          <w:rFonts w:ascii="Arial" w:cs="Arial" w:eastAsia="Arial" w:hAnsi="Arial"/>
          <w:sz w:val="19"/>
          <w:szCs w:val="19"/>
          <w:color w:val="auto"/>
        </w:rPr>
        <w:t>: I hereby represent that, except as I have disclosed in writing to the Company, I am not a party to, or bound by the terms of, any agreement with or obligation to any previous employer or other party to refrain from using or disclosing any Trade Secret or confidential or proprietary information in the course of my employment with the Company or to refrain from competing, directly or indirectly, with the business of such previous employer or any other party. I further represent that my performance of all the terms of this Agreement and as an employee of the Company does not and will not breach any agreement or obligation to keep in confidence proprietary information, knowledge or data acquired by me in confidence or in trust prior to or during my employment with the Company, and I will not disclose to the Company or induce the Company to use any confidential or proprietary information or material belonging to any previous employer or others. By signing below, I acknowledge that the Company has instructed me not to bring to the Company’s premises, install on any Company computer, use, or disclose any confidential information belonging to a third party during my employment with the Company.</w:t>
      </w:r>
    </w:p>
    <w:p>
      <w:pPr>
        <w:spacing w:after="0" w:line="188" w:lineRule="exact"/>
        <w:rPr>
          <w:rFonts w:ascii="Arial" w:cs="Arial" w:eastAsia="Arial" w:hAnsi="Arial"/>
          <w:sz w:val="19"/>
          <w:szCs w:val="19"/>
          <w:color w:val="auto"/>
        </w:rPr>
      </w:pPr>
    </w:p>
    <w:p>
      <w:pPr>
        <w:ind w:left="-20" w:firstLine="885"/>
        <w:spacing w:after="0" w:line="274" w:lineRule="auto"/>
        <w:tabs>
          <w:tab w:leader="none" w:pos="1668"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Remedies for Breach</w:t>
      </w:r>
      <w:r>
        <w:rPr>
          <w:rFonts w:ascii="Arial" w:cs="Arial" w:eastAsia="Arial" w:hAnsi="Arial"/>
          <w:sz w:val="19"/>
          <w:szCs w:val="19"/>
          <w:color w:val="auto"/>
        </w:rPr>
        <w:t>: I agree that my breach of any covenant in this Agreement will cause irreparable damage to the Company and that, in the event of such breach, the Company shall have, in addition to any and all remedies of law, the right to an injunction, specific performance or other equitable relief to prevent the violation of my obligations hereunder. I understand and agree that in the event I breach any of the covenants contained herein during the Non-Compete Period and/or Restricted Period, as applicable, the Non-Compete Period and/or the Restricted Period, as applicable, shall be extended automatically. The duration of such extension shall equal the period of time between the date I began such violation and the date I permanently cease such violation. I further understand and agree that in the event I breach or fail to honor any term of this Agreement, and the Company is successful in whole or in part in any legal or equitable action to defend its rights under or to enforce any terms of this Agreement, I shall be required to reimburse the Company for all costs, expenses and reasonable attorneys’ fees associated with such action.</w:t>
      </w:r>
    </w:p>
    <w:p>
      <w:pPr>
        <w:spacing w:after="0" w:line="185" w:lineRule="exact"/>
        <w:rPr>
          <w:rFonts w:ascii="Arial" w:cs="Arial" w:eastAsia="Arial" w:hAnsi="Arial"/>
          <w:sz w:val="19"/>
          <w:szCs w:val="19"/>
          <w:color w:val="auto"/>
        </w:rPr>
      </w:pPr>
    </w:p>
    <w:p>
      <w:pPr>
        <w:ind w:left="-20" w:right="80" w:firstLine="885"/>
        <w:spacing w:after="0" w:line="287" w:lineRule="auto"/>
        <w:tabs>
          <w:tab w:leader="none" w:pos="177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Employment at Will</w:t>
      </w:r>
      <w:r>
        <w:rPr>
          <w:rFonts w:ascii="Arial" w:cs="Arial" w:eastAsia="Arial" w:hAnsi="Arial"/>
          <w:sz w:val="19"/>
          <w:szCs w:val="19"/>
          <w:color w:val="auto"/>
        </w:rPr>
        <w:t>: I acknowledge and agree that this Agreement does not constitute an express or implied employment contract and that my employment with the Company will be on an “at-will” basis. Accordingly, I understand that this Agreement does not create an obligation on the Company or any other person or entity to continue my employment and that either the Company or I may terminate my employment at any time, for any or no reason, with or without cause.</w:t>
      </w:r>
    </w:p>
    <w:p>
      <w:pPr>
        <w:spacing w:after="0" w:line="170" w:lineRule="exact"/>
        <w:rPr>
          <w:rFonts w:ascii="Arial" w:cs="Arial" w:eastAsia="Arial" w:hAnsi="Arial"/>
          <w:sz w:val="19"/>
          <w:szCs w:val="19"/>
          <w:color w:val="auto"/>
        </w:rPr>
      </w:pPr>
    </w:p>
    <w:p>
      <w:pPr>
        <w:ind w:left="-20" w:firstLine="885"/>
        <w:spacing w:after="0" w:line="238" w:lineRule="auto"/>
        <w:tabs>
          <w:tab w:leader="none" w:pos="1768"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Modification and Waiver</w:t>
      </w:r>
      <w:r>
        <w:rPr>
          <w:rFonts w:ascii="Arial" w:cs="Arial" w:eastAsia="Arial" w:hAnsi="Arial"/>
          <w:sz w:val="22"/>
          <w:szCs w:val="22"/>
          <w:color w:val="auto"/>
        </w:rPr>
        <w:t>: Any amendment to or modification of this Agreement, and any waiver of any provision hereof, shall be valid only if set forth in a writing signed by the Chief Executive Officer of the Company. Any waiver by the Company of a breach of any provision of this Agreement shall not operate or be construed as a waiver of any subsequent breach hereof.</w:t>
      </w:r>
    </w:p>
    <w:p>
      <w:pPr>
        <w:spacing w:after="0" w:line="212" w:lineRule="exact"/>
        <w:rPr>
          <w:rFonts w:ascii="Arial" w:cs="Arial" w:eastAsia="Arial" w:hAnsi="Arial"/>
          <w:sz w:val="22"/>
          <w:szCs w:val="22"/>
          <w:color w:val="auto"/>
        </w:rPr>
      </w:pPr>
    </w:p>
    <w:p>
      <w:pPr>
        <w:ind w:left="-20" w:firstLine="885"/>
        <w:spacing w:after="0" w:line="297" w:lineRule="auto"/>
        <w:tabs>
          <w:tab w:leader="none" w:pos="177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 hereby agree that each provision herein shall be treated as a separate and independent clause, and the unenforceability of any one clause shall in no way impair the enforceability of any of the other clauses herein. Moreover, if one or more of the provisions contained in this Agreement shall for any reason be held to be excessively broad as to</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208280</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194" w:name="page195"/>
    <w:bookmarkEnd w:id="194"/>
    <w:p>
      <w:pPr>
        <w:ind w:right="280"/>
        <w:spacing w:after="0" w:line="328" w:lineRule="auto"/>
        <w:rPr>
          <w:sz w:val="20"/>
          <w:szCs w:val="20"/>
          <w:color w:val="auto"/>
        </w:rPr>
      </w:pPr>
      <w:r>
        <w:rPr>
          <w:rFonts w:ascii="Arial" w:cs="Arial" w:eastAsia="Arial" w:hAnsi="Arial"/>
          <w:sz w:val="19"/>
          <w:szCs w:val="19"/>
          <w:color w:val="auto"/>
        </w:rPr>
        <w:t>scope, activity or subject so as to be unenforceable at law, such provision or provisions shall be construed by the appropriate judicial body by limiting and reducing it or them, so as to be enforceable to the maximum extent compatible with applicable law.</w:t>
      </w:r>
    </w:p>
    <w:p>
      <w:pPr>
        <w:spacing w:after="0" w:line="132" w:lineRule="exact"/>
        <w:rPr>
          <w:sz w:val="20"/>
          <w:szCs w:val="20"/>
          <w:color w:val="auto"/>
        </w:rPr>
      </w:pPr>
    </w:p>
    <w:p>
      <w:pPr>
        <w:ind w:right="180" w:firstLine="885"/>
        <w:spacing w:after="0" w:line="246" w:lineRule="auto"/>
        <w:tabs>
          <w:tab w:leader="none" w:pos="1796"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Applicable Law / Jurisdiction / Jury Waiver</w:t>
      </w:r>
      <w:r>
        <w:rPr>
          <w:rFonts w:ascii="Arial" w:cs="Arial" w:eastAsia="Arial" w:hAnsi="Arial"/>
          <w:sz w:val="21"/>
          <w:szCs w:val="21"/>
          <w:color w:val="auto"/>
        </w:rPr>
        <w:t>: This Agreement shall be governed by and construed in accordance with the laws of the Commonwealth of Massachusetts, without regard to the conflicts of laws principles thereof. In addition, I acknowledge that because I will have regular interaction with Company representatives based in Massachusetts, any dispute concerning this Agreement shall be heard only and exclusively by a court of competent jurisdiction within Massachusetts. By signing below, I acknowledge that I am subject, and hereby consent, to the personal jurisdiction and venue of the Massachusetts courts in any county where the Company has operations or facilities. Both parties further agree that any such dispute shall be tried by a judge alone, and both parties hereby waive and forever renounce the right to a trial before a civil jury in any such dispute.</w:t>
      </w:r>
    </w:p>
    <w:p>
      <w:pPr>
        <w:spacing w:after="0" w:line="207" w:lineRule="exact"/>
        <w:rPr>
          <w:rFonts w:ascii="Arial" w:cs="Arial" w:eastAsia="Arial" w:hAnsi="Arial"/>
          <w:sz w:val="21"/>
          <w:szCs w:val="21"/>
          <w:color w:val="auto"/>
        </w:rPr>
      </w:pPr>
    </w:p>
    <w:p>
      <w:pPr>
        <w:jc w:val="both"/>
        <w:ind w:right="20" w:firstLine="885"/>
        <w:spacing w:after="0" w:line="238" w:lineRule="auto"/>
        <w:tabs>
          <w:tab w:leader="none" w:pos="1796"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terms “Company” and “Akebia” shall include Akebia Therapeutics, Inc. and any of its subsidiaries, including without limitation Keryx Biopharmaceuticals, Inc., subdivisions or affiliates. The Company shall have the right to assign this Agreement to its successors and assigns, and all covenants and agreements hereunder shall inure to the benefit of and be enforceable by said successors or assigns.</w:t>
      </w:r>
    </w:p>
    <w:p>
      <w:pPr>
        <w:spacing w:after="0" w:line="212" w:lineRule="exact"/>
        <w:rPr>
          <w:rFonts w:ascii="Arial" w:cs="Arial" w:eastAsia="Arial" w:hAnsi="Arial"/>
          <w:sz w:val="22"/>
          <w:szCs w:val="22"/>
          <w:color w:val="auto"/>
        </w:rPr>
      </w:pPr>
    </w:p>
    <w:p>
      <w:pPr>
        <w:ind w:right="20" w:firstLine="885"/>
        <w:spacing w:after="0" w:line="282" w:lineRule="auto"/>
        <w:tabs>
          <w:tab w:leader="none" w:pos="17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Survival / Changes in Role or Title</w:t>
      </w:r>
      <w:r>
        <w:rPr>
          <w:rFonts w:ascii="Arial" w:cs="Arial" w:eastAsia="Arial" w:hAnsi="Arial"/>
          <w:sz w:val="19"/>
          <w:szCs w:val="19"/>
          <w:color w:val="auto"/>
        </w:rPr>
        <w:t>: I acknowledge that my covenants in this Agreement are given in exchange for, among other things, my [employment/continued employment], the terms and conditions of such employment, my access to Akebia confidential and proprietary business information and the discretionary grant to me of equity in the Company. My covenants are not tied to my present role, title or responsibilities. Therefore, the covenants in this Agreement shall survive any change in my role, title, responsibilities, compensation, benefits, or any other term or condition of my employment.</w:t>
      </w:r>
    </w:p>
    <w:p>
      <w:pPr>
        <w:spacing w:after="0" w:line="174" w:lineRule="exact"/>
        <w:rPr>
          <w:rFonts w:ascii="Arial" w:cs="Arial" w:eastAsia="Arial" w:hAnsi="Arial"/>
          <w:sz w:val="19"/>
          <w:szCs w:val="19"/>
          <w:color w:val="auto"/>
        </w:rPr>
      </w:pPr>
    </w:p>
    <w:p>
      <w:pPr>
        <w:ind w:right="80" w:firstLine="885"/>
        <w:spacing w:after="0" w:line="282" w:lineRule="auto"/>
        <w:tabs>
          <w:tab w:leader="none" w:pos="17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Notifications Regarding New Employers</w:t>
      </w:r>
      <w:r>
        <w:rPr>
          <w:rFonts w:ascii="Arial" w:cs="Arial" w:eastAsia="Arial" w:hAnsi="Arial"/>
          <w:sz w:val="19"/>
          <w:szCs w:val="19"/>
          <w:color w:val="auto"/>
        </w:rPr>
        <w:t>: During the Restricted Period I hereby (a) agree to promptly inform the Senior Vice President, Chief Human Resources Officer of the Company of the name and address of any prospective employer or other prospective recipient of my services; (b) agree to provide a copy of this Agreement to any employer, prospective employer or other prospective recipient of my services; and (c) authorize the Company to provide copies of this Agreement to any person or entities that may or does employ or do business with, or consider employing or doing business with, me in the future.</w:t>
      </w:r>
    </w:p>
    <w:p>
      <w:pPr>
        <w:spacing w:after="0" w:line="174" w:lineRule="exact"/>
        <w:rPr>
          <w:rFonts w:ascii="Arial" w:cs="Arial" w:eastAsia="Arial" w:hAnsi="Arial"/>
          <w:sz w:val="19"/>
          <w:szCs w:val="19"/>
          <w:color w:val="auto"/>
        </w:rPr>
      </w:pPr>
    </w:p>
    <w:p>
      <w:pPr>
        <w:ind w:firstLine="885"/>
        <w:spacing w:after="0" w:line="275" w:lineRule="auto"/>
        <w:tabs>
          <w:tab w:leader="none" w:pos="17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supersedes any and all prior oral and/or written agreements, and sets forth the entire agreement, between me and the Company with respect to the subject matter hereof, except that any Employee Agreement (Confidentiality, Non-Solicitation, Non-Competition and Developments Agreement), any Proprietary Information and Inventions Agreement, and/or any agreement containing confidentiality, non-solicitation, non-competition and/or development provisions, in each case, between me and the Company entered into on or about the time of the commencement of my employment with the Company or at any time during my employment with the Company (each, a “Prior Agreement”) shall remain in full force and effect in accordance with its terms. In the event of any inconsistency between the provisions of this Agreement and the provisions of any Prior Agreement, the provisions of this Agreement shall control.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5" w:name="page196"/>
    <w:bookmarkEnd w:id="195"/>
    <w:p>
      <w:pPr>
        <w:ind w:firstLine="885"/>
        <w:spacing w:after="0" w:line="251" w:lineRule="auto"/>
        <w:tabs>
          <w:tab w:leader="none" w:pos="179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will constitute one and the same instrument.</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John P. Butler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ind w:right="600"/>
        <w:spacing w:after="0" w:line="307" w:lineRule="auto"/>
        <w:rPr>
          <w:sz w:val="20"/>
          <w:szCs w:val="20"/>
          <w:color w:val="auto"/>
        </w:rPr>
      </w:pPr>
      <w:r>
        <w:rPr>
          <w:rFonts w:ascii="Arial" w:cs="Arial" w:eastAsia="Arial" w:hAnsi="Arial"/>
          <w:sz w:val="19"/>
          <w:szCs w:val="19"/>
          <w:color w:val="auto"/>
        </w:rPr>
        <w:t xml:space="preserve">Intending to be legally bound hereby, I have signed this Agreement under seal as of the day and year written below. </w:t>
      </w:r>
      <w:r>
        <w:rPr>
          <w:rFonts w:ascii="Arial" w:cs="Arial" w:eastAsia="Arial" w:hAnsi="Arial"/>
          <w:sz w:val="17"/>
          <w:szCs w:val="17"/>
          <w:b w:val="1"/>
          <w:bCs w:val="1"/>
          <w:color w:val="auto"/>
        </w:rPr>
        <w:t>I hereby</w:t>
      </w:r>
      <w:r>
        <w:rPr>
          <w:rFonts w:ascii="Arial" w:cs="Arial" w:eastAsia="Arial" w:hAnsi="Arial"/>
          <w:sz w:val="19"/>
          <w:szCs w:val="19"/>
          <w:color w:val="auto"/>
        </w:rPr>
        <w:t xml:space="preserve"> </w:t>
      </w:r>
      <w:r>
        <w:rPr>
          <w:rFonts w:ascii="Arial" w:cs="Arial" w:eastAsia="Arial" w:hAnsi="Arial"/>
          <w:sz w:val="17"/>
          <w:szCs w:val="17"/>
          <w:b w:val="1"/>
          <w:bCs w:val="1"/>
          <w:color w:val="auto"/>
        </w:rPr>
        <w:t>acknowledge that I have been advised and am aware of my right to consult with an attorney prior to signing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33" w:lineRule="exact"/>
        <w:rPr>
          <w:sz w:val="20"/>
          <w:szCs w:val="20"/>
          <w:color w:val="auto"/>
        </w:rPr>
      </w:pPr>
    </w:p>
    <w:p>
      <w:pPr>
        <w:spacing w:after="0"/>
        <w:tabs>
          <w:tab w:leader="none" w:pos="6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67494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3">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28213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7" w:right="3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5"/>
          <w:szCs w:val="25"/>
          <w:b w:val="1"/>
          <w:bCs w:val="1"/>
          <w:u w:val="single" w:color="auto"/>
          <w:color w:val="auto"/>
        </w:rPr>
        <w:t>E</w:t>
      </w:r>
      <w:r>
        <w:rPr>
          <w:rFonts w:ascii="Arial" w:cs="Arial" w:eastAsia="Arial" w:hAnsi="Arial"/>
          <w:sz w:val="17"/>
          <w:szCs w:val="17"/>
          <w:b w:val="1"/>
          <w:bCs w:val="1"/>
          <w:u w:val="single" w:color="auto"/>
          <w:color w:val="auto"/>
        </w:rPr>
        <w:t>XHIBIT</w:t>
      </w:r>
      <w:r>
        <w:rPr>
          <w:rFonts w:ascii="Arial" w:cs="Arial" w:eastAsia="Arial" w:hAnsi="Arial"/>
          <w:sz w:val="25"/>
          <w:szCs w:val="25"/>
          <w:b w:val="1"/>
          <w:bCs w:val="1"/>
          <w:u w:val="single" w:color="auto"/>
          <w:color w:val="auto"/>
        </w:rPr>
        <w:t xml:space="preserve">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PREVIOUS INVENTIONS</w:t>
      </w:r>
    </w:p>
    <w:p>
      <w:pPr>
        <w:spacing w:after="0" w:line="24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Akebia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[Please Print Full Name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-130810</wp:posOffset>
            </wp:positionV>
            <wp:extent cx="25469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17145</wp:posOffset>
            </wp:positionV>
            <wp:extent cx="2546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SUBJECT:</w:t>
      </w:r>
      <w:r>
        <w:rPr>
          <w:sz w:val="20"/>
          <w:szCs w:val="20"/>
          <w:color w:val="auto"/>
        </w:rPr>
        <w:tab/>
      </w:r>
      <w:r>
        <w:rPr>
          <w:rFonts w:ascii="Arial" w:cs="Arial" w:eastAsia="Arial" w:hAnsi="Arial"/>
          <w:sz w:val="18"/>
          <w:szCs w:val="18"/>
          <w:b w:val="1"/>
          <w:bCs w:val="1"/>
          <w:color w:val="auto"/>
        </w:rPr>
        <w:t>Previous Inventions</w:t>
      </w:r>
    </w:p>
    <w:p>
      <w:pPr>
        <w:spacing w:after="0" w:line="256" w:lineRule="exact"/>
        <w:rPr>
          <w:sz w:val="20"/>
          <w:szCs w:val="20"/>
          <w:color w:val="auto"/>
        </w:rPr>
      </w:pPr>
    </w:p>
    <w:p>
      <w:pPr>
        <w:jc w:val="both"/>
        <w:ind w:firstLine="8"/>
        <w:spacing w:after="0" w:line="264" w:lineRule="auto"/>
        <w:tabs>
          <w:tab w:leader="none" w:pos="783"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 xml:space="preserve">Except as listed in Section 2 below, the following is a complete list of all inventions, copyrighted works or improvements relevant to the subject matter of my employment by the Company (as defined in the Agreement to which this Exhibit A is attached) that have been made or conceived or first reduced to practice by me alone or jointly with others </w:t>
      </w:r>
      <w:r>
        <w:rPr>
          <w:rFonts w:ascii="Arial" w:cs="Arial" w:eastAsia="Arial" w:hAnsi="Arial"/>
          <w:sz w:val="18"/>
          <w:szCs w:val="18"/>
          <w:u w:val="single" w:color="auto"/>
          <w:color w:val="auto"/>
        </w:rPr>
        <w:t>prior to</w:t>
      </w:r>
      <w:r>
        <w:rPr>
          <w:rFonts w:ascii="Arial" w:cs="Arial" w:eastAsia="Arial" w:hAnsi="Arial"/>
          <w:sz w:val="18"/>
          <w:szCs w:val="18"/>
          <w:color w:val="auto"/>
        </w:rPr>
        <w:t xml:space="preserve"> my employment by the Company:</w:t>
      </w:r>
    </w:p>
    <w:p>
      <w:pPr>
        <w:spacing w:after="0" w:line="208" w:lineRule="exact"/>
        <w:rPr>
          <w:rFonts w:ascii="Arial" w:cs="Arial" w:eastAsia="Arial" w:hAnsi="Arial"/>
          <w:sz w:val="18"/>
          <w:szCs w:val="18"/>
          <w:b w:val="1"/>
          <w:bCs w:val="1"/>
          <w:color w:val="auto"/>
        </w:rPr>
      </w:pPr>
    </w:p>
    <w:p>
      <w:pPr>
        <w:ind w:left="1020" w:hanging="377"/>
        <w:spacing w:after="0"/>
        <w:tabs>
          <w:tab w:leader="none" w:pos="1020" w:val="left"/>
        </w:tabs>
        <w:numPr>
          <w:ilvl w:val="1"/>
          <w:numId w:val="123"/>
        </w:numPr>
        <w:rPr>
          <w:rFonts w:ascii="MS PGothic" w:cs="MS PGothic" w:eastAsia="MS PGothic" w:hAnsi="MS PGothic"/>
          <w:sz w:val="18"/>
          <w:szCs w:val="18"/>
          <w:color w:val="auto"/>
        </w:rPr>
      </w:pPr>
      <w:r>
        <w:rPr>
          <w:rFonts w:ascii="Arial" w:cs="Arial" w:eastAsia="Arial" w:hAnsi="Arial"/>
          <w:sz w:val="18"/>
          <w:szCs w:val="18"/>
          <w:color w:val="auto"/>
        </w:rPr>
        <w:t>No inventions or improvements.</w:t>
      </w:r>
    </w:p>
    <w:p>
      <w:pPr>
        <w:spacing w:after="0" w:line="252" w:lineRule="exact"/>
        <w:rPr>
          <w:rFonts w:ascii="MS PGothic" w:cs="MS PGothic" w:eastAsia="MS PGothic" w:hAnsi="MS PGothic"/>
          <w:sz w:val="18"/>
          <w:szCs w:val="18"/>
          <w:color w:val="auto"/>
        </w:rPr>
      </w:pPr>
    </w:p>
    <w:p>
      <w:pPr>
        <w:ind w:left="1020" w:hanging="377"/>
        <w:spacing w:after="0"/>
        <w:tabs>
          <w:tab w:leader="none" w:pos="1020" w:val="left"/>
        </w:tabs>
        <w:numPr>
          <w:ilvl w:val="1"/>
          <w:numId w:val="123"/>
        </w:numPr>
        <w:rPr>
          <w:rFonts w:ascii="MS PGothic" w:cs="MS PGothic" w:eastAsia="MS PGothic" w:hAnsi="MS PGothic"/>
          <w:sz w:val="18"/>
          <w:szCs w:val="18"/>
          <w:color w:val="auto"/>
        </w:rPr>
      </w:pPr>
      <w:r>
        <w:rPr>
          <w:rFonts w:ascii="Arial" w:cs="Arial" w:eastAsia="Arial" w:hAnsi="Arial"/>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872490</wp:posOffset>
            </wp:positionV>
            <wp:extent cx="65601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589280</wp:posOffset>
            </wp:positionV>
            <wp:extent cx="65601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9">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306705</wp:posOffset>
            </wp:positionV>
            <wp:extent cx="65601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0">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 w:hanging="372"/>
        <w:spacing w:after="0"/>
        <w:tabs>
          <w:tab w:leader="none" w:pos="38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00" w:lineRule="exact"/>
        <w:rPr>
          <w:sz w:val="20"/>
          <w:szCs w:val="20"/>
          <w:color w:val="auto"/>
        </w:rPr>
      </w:pPr>
    </w:p>
    <w:p>
      <w:pPr>
        <w:spacing w:after="0" w:line="268" w:lineRule="exact"/>
        <w:rPr>
          <w:sz w:val="20"/>
          <w:szCs w:val="20"/>
          <w:color w:val="auto"/>
        </w:rPr>
      </w:pPr>
    </w:p>
    <w:p>
      <w:pPr>
        <w:ind w:right="20" w:firstLine="8"/>
        <w:spacing w:after="0" w:line="277" w:lineRule="auto"/>
        <w:tabs>
          <w:tab w:leader="none" w:pos="783"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Due to a prior confidentiality agreement, I cannot complete the disclosure under Section 1 above with respect to inventions or improvements generally listed below, the proprietary rights and duty of confidentiality with respect to which I owe to the following party(ies):</w:t>
      </w:r>
    </w:p>
    <w:p>
      <w:pPr>
        <w:spacing w:after="0" w:line="193" w:lineRule="exact"/>
        <w:rPr>
          <w:sz w:val="20"/>
          <w:szCs w:val="20"/>
          <w:color w:val="auto"/>
        </w:rPr>
      </w:pPr>
    </w:p>
    <w:p>
      <w:pPr>
        <w:ind w:left="1080"/>
        <w:spacing w:after="0"/>
        <w:tabs>
          <w:tab w:leader="none" w:pos="4800" w:val="left"/>
          <w:tab w:leader="none" w:pos="7820" w:val="left"/>
        </w:tabs>
        <w:rPr>
          <w:sz w:val="20"/>
          <w:szCs w:val="20"/>
          <w:color w:val="auto"/>
        </w:rPr>
      </w:pPr>
      <w:r>
        <w:rPr>
          <w:rFonts w:ascii="Arial" w:cs="Arial" w:eastAsia="Arial" w:hAnsi="Arial"/>
          <w:sz w:val="18"/>
          <w:szCs w:val="18"/>
          <w:b w:val="1"/>
          <w:bCs w:val="1"/>
          <w:color w:val="auto"/>
        </w:rPr>
        <w:t>Invention or Improvement</w:t>
      </w:r>
      <w:r>
        <w:rPr>
          <w:sz w:val="20"/>
          <w:szCs w:val="20"/>
          <w:color w:val="auto"/>
        </w:rPr>
        <w:tab/>
      </w:r>
      <w:r>
        <w:rPr>
          <w:rFonts w:ascii="Arial" w:cs="Arial" w:eastAsia="Arial" w:hAnsi="Arial"/>
          <w:sz w:val="18"/>
          <w:szCs w:val="18"/>
          <w:b w:val="1"/>
          <w:bCs w:val="1"/>
          <w:color w:val="auto"/>
        </w:rPr>
        <w:t>Party(ies)</w:t>
      </w:r>
      <w:r>
        <w:rPr>
          <w:sz w:val="20"/>
          <w:szCs w:val="20"/>
          <w:color w:val="auto"/>
        </w:rPr>
        <w:tab/>
      </w:r>
      <w:r>
        <w:rPr>
          <w:rFonts w:ascii="Arial" w:cs="Arial" w:eastAsia="Arial" w:hAnsi="Arial"/>
          <w:sz w:val="15"/>
          <w:szCs w:val="15"/>
          <w:b w:val="1"/>
          <w:bCs w:val="1"/>
          <w:color w:val="auto"/>
        </w:rPr>
        <w:t>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37477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37477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2">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37477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3">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23" w:lineRule="exact"/>
        <w:rPr>
          <w:sz w:val="20"/>
          <w:szCs w:val="20"/>
          <w:color w:val="auto"/>
        </w:rPr>
      </w:pPr>
    </w:p>
    <w:p>
      <w:pPr>
        <w:ind w:left="360" w:hanging="352"/>
        <w:spacing w:after="0"/>
        <w:tabs>
          <w:tab w:leader="none" w:pos="36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3" w:right="239" w:bottom="1440" w:gutter="0" w:footer="0" w:header="0"/>
        </w:sectPr>
      </w:pPr>
    </w:p>
    <w:bookmarkStart w:id="197" w:name="page198"/>
    <w:bookmarkEnd w:id="197"/>
    <w:p>
      <w:pPr>
        <w:spacing w:after="0" w:line="200" w:lineRule="exact"/>
        <w:rPr>
          <w:sz w:val="20"/>
          <w:szCs w:val="20"/>
          <w:color w:val="auto"/>
        </w:rPr>
      </w:pPr>
    </w:p>
    <w:p>
      <w:pPr>
        <w:spacing w:after="0" w:line="32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color w:val="auto"/>
        </w:rPr>
        <w:t>DIRECTOR NON-STATUTORY STOCK OPTION AWARD TERMS AND CONDITIONS</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Awarded pursuant to and subject to the provisions of the Keryx Biopharmaceuticals, Inc. Third Amended and Restated Directors Equity Compensation Plan (the “Directors Compensation Plan”), which is operated as a sub-plan of the Keryx Biopharmaceuticals, Inc. 2013 Incentive Plan (the “Incentive Plan” and, together with the Directors Compensation Plan, the “Plans”)</w:t>
      </w:r>
    </w:p>
    <w:p>
      <w:pPr>
        <w:spacing w:after="0" w:line="54" w:lineRule="exact"/>
        <w:rPr>
          <w:sz w:val="20"/>
          <w:szCs w:val="20"/>
          <w:color w:val="auto"/>
        </w:rPr>
      </w:pPr>
    </w:p>
    <w:p>
      <w:pPr>
        <w:jc w:val="both"/>
        <w:ind w:firstLine="145"/>
        <w:spacing w:after="0" w:line="273" w:lineRule="auto"/>
        <w:tabs>
          <w:tab w:leader="none" w:pos="909"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Vesting of Options</w:t>
      </w:r>
      <w:r>
        <w:rPr>
          <w:rFonts w:ascii="Arial" w:cs="Arial" w:eastAsia="Arial" w:hAnsi="Arial"/>
          <w:sz w:val="16"/>
          <w:szCs w:val="16"/>
          <w:color w:val="auto"/>
        </w:rPr>
        <w:t>. The Options shall vest (become exercisable) in accordance with the schedule provided along with Optionee’s Award. Notwithstanding the foregoing vesting schedule, upon a Change in Control, the Options shall become fully vested and exercisable.</w:t>
      </w:r>
    </w:p>
    <w:p>
      <w:pPr>
        <w:spacing w:after="0" w:line="67" w:lineRule="exact"/>
        <w:rPr>
          <w:rFonts w:ascii="Arial" w:cs="Arial" w:eastAsia="Arial" w:hAnsi="Arial"/>
          <w:sz w:val="16"/>
          <w:szCs w:val="16"/>
          <w:color w:val="auto"/>
        </w:rPr>
      </w:pPr>
    </w:p>
    <w:p>
      <w:pPr>
        <w:jc w:val="both"/>
        <w:ind w:firstLine="145"/>
        <w:spacing w:after="0" w:line="271" w:lineRule="auto"/>
        <w:tabs>
          <w:tab w:leader="none" w:pos="909"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Term of Options and Limitations on Right to Exercise</w:t>
      </w:r>
      <w:r>
        <w:rPr>
          <w:rFonts w:ascii="Arial" w:cs="Arial" w:eastAsia="Arial" w:hAnsi="Arial"/>
          <w:sz w:val="16"/>
          <w:szCs w:val="16"/>
          <w:color w:val="auto"/>
        </w:rPr>
        <w:t>. The term of the Options will be for a period of ten years, expiring at 5:00 p.m., Eastern Time, on the tenth anniversary of the Grant Date (the “Expiration Date”). To the extent not previously exercised, the Options will lapse prior to the Expiration Date upon the earliest to occur of the following circumstances:</w:t>
      </w:r>
    </w:p>
    <w:p>
      <w:pPr>
        <w:spacing w:after="0" w:line="69" w:lineRule="exact"/>
        <w:rPr>
          <w:sz w:val="20"/>
          <w:szCs w:val="20"/>
          <w:color w:val="auto"/>
        </w:rPr>
      </w:pPr>
    </w:p>
    <w:p>
      <w:pPr>
        <w:ind w:firstLine="145"/>
        <w:spacing w:after="0" w:line="293" w:lineRule="auto"/>
        <w:tabs>
          <w:tab w:leader="none" w:pos="96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Twelve months after the termination of Optionee’s Continuous Service for any reason other than for Cause; or</w:t>
      </w:r>
    </w:p>
    <w:p>
      <w:pPr>
        <w:spacing w:after="0" w:line="36" w:lineRule="exact"/>
        <w:rPr>
          <w:rFonts w:ascii="Arial" w:cs="Arial" w:eastAsia="Arial" w:hAnsi="Arial"/>
          <w:sz w:val="16"/>
          <w:szCs w:val="16"/>
          <w:color w:val="auto"/>
        </w:rPr>
      </w:pPr>
    </w:p>
    <w:p>
      <w:pPr>
        <w:ind w:left="980" w:hanging="835"/>
        <w:spacing w:after="0"/>
        <w:tabs>
          <w:tab w:leader="none" w:pos="9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Immediately upon termination of Optionee’s Continuous Status for</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Cause.</w:t>
      </w:r>
    </w:p>
    <w:p>
      <w:pPr>
        <w:spacing w:after="0" w:line="109" w:lineRule="exact"/>
        <w:rPr>
          <w:sz w:val="20"/>
          <w:szCs w:val="20"/>
          <w:color w:val="auto"/>
        </w:rPr>
      </w:pPr>
    </w:p>
    <w:p>
      <w:pPr>
        <w:jc w:val="both"/>
        <w:ind w:firstLine="137"/>
        <w:spacing w:after="0" w:line="278" w:lineRule="auto"/>
        <w:rPr>
          <w:sz w:val="20"/>
          <w:szCs w:val="20"/>
          <w:color w:val="auto"/>
        </w:rPr>
      </w:pPr>
      <w:r>
        <w:rPr>
          <w:rFonts w:ascii="Arial" w:cs="Arial" w:eastAsia="Arial" w:hAnsi="Arial"/>
          <w:sz w:val="16"/>
          <w:szCs w:val="16"/>
          <w:color w:val="auto"/>
        </w:rPr>
        <w:t>If Optionee or his or her beneficiary exercises the Options after termination of service, the Options may be exercised only with respect to the Shares that were otherwise vested on Optionee’s termination of service.</w:t>
      </w:r>
    </w:p>
    <w:p>
      <w:pPr>
        <w:spacing w:after="0" w:line="63" w:lineRule="exact"/>
        <w:rPr>
          <w:sz w:val="20"/>
          <w:szCs w:val="20"/>
          <w:color w:val="auto"/>
        </w:rPr>
      </w:pPr>
    </w:p>
    <w:p>
      <w:pPr>
        <w:jc w:val="both"/>
        <w:ind w:firstLine="145"/>
        <w:spacing w:after="0" w:line="284" w:lineRule="auto"/>
        <w:tabs>
          <w:tab w:leader="none" w:pos="909" w:val="left"/>
        </w:tabs>
        <w:numPr>
          <w:ilvl w:val="0"/>
          <w:numId w:val="129"/>
        </w:numPr>
        <w:rPr>
          <w:rFonts w:ascii="Arial" w:cs="Arial" w:eastAsia="Arial" w:hAnsi="Arial"/>
          <w:sz w:val="15"/>
          <w:szCs w:val="15"/>
          <w:color w:val="auto"/>
        </w:rPr>
      </w:pPr>
      <w:r>
        <w:rPr>
          <w:rFonts w:ascii="Arial" w:cs="Arial" w:eastAsia="Arial" w:hAnsi="Arial"/>
          <w:sz w:val="15"/>
          <w:szCs w:val="15"/>
          <w:u w:val="single" w:color="auto"/>
          <w:color w:val="auto"/>
        </w:rPr>
        <w:t>Exercise of Options</w:t>
      </w:r>
      <w:r>
        <w:rPr>
          <w:rFonts w:ascii="Arial" w:cs="Arial" w:eastAsia="Arial" w:hAnsi="Arial"/>
          <w:sz w:val="15"/>
          <w:szCs w:val="15"/>
          <w:color w:val="auto"/>
        </w:rPr>
        <w:t>. The Options shall be exercised by (a) written notice directed to the Secretary of the Company or his or her designee at the address and in the form specified by the Secretary from time to time and (b) payment to the Company in full for the Shares subject to such exercise (unless the exercise is a broker-assisted cashless exercise, as described below). If the person exercising the Options is not Optionee, such person shall also deliver with the notice of exercise appropriate proof of his or her right to exercise the Options. Payment for such Shares shall be (a) in cash, (b) by delivery (actual or by attestation) of Shares previously acquired by the purchaser, (c) at the election of the Company, by withholding of Shares from the Options, or (d) any combination thereof, for the number of Shares specified in such written notice. The surrendered or withheld Shares for this purpose shall be valued at the Fair Market Value on the exercise date. To the extent permitted under Regulation T of the Federal Reserve Board, and subject to applicable securities laws and any limitations as may be applied from time to time by the Committee (which need not be uniform), the Options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legal title to the Option Shares shall be deemed to have passed to Optionee on the exercise date, and the exercise price shall be delivered to the Company by the settlement date.</w:t>
      </w:r>
    </w:p>
    <w:p>
      <w:pPr>
        <w:spacing w:after="0" w:line="47" w:lineRule="exact"/>
        <w:rPr>
          <w:rFonts w:ascii="Arial" w:cs="Arial" w:eastAsia="Arial" w:hAnsi="Arial"/>
          <w:sz w:val="15"/>
          <w:szCs w:val="15"/>
          <w:color w:val="auto"/>
        </w:rPr>
      </w:pPr>
    </w:p>
    <w:p>
      <w:pPr>
        <w:jc w:val="both"/>
        <w:ind w:firstLine="145"/>
        <w:spacing w:after="0" w:line="313" w:lineRule="auto"/>
        <w:tabs>
          <w:tab w:leader="none" w:pos="900"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Beneficiary Designation</w:t>
      </w:r>
      <w:r>
        <w:rPr>
          <w:rFonts w:ascii="Arial" w:cs="Arial" w:eastAsia="Arial" w:hAnsi="Arial"/>
          <w:sz w:val="14"/>
          <w:szCs w:val="14"/>
          <w:color w:val="auto"/>
        </w:rPr>
        <w:t>. Optionee may, in the manner determined by the Committee, designate a beneficiary to exercise the rights of Optionee hereunder and to receive any distribution with respect to the Options upon Optionee’s death. A beneficiary, legal guardian, legal representative, or other person claiming any rights hereunder is subject to all terms and conditions of this Award Certificate and the Plans, and to any additional restrictions deemed necessary or appropriate by the Committee. If no beneficiary has been designated or survives Optionee, the Options may be exercised</w:t>
      </w:r>
    </w:p>
    <w:p>
      <w:pPr>
        <w:spacing w:after="0" w:line="20" w:lineRule="exact"/>
        <w:rPr>
          <w:sz w:val="20"/>
          <w:szCs w:val="20"/>
          <w:color w:val="auto"/>
        </w:rPr>
      </w:pPr>
      <w:r>
        <w:rPr>
          <w:sz w:val="20"/>
          <w:szCs w:val="20"/>
          <w:color w:val="auto"/>
        </w:rPr>
        <w:br w:type="column"/>
      </w:r>
    </w:p>
    <w:p>
      <w:pPr>
        <w:ind w:left="4500"/>
        <w:spacing w:after="0"/>
        <w:rPr>
          <w:sz w:val="20"/>
          <w:szCs w:val="20"/>
          <w:color w:val="auto"/>
        </w:rPr>
      </w:pPr>
      <w:r>
        <w:rPr>
          <w:rFonts w:ascii="Arial" w:cs="Arial" w:eastAsia="Arial" w:hAnsi="Arial"/>
          <w:sz w:val="16"/>
          <w:szCs w:val="16"/>
          <w:b w:val="1"/>
          <w:bCs w:val="1"/>
          <w:color w:val="auto"/>
        </w:rPr>
        <w:t>EXHIBIT 10.59</w:t>
      </w:r>
    </w:p>
    <w:p>
      <w:pPr>
        <w:spacing w:after="0" w:line="347" w:lineRule="exact"/>
        <w:rPr>
          <w:sz w:val="20"/>
          <w:szCs w:val="20"/>
          <w:color w:val="auto"/>
        </w:rPr>
      </w:pPr>
    </w:p>
    <w:p>
      <w:pPr>
        <w:jc w:val="both"/>
        <w:spacing w:after="0" w:line="335" w:lineRule="auto"/>
        <w:rPr>
          <w:sz w:val="20"/>
          <w:szCs w:val="20"/>
          <w:color w:val="auto"/>
        </w:rPr>
      </w:pPr>
      <w:r>
        <w:rPr>
          <w:rFonts w:ascii="Arial" w:cs="Arial" w:eastAsia="Arial" w:hAnsi="Arial"/>
          <w:sz w:val="14"/>
          <w:szCs w:val="14"/>
          <w:color w:val="auto"/>
        </w:rPr>
        <w:t>by the legal representative of Optionee’s estate, and payment shall be made to Optionee’s estate. Subject to the foregoing, a beneficiary designation may be changed or revoked by Optionee at any time provided the change or revocation is filed with the Company.</w:t>
      </w:r>
    </w:p>
    <w:p>
      <w:pPr>
        <w:spacing w:after="0" w:line="28" w:lineRule="exact"/>
        <w:rPr>
          <w:sz w:val="20"/>
          <w:szCs w:val="20"/>
          <w:color w:val="auto"/>
        </w:rPr>
      </w:pPr>
    </w:p>
    <w:p>
      <w:pPr>
        <w:jc w:val="both"/>
        <w:ind w:firstLine="146"/>
        <w:spacing w:after="0" w:line="269"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Limitation of Rights</w:t>
      </w:r>
      <w:r>
        <w:rPr>
          <w:rFonts w:ascii="Arial" w:cs="Arial" w:eastAsia="Arial" w:hAnsi="Arial"/>
          <w:sz w:val="16"/>
          <w:szCs w:val="16"/>
          <w:color w:val="auto"/>
        </w:rPr>
        <w:t>. The Options do not confer to Optionee or Optionee’s beneficiary designated pursuant to Paragraph 4 any rights of a shareholder of the Company unless and until Shares are in fact issued to such person in connection with the exercise of the Options. Nothing in this Award Certificate shall interfere with or limit in any way the right of the Company or any Affiliate to terminate Optionee’s service at any time, nor confer upon Optionee any right to continue in the service of the Company or any Affiliate.</w:t>
      </w:r>
    </w:p>
    <w:p>
      <w:pPr>
        <w:spacing w:after="0" w:line="55" w:lineRule="exact"/>
        <w:rPr>
          <w:rFonts w:ascii="Arial" w:cs="Arial" w:eastAsia="Arial" w:hAnsi="Arial"/>
          <w:sz w:val="16"/>
          <w:szCs w:val="16"/>
          <w:color w:val="auto"/>
        </w:rPr>
      </w:pPr>
    </w:p>
    <w:p>
      <w:pPr>
        <w:jc w:val="both"/>
        <w:ind w:firstLine="146"/>
        <w:spacing w:after="0" w:line="278"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Stock Reserve</w:t>
      </w:r>
      <w:r>
        <w:rPr>
          <w:rFonts w:ascii="Arial" w:cs="Arial" w:eastAsia="Arial" w:hAnsi="Arial"/>
          <w:sz w:val="16"/>
          <w:szCs w:val="16"/>
          <w:color w:val="auto"/>
        </w:rPr>
        <w:t>. The Company shall at all times during the term of this Award Certificate reserve and keep available such number of Shares as will be sufficient to satisfy the requirements of this Award Certificate.</w:t>
      </w:r>
    </w:p>
    <w:p>
      <w:pPr>
        <w:spacing w:after="0" w:line="62" w:lineRule="exact"/>
        <w:rPr>
          <w:rFonts w:ascii="Arial" w:cs="Arial" w:eastAsia="Arial" w:hAnsi="Arial"/>
          <w:sz w:val="16"/>
          <w:szCs w:val="16"/>
          <w:color w:val="auto"/>
        </w:rPr>
      </w:pPr>
    </w:p>
    <w:p>
      <w:pPr>
        <w:jc w:val="both"/>
        <w:ind w:firstLine="146"/>
        <w:spacing w:after="0" w:line="311" w:lineRule="auto"/>
        <w:tabs>
          <w:tab w:leader="none" w:pos="900"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Restrictions on Transfer and Pledge</w:t>
      </w:r>
      <w:r>
        <w:rPr>
          <w:rFonts w:ascii="Arial" w:cs="Arial" w:eastAsia="Arial" w:hAnsi="Arial"/>
          <w:sz w:val="14"/>
          <w:szCs w:val="14"/>
          <w:color w:val="auto"/>
        </w:rPr>
        <w:t>. No right or interest of Optionee in the Options may be pledged, encumbered, or hypothecated to or in favor of any party other than the Company or an Affiliate, or shall be subject to any lien, obligation, or liability of Optionee to any other party other than the Company or an Affiliate. The Options are not assignable or transferable by Optionee other than by will or the laws of descent and distribution; provided, however, that the Committee may (but need not) permit other transfers (other than transfers for value). The Options may be exercised during the lifetime of Optionee only by Optionee or any permitted transferee.</w:t>
      </w:r>
    </w:p>
    <w:p>
      <w:pPr>
        <w:spacing w:after="0" w:line="46" w:lineRule="exact"/>
        <w:rPr>
          <w:rFonts w:ascii="Arial" w:cs="Arial" w:eastAsia="Arial" w:hAnsi="Arial"/>
          <w:sz w:val="14"/>
          <w:szCs w:val="14"/>
          <w:color w:val="auto"/>
        </w:rPr>
      </w:pPr>
    </w:p>
    <w:p>
      <w:pPr>
        <w:jc w:val="both"/>
        <w:ind w:firstLine="146"/>
        <w:spacing w:after="0" w:line="288" w:lineRule="auto"/>
        <w:tabs>
          <w:tab w:leader="none" w:pos="909"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Restrictions on Issuance of Shares</w:t>
      </w:r>
      <w:r>
        <w:rPr>
          <w:rFonts w:ascii="Arial" w:cs="Arial" w:eastAsia="Arial" w:hAnsi="Arial"/>
          <w:sz w:val="15"/>
          <w:szCs w:val="15"/>
          <w:color w:val="auto"/>
        </w:rPr>
        <w:t>. If at any time the Committee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Committee.</w:t>
      </w:r>
    </w:p>
    <w:p>
      <w:pPr>
        <w:spacing w:after="0" w:line="45" w:lineRule="exact"/>
        <w:rPr>
          <w:rFonts w:ascii="Arial" w:cs="Arial" w:eastAsia="Arial" w:hAnsi="Arial"/>
          <w:sz w:val="15"/>
          <w:szCs w:val="15"/>
          <w:color w:val="auto"/>
        </w:rPr>
      </w:pPr>
    </w:p>
    <w:p>
      <w:pPr>
        <w:jc w:val="both"/>
        <w:ind w:firstLine="146"/>
        <w:spacing w:after="0" w:line="289" w:lineRule="auto"/>
        <w:tabs>
          <w:tab w:leader="none" w:pos="903"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Plans Control</w:t>
      </w:r>
      <w:r>
        <w:rPr>
          <w:rFonts w:ascii="Arial" w:cs="Arial" w:eastAsia="Arial" w:hAnsi="Arial"/>
          <w:sz w:val="15"/>
          <w:szCs w:val="15"/>
          <w:color w:val="auto"/>
        </w:rPr>
        <w:t>. The terms contained in the Plans are incorporated into and made a part of this Award Certificate and this Award Certificate shall be governed by and construed in accordance with the Plans. In the event of any actual or alleged conflict between the provisions of the Plans and the provisions of this Award Certificate, the provisions of the Plans shall be controlling and determinative. In the event of any actual or alleged conflict between the provisions of the two Plans, the provisions of the Incentive Plan shall be controlling and determinative.</w:t>
      </w:r>
    </w:p>
    <w:p>
      <w:pPr>
        <w:spacing w:after="0" w:line="58" w:lineRule="exact"/>
        <w:rPr>
          <w:rFonts w:ascii="Arial" w:cs="Arial" w:eastAsia="Arial" w:hAnsi="Arial"/>
          <w:sz w:val="15"/>
          <w:szCs w:val="15"/>
          <w:color w:val="auto"/>
        </w:rPr>
      </w:pPr>
    </w:p>
    <w:p>
      <w:pPr>
        <w:jc w:val="both"/>
        <w:ind w:firstLine="146"/>
        <w:spacing w:after="0" w:line="278" w:lineRule="auto"/>
        <w:tabs>
          <w:tab w:leader="none" w:pos="99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Award Certificate shall be binding upon any successor of the Company, in accordance with the terms of this Award Certificate and the Plans.</w:t>
      </w:r>
    </w:p>
    <w:p>
      <w:pPr>
        <w:spacing w:after="0" w:line="62" w:lineRule="exact"/>
        <w:rPr>
          <w:rFonts w:ascii="Arial" w:cs="Arial" w:eastAsia="Arial" w:hAnsi="Arial"/>
          <w:sz w:val="16"/>
          <w:szCs w:val="16"/>
          <w:color w:val="auto"/>
        </w:rPr>
      </w:pPr>
    </w:p>
    <w:p>
      <w:pPr>
        <w:jc w:val="both"/>
        <w:ind w:firstLine="146"/>
        <w:spacing w:after="0" w:line="273" w:lineRule="auto"/>
        <w:tabs>
          <w:tab w:leader="none" w:pos="98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one or more of the provisions contained in this Award Certificate is invalid, illegal or unenforceable, the other provisions of this Award Certificate will be construed and enforced as if the invalid, illegal or unenforceable provision had never been included.</w:t>
      </w:r>
    </w:p>
    <w:p>
      <w:pPr>
        <w:spacing w:after="0" w:line="54" w:lineRule="exact"/>
        <w:rPr>
          <w:rFonts w:ascii="Arial" w:cs="Arial" w:eastAsia="Arial" w:hAnsi="Arial"/>
          <w:sz w:val="16"/>
          <w:szCs w:val="16"/>
          <w:color w:val="auto"/>
        </w:rPr>
      </w:pPr>
    </w:p>
    <w:p>
      <w:pPr>
        <w:jc w:val="both"/>
        <w:ind w:firstLine="146"/>
        <w:spacing w:after="0" w:line="288" w:lineRule="auto"/>
        <w:tabs>
          <w:tab w:leader="none" w:pos="991"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Notices and communications under this Award Certificate must be in writing and either personally delivered or sent by registered or certified United States mail, return receipt requested, postage prepaid. Notices to the Company must be addressed to Keryx Biopharmaceuticals, Inc., 750 Lexington Avenue, New York, NY 10022, Attn: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ectPr>
          <w:pgSz w:w="11900" w:h="16838" w:orient="portrait"/>
          <w:cols w:equalWidth="0" w:num="2">
            <w:col w:w="5600" w:space="220"/>
            <w:col w:w="5600"/>
          </w:cols>
          <w:pgMar w:left="240" w:top="355" w:right="239" w:bottom="1440" w:gutter="0" w:footer="0" w:header="0"/>
        </w:sectPr>
      </w:pPr>
    </w:p>
    <w:bookmarkStart w:id="198" w:name="page199"/>
    <w:bookmarkEnd w:id="198"/>
    <w:p>
      <w:pPr>
        <w:ind w:left="10200"/>
        <w:spacing w:after="0"/>
        <w:rPr>
          <w:sz w:val="20"/>
          <w:szCs w:val="20"/>
          <w:color w:val="auto"/>
        </w:rPr>
      </w:pPr>
      <w:r>
        <w:rPr>
          <w:rFonts w:ascii="Arial" w:cs="Arial" w:eastAsia="Arial" w:hAnsi="Arial"/>
          <w:sz w:val="19"/>
          <w:szCs w:val="19"/>
          <w:b w:val="1"/>
          <w:bCs w:val="1"/>
          <w:color w:val="auto"/>
        </w:rPr>
        <w:t>Exhibit 10.60</w:t>
      </w:r>
    </w:p>
    <w:p>
      <w:pPr>
        <w:spacing w:after="0" w:line="247"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Double asterisks denote omissions.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EXCLUSIVE DISTRIBUTION AGREEMENT</w:t>
      </w:r>
    </w:p>
    <w:p>
      <w:pPr>
        <w:spacing w:after="0" w:line="206"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color w:val="auto"/>
        </w:rPr>
        <w:t>This Exclusive Distribution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made as of this 16</w:t>
      </w:r>
      <w:r>
        <w:rPr>
          <w:rFonts w:ascii="Arial" w:cs="Arial" w:eastAsia="Arial" w:hAnsi="Arial"/>
          <w:sz w:val="16"/>
          <w:szCs w:val="16"/>
          <w:color w:val="auto"/>
        </w:rPr>
        <w:t>th</w:t>
      </w:r>
      <w:r>
        <w:rPr>
          <w:rFonts w:ascii="Arial" w:cs="Arial" w:eastAsia="Arial" w:hAnsi="Arial"/>
          <w:sz w:val="19"/>
          <w:szCs w:val="19"/>
          <w:color w:val="auto"/>
        </w:rPr>
        <w:t xml:space="preserve"> day of October, 2014 (the “</w:t>
      </w:r>
      <w:r>
        <w:rPr>
          <w:rFonts w:ascii="Arial" w:cs="Arial" w:eastAsia="Arial" w:hAnsi="Arial"/>
          <w:sz w:val="19"/>
          <w:szCs w:val="19"/>
          <w:b w:val="1"/>
          <w:bCs w:val="1"/>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between Keryx Biopharmaceuticals, Inc., a Delaware corporation, with an address of 750 Lexington, 20</w:t>
      </w:r>
      <w:r>
        <w:rPr>
          <w:rFonts w:ascii="Arial" w:cs="Arial" w:eastAsia="Arial" w:hAnsi="Arial"/>
          <w:sz w:val="16"/>
          <w:szCs w:val="16"/>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Floor, New York,</w:t>
      </w:r>
      <w:r>
        <w:rPr>
          <w:rFonts w:ascii="Arial" w:cs="Arial" w:eastAsia="Arial" w:hAnsi="Arial"/>
          <w:sz w:val="19"/>
          <w:szCs w:val="19"/>
          <w:b w:val="1"/>
          <w:bCs w:val="1"/>
          <w:color w:val="auto"/>
        </w:rPr>
        <w:t xml:space="preserve"> </w:t>
      </w:r>
      <w:r>
        <w:rPr>
          <w:rFonts w:ascii="Arial" w:cs="Arial" w:eastAsia="Arial" w:hAnsi="Arial"/>
          <w:sz w:val="19"/>
          <w:szCs w:val="19"/>
          <w:color w:val="auto"/>
        </w:rPr>
        <w:t>NY 10022 (“</w:t>
      </w:r>
      <w:r>
        <w:rPr>
          <w:rFonts w:ascii="Arial" w:cs="Arial" w:eastAsia="Arial" w:hAnsi="Arial"/>
          <w:sz w:val="19"/>
          <w:szCs w:val="19"/>
          <w:b w:val="1"/>
          <w:bCs w:val="1"/>
          <w:color w:val="auto"/>
        </w:rPr>
        <w:t>Client</w:t>
      </w:r>
      <w:r>
        <w:rPr>
          <w:rFonts w:ascii="Arial" w:cs="Arial" w:eastAsia="Arial" w:hAnsi="Arial"/>
          <w:sz w:val="19"/>
          <w:szCs w:val="19"/>
          <w:color w:val="auto"/>
        </w:rPr>
        <w:t>”), and Cardinal Health 105, Inc., an Ohio corporation, with a place of business at 15 Ingram Boulevard, Suite 100, LaVergne, Tennessee, 37086 (“</w:t>
      </w:r>
      <w:r>
        <w:rPr>
          <w:rFonts w:ascii="Arial" w:cs="Arial" w:eastAsia="Arial" w:hAnsi="Arial"/>
          <w:sz w:val="19"/>
          <w:szCs w:val="19"/>
          <w:b w:val="1"/>
          <w:bCs w:val="1"/>
          <w:color w:val="auto"/>
        </w:rPr>
        <w:t>Cardinal Health</w:t>
      </w:r>
      <w:r>
        <w:rPr>
          <w:rFonts w:ascii="Arial" w:cs="Arial" w:eastAsia="Arial" w:hAnsi="Arial"/>
          <w:sz w:val="19"/>
          <w:szCs w:val="19"/>
          <w:color w:val="auto"/>
        </w:rPr>
        <w:t>”) each individually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firstLine="885"/>
        <w:spacing w:after="0" w:line="251" w:lineRule="auto"/>
        <w:tabs>
          <w:tab w:leader="none" w:pos="155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Client is, among other things, in the business of developing and marketing pharmaceutical products in the United States, its territories, possessions and commonwealths (“</w:t>
      </w:r>
      <w:r>
        <w:rPr>
          <w:rFonts w:ascii="Arial" w:cs="Arial" w:eastAsia="Arial" w:hAnsi="Arial"/>
          <w:sz w:val="22"/>
          <w:szCs w:val="22"/>
          <w:b w:val="1"/>
          <w:bCs w:val="1"/>
          <w:color w:val="auto"/>
        </w:rPr>
        <w:t>Territory</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right="260" w:firstLine="885"/>
        <w:spacing w:after="0" w:line="297" w:lineRule="auto"/>
        <w:tabs>
          <w:tab w:leader="none" w:pos="150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Cardinal Health is, among other things, in the business of distributing pharmaceutical products to wholesalers, specialty distributors, physicians, clinics, hospitals, pharmacies, and other health care providers in the Territory, and of providing information systems and other services that support its clients’ use of its distribution capabilities.</w:t>
      </w:r>
    </w:p>
    <w:p>
      <w:pPr>
        <w:spacing w:after="0" w:line="134" w:lineRule="exact"/>
        <w:rPr>
          <w:rFonts w:ascii="Arial" w:cs="Arial" w:eastAsia="Arial" w:hAnsi="Arial"/>
          <w:sz w:val="19"/>
          <w:szCs w:val="19"/>
          <w:color w:val="auto"/>
        </w:rPr>
      </w:pPr>
    </w:p>
    <w:p>
      <w:pPr>
        <w:jc w:val="both"/>
        <w:ind w:right="280" w:firstLine="885"/>
        <w:spacing w:after="0" w:line="297" w:lineRule="auto"/>
        <w:tabs>
          <w:tab w:leader="none" w:pos="150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Client desires to engage Cardinal Health as its exclusive third party logistics distribution agent for commercial sales of all pharmaceutical Products manufactured and/or marketed by Client in all formulations (collectively, “Product”), and to perform certain other services described in this Agreement, all upon the terms and conditions set forth in this Agreement.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THEREFORE, </w:t>
      </w:r>
      <w:r>
        <w:rPr>
          <w:rFonts w:ascii="Arial" w:cs="Arial" w:eastAsia="Arial" w:hAnsi="Arial"/>
          <w:sz w:val="19"/>
          <w:szCs w:val="19"/>
          <w:color w:val="auto"/>
        </w:rPr>
        <w:t>in consideration of the mutual covenants, terms and conditions set forth below, the Parties agree as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follow;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APPOINTMENT/AUTHORIZATION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Appointment</w:t>
      </w:r>
      <w:r>
        <w:rPr>
          <w:rFonts w:ascii="Arial" w:cs="Arial" w:eastAsia="Arial" w:hAnsi="Arial"/>
          <w:sz w:val="21"/>
          <w:szCs w:val="21"/>
          <w:color w:val="auto"/>
        </w:rPr>
        <w:t>. Subject to the terms and conditions set forth in this Agreement, during the term of this Agreement, Client appoints Cardinal Health as its exclusive third party logistics distribution agent and as an authorized distributor of record of Product in the Territory to Client’s Customers, including, but not limited to, wholesalers, specialty distributors, physicians, clinics, hospitals, pharmacies and other health care providers in the Territory (collectively, “</w:t>
      </w:r>
      <w:r>
        <w:rPr>
          <w:rFonts w:ascii="Arial" w:cs="Arial" w:eastAsia="Arial" w:hAnsi="Arial"/>
          <w:sz w:val="21"/>
          <w:szCs w:val="21"/>
          <w:b w:val="1"/>
          <w:bCs w:val="1"/>
          <w:color w:val="auto"/>
        </w:rPr>
        <w:t>Customers</w:t>
      </w:r>
      <w:r>
        <w:rPr>
          <w:rFonts w:ascii="Arial" w:cs="Arial" w:eastAsia="Arial" w:hAnsi="Arial"/>
          <w:sz w:val="21"/>
          <w:szCs w:val="21"/>
          <w:color w:val="auto"/>
        </w:rPr>
        <w:t>”).</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Acceptance of Appointment</w:t>
      </w:r>
      <w:r>
        <w:rPr>
          <w:rFonts w:ascii="Arial" w:cs="Arial" w:eastAsia="Arial" w:hAnsi="Arial"/>
          <w:sz w:val="22"/>
          <w:szCs w:val="22"/>
          <w:color w:val="auto"/>
        </w:rPr>
        <w:t>. Subject to the terms and conditions set forth in this Agreement, Cardinal Health accepts the appointment to represent Client as its exclusive third party logistics distribution agent and as an authorized distributor of record of Product to Customers in the Territory.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9" w:name="page200"/>
    <w:bookmarkEnd w:id="199"/>
    <w:p>
      <w:pPr>
        <w:ind w:left="5140"/>
        <w:spacing w:after="0"/>
        <w:rPr>
          <w:sz w:val="20"/>
          <w:szCs w:val="20"/>
          <w:color w:val="auto"/>
        </w:rPr>
      </w:pPr>
      <w:r>
        <w:rPr>
          <w:rFonts w:ascii="Arial" w:cs="Arial" w:eastAsia="Arial" w:hAnsi="Arial"/>
          <w:sz w:val="22"/>
          <w:szCs w:val="22"/>
          <w:b w:val="1"/>
          <w:bCs w:val="1"/>
          <w:color w:val="auto"/>
        </w:rPr>
        <w:t>ARTICLE 2</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SERVICES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Services</w:t>
      </w:r>
      <w:r>
        <w:rPr>
          <w:rFonts w:ascii="Arial" w:cs="Arial" w:eastAsia="Arial" w:hAnsi="Arial"/>
          <w:sz w:val="22"/>
          <w:szCs w:val="22"/>
          <w:color w:val="auto"/>
        </w:rPr>
        <w:t>. Cardinal Health shall provide the services set forth in the Operating Guidelines, which include, without limitation, storage, distribution, returns, customer support, financial support, EDI and system access support (“</w:t>
      </w:r>
      <w:r>
        <w:rPr>
          <w:rFonts w:ascii="Arial" w:cs="Arial" w:eastAsia="Arial" w:hAnsi="Arial"/>
          <w:sz w:val="22"/>
          <w:szCs w:val="22"/>
          <w:b w:val="1"/>
          <w:bCs w:val="1"/>
          <w:color w:val="auto"/>
        </w:rPr>
        <w:t>Services</w:t>
      </w:r>
      <w:r>
        <w:rPr>
          <w:rFonts w:ascii="Arial" w:cs="Arial" w:eastAsia="Arial" w:hAnsi="Arial"/>
          <w:sz w:val="22"/>
          <w:szCs w:val="22"/>
          <w:color w:val="auto"/>
        </w:rPr>
        <w:t xml:space="preserve">”). The Operating Guidelines shall be mutually agreed upon and a copy of the finalized Operating Guidelines shall be attached hereto as </w:t>
      </w:r>
      <w:r>
        <w:rPr>
          <w:rFonts w:ascii="Arial" w:cs="Arial" w:eastAsia="Arial" w:hAnsi="Arial"/>
          <w:sz w:val="22"/>
          <w:szCs w:val="22"/>
          <w:b w:val="1"/>
          <w:bCs w:val="1"/>
          <w:color w:val="auto"/>
        </w:rPr>
        <w:t xml:space="preserve">Exhibit A </w:t>
      </w:r>
      <w:r>
        <w:rPr>
          <w:rFonts w:ascii="Arial" w:cs="Arial" w:eastAsia="Arial" w:hAnsi="Arial"/>
          <w:sz w:val="22"/>
          <w:szCs w:val="22"/>
          <w:color w:val="auto"/>
        </w:rPr>
        <w:t>and made a part hereof.</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Operating Guidelines</w:t>
      </w:r>
      <w:r>
        <w:rPr>
          <w:rFonts w:ascii="Arial" w:cs="Arial" w:eastAsia="Arial" w:hAnsi="Arial"/>
          <w:sz w:val="22"/>
          <w:szCs w:val="22"/>
          <w:color w:val="auto"/>
        </w:rPr>
        <w:t>. The Operating Guidelines may be amended from time to time upon the mutual written agreement of the Parties; provided, however, that any change, modification or amendment to the Operating Guidelines may result in an increase in the Fees (as defined in Article 5).</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Compliance to Operating Guidelines</w:t>
      </w:r>
      <w:r>
        <w:rPr>
          <w:rFonts w:ascii="Arial" w:cs="Arial" w:eastAsia="Arial" w:hAnsi="Arial"/>
          <w:sz w:val="22"/>
          <w:szCs w:val="22"/>
          <w:color w:val="auto"/>
        </w:rPr>
        <w:t>. Cardinal Health’s services shall comply with the Operating Guidelines for up to [**]% of Client’s Forecast (defined below). If (i) Client’s shipments of Product to Cardinal Health or (ii) Client’s Customers’ Product orders exceed Client’s Forecast by more than [**] percent ([**]%), Cardinal Health shall use commercially reasonable efforts to meet the requirements of the Operating Guidelines, provided however, that Client acknowledges that Cardinal Health may not be able to meet all guidelines relating to response and shipping times.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Product Returns</w:t>
      </w:r>
      <w:r>
        <w:rPr>
          <w:rFonts w:ascii="Arial" w:cs="Arial" w:eastAsia="Arial" w:hAnsi="Arial"/>
          <w:sz w:val="22"/>
          <w:szCs w:val="22"/>
          <w:color w:val="auto"/>
        </w:rPr>
        <w:t>. All Product returns shall be processed and handled by Cardinal Health in accordance with the Operating Guidelines; and any customization or additional return services requested by Client shall be performed at an additional fee as agreed by the Parties.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Product Recalls</w:t>
      </w:r>
      <w:r>
        <w:rPr>
          <w:rFonts w:ascii="Arial" w:cs="Arial" w:eastAsia="Arial" w:hAnsi="Arial"/>
          <w:sz w:val="22"/>
          <w:szCs w:val="22"/>
          <w:color w:val="auto"/>
        </w:rPr>
        <w:t>. Client is solely responsible for all Product recalls, provided however that Cardinal Health shall be responsible for Product recalls to the extent arising from Cardinal Health’s gross negligence or willful misconduct, subject to the terms of this Agreement. In the event Product is subject to recall, or Client, on its own initiative, recalls any Product, Cardinal Health shall provide assistance to Client as set forth in the Operating Guidelines and as mutually agreed upon, provided that Client shall pay to Cardinal Health an amount equal to Cardinal Health’s actual costs incurred with any such recall services. Such cost shall be in addition to the Fees described in Article 5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SUPPLY/CLIENT RESPONSIBILITIES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Facility</w:t>
      </w:r>
      <w:r>
        <w:rPr>
          <w:rFonts w:ascii="Arial" w:cs="Arial" w:eastAsia="Arial" w:hAnsi="Arial"/>
          <w:sz w:val="22"/>
          <w:szCs w:val="22"/>
          <w:color w:val="auto"/>
        </w:rPr>
        <w:t>. Client shall deliver Product to Cardinal Health at Cardinal Health’s facility located at 15 Ingram Boulevard, Suite 100, LaVergne, TN 37086, or to such other distribution facility as may be designated by Cardinal Health to Client in writing and agreed upon by Client (“</w:t>
      </w:r>
      <w:r>
        <w:rPr>
          <w:rFonts w:ascii="Arial" w:cs="Arial" w:eastAsia="Arial" w:hAnsi="Arial"/>
          <w:sz w:val="22"/>
          <w:szCs w:val="22"/>
          <w:b w:val="1"/>
          <w:bCs w:val="1"/>
          <w:color w:val="auto"/>
        </w:rPr>
        <w:t>Facility</w:t>
      </w:r>
      <w:r>
        <w:rPr>
          <w:rFonts w:ascii="Arial" w:cs="Arial" w:eastAsia="Arial" w:hAnsi="Arial"/>
          <w:sz w:val="22"/>
          <w:szCs w:val="22"/>
          <w:color w:val="auto"/>
        </w:rPr>
        <w:t>”).</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Delivery and Title</w:t>
      </w:r>
      <w:r>
        <w:rPr>
          <w:rFonts w:ascii="Arial" w:cs="Arial" w:eastAsia="Arial" w:hAnsi="Arial"/>
          <w:sz w:val="19"/>
          <w:szCs w:val="19"/>
          <w:color w:val="auto"/>
        </w:rPr>
        <w:t>. Client shall be responsible for delivery of Product to and from the Facility, including all costs, expenses and risk of loss associated with such delivery. Title to Product shall remain with Client at all times, even when Product is stored or warehoused at the Facility. Client shall at all times insure the Product for damage, loss, destruction, theft or any such other property damage (“</w:t>
      </w:r>
      <w:r>
        <w:rPr>
          <w:rFonts w:ascii="Arial" w:cs="Arial" w:eastAsia="Arial" w:hAnsi="Arial"/>
          <w:sz w:val="19"/>
          <w:szCs w:val="19"/>
          <w:b w:val="1"/>
          <w:bCs w:val="1"/>
          <w:color w:val="auto"/>
        </w:rPr>
        <w:t>Loss</w:t>
      </w:r>
      <w:r>
        <w:rPr>
          <w:rFonts w:ascii="Arial" w:cs="Arial" w:eastAsia="Arial" w:hAnsi="Arial"/>
          <w:sz w:val="19"/>
          <w:szCs w:val="19"/>
          <w:color w:val="auto"/>
        </w:rPr>
        <w:t>”) as further set forth in Article 13 below. Except for Loss resulting solely from the gross negligence or willful misconduct of Cardinal Health, Client shall bear all risk of loss or damage with respect to the Product.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0" w:name="page201"/>
    <w:bookmarkEnd w:id="200"/>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Forecast and Price List</w:t>
      </w:r>
      <w:r>
        <w:rPr>
          <w:rFonts w:ascii="Arial" w:cs="Arial" w:eastAsia="Arial" w:hAnsi="Arial"/>
          <w:sz w:val="19"/>
          <w:szCs w:val="19"/>
          <w:color w:val="auto"/>
        </w:rPr>
        <w:t>.</w:t>
      </w:r>
    </w:p>
    <w:p>
      <w:pPr>
        <w:spacing w:after="0" w:line="207" w:lineRule="exact"/>
        <w:rPr>
          <w:sz w:val="20"/>
          <w:szCs w:val="20"/>
          <w:color w:val="auto"/>
        </w:rPr>
      </w:pPr>
    </w:p>
    <w:p>
      <w:pPr>
        <w:jc w:val="both"/>
        <w:ind w:firstLine="885"/>
        <w:spacing w:after="0" w:line="279" w:lineRule="auto"/>
        <w:tabs>
          <w:tab w:leader="none" w:pos="152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Forecast</w:t>
      </w:r>
      <w:r>
        <w:rPr>
          <w:rFonts w:ascii="Arial" w:cs="Arial" w:eastAsia="Arial" w:hAnsi="Arial"/>
          <w:sz w:val="19"/>
          <w:szCs w:val="19"/>
          <w:color w:val="auto"/>
        </w:rPr>
        <w:t>. Client shall provide Cardinal Health with a forecast of the volume of Product to be handled by Cardinal Health under this Agreement, not less often than [**](“</w:t>
      </w:r>
      <w:r>
        <w:rPr>
          <w:rFonts w:ascii="Arial" w:cs="Arial" w:eastAsia="Arial" w:hAnsi="Arial"/>
          <w:sz w:val="19"/>
          <w:szCs w:val="19"/>
          <w:b w:val="1"/>
          <w:bCs w:val="1"/>
          <w:color w:val="auto"/>
        </w:rPr>
        <w:t>Forecast</w:t>
      </w:r>
      <w:r>
        <w:rPr>
          <w:rFonts w:ascii="Arial" w:cs="Arial" w:eastAsia="Arial" w:hAnsi="Arial"/>
          <w:sz w:val="19"/>
          <w:szCs w:val="19"/>
          <w:color w:val="auto"/>
        </w:rPr>
        <w:t>”). All forecasts, including the Forecast, are used for the express purpose of operational planning. In the event of a significant variance from the Forecast or a change in core business that could reasonably be expected to have a material effect upon the obligations of either Party hereunder, the Party so affected may notify the other Party that it wishes to discuss an appropriate adjustment to the Fees. The Parties must meet within [**] of such notification to discuss the merits and implementation of any such adjustment and during such meeting, the Parties shall negotiate in good faith.</w:t>
      </w:r>
    </w:p>
    <w:p>
      <w:pPr>
        <w:spacing w:after="0" w:line="150" w:lineRule="exact"/>
        <w:rPr>
          <w:rFonts w:ascii="Arial" w:cs="Arial" w:eastAsia="Arial" w:hAnsi="Arial"/>
          <w:sz w:val="19"/>
          <w:szCs w:val="19"/>
          <w:color w:val="auto"/>
        </w:rPr>
      </w:pPr>
    </w:p>
    <w:p>
      <w:pPr>
        <w:jc w:val="both"/>
        <w:ind w:firstLine="885"/>
        <w:spacing w:after="0" w:line="238" w:lineRule="auto"/>
        <w:tabs>
          <w:tab w:leader="none" w:pos="156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Price List</w:t>
      </w:r>
      <w:r>
        <w:rPr>
          <w:rFonts w:ascii="Arial" w:cs="Arial" w:eastAsia="Arial" w:hAnsi="Arial"/>
          <w:sz w:val="22"/>
          <w:szCs w:val="22"/>
          <w:color w:val="auto"/>
        </w:rPr>
        <w:t>. Upon execution of this Agreement, Client shall deliver to Cardinal Health a customer list, which sets forth the Product prices (the “</w:t>
      </w:r>
      <w:r>
        <w:rPr>
          <w:rFonts w:ascii="Arial" w:cs="Arial" w:eastAsia="Arial" w:hAnsi="Arial"/>
          <w:sz w:val="22"/>
          <w:szCs w:val="22"/>
          <w:b w:val="1"/>
          <w:bCs w:val="1"/>
          <w:color w:val="auto"/>
        </w:rPr>
        <w:t>Customer Price List</w:t>
      </w:r>
      <w:r>
        <w:rPr>
          <w:rFonts w:ascii="Arial" w:cs="Arial" w:eastAsia="Arial" w:hAnsi="Arial"/>
          <w:sz w:val="22"/>
          <w:szCs w:val="22"/>
          <w:color w:val="auto"/>
        </w:rPr>
        <w:t>”). Client shall notify Cardinal Health of any change in the Customer Price List not less than [**] prior to the effective date of any such change. Cardinal Health shall use commercially reasonably efforts to implement such price change in accordance with Client’s instruction.</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Shipment Inspection</w:t>
      </w:r>
      <w:r>
        <w:rPr>
          <w:rFonts w:ascii="Arial" w:cs="Arial" w:eastAsia="Arial" w:hAnsi="Arial"/>
          <w:sz w:val="22"/>
          <w:szCs w:val="22"/>
          <w:color w:val="auto"/>
        </w:rPr>
        <w:t>. Cardinal Health shall visually inspect each shipment of Product for external damage or loss in transit and notify Client of any such evident damage or loss as provided in the Operating Guidelines.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SYSTEM ACCESS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Access</w:t>
      </w:r>
      <w:r>
        <w:rPr>
          <w:rFonts w:ascii="Arial" w:cs="Arial" w:eastAsia="Arial" w:hAnsi="Arial"/>
          <w:sz w:val="19"/>
          <w:szCs w:val="19"/>
          <w:color w:val="auto"/>
        </w:rPr>
        <w:t>. During the Term of this Agreement and subject to the terms herein, Client may use password(s) and identification number(s) provided by Cardinal Health to remotely access Client’s data maintained on Cardinal Health’s web enabled Operating System Base and certain support services associated therewith, as further set forth in the Operating Guidelines (collectively, the “</w:t>
      </w:r>
      <w:r>
        <w:rPr>
          <w:rFonts w:ascii="Arial" w:cs="Arial" w:eastAsia="Arial" w:hAnsi="Arial"/>
          <w:sz w:val="19"/>
          <w:szCs w:val="19"/>
          <w:b w:val="1"/>
          <w:bCs w:val="1"/>
          <w:color w:val="auto"/>
        </w:rPr>
        <w:t>System</w:t>
      </w:r>
      <w:r>
        <w:rPr>
          <w:rFonts w:ascii="Arial" w:cs="Arial" w:eastAsia="Arial" w:hAnsi="Arial"/>
          <w:sz w:val="19"/>
          <w:szCs w:val="19"/>
          <w:color w:val="auto"/>
        </w:rPr>
        <w:t>”) provided that such access is used solely by Client’s employees and for Client’s own internal business purposes. Client shall use that access solely to access Client’s data and shall not access or attempt to access any other data, systems or software. Client shall be responsible for all use of the passwords and identification elements and shall ensure that they are used solely to effect the limited access authorized herein. The limited license to access the System granted herein does not include the right to copy, download or otherwise use any software or non-Client data maintained on the System.</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Fees</w:t>
      </w:r>
      <w:r>
        <w:rPr>
          <w:rFonts w:ascii="Arial" w:cs="Arial" w:eastAsia="Arial" w:hAnsi="Arial"/>
          <w:sz w:val="19"/>
          <w:szCs w:val="19"/>
          <w:color w:val="auto"/>
        </w:rPr>
        <w:t>. The System shall be made available to Client at the fees set forth in the Fee Schedule. If Cardinal Health agrees to perform any custom enhancements to the System requested by Client, such customization services shall be billed separately based on an hourly rate set forth in the Fee Schedule (as defined in Article 5) and prior to such performance, Cardinal Health shall notify Client of any related increase in the periodic Fees hereunder relative to the ongoing support of the customizations.</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Security</w:t>
      </w:r>
      <w:r>
        <w:rPr>
          <w:rFonts w:ascii="Arial" w:cs="Arial" w:eastAsia="Arial" w:hAnsi="Arial"/>
          <w:sz w:val="22"/>
          <w:szCs w:val="22"/>
          <w:color w:val="auto"/>
        </w:rPr>
        <w:t>. During the term of this Agreement, Cardinal Health shall employ commercially reasonable security measures and policies designed to safeguard the integrity, accessibility, and confidentiality of Client’s data resident on the System and establish and maintain reasonable disaster and emergency recovery plans designed to minimize disruption from System operation interruptions. Such measures shall be no less secure than those utilized by Cardinal Health to protect its own confidential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1" w:name="page202"/>
    <w:bookmarkEnd w:id="201"/>
    <w:p>
      <w:pPr>
        <w:jc w:val="both"/>
        <w:spacing w:after="0" w:line="235"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Client Obligations</w:t>
      </w:r>
      <w:r>
        <w:rPr>
          <w:rFonts w:ascii="Arial" w:cs="Arial" w:eastAsia="Arial" w:hAnsi="Arial"/>
          <w:sz w:val="22"/>
          <w:szCs w:val="22"/>
          <w:color w:val="auto"/>
        </w:rPr>
        <w:t>. Client shall not reverse engineer, reverse assemble, decompile, create derivative works, modify, or otherwise attempt to derive the source code of any software on the System or copy, download, modify, or create derivative works of such software. Also, Client shall not permit access to the System or related documentation to any other person or entity. The System and all parts thereof, in all of their tangible and intangible manifestations, all existing or new enhancements, developments, derivative works, and other modifications to the System (or any part thereof), and all related proprietary rights, are and shall remain the exclusive property of Cardinal Health.</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Disclaimer</w:t>
      </w:r>
      <w:r>
        <w:rPr>
          <w:rFonts w:ascii="Arial" w:cs="Arial" w:eastAsia="Arial" w:hAnsi="Arial"/>
          <w:sz w:val="22"/>
          <w:szCs w:val="22"/>
          <w:color w:val="auto"/>
        </w:rPr>
        <w:t xml:space="preserve">. </w:t>
      </w:r>
      <w:r>
        <w:rPr>
          <w:rFonts w:ascii="Arial" w:cs="Arial" w:eastAsia="Arial" w:hAnsi="Arial"/>
          <w:sz w:val="22"/>
          <w:szCs w:val="22"/>
          <w:b w:val="1"/>
          <w:bCs w:val="1"/>
          <w:color w:val="auto"/>
        </w:rPr>
        <w:t>THE SYSTEM, THE SOFTWARE THEREON AND ANY RESULTS OBTAINED THEREFROM ARE</w:t>
      </w:r>
      <w:r>
        <w:rPr>
          <w:rFonts w:ascii="Arial" w:cs="Arial" w:eastAsia="Arial" w:hAnsi="Arial"/>
          <w:sz w:val="22"/>
          <w:szCs w:val="22"/>
          <w:color w:val="auto"/>
        </w:rPr>
        <w:t xml:space="preserve"> </w:t>
      </w:r>
      <w:r>
        <w:rPr>
          <w:rFonts w:ascii="Arial" w:cs="Arial" w:eastAsia="Arial" w:hAnsi="Arial"/>
          <w:sz w:val="22"/>
          <w:szCs w:val="22"/>
          <w:b w:val="1"/>
          <w:bCs w:val="1"/>
          <w:color w:val="auto"/>
        </w:rPr>
        <w:t>PROVIDED ON AN “AS IS” BASIS, WITHOUT WARRANTY OF ANY KIND, WHETHER EXPRESS, IMPLIED, STATUTORY OR OTHERWISE. CARDINAL HEALTH MAKES NO REPRESENTATIONS OR WARRANTIES, AND HEREBY EXPRESSLY DISCLAIMS ALL REPRESENTATIONS AND WARRANTIES, EXPRESS OR IMPLIED, RELATING DIRECTLY OR INDIRECTLY TO THE SYSTEM OR ANY PART THEREOF INCLUDING WITHOUT LIMITATION WARRANTIES OF MERCHANTABILITY, NONINFRINGEMENT AND FITNESS FOR A PARTICULAR PURPOSE</w:t>
      </w:r>
      <w:r>
        <w:rPr>
          <w:rFonts w:ascii="Arial" w:cs="Arial" w:eastAsia="Arial" w:hAnsi="Arial"/>
          <w:sz w:val="22"/>
          <w:szCs w:val="22"/>
          <w:color w:val="auto"/>
        </w:rPr>
        <w:t>.</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System Availability</w:t>
      </w:r>
      <w:r>
        <w:rPr>
          <w:rFonts w:ascii="Arial" w:cs="Arial" w:eastAsia="Arial" w:hAnsi="Arial"/>
          <w:sz w:val="22"/>
          <w:szCs w:val="22"/>
          <w:color w:val="auto"/>
        </w:rPr>
        <w:t>. Cardinal Health shall use commercially reasonable efforts to make the System available for access twenty-four (24) hours a day, seven (7) days a week absent scheduled and emergency maintenance periods.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Suspension of Access</w:t>
      </w:r>
      <w:r>
        <w:rPr>
          <w:rFonts w:ascii="Arial" w:cs="Arial" w:eastAsia="Arial" w:hAnsi="Arial"/>
          <w:sz w:val="22"/>
          <w:szCs w:val="22"/>
          <w:color w:val="auto"/>
        </w:rPr>
        <w:t>. Notwithstanding anything to the contrary, in the event of a material breach of any term of this Agreement, Cardinal Health may revoke or suspend any or all passwords and identification numbers provided to Client hereunder, provided that access will be reinstated upon such a material breach being cured.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PRICING AND PAYMENT TERMS</w:t>
      </w:r>
    </w:p>
    <w:p>
      <w:pPr>
        <w:spacing w:after="0" w:line="182"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Fees</w:t>
      </w:r>
      <w:r>
        <w:rPr>
          <w:rFonts w:ascii="Arial" w:cs="Arial" w:eastAsia="Arial" w:hAnsi="Arial"/>
          <w:sz w:val="22"/>
          <w:szCs w:val="22"/>
          <w:color w:val="auto"/>
        </w:rPr>
        <w:t>. As compensation for the Services, Client shall pay to Cardinal Health the fees (“</w:t>
      </w:r>
      <w:r>
        <w:rPr>
          <w:rFonts w:ascii="Arial" w:cs="Arial" w:eastAsia="Arial" w:hAnsi="Arial"/>
          <w:sz w:val="22"/>
          <w:szCs w:val="22"/>
          <w:b w:val="1"/>
          <w:bCs w:val="1"/>
          <w:color w:val="auto"/>
        </w:rPr>
        <w:t>Fees</w:t>
      </w:r>
      <w:r>
        <w:rPr>
          <w:rFonts w:ascii="Arial" w:cs="Arial" w:eastAsia="Arial" w:hAnsi="Arial"/>
          <w:sz w:val="22"/>
          <w:szCs w:val="22"/>
          <w:color w:val="auto"/>
        </w:rPr>
        <w:t xml:space="preserve">”) set forth on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w:t>
      </w:r>
      <w:r>
        <w:rPr>
          <w:rFonts w:ascii="Arial" w:cs="Arial" w:eastAsia="Arial" w:hAnsi="Arial"/>
          <w:sz w:val="22"/>
          <w:szCs w:val="22"/>
          <w:b w:val="1"/>
          <w:bCs w:val="1"/>
          <w:color w:val="auto"/>
        </w:rPr>
        <w:t>Fee</w:t>
      </w:r>
      <w:r>
        <w:rPr>
          <w:rFonts w:ascii="Arial" w:cs="Arial" w:eastAsia="Arial" w:hAnsi="Arial"/>
          <w:sz w:val="22"/>
          <w:szCs w:val="22"/>
          <w:color w:val="auto"/>
        </w:rPr>
        <w:t xml:space="preserve"> </w:t>
      </w:r>
      <w:r>
        <w:rPr>
          <w:rFonts w:ascii="Arial" w:cs="Arial" w:eastAsia="Arial" w:hAnsi="Arial"/>
          <w:sz w:val="22"/>
          <w:szCs w:val="22"/>
          <w:b w:val="1"/>
          <w:bCs w:val="1"/>
          <w:color w:val="auto"/>
        </w:rPr>
        <w:t>Schedule</w:t>
      </w:r>
      <w:r>
        <w:rPr>
          <w:rFonts w:ascii="Arial" w:cs="Arial" w:eastAsia="Arial" w:hAnsi="Arial"/>
          <w:sz w:val="22"/>
          <w:szCs w:val="22"/>
          <w:color w:val="auto"/>
        </w:rPr>
        <w:t>”) attached hereto and incorporated by reference.</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Invoices</w:t>
      </w:r>
      <w:r>
        <w:rPr>
          <w:rFonts w:ascii="Arial" w:cs="Arial" w:eastAsia="Arial" w:hAnsi="Arial"/>
          <w:sz w:val="22"/>
          <w:szCs w:val="22"/>
          <w:color w:val="auto"/>
        </w:rPr>
        <w:t>. Cardinal Health shall issue an invoice to Client for the Services rendered under this Agreement or for any other amounts due on a monthly basis. Payment is due within [**] of the invoice date via electronic funds transfer (“</w:t>
      </w:r>
      <w:r>
        <w:rPr>
          <w:rFonts w:ascii="Arial" w:cs="Arial" w:eastAsia="Arial" w:hAnsi="Arial"/>
          <w:sz w:val="22"/>
          <w:szCs w:val="22"/>
          <w:b w:val="1"/>
          <w:bCs w:val="1"/>
          <w:color w:val="auto"/>
        </w:rPr>
        <w:t>EFT</w:t>
      </w:r>
      <w:r>
        <w:rPr>
          <w:rFonts w:ascii="Arial" w:cs="Arial" w:eastAsia="Arial" w:hAnsi="Arial"/>
          <w:sz w:val="22"/>
          <w:szCs w:val="22"/>
          <w:color w:val="auto"/>
        </w:rPr>
        <w:t>”), If the invoice is not paid within [**] following written notice to Client of non-payment, Cardinal Health may, at its option, elect to (i) impose a service charge on the unpaid amount calculated at the rate of [**]% per month (or the maximum rate permitted by law if such rate is less than [**]% per month) until such amount is paid in full and/or (ii) suspend any further Services until such invoice is paid in full.</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Fee Adjustment</w:t>
      </w:r>
      <w:r>
        <w:rPr>
          <w:rFonts w:ascii="Arial" w:cs="Arial" w:eastAsia="Arial" w:hAnsi="Arial"/>
          <w:sz w:val="19"/>
          <w:szCs w:val="19"/>
          <w:color w:val="auto"/>
        </w:rPr>
        <w:t>.</w:t>
      </w:r>
    </w:p>
    <w:p>
      <w:pPr>
        <w:spacing w:after="0" w:line="206" w:lineRule="exact"/>
        <w:rPr>
          <w:sz w:val="20"/>
          <w:szCs w:val="20"/>
          <w:color w:val="auto"/>
        </w:rPr>
      </w:pPr>
    </w:p>
    <w:p>
      <w:pPr>
        <w:jc w:val="both"/>
        <w:ind w:firstLine="885"/>
        <w:spacing w:after="0"/>
        <w:tabs>
          <w:tab w:leader="none" w:pos="153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Fees shall be held firm for the first contract year. Thereafter, Cardinal Health will evaluate the fee schedule and may adjust the fees not more often than [**] by [**] percent ([**]%), provided, however, that any such fee adjustment will then remain in place for the subsequent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2" w:name="page203"/>
    <w:bookmarkEnd w:id="202"/>
    <w:p>
      <w:pPr>
        <w:jc w:val="both"/>
        <w:ind w:firstLine="885"/>
        <w:spacing w:after="0" w:line="248" w:lineRule="auto"/>
        <w:tabs>
          <w:tab w:leader="none" w:pos="157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Notwithstanding the terms set forth above in Section 5.3(A), if Cardinal Health can reasonably demonstrate that the costs for providing the Services have materially increased, or are likely to materially increase in the coming year due to the adoption of any applicable law or regulation (or any material change in the interpretation or administration thereof), or due to unforeseen circumstances beyond Cardinal Health’s reasonable control, then upon notice from Cardinal Health, the Parties agree to meet in good faith and discuss a mutually acceptable adjustment to the Fees, provided however, that Client shall be under no obligation to agree to such an adjustment to the Fees.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Taxes</w:t>
      </w:r>
      <w:r>
        <w:rPr>
          <w:rFonts w:ascii="Arial" w:cs="Arial" w:eastAsia="Arial" w:hAnsi="Arial"/>
          <w:sz w:val="21"/>
          <w:szCs w:val="21"/>
          <w:color w:val="auto"/>
        </w:rPr>
        <w:t>. Client shall pay when due all sales, use, gross receipts, excise and personal property taxes associated with the Product (excluding any personal property tax associated with Cardinal Health’s equipment used in connection with the Services), and other taxes now or hereafter imposed as a result of the transactions contemplated by this Agreement, none of which have been included in the fees payable to Cardinal Health under this Agreement; provided that the amounts payable by Client under this section shall not include taxes based on the net income of Cardinal Health.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Term</w:t>
      </w:r>
      <w:r>
        <w:rPr>
          <w:rFonts w:ascii="Arial" w:cs="Arial" w:eastAsia="Arial" w:hAnsi="Arial"/>
          <w:sz w:val="21"/>
          <w:szCs w:val="21"/>
          <w:color w:val="auto"/>
        </w:rPr>
        <w:t>. The Initial Term of this Agreement shall begin on the Effective Date and shall continue for a period of three (3) years following the first shipment of FDA-approved Product to a commercial customer (“</w:t>
      </w:r>
      <w:r>
        <w:rPr>
          <w:rFonts w:ascii="Arial" w:cs="Arial" w:eastAsia="Arial" w:hAnsi="Arial"/>
          <w:sz w:val="21"/>
          <w:szCs w:val="21"/>
          <w:b w:val="1"/>
          <w:bCs w:val="1"/>
          <w:color w:val="auto"/>
        </w:rPr>
        <w:t>Initial Term</w:t>
      </w:r>
      <w:r>
        <w:rPr>
          <w:rFonts w:ascii="Arial" w:cs="Arial" w:eastAsia="Arial" w:hAnsi="Arial"/>
          <w:sz w:val="21"/>
          <w:szCs w:val="21"/>
          <w:color w:val="auto"/>
        </w:rPr>
        <w:t>”), unless terminated earlier pursuant to this Agreement. Thereafter, this Agreement shall automatically renew for additional terms of one (1) year each (each, a “</w:t>
      </w:r>
      <w:r>
        <w:rPr>
          <w:rFonts w:ascii="Arial" w:cs="Arial" w:eastAsia="Arial" w:hAnsi="Arial"/>
          <w:sz w:val="21"/>
          <w:szCs w:val="21"/>
          <w:b w:val="1"/>
          <w:bCs w:val="1"/>
          <w:color w:val="auto"/>
        </w:rPr>
        <w:t>Renewal Term</w:t>
      </w:r>
      <w:r>
        <w:rPr>
          <w:rFonts w:ascii="Arial" w:cs="Arial" w:eastAsia="Arial" w:hAnsi="Arial"/>
          <w:sz w:val="21"/>
          <w:szCs w:val="21"/>
          <w:color w:val="auto"/>
        </w:rPr>
        <w:t>,” and together with the Initial Term, the “</w:t>
      </w:r>
      <w:r>
        <w:rPr>
          <w:rFonts w:ascii="Arial" w:cs="Arial" w:eastAsia="Arial" w:hAnsi="Arial"/>
          <w:sz w:val="21"/>
          <w:szCs w:val="21"/>
          <w:b w:val="1"/>
          <w:bCs w:val="1"/>
          <w:color w:val="auto"/>
        </w:rPr>
        <w:t>Term</w:t>
      </w:r>
      <w:r>
        <w:rPr>
          <w:rFonts w:ascii="Arial" w:cs="Arial" w:eastAsia="Arial" w:hAnsi="Arial"/>
          <w:sz w:val="21"/>
          <w:szCs w:val="21"/>
          <w:color w:val="auto"/>
        </w:rPr>
        <w:t>”), unless written notice of termination is given by either Party at least ninety (90) days prior to the end of the Initial Term or any Renewal Term.</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Either Party shall have the right to immediately terminate this Agreement if:</w:t>
      </w:r>
    </w:p>
    <w:p>
      <w:pPr>
        <w:spacing w:after="0" w:line="206" w:lineRule="exact"/>
        <w:rPr>
          <w:sz w:val="20"/>
          <w:szCs w:val="20"/>
          <w:color w:val="auto"/>
        </w:rPr>
      </w:pPr>
    </w:p>
    <w:p>
      <w:pPr>
        <w:jc w:val="both"/>
        <w:ind w:firstLine="885"/>
        <w:spacing w:after="0" w:line="297" w:lineRule="auto"/>
        <w:tabs>
          <w:tab w:leader="none" w:pos="177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other Party files a petition in bankruptcy, or enters into an agreement with its creditors, or applies for or consents to the appointment of a receiver or trustee, or makes an assignment for the benefit of creditors, or suffers or permits the entry of any order adjudicating it to be bankrupt or insolvent and such order is not discharged within thirty (30) days; or</w:t>
      </w:r>
    </w:p>
    <w:p>
      <w:pPr>
        <w:spacing w:after="0" w:line="39" w:lineRule="exact"/>
        <w:rPr>
          <w:rFonts w:ascii="Arial" w:cs="Arial" w:eastAsia="Arial" w:hAnsi="Arial"/>
          <w:sz w:val="19"/>
          <w:szCs w:val="19"/>
          <w:color w:val="auto"/>
        </w:rPr>
      </w:pPr>
    </w:p>
    <w:p>
      <w:pPr>
        <w:ind w:left="1640" w:hanging="755"/>
        <w:spacing w:after="0"/>
        <w:tabs>
          <w:tab w:leader="none" w:pos="164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other Party materially breaches any of the provisions of this Agreement, and such breach is not cured within</w:t>
      </w:r>
    </w:p>
    <w:p>
      <w:pPr>
        <w:spacing w:after="0" w:line="42" w:lineRule="exact"/>
        <w:rPr>
          <w:rFonts w:ascii="Arial" w:cs="Arial" w:eastAsia="Arial" w:hAnsi="Arial"/>
          <w:sz w:val="19"/>
          <w:szCs w:val="19"/>
          <w:color w:val="auto"/>
        </w:rPr>
      </w:pPr>
    </w:p>
    <w:p>
      <w:pPr>
        <w:jc w:val="both"/>
        <w:ind w:firstLine="8"/>
        <w:spacing w:after="0" w:line="245" w:lineRule="auto"/>
        <w:tabs>
          <w:tab w:leader="none" w:pos="44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after the giving of written notice; provided, however, that (i) in the case of a breach that cannot be cured within [**], the Parties agree to meet in good faith and within [**] after the giving of written notice, formulate a mutually agreeable plan to cure such breach within a reasonable period of time; and (ii) in the case of a failure of Client to make payments in accordance with the terms of this Agreement, Cardinal Health may terminate this Agreement if such payment breach is not cured within [**] following Cardinal Health’s delivery of a written notice of non-payment to Client.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3" w:name="page204"/>
    <w:bookmarkEnd w:id="203"/>
    <w:p>
      <w:pPr>
        <w:jc w:val="both"/>
        <w:spacing w:after="0" w:line="23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Expiration or termination of this Agreement shall be without prejudice to any rights or obligations that accrued to the benefit of either Party prior to such expiration or termination. Client shall pay Cardinal Health for all Services performed up to the date of termination, and shall reimburse Cardinal Health for all costs and expenses incurred in accordance with the terms of this Agreement. Upon termination or expiration of this Agreement, all Product shall be returned to Client or a designee of Client, at Client’s sole cost and expense.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Audits</w:t>
      </w:r>
      <w:r>
        <w:rPr>
          <w:rFonts w:ascii="Arial" w:cs="Arial" w:eastAsia="Arial" w:hAnsi="Arial"/>
          <w:sz w:val="22"/>
          <w:szCs w:val="22"/>
          <w:color w:val="auto"/>
        </w:rPr>
        <w:t>. No more than [**], Client or its designee shall have the right during normal business hours (</w:t>
      </w:r>
      <w:r>
        <w:rPr>
          <w:rFonts w:ascii="Arial" w:cs="Arial" w:eastAsia="Arial" w:hAnsi="Arial"/>
          <w:sz w:val="22"/>
          <w:szCs w:val="22"/>
          <w:i w:val="1"/>
          <w:iCs w:val="1"/>
          <w:color w:val="auto"/>
        </w:rPr>
        <w:t>i.e.</w:t>
      </w:r>
      <w:r>
        <w:rPr>
          <w:rFonts w:ascii="Arial" w:cs="Arial" w:eastAsia="Arial" w:hAnsi="Arial"/>
          <w:sz w:val="22"/>
          <w:szCs w:val="22"/>
          <w:color w:val="auto"/>
        </w:rPr>
        <w:t>, 8:00 a.m. to 5:00 p.m. local Facility time), to conduct a complete quality audit upon [**] prior written notice to Cardinal Health. Client shall have the right to conduct for cause audits immediately if necessary to ensure Product safety or if otherwise necessary to implement or support a Product recall.</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Party shall conduct its activities in connection with this Agreement in compliance with all applicable United States laws, rules, regulations and guidelines.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Cardinal Health</w:t>
      </w:r>
      <w:r>
        <w:rPr>
          <w:rFonts w:ascii="Arial" w:cs="Arial" w:eastAsia="Arial" w:hAnsi="Arial"/>
          <w:sz w:val="22"/>
          <w:szCs w:val="22"/>
          <w:color w:val="auto"/>
        </w:rPr>
        <w:t>. Cardinal Health represents and warrants to Client that, unless otherwise agreed to by the Parties, Cardinal Health shall perform Services in accordance with this Agreement, the Operating Guidelines, and applicable United States laws, rules, regulations and guidelines.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Client</w:t>
      </w:r>
      <w:r>
        <w:rPr>
          <w:rFonts w:ascii="Arial" w:cs="Arial" w:eastAsia="Arial" w:hAnsi="Arial"/>
          <w:sz w:val="19"/>
          <w:szCs w:val="19"/>
          <w:color w:val="auto"/>
        </w:rPr>
        <w:t>. Client represents, warrants and covenants to Cardinal Health that:</w:t>
      </w:r>
    </w:p>
    <w:p>
      <w:pPr>
        <w:spacing w:after="0" w:line="206" w:lineRule="exact"/>
        <w:rPr>
          <w:sz w:val="20"/>
          <w:szCs w:val="20"/>
          <w:color w:val="auto"/>
        </w:rPr>
      </w:pPr>
    </w:p>
    <w:p>
      <w:pPr>
        <w:ind w:firstLine="885"/>
        <w:spacing w:after="0" w:line="251" w:lineRule="auto"/>
        <w:tabs>
          <w:tab w:leader="none" w:pos="1547"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Product</w:t>
      </w:r>
      <w:r>
        <w:rPr>
          <w:rFonts w:ascii="Arial" w:cs="Arial" w:eastAsia="Arial" w:hAnsi="Arial"/>
          <w:sz w:val="22"/>
          <w:szCs w:val="22"/>
          <w:color w:val="auto"/>
        </w:rPr>
        <w:t>. The Product shall not be adulterated or misbranded as provided in the Food, Drug and Cosmetic Act, as amended from time to time;</w:t>
      </w:r>
    </w:p>
    <w:p>
      <w:pPr>
        <w:spacing w:after="0" w:line="173" w:lineRule="exact"/>
        <w:rPr>
          <w:rFonts w:ascii="Arial" w:cs="Arial" w:eastAsia="Arial" w:hAnsi="Arial"/>
          <w:sz w:val="22"/>
          <w:szCs w:val="22"/>
          <w:color w:val="auto"/>
        </w:rPr>
      </w:pPr>
    </w:p>
    <w:p>
      <w:pPr>
        <w:jc w:val="both"/>
        <w:ind w:firstLine="885"/>
        <w:spacing w:after="0"/>
        <w:tabs>
          <w:tab w:leader="none" w:pos="1602"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Safe Handling Instructions</w:t>
      </w:r>
      <w:r>
        <w:rPr>
          <w:rFonts w:ascii="Arial" w:cs="Arial" w:eastAsia="Arial" w:hAnsi="Arial"/>
          <w:sz w:val="22"/>
          <w:szCs w:val="22"/>
          <w:color w:val="auto"/>
        </w:rPr>
        <w:t>. It has provided all safe handling instruction, health and environmental information and material safety data sheets applicable to the Product or to any materials supplied by Client in writing in sufficient time for review and training by Cardinal Health prior to delivery; and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Mutual</w:t>
      </w:r>
      <w:r>
        <w:rPr>
          <w:rFonts w:ascii="Arial" w:cs="Arial" w:eastAsia="Arial" w:hAnsi="Arial"/>
          <w:sz w:val="19"/>
          <w:szCs w:val="19"/>
          <w:color w:val="auto"/>
        </w:rPr>
        <w:t>. Each Party represents and warrants to the other Party that:</w:t>
      </w:r>
    </w:p>
    <w:p>
      <w:pPr>
        <w:spacing w:after="0" w:line="206" w:lineRule="exact"/>
        <w:rPr>
          <w:sz w:val="20"/>
          <w:szCs w:val="20"/>
          <w:color w:val="auto"/>
        </w:rPr>
      </w:pPr>
    </w:p>
    <w:p>
      <w:pPr>
        <w:jc w:val="both"/>
        <w:ind w:firstLine="885"/>
        <w:spacing w:after="0" w:line="236" w:lineRule="auto"/>
        <w:tabs>
          <w:tab w:leader="none" w:pos="152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Existence and Power</w:t>
      </w:r>
      <w:r>
        <w:rPr>
          <w:rFonts w:ascii="Arial" w:cs="Arial" w:eastAsia="Arial" w:hAnsi="Arial"/>
          <w:sz w:val="22"/>
          <w:szCs w:val="22"/>
          <w:color w:val="auto"/>
        </w:rPr>
        <w:t>. Such Party (i) is duly organized, validly existing and in good standing under the laws of the state in which it is organized, (ii) has the power and authority and the legal right to own and operate its property and assets, and to carry on its business as it is now being conducted, and (iii) is in compliance with all requirements of applicable laws, except to the extent that any noncompliance would not materially adversely affect such Party’s ability to perform its obligations under the Agreement;</w:t>
      </w:r>
    </w:p>
    <w:p>
      <w:pPr>
        <w:spacing w:after="0" w:line="187" w:lineRule="exact"/>
        <w:rPr>
          <w:rFonts w:ascii="Arial" w:cs="Arial" w:eastAsia="Arial" w:hAnsi="Arial"/>
          <w:sz w:val="22"/>
          <w:szCs w:val="22"/>
          <w:color w:val="auto"/>
        </w:rPr>
      </w:pPr>
    </w:p>
    <w:p>
      <w:pPr>
        <w:jc w:val="both"/>
        <w:ind w:firstLine="885"/>
        <w:spacing w:after="0" w:line="258" w:lineRule="auto"/>
        <w:tabs>
          <w:tab w:leader="none" w:pos="1562"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Authorization and Enforcement of Obligations</w:t>
      </w:r>
      <w:r>
        <w:rPr>
          <w:rFonts w:ascii="Arial" w:cs="Arial" w:eastAsia="Arial" w:hAnsi="Arial"/>
          <w:sz w:val="21"/>
          <w:szCs w:val="21"/>
          <w:color w:val="auto"/>
        </w:rPr>
        <w:t>. Such Party (i) has the power and authority and the legal right to enter into this Agreement and to perform its obligations hereunder and (ii) has taken all necessary action on its part to authorize the execution and delivery of this Agreement and the performance of its obligations hereunder;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4" w:name="page205"/>
    <w:bookmarkEnd w:id="204"/>
    <w:p>
      <w:pPr>
        <w:ind w:right="20" w:firstLine="885"/>
        <w:spacing w:after="0" w:line="251" w:lineRule="auto"/>
        <w:tabs>
          <w:tab w:leader="none" w:pos="167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Execution and Delivery</w:t>
      </w:r>
      <w:r>
        <w:rPr>
          <w:rFonts w:ascii="Arial" w:cs="Arial" w:eastAsia="Arial" w:hAnsi="Arial"/>
          <w:sz w:val="22"/>
          <w:szCs w:val="22"/>
          <w:color w:val="auto"/>
        </w:rPr>
        <w:t>. This Agreement has been duly executed and delivered on behalf of such Party, and constitutes a legal, valid, binding obligation, enforceable against such Party in accordance with its terms;</w:t>
      </w:r>
    </w:p>
    <w:p>
      <w:pPr>
        <w:spacing w:after="0" w:line="173" w:lineRule="exact"/>
        <w:rPr>
          <w:rFonts w:ascii="Arial" w:cs="Arial" w:eastAsia="Arial" w:hAnsi="Arial"/>
          <w:sz w:val="22"/>
          <w:szCs w:val="22"/>
          <w:color w:val="auto"/>
        </w:rPr>
      </w:pPr>
    </w:p>
    <w:p>
      <w:pPr>
        <w:ind w:firstLine="885"/>
        <w:spacing w:after="0" w:line="251" w:lineRule="auto"/>
        <w:tabs>
          <w:tab w:leader="none" w:pos="1547"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 Consents</w:t>
      </w:r>
      <w:r>
        <w:rPr>
          <w:rFonts w:ascii="Arial" w:cs="Arial" w:eastAsia="Arial" w:hAnsi="Arial"/>
          <w:sz w:val="22"/>
          <w:szCs w:val="22"/>
          <w:color w:val="auto"/>
        </w:rPr>
        <w:t>. All necessary consents, approvals and authorizations of all regulatory authorities and other persons required to be obtained by such Party in connection with the Agreement have been obtained; and</w:t>
      </w:r>
    </w:p>
    <w:p>
      <w:pPr>
        <w:spacing w:after="0" w:line="173" w:lineRule="exact"/>
        <w:rPr>
          <w:rFonts w:ascii="Arial" w:cs="Arial" w:eastAsia="Arial" w:hAnsi="Arial"/>
          <w:sz w:val="22"/>
          <w:szCs w:val="22"/>
          <w:color w:val="auto"/>
        </w:rPr>
      </w:pPr>
    </w:p>
    <w:p>
      <w:pPr>
        <w:jc w:val="both"/>
        <w:ind w:firstLine="885"/>
        <w:spacing w:after="0"/>
        <w:tabs>
          <w:tab w:leader="none" w:pos="1685"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 Conflict</w:t>
      </w:r>
      <w:r>
        <w:rPr>
          <w:rFonts w:ascii="Arial" w:cs="Arial" w:eastAsia="Arial" w:hAnsi="Arial"/>
          <w:sz w:val="22"/>
          <w:szCs w:val="22"/>
          <w:color w:val="auto"/>
        </w:rPr>
        <w:t>. The execution and delivery of this Agreement and the performance of such Party’s obligations hereunder (i) do not conflict with or violate any requirement of applicable laws; and (ii) do not materially conflict with, or constitute a material default or require any consent under, any contractual obligation of such Party.</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Limitations</w:t>
      </w:r>
      <w:r>
        <w:rPr>
          <w:rFonts w:ascii="Arial" w:cs="Arial" w:eastAsia="Arial" w:hAnsi="Arial"/>
          <w:sz w:val="22"/>
          <w:szCs w:val="22"/>
          <w:color w:val="auto"/>
        </w:rPr>
        <w:t>. THE REPRESENTATIONS AND WARRANTIES SET FORTH IN THIS ARTICLE 8 ARE THE SOLE AND EXCLUSIVE REPRESENTATIONS AND WARRANTIES MADE BY EACH PARTY TO THE OTHER AND NEITHER PARTY MAKES ANY OTHER REPRESENTATIONS, WARRANTIES OR GUARANTEES OF ANY KIND WHATSOEVER, INCLUDING WITHOUT LIMITATION ANY IMPLIED WARRANTIES OF MERCHANTABILITY, NON-INFRINGEMENT OR FITNESS FOR A PARTICULAR PURPOSE.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TRADEMARKS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Party shall have the right to use the name of the other Party or any Affiliate of the other Party, or the other Party’s or such Affiliates’ trademarks, service marks, logos, or other similar marks in any manner except with the prior written approval of that Party; provided that the foregoing shall not prohibit Cardinal Health’s use of Client’s names or marks in connection with the performance of the Services in a manner consistent with this Agreement. “</w:t>
      </w:r>
      <w:r>
        <w:rPr>
          <w:rFonts w:ascii="Arial" w:cs="Arial" w:eastAsia="Arial" w:hAnsi="Arial"/>
          <w:sz w:val="22"/>
          <w:szCs w:val="22"/>
          <w:b w:val="1"/>
          <w:bCs w:val="1"/>
          <w:color w:val="auto"/>
        </w:rPr>
        <w:t>Affiliate</w:t>
      </w:r>
      <w:r>
        <w:rPr>
          <w:rFonts w:ascii="Arial" w:cs="Arial" w:eastAsia="Arial" w:hAnsi="Arial"/>
          <w:sz w:val="22"/>
          <w:szCs w:val="22"/>
          <w:color w:val="auto"/>
        </w:rPr>
        <w:t>,” as used in this Agreement, means any legal entity which, during the Term hereof, controls, is controlled by, or is under common control with, such Party. For purposes of this definition, an entity shall be deemed to control another entity if it owns or controls, directly or indirectly, at least fifty percent (50%) of the voting interest of all equity interests of the other entity (or other such comparable ownership interest for an entity other than a corporation).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NON-USE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Mutual Obligation</w:t>
      </w:r>
      <w:r>
        <w:rPr>
          <w:rFonts w:ascii="Arial" w:cs="Arial" w:eastAsia="Arial" w:hAnsi="Arial"/>
          <w:sz w:val="19"/>
          <w:szCs w:val="19"/>
          <w:color w:val="auto"/>
        </w:rPr>
        <w:t>. Cardinal Health and Client agree that they shall not use the other Party’s Confidential Information (defined below) except as necessary for the receiving Party to perform its obligations under this Agreement or disclose the other Party’s Confidential Information to any third Party without the prior written consent of the other Party except as required by law, regulation or court or administrative order; provided, however, that prior to making any such legally required disclosure, the Party making such disclosure shall give the other Party as much prior notice of the requirement for and contents of such disclosure as is practicable under the circumstances. Notwithstanding the foregoing, each Party may disclose the other Party’s Confidential Information to any of its Affiliates that (A) need to know such Confidential Information for the purpose of performing under this Agreement, (B) are advised of the contents of this article, and (C) agree to be bound by the terms of this article.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5" w:name="page206"/>
    <w:bookmarkEnd w:id="205"/>
    <w:p>
      <w:pPr>
        <w:jc w:val="both"/>
        <w:spacing w:after="0" w:line="234"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Definition</w:t>
      </w:r>
      <w:r>
        <w:rPr>
          <w:rFonts w:ascii="Arial" w:cs="Arial" w:eastAsia="Arial" w:hAnsi="Arial"/>
          <w:sz w:val="22"/>
          <w:szCs w:val="22"/>
          <w:color w:val="auto"/>
        </w:rPr>
        <w:t>. As used in this Agreement, the term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includes all such information furnished by Cardinal Health or Client, or any of their respective representatives or Affiliates, to the other or its representatives or Affiliates in connection with the services or performance of this Agreement, whether furnished before, on or after the date of this Agreement and furnished in any form, including but not limited to written, verbal, visual, electronic or in any other media or manner. Confidential Information includes all proprietary technologies, know-how, trade secrets, discoveries, inventions and any other intellectual property (whether or not patented), analyses, compilations, business or technical information and other materials prepared by either Party, or any of their respective representatives, containing or based in whole or in part on any such information furnished by the other Party or its representatives. Confidential Information also includes the existence of this Agreement and its terms.</w:t>
      </w:r>
    </w:p>
    <w:p>
      <w:pPr>
        <w:spacing w:after="0" w:line="19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Section 10.2, Confidential Information does not include information that (A) is or becomes generally available to the public other than as a result of a breach of this Agreement, or (B) is already known by the receiving Party at the time of disclosure as evidenced by the receiving Party’s written records, or (C) becomes available to the receiving Party on a non-confidential basis from a source that is entitled to disclose it on a non-confidential basis, or (D) was or is independently developed by or for the receiving Party without reference to the Confidential Information, as evidenced by the receiving Party’s written records.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No Implied License</w:t>
      </w:r>
      <w:r>
        <w:rPr>
          <w:rFonts w:ascii="Arial" w:cs="Arial" w:eastAsia="Arial" w:hAnsi="Arial"/>
          <w:sz w:val="22"/>
          <w:szCs w:val="22"/>
          <w:color w:val="auto"/>
        </w:rPr>
        <w:t>. The receiving Party shall obtain no right of any kind or license under any patent application or patent by reason of this Agreement. All Confidential Information shall remain the sole property of the Party disclosing such information or data.</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Upon termination of this Agreement, the receiving Party shall, upon request, promptly return within [**] all such information, including any copies thereof, and cease its use or, at the request of the disclosing Party, shall promptly destroy the same and certify such destruction to the disclosing Party; except for a single copy thereof, which may be retained for the sole purpose of determining the scope of the obligations incurred under this Agreement.</w:t>
      </w:r>
    </w:p>
    <w:p>
      <w:pPr>
        <w:spacing w:after="0" w:line="49"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Survival</w:t>
      </w:r>
      <w:r>
        <w:rPr>
          <w:rFonts w:ascii="Arial" w:cs="Arial" w:eastAsia="Arial" w:hAnsi="Arial"/>
          <w:sz w:val="21"/>
          <w:szCs w:val="21"/>
          <w:color w:val="auto"/>
        </w:rPr>
        <w:t>. The Parties intend for this Article 10 to supersede that certain Confidentiality Agreement between the parties dated the 9th day of April, 2014. The obligations of this Article 10 shall terminate [**] from the expiration of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Indemnification by Cardinal Health</w:t>
      </w:r>
      <w:r>
        <w:rPr>
          <w:rFonts w:ascii="Arial" w:cs="Arial" w:eastAsia="Arial" w:hAnsi="Arial"/>
          <w:sz w:val="22"/>
          <w:szCs w:val="22"/>
          <w:color w:val="auto"/>
        </w:rPr>
        <w:t>. Cardinal Health shall indemnify and hold harmless Client, its Affiliates, and their respective directors, officers, employees and agents (“</w:t>
      </w:r>
      <w:r>
        <w:rPr>
          <w:rFonts w:ascii="Arial" w:cs="Arial" w:eastAsia="Arial" w:hAnsi="Arial"/>
          <w:sz w:val="22"/>
          <w:szCs w:val="22"/>
          <w:b w:val="1"/>
          <w:bCs w:val="1"/>
          <w:color w:val="auto"/>
        </w:rPr>
        <w:t>Client Indemnitees</w:t>
      </w:r>
      <w:r>
        <w:rPr>
          <w:rFonts w:ascii="Arial" w:cs="Arial" w:eastAsia="Arial" w:hAnsi="Arial"/>
          <w:sz w:val="22"/>
          <w:szCs w:val="22"/>
          <w:color w:val="auto"/>
        </w:rPr>
        <w:t>”) from and against any and all suits, claims, losses, demands, liabilities, damages, costs and expenses (including reasonable attorney’ fees) in connection with any suit, demand or action by any third party (“</w:t>
      </w:r>
      <w:r>
        <w:rPr>
          <w:rFonts w:ascii="Arial" w:cs="Arial" w:eastAsia="Arial" w:hAnsi="Arial"/>
          <w:sz w:val="22"/>
          <w:szCs w:val="22"/>
          <w:b w:val="1"/>
          <w:bCs w:val="1"/>
          <w:color w:val="auto"/>
        </w:rPr>
        <w:t>Liabilities</w:t>
      </w:r>
      <w:r>
        <w:rPr>
          <w:rFonts w:ascii="Arial" w:cs="Arial" w:eastAsia="Arial" w:hAnsi="Arial"/>
          <w:sz w:val="22"/>
          <w:szCs w:val="22"/>
          <w:color w:val="auto"/>
        </w:rPr>
        <w:t>”) arising out of or resulting from (A) any breach of its representations, warranties or obligations set forth in this Agreement or (B) any negligence or willful misconduct by Cardinal Health, except to the extent that any of the foregoing arises out of or results from any Client Indemnitee’s negligence, willful misconduct or breach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6" w:name="page207"/>
    <w:bookmarkEnd w:id="206"/>
    <w:p>
      <w:pPr>
        <w:jc w:val="both"/>
        <w:spacing w:after="0" w:line="246"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Indemnification by Client</w:t>
      </w:r>
      <w:r>
        <w:rPr>
          <w:rFonts w:ascii="Arial" w:cs="Arial" w:eastAsia="Arial" w:hAnsi="Arial"/>
          <w:sz w:val="21"/>
          <w:szCs w:val="21"/>
          <w:color w:val="auto"/>
        </w:rPr>
        <w:t>. Client shall indemnify and hold harmless Cardinal Health, its Affiliates, and their respective directors, officers, employees and agents (“</w:t>
      </w:r>
      <w:r>
        <w:rPr>
          <w:rFonts w:ascii="Arial" w:cs="Arial" w:eastAsia="Arial" w:hAnsi="Arial"/>
          <w:sz w:val="21"/>
          <w:szCs w:val="21"/>
          <w:b w:val="1"/>
          <w:bCs w:val="1"/>
          <w:color w:val="auto"/>
        </w:rPr>
        <w:t>Cardinal Health Indemnitees</w:t>
      </w:r>
      <w:r>
        <w:rPr>
          <w:rFonts w:ascii="Arial" w:cs="Arial" w:eastAsia="Arial" w:hAnsi="Arial"/>
          <w:sz w:val="21"/>
          <w:szCs w:val="21"/>
          <w:color w:val="auto"/>
        </w:rPr>
        <w:t>”) from and against all Liabilities arising out of or resulting from (A) any breach of its representations, warranties or obligations set forth in this Agreement; (B) any manufacture, sale, promotion, distribution, shipping, use of or exposure to the Product or any materials supplied by Client, including, without limitation, product liability or strict liability; (C) any actual or alleged infringement or violation of any patent, trade secret, copyright, trademark or other proprietary rights concerning the Product or provided by Client; or (D) any negligence or willful misconduct by Client, except to the extent that any of the foregoing arises out of or results from any Cardinal Health Indemnitee’s negligence, willful misconduct or breach of this Agreement.</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Indemnification Procedures</w:t>
      </w:r>
      <w:r>
        <w:rPr>
          <w:rFonts w:ascii="Arial" w:cs="Arial" w:eastAsia="Arial" w:hAnsi="Arial"/>
          <w:sz w:val="21"/>
          <w:szCs w:val="21"/>
          <w:color w:val="auto"/>
        </w:rPr>
        <w:t>. All indemnification obligations in this Agreement are conditioned upon the Party seeking indemnification: (A) promptly notifying the indemnifying Party of any claim or liability of which the Party seeking indemnification becomes aware (including a copy of any related complaint, summons, notice or other instrument); provided, however, that failure to provide such notice within a reasonable period of time shall not relieve the indemnifying Party of any of its obligations hereunder except to the extent the indemnifying Party is prejudiced by such failure; (B) reasonably cooperating with the indemnifying Party in the defense of any such claim or liability (at the indemnifying Party’s expense); and (C) not compromising or settling any claim or liability without prior written consent of the indemnifying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LIMITATIONS OF LIABILITY</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12.1 CARDINAL HEALTH’S TOTAL LIABILITY UNDER THIS AGREEMENT, WHETHER IN CONTRACT OR TORT, INCLUDING. WITHOUT LIMITATION, ANY OF CARDINAL HEALTH’S INDEMNITY OR OTHER FINANCIAL OBLIGATIONS UNDER ARTICLE 11, SHALL NOT EXCEED [**] TIMES THE TOTAL FEES PAID BY CLIENT TO CARDINAL HEALTH FOR THE SERVICES WHICH WERE INVOLVED IN CAUSING ANY CLAIMS, DAMAGES, LOSSES, COSTS OR EXPENSES, NOT TO EXCEED $[**].</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12.2 NEITHER PARTY SHALL BE LIABLE TO THE OTHER PARTY FOR INDIRECT, INCIDENTAL, SPECIAL OR CONSEQUENTIAL DAMAGES ARISING OUT OF PERFORMANCE UNDER THIS AGREEMENT, INCLUDING WITHOUT LIMITATION, LOSS OF REVENUES, PROFITS OR DATA, WHETHER IN CONTRACT OR TORT, EVEN IF SUCH PARTY HAS BEEN ADVISED OF THE POSSIBILITY OF SUCH DAMAGES.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12.3 NOTWITHSTANDING ANYTHING TO THE CONTRARY HEREIN, THE LIMITATIONS IN THIS ARTICLE 12 SHALL NOT LIMIT CLIENT’S LIABILITY OR RESPONSIBILITY RELATING TO A BREACH OF ITS OBLIGATIONS UNDER ARTICLE 4 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7" w:name="page208"/>
    <w:bookmarkEnd w:id="207"/>
    <w:p>
      <w:pPr>
        <w:ind w:left="5100"/>
        <w:spacing w:after="0"/>
        <w:rPr>
          <w:sz w:val="20"/>
          <w:szCs w:val="20"/>
          <w:color w:val="auto"/>
        </w:rPr>
      </w:pPr>
      <w:r>
        <w:rPr>
          <w:rFonts w:ascii="Arial" w:cs="Arial" w:eastAsia="Arial" w:hAnsi="Arial"/>
          <w:sz w:val="22"/>
          <w:szCs w:val="22"/>
          <w:b w:val="1"/>
          <w:bCs w:val="1"/>
          <w:color w:val="auto"/>
        </w:rPr>
        <w:t>ARTICLE 13</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INSURANCE</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Insurance Policies</w:t>
      </w:r>
      <w:r>
        <w:rPr>
          <w:rFonts w:ascii="Arial" w:cs="Arial" w:eastAsia="Arial" w:hAnsi="Arial"/>
          <w:sz w:val="22"/>
          <w:szCs w:val="22"/>
          <w:color w:val="auto"/>
        </w:rPr>
        <w:t>. During the term of this Agreement, Client shall obtain and maintain the following insurance with limits not less than those specified below:</w:t>
      </w:r>
    </w:p>
    <w:p>
      <w:pPr>
        <w:spacing w:after="0" w:line="173" w:lineRule="exact"/>
        <w:rPr>
          <w:sz w:val="20"/>
          <w:szCs w:val="20"/>
          <w:color w:val="auto"/>
        </w:rPr>
      </w:pPr>
    </w:p>
    <w:p>
      <w:pPr>
        <w:ind w:right="20" w:firstLine="885"/>
        <w:spacing w:after="0" w:line="251" w:lineRule="auto"/>
        <w:tabs>
          <w:tab w:leader="none" w:pos="156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Products and Completed Operations Liability Insurance covering the Products included in this Agreement with a limit of $[**] per occurrence;</w:t>
      </w:r>
    </w:p>
    <w:p>
      <w:pPr>
        <w:spacing w:after="0" w:line="173" w:lineRule="exact"/>
        <w:rPr>
          <w:rFonts w:ascii="Arial" w:cs="Arial" w:eastAsia="Arial" w:hAnsi="Arial"/>
          <w:sz w:val="22"/>
          <w:szCs w:val="22"/>
          <w:color w:val="auto"/>
        </w:rPr>
      </w:pPr>
    </w:p>
    <w:p>
      <w:pPr>
        <w:jc w:val="both"/>
        <w:ind w:firstLine="885"/>
        <w:spacing w:after="0" w:line="236" w:lineRule="auto"/>
        <w:tabs>
          <w:tab w:leader="none" w:pos="162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All-Risk Property Insurance, including transit coverage, in an amount equal to full replacement value covering Client’s property while it is at the Facility or in transit to or from the Facility. Client’s all-risk property insurance shall apply to all losses and be primary (with respect both to any insurance issued to Cardinal Health and to any deductible amount or self- insured amount retained by Cardinal Health) except for losses resulting solely from the gross negligence or intentional misconduct of Cardinal Health.</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event that any of the required policies of insurance are written on a claims made basis, then such policies shall be maintained during the entire term of this Agreement and for a period of not less than [**] following the termination or expiration of this Agreement.</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Waiver</w:t>
      </w:r>
      <w:r>
        <w:rPr>
          <w:rFonts w:ascii="Arial" w:cs="Arial" w:eastAsia="Arial" w:hAnsi="Arial"/>
          <w:sz w:val="22"/>
          <w:szCs w:val="22"/>
          <w:color w:val="auto"/>
        </w:rPr>
        <w:t>. Client shall obtain a waiver from any insurance carrier with whom Client carries Property Insurance releasing its subrogation rights against Cardinal Health except for losses resulting solely from the gross negligence or intentional misconduct of Cardinal Health, Client shall not seek reimbursement for any property claim, or portion thereof that is not fully recovered from Client’s property insurance except for losses resulting solely from the gross negligence or intentional misconduct of Cardinal Health.</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Additional Insured Status</w:t>
      </w:r>
      <w:r>
        <w:rPr>
          <w:rFonts w:ascii="Arial" w:cs="Arial" w:eastAsia="Arial" w:hAnsi="Arial"/>
          <w:sz w:val="19"/>
          <w:szCs w:val="19"/>
          <w:color w:val="auto"/>
        </w:rPr>
        <w:t>, Cardinal Health Inc., and its Affiliates shall be named as additional insureds under the Products and Completed Operations Liability insurance policies as respects the Products and completed operations outlined in this Agreement. Such insurance shall be primary (with respect both to any insurance issued to Cardinal Health and to any self-insured amount retained by Cardinal Health) with regard to Cardinal Health’s liability for damage arising out of those products for which they have been added as additional insureds. Such additional insurance status shall continue during the term and, if the policies are written on a claims made basis, shall continue for not less than [**] following termination or expiration of this Agreement.</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Certificates</w:t>
      </w:r>
      <w:r>
        <w:rPr>
          <w:rFonts w:ascii="Arial" w:cs="Arial" w:eastAsia="Arial" w:hAnsi="Arial"/>
          <w:sz w:val="22"/>
          <w:szCs w:val="22"/>
          <w:color w:val="auto"/>
        </w:rPr>
        <w:t>. Client shall furnish certificates of insurance to Cardinal Health evidencing the required insurance and additional insured status as soon as practicable after the Effective Date and within [**] after renewal of such policies. Such certificates shall state that Client’s insurers will endeavor to provide [**] written notice of any cancellation prior to the policy(ies) expiration date(s). Each insurance policy that is required under this article shall be obtained from an insurance carrier with an A.M. Best rating of at least A-VII.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22"/>
          <w:szCs w:val="22"/>
          <w:b w:val="1"/>
          <w:bCs w:val="1"/>
          <w:color w:val="auto"/>
        </w:rPr>
        <w:t>ARTICLE 14</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NOTICES</w:t>
      </w:r>
    </w:p>
    <w:p>
      <w:pPr>
        <w:spacing w:after="0" w:line="188"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All notices and other communications hereunder shall be in writing and shall be deemed given: (A) when delivered personally; (B) when delivered by facsimile transmission (receipt verified); (C) when received or refused, if mailed by registered or certified mail (return receipt requested), postage prepaid; or (D) when delivered if sent by express courier service, to the Parties at the following addresses (or at such other address for a Party as shall be specified by like notice; provided, that notices of a change of address shall be effective only upon receipt thereof):</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ind w:left="880"/>
              <w:spacing w:after="0"/>
              <w:rPr>
                <w:sz w:val="20"/>
                <w:szCs w:val="20"/>
                <w:color w:val="auto"/>
              </w:rPr>
            </w:pPr>
            <w:r>
              <w:rPr>
                <w:rFonts w:ascii="Arial" w:cs="Arial" w:eastAsia="Arial" w:hAnsi="Arial"/>
                <w:sz w:val="22"/>
                <w:szCs w:val="22"/>
                <w:color w:val="auto"/>
              </w:rPr>
              <w:t>To Client:</w:t>
            </w:r>
          </w:p>
        </w:tc>
        <w:tc>
          <w:tcPr>
            <w:tcW w:w="7600" w:type="dxa"/>
            <w:vAlign w:val="bottom"/>
          </w:tcPr>
          <w:p>
            <w:pPr>
              <w:ind w:left="1240"/>
              <w:spacing w:after="0"/>
              <w:rPr>
                <w:sz w:val="20"/>
                <w:szCs w:val="20"/>
                <w:color w:val="auto"/>
              </w:rPr>
            </w:pPr>
            <w:r>
              <w:rPr>
                <w:rFonts w:ascii="Arial" w:cs="Arial" w:eastAsia="Arial" w:hAnsi="Arial"/>
                <w:sz w:val="22"/>
                <w:szCs w:val="22"/>
                <w:color w:val="auto"/>
              </w:rPr>
              <w:t>Keryx Biopharmaceuticals, Inc.</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750 Lexington Avenue, 20</w:t>
            </w:r>
            <w:r>
              <w:rPr>
                <w:rFonts w:ascii="Arial" w:cs="Arial" w:eastAsia="Arial" w:hAnsi="Arial"/>
                <w:sz w:val="18"/>
                <w:szCs w:val="18"/>
                <w:color w:val="auto"/>
              </w:rPr>
              <w:t>th</w:t>
            </w:r>
            <w:r>
              <w:rPr>
                <w:rFonts w:ascii="Arial" w:cs="Arial" w:eastAsia="Arial" w:hAnsi="Arial"/>
                <w:sz w:val="22"/>
                <w:szCs w:val="22"/>
                <w:color w:val="auto"/>
              </w:rPr>
              <w:t xml:space="preserve"> Floor</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New York, NY 10022</w:t>
            </w:r>
          </w:p>
        </w:tc>
        <w:tc>
          <w:tcPr>
            <w:tcW w:w="0" w:type="dxa"/>
            <w:vAlign w:val="bottom"/>
          </w:tcPr>
          <w:p>
            <w:pPr>
              <w:spacing w:after="0"/>
              <w:rPr>
                <w:sz w:val="1"/>
                <w:szCs w:val="1"/>
                <w:color w:val="auto"/>
              </w:rPr>
            </w:pPr>
          </w:p>
        </w:tc>
      </w:tr>
      <w:tr>
        <w:trPr>
          <w:trHeight w:val="275"/>
        </w:trPr>
        <w:tc>
          <w:tcPr>
            <w:tcW w:w="3840" w:type="dxa"/>
            <w:vAlign w:val="bottom"/>
          </w:tcPr>
          <w:p>
            <w:pPr>
              <w:spacing w:after="0"/>
              <w:rPr>
                <w:sz w:val="23"/>
                <w:szCs w:val="23"/>
                <w:color w:val="auto"/>
              </w:rPr>
            </w:pPr>
          </w:p>
        </w:tc>
        <w:tc>
          <w:tcPr>
            <w:tcW w:w="7600" w:type="dxa"/>
            <w:vAlign w:val="bottom"/>
          </w:tcPr>
          <w:p>
            <w:pPr>
              <w:ind w:left="1240"/>
              <w:spacing w:after="0"/>
              <w:rPr>
                <w:sz w:val="20"/>
                <w:szCs w:val="20"/>
                <w:color w:val="auto"/>
              </w:rPr>
            </w:pPr>
            <w:r>
              <w:rPr>
                <w:rFonts w:ascii="Arial" w:cs="Arial" w:eastAsia="Arial" w:hAnsi="Arial"/>
                <w:sz w:val="22"/>
                <w:szCs w:val="22"/>
                <w:color w:val="auto"/>
              </w:rPr>
              <w:t>Attn: Ron Bentsur, CEO</w:t>
            </w:r>
          </w:p>
        </w:tc>
        <w:tc>
          <w:tcPr>
            <w:tcW w:w="0" w:type="dxa"/>
            <w:vAlign w:val="bottom"/>
          </w:tcPr>
          <w:p>
            <w:pPr>
              <w:spacing w:after="0"/>
              <w:rPr>
                <w:sz w:val="1"/>
                <w:szCs w:val="1"/>
                <w:color w:val="auto"/>
              </w:rPr>
            </w:pPr>
          </w:p>
        </w:tc>
      </w:tr>
      <w:tr>
        <w:trPr>
          <w:trHeight w:val="455"/>
        </w:trPr>
        <w:tc>
          <w:tcPr>
            <w:tcW w:w="3840" w:type="dxa"/>
            <w:vAlign w:val="bottom"/>
          </w:tcPr>
          <w:p>
            <w:pPr>
              <w:ind w:left="880"/>
              <w:spacing w:after="0"/>
              <w:rPr>
                <w:sz w:val="20"/>
                <w:szCs w:val="20"/>
                <w:color w:val="auto"/>
              </w:rPr>
            </w:pPr>
            <w:r>
              <w:rPr>
                <w:rFonts w:ascii="Arial" w:cs="Arial" w:eastAsia="Arial" w:hAnsi="Arial"/>
                <w:sz w:val="22"/>
                <w:szCs w:val="22"/>
                <w:color w:val="auto"/>
              </w:rPr>
              <w:t>With a copy to:</w:t>
            </w:r>
          </w:p>
        </w:tc>
        <w:tc>
          <w:tcPr>
            <w:tcW w:w="7600" w:type="dxa"/>
            <w:vAlign w:val="bottom"/>
          </w:tcPr>
          <w:p>
            <w:pPr>
              <w:ind w:left="1240"/>
              <w:spacing w:after="0"/>
              <w:rPr>
                <w:sz w:val="20"/>
                <w:szCs w:val="20"/>
                <w:color w:val="auto"/>
              </w:rPr>
            </w:pPr>
            <w:r>
              <w:rPr>
                <w:rFonts w:ascii="Arial" w:cs="Arial" w:eastAsia="Arial" w:hAnsi="Arial"/>
                <w:sz w:val="22"/>
                <w:szCs w:val="22"/>
                <w:color w:val="auto"/>
              </w:rPr>
              <w:t>Keryx Biopharmaceuticals, Inc.</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One Marina Park Drive, 10</w:t>
            </w:r>
            <w:r>
              <w:rPr>
                <w:rFonts w:ascii="Arial" w:cs="Arial" w:eastAsia="Arial" w:hAnsi="Arial"/>
                <w:sz w:val="18"/>
                <w:szCs w:val="18"/>
                <w:color w:val="auto"/>
              </w:rPr>
              <w:t>th</w:t>
            </w:r>
            <w:r>
              <w:rPr>
                <w:rFonts w:ascii="Arial" w:cs="Arial" w:eastAsia="Arial" w:hAnsi="Arial"/>
                <w:sz w:val="22"/>
                <w:szCs w:val="22"/>
                <w:color w:val="auto"/>
              </w:rPr>
              <w:t xml:space="preserve"> Floor</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Boston, MA 02110</w:t>
            </w:r>
          </w:p>
        </w:tc>
        <w:tc>
          <w:tcPr>
            <w:tcW w:w="0" w:type="dxa"/>
            <w:vAlign w:val="bottom"/>
          </w:tcPr>
          <w:p>
            <w:pPr>
              <w:spacing w:after="0"/>
              <w:rPr>
                <w:sz w:val="1"/>
                <w:szCs w:val="1"/>
                <w:color w:val="auto"/>
              </w:rPr>
            </w:pPr>
          </w:p>
        </w:tc>
      </w:tr>
      <w:tr>
        <w:trPr>
          <w:trHeight w:val="275"/>
        </w:trPr>
        <w:tc>
          <w:tcPr>
            <w:tcW w:w="3840" w:type="dxa"/>
            <w:vAlign w:val="bottom"/>
          </w:tcPr>
          <w:p>
            <w:pPr>
              <w:spacing w:after="0"/>
              <w:rPr>
                <w:sz w:val="23"/>
                <w:szCs w:val="23"/>
                <w:color w:val="auto"/>
              </w:rPr>
            </w:pPr>
          </w:p>
        </w:tc>
        <w:tc>
          <w:tcPr>
            <w:tcW w:w="7600" w:type="dxa"/>
            <w:vAlign w:val="bottom"/>
          </w:tcPr>
          <w:p>
            <w:pPr>
              <w:ind w:left="1240"/>
              <w:spacing w:after="0"/>
              <w:rPr>
                <w:sz w:val="20"/>
                <w:szCs w:val="20"/>
                <w:color w:val="auto"/>
              </w:rPr>
            </w:pPr>
            <w:r>
              <w:rPr>
                <w:rFonts w:ascii="Arial" w:cs="Arial" w:eastAsia="Arial" w:hAnsi="Arial"/>
                <w:sz w:val="22"/>
                <w:szCs w:val="22"/>
                <w:color w:val="auto"/>
              </w:rPr>
              <w:t>Attn: General Counsel</w:t>
            </w:r>
          </w:p>
        </w:tc>
        <w:tc>
          <w:tcPr>
            <w:tcW w:w="0" w:type="dxa"/>
            <w:vAlign w:val="bottom"/>
          </w:tcPr>
          <w:p>
            <w:pPr>
              <w:spacing w:after="0"/>
              <w:rPr>
                <w:sz w:val="1"/>
                <w:szCs w:val="1"/>
                <w:color w:val="auto"/>
              </w:rPr>
            </w:pPr>
          </w:p>
        </w:tc>
      </w:tr>
      <w:tr>
        <w:trPr>
          <w:trHeight w:val="455"/>
        </w:trPr>
        <w:tc>
          <w:tcPr>
            <w:tcW w:w="3840" w:type="dxa"/>
            <w:vAlign w:val="bottom"/>
          </w:tcPr>
          <w:p>
            <w:pPr>
              <w:ind w:left="880"/>
              <w:spacing w:after="0"/>
              <w:rPr>
                <w:sz w:val="20"/>
                <w:szCs w:val="20"/>
                <w:color w:val="auto"/>
              </w:rPr>
            </w:pPr>
            <w:r>
              <w:rPr>
                <w:rFonts w:ascii="Arial" w:cs="Arial" w:eastAsia="Arial" w:hAnsi="Arial"/>
                <w:sz w:val="22"/>
                <w:szCs w:val="22"/>
                <w:color w:val="auto"/>
              </w:rPr>
              <w:t>To Cardinal Health:</w:t>
            </w:r>
          </w:p>
        </w:tc>
        <w:tc>
          <w:tcPr>
            <w:tcW w:w="7600" w:type="dxa"/>
            <w:vAlign w:val="bottom"/>
          </w:tcPr>
          <w:p>
            <w:pPr>
              <w:ind w:left="1240"/>
              <w:spacing w:after="0"/>
              <w:rPr>
                <w:sz w:val="20"/>
                <w:szCs w:val="20"/>
                <w:color w:val="auto"/>
              </w:rPr>
            </w:pPr>
            <w:r>
              <w:rPr>
                <w:rFonts w:ascii="Arial" w:cs="Arial" w:eastAsia="Arial" w:hAnsi="Arial"/>
                <w:sz w:val="22"/>
                <w:szCs w:val="22"/>
                <w:color w:val="auto"/>
              </w:rPr>
              <w:t>Cardinal Health 105, Inc.</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Specialty Pharmaceutical Services</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Ingram Boulevard, Suite 100</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LaVergne, TN 3708615</w:t>
            </w:r>
          </w:p>
        </w:tc>
        <w:tc>
          <w:tcPr>
            <w:tcW w:w="0" w:type="dxa"/>
            <w:vAlign w:val="bottom"/>
          </w:tcPr>
          <w:p>
            <w:pPr>
              <w:spacing w:after="0"/>
              <w:rPr>
                <w:sz w:val="1"/>
                <w:szCs w:val="1"/>
                <w:color w:val="auto"/>
              </w:rPr>
            </w:pPr>
          </w:p>
        </w:tc>
      </w:tr>
      <w:tr>
        <w:trPr>
          <w:trHeight w:val="275"/>
        </w:trPr>
        <w:tc>
          <w:tcPr>
            <w:tcW w:w="3840" w:type="dxa"/>
            <w:vAlign w:val="bottom"/>
          </w:tcPr>
          <w:p>
            <w:pPr>
              <w:spacing w:after="0"/>
              <w:rPr>
                <w:sz w:val="23"/>
                <w:szCs w:val="23"/>
                <w:color w:val="auto"/>
              </w:rPr>
            </w:pPr>
          </w:p>
        </w:tc>
        <w:tc>
          <w:tcPr>
            <w:tcW w:w="7600" w:type="dxa"/>
            <w:vAlign w:val="bottom"/>
          </w:tcPr>
          <w:p>
            <w:pPr>
              <w:ind w:left="1240"/>
              <w:spacing w:after="0"/>
              <w:rPr>
                <w:sz w:val="20"/>
                <w:szCs w:val="20"/>
                <w:color w:val="auto"/>
              </w:rPr>
            </w:pPr>
            <w:r>
              <w:rPr>
                <w:rFonts w:ascii="Arial" w:cs="Arial" w:eastAsia="Arial" w:hAnsi="Arial"/>
                <w:sz w:val="22"/>
                <w:szCs w:val="22"/>
                <w:color w:val="auto"/>
              </w:rPr>
              <w:t>Attn: VP, Third-Party Logistics Services</w:t>
            </w:r>
          </w:p>
        </w:tc>
        <w:tc>
          <w:tcPr>
            <w:tcW w:w="0" w:type="dxa"/>
            <w:vAlign w:val="bottom"/>
          </w:tcPr>
          <w:p>
            <w:pPr>
              <w:spacing w:after="0"/>
              <w:rPr>
                <w:sz w:val="1"/>
                <w:szCs w:val="1"/>
                <w:color w:val="auto"/>
              </w:rPr>
            </w:pPr>
          </w:p>
        </w:tc>
      </w:tr>
      <w:tr>
        <w:trPr>
          <w:trHeight w:val="455"/>
        </w:trPr>
        <w:tc>
          <w:tcPr>
            <w:tcW w:w="3840" w:type="dxa"/>
            <w:vAlign w:val="bottom"/>
          </w:tcPr>
          <w:p>
            <w:pPr>
              <w:ind w:left="880"/>
              <w:spacing w:after="0"/>
              <w:rPr>
                <w:sz w:val="20"/>
                <w:szCs w:val="20"/>
                <w:color w:val="auto"/>
              </w:rPr>
            </w:pPr>
            <w:r>
              <w:rPr>
                <w:rFonts w:ascii="Arial" w:cs="Arial" w:eastAsia="Arial" w:hAnsi="Arial"/>
                <w:sz w:val="22"/>
                <w:szCs w:val="22"/>
                <w:color w:val="auto"/>
              </w:rPr>
              <w:t>With a copy to:</w:t>
            </w:r>
          </w:p>
        </w:tc>
        <w:tc>
          <w:tcPr>
            <w:tcW w:w="7600" w:type="dxa"/>
            <w:vAlign w:val="bottom"/>
          </w:tcPr>
          <w:p>
            <w:pPr>
              <w:ind w:left="1240"/>
              <w:spacing w:after="0"/>
              <w:rPr>
                <w:sz w:val="20"/>
                <w:szCs w:val="20"/>
                <w:color w:val="auto"/>
              </w:rPr>
            </w:pPr>
            <w:r>
              <w:rPr>
                <w:rFonts w:ascii="Arial" w:cs="Arial" w:eastAsia="Arial" w:hAnsi="Arial"/>
                <w:sz w:val="22"/>
                <w:szCs w:val="22"/>
                <w:color w:val="auto"/>
              </w:rPr>
              <w:t>Cardinal Health, Inc.</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7000 Cardinal Place</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Dublin, Ohio 43017</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7600" w:type="dxa"/>
            <w:vAlign w:val="bottom"/>
          </w:tcPr>
          <w:p>
            <w:pPr>
              <w:ind w:left="1240"/>
              <w:spacing w:after="0" w:line="243" w:lineRule="exact"/>
              <w:rPr>
                <w:sz w:val="20"/>
                <w:szCs w:val="20"/>
                <w:color w:val="auto"/>
              </w:rPr>
            </w:pPr>
            <w:r>
              <w:rPr>
                <w:rFonts w:ascii="Arial" w:cs="Arial" w:eastAsia="Arial" w:hAnsi="Arial"/>
                <w:sz w:val="22"/>
                <w:szCs w:val="22"/>
                <w:color w:val="auto"/>
              </w:rPr>
              <w:t>Attn: Associate General Counsel</w:t>
            </w:r>
          </w:p>
        </w:tc>
        <w:tc>
          <w:tcPr>
            <w:tcW w:w="0" w:type="dxa"/>
            <w:vAlign w:val="bottom"/>
          </w:tcPr>
          <w:p>
            <w:pPr>
              <w:spacing w:after="0"/>
              <w:rPr>
                <w:sz w:val="1"/>
                <w:szCs w:val="1"/>
                <w:color w:val="auto"/>
              </w:rPr>
            </w:pPr>
          </w:p>
        </w:tc>
      </w:tr>
      <w:tr>
        <w:trPr>
          <w:trHeight w:val="275"/>
        </w:trPr>
        <w:tc>
          <w:tcPr>
            <w:tcW w:w="3840" w:type="dxa"/>
            <w:vAlign w:val="bottom"/>
          </w:tcPr>
          <w:p>
            <w:pPr>
              <w:spacing w:after="0"/>
              <w:rPr>
                <w:sz w:val="23"/>
                <w:szCs w:val="23"/>
                <w:color w:val="auto"/>
              </w:rPr>
            </w:pPr>
          </w:p>
        </w:tc>
        <w:tc>
          <w:tcPr>
            <w:tcW w:w="7600" w:type="dxa"/>
            <w:vAlign w:val="bottom"/>
          </w:tcPr>
          <w:p>
            <w:pPr>
              <w:ind w:left="1240"/>
              <w:spacing w:after="0"/>
              <w:rPr>
                <w:sz w:val="20"/>
                <w:szCs w:val="20"/>
                <w:color w:val="auto"/>
              </w:rPr>
            </w:pPr>
            <w:r>
              <w:rPr>
                <w:rFonts w:ascii="Arial" w:cs="Arial" w:eastAsia="Arial" w:hAnsi="Arial"/>
                <w:sz w:val="22"/>
                <w:szCs w:val="22"/>
                <w:color w:val="auto"/>
              </w:rPr>
              <w:t>Facsimile: (614) 757-8919</w:t>
            </w:r>
          </w:p>
        </w:tc>
        <w:tc>
          <w:tcPr>
            <w:tcW w:w="0" w:type="dxa"/>
            <w:vAlign w:val="bottom"/>
          </w:tcPr>
          <w:p>
            <w:pPr>
              <w:spacing w:after="0"/>
              <w:rPr>
                <w:sz w:val="1"/>
                <w:szCs w:val="1"/>
                <w:color w:val="auto"/>
              </w:rPr>
            </w:pPr>
          </w:p>
        </w:tc>
      </w:tr>
      <w:tr>
        <w:trPr>
          <w:trHeight w:val="945"/>
        </w:trPr>
        <w:tc>
          <w:tcPr>
            <w:tcW w:w="3840" w:type="dxa"/>
            <w:vAlign w:val="bottom"/>
            <w:vMerge w:val="restart"/>
          </w:tcPr>
          <w:p>
            <w:pPr>
              <w:spacing w:after="0"/>
              <w:rPr>
                <w:sz w:val="20"/>
                <w:szCs w:val="20"/>
                <w:color w:val="auto"/>
              </w:rPr>
            </w:pPr>
            <w:r>
              <w:rPr>
                <w:rFonts w:ascii="Arial" w:cs="Arial" w:eastAsia="Arial" w:hAnsi="Arial"/>
                <w:sz w:val="16"/>
                <w:szCs w:val="16"/>
                <w:color w:val="auto"/>
              </w:rPr>
              <w:t>ActiveUS 172391979v.1</w:t>
            </w:r>
          </w:p>
        </w:tc>
        <w:tc>
          <w:tcPr>
            <w:tcW w:w="7600" w:type="dxa"/>
            <w:vAlign w:val="bottom"/>
          </w:tcPr>
          <w:p>
            <w:pPr>
              <w:ind w:left="1780"/>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187"/>
        </w:trPr>
        <w:tc>
          <w:tcPr>
            <w:tcW w:w="3840" w:type="dxa"/>
            <w:vAlign w:val="bottom"/>
            <w:vMerge w:val="continue"/>
          </w:tcPr>
          <w:p>
            <w:pPr>
              <w:spacing w:after="0"/>
              <w:rPr>
                <w:sz w:val="16"/>
                <w:szCs w:val="16"/>
                <w:color w:val="auto"/>
              </w:rPr>
            </w:pPr>
          </w:p>
        </w:tc>
        <w:tc>
          <w:tcPr>
            <w:tcW w:w="7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209" w:name="page210"/>
    <w:bookmarkEnd w:id="209"/>
    <w:p>
      <w:pPr>
        <w:jc w:val="center"/>
        <w:spacing w:after="0"/>
        <w:rPr>
          <w:sz w:val="20"/>
          <w:szCs w:val="20"/>
          <w:color w:val="auto"/>
        </w:rPr>
      </w:pPr>
      <w:r>
        <w:rPr>
          <w:rFonts w:ascii="Arial" w:cs="Arial" w:eastAsia="Arial" w:hAnsi="Arial"/>
          <w:sz w:val="22"/>
          <w:szCs w:val="22"/>
          <w:b w:val="1"/>
          <w:bCs w:val="1"/>
          <w:color w:val="auto"/>
        </w:rPr>
        <w:t>ARTICLE 15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Entire Agreement; Amendments</w:t>
      </w:r>
      <w:r>
        <w:rPr>
          <w:rFonts w:ascii="Arial" w:cs="Arial" w:eastAsia="Arial" w:hAnsi="Arial"/>
          <w:sz w:val="22"/>
          <w:szCs w:val="22"/>
          <w:color w:val="auto"/>
        </w:rPr>
        <w:t>. This Agreement, the attachments and any amendments thereto constitute the entire understanding between the Parties and supersede any contracts, agreements or understanding (oral or written) of the Parties with respect to the subject matter hereof. No term of this Agreement may be amended except upon written agreement of both Parties, unless otherwise provided in this Agreement.</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Captions</w:t>
      </w:r>
      <w:r>
        <w:rPr>
          <w:rFonts w:ascii="Arial" w:cs="Arial" w:eastAsia="Arial" w:hAnsi="Arial"/>
          <w:sz w:val="22"/>
          <w:szCs w:val="22"/>
          <w:color w:val="auto"/>
        </w:rPr>
        <w:t>. The captions in this Agreement are for convenience only and are not to be interpreted or construed as a substantive part of this Agreement.</w:t>
      </w:r>
    </w:p>
    <w:p>
      <w:pPr>
        <w:spacing w:after="0" w:line="17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agree to execute, acknowledge and deliver such further instruments and to take all such other incidental acts as may be reasonably necessary or appropriate to carry out the purpose and intent of this Agreement.</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No Waiver</w:t>
      </w:r>
      <w:r>
        <w:rPr>
          <w:rFonts w:ascii="Arial" w:cs="Arial" w:eastAsia="Arial" w:hAnsi="Arial"/>
          <w:sz w:val="22"/>
          <w:szCs w:val="22"/>
          <w:color w:val="auto"/>
        </w:rPr>
        <w:t>. Failure by either Party to insist upon strict compliance with any term of this Agreement in any one or more instances shall not be deemed to be a waiver of its rights to insist upon such strict compliance with respect to any subsequent failure.</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of this Agreement is declared invalid or unenforceable by a court or other body of competent jurisdiction, the remaining terms of this Agreement shall continue in full force and effect.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The relationship of the Parties is that of independent contractors, and neither Party shall incur any debts or make any commitments for the other Party except to the extent expressly provided in this Agreement. Nothing in this Agreement is intended to create or shall be construed as creating between the Parties the relationship of joint venturers, co-partners, employer/employee or principal and agent.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Parties, their successors and permitted assigns. Neither Party may assign this Agreement, in whole or in part, without the prior written consent of the other Party, except that either Party may, without the other Party’s consent, assign this Agreement to an Affiliate or to a successor to substantially all of the business or assets of the assigning company to which this Agreement relates.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shall be governed by and construed under the laws of the State of Delaware, excluding its conflicts of law provisions. </w:t>
      </w:r>
      <w:r>
        <w:rPr>
          <w:rFonts w:ascii="Arial" w:cs="Arial" w:eastAsia="Arial" w:hAnsi="Arial"/>
          <w:sz w:val="22"/>
          <w:szCs w:val="22"/>
          <w:b w:val="1"/>
          <w:bCs w:val="1"/>
          <w:color w:val="auto"/>
        </w:rPr>
        <w:t>The United Nations Convention on Contracts for the International Sale of Goods shall not apply</w:t>
      </w:r>
      <w:r>
        <w:rPr>
          <w:rFonts w:ascii="Arial" w:cs="Arial" w:eastAsia="Arial" w:hAnsi="Arial"/>
          <w:sz w:val="22"/>
          <w:szCs w:val="22"/>
          <w:color w:val="auto"/>
        </w:rPr>
        <w:t xml:space="preserve"> </w:t>
      </w:r>
      <w:r>
        <w:rPr>
          <w:rFonts w:ascii="Arial" w:cs="Arial" w:eastAsia="Arial" w:hAnsi="Arial"/>
          <w:sz w:val="22"/>
          <w:szCs w:val="22"/>
          <w:b w:val="1"/>
          <w:bCs w:val="1"/>
          <w:color w:val="auto"/>
        </w:rPr>
        <w:t>to this Agreement.</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u w:val="single" w:color="auto"/>
          <w:color w:val="auto"/>
        </w:rPr>
        <w:t>Dispute Resolution</w:t>
      </w:r>
      <w:r>
        <w:rPr>
          <w:rFonts w:ascii="Arial" w:cs="Arial" w:eastAsia="Arial" w:hAnsi="Arial"/>
          <w:sz w:val="22"/>
          <w:szCs w:val="22"/>
          <w:color w:val="auto"/>
        </w:rPr>
        <w:t>. If any dispute, controversy or disagreement arises between the Parties (“</w:t>
      </w:r>
      <w:r>
        <w:rPr>
          <w:rFonts w:ascii="Arial" w:cs="Arial" w:eastAsia="Arial" w:hAnsi="Arial"/>
          <w:sz w:val="22"/>
          <w:szCs w:val="22"/>
          <w:b w:val="1"/>
          <w:bCs w:val="1"/>
          <w:color w:val="auto"/>
        </w:rPr>
        <w:t>Dispute</w:t>
      </w:r>
      <w:r>
        <w:rPr>
          <w:rFonts w:ascii="Arial" w:cs="Arial" w:eastAsia="Arial" w:hAnsi="Arial"/>
          <w:sz w:val="22"/>
          <w:szCs w:val="22"/>
          <w:color w:val="auto"/>
        </w:rPr>
        <w:t>”), such Dispute shall be presented to the respective presidents or senior executives of Cardinal Health and Client for their consideration and resolution. If such Parties cannot reach a resolution of the Dispute within [**], either Party may submit the Dispute to a court of appropriate jurisdiction.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0" w:name="page211"/>
    <w:bookmarkEnd w:id="210"/>
    <w:p>
      <w:pPr>
        <w:jc w:val="both"/>
        <w:spacing w:after="0" w:line="251" w:lineRule="auto"/>
        <w:rPr>
          <w:sz w:val="20"/>
          <w:szCs w:val="20"/>
          <w:color w:val="auto"/>
        </w:rPr>
      </w:pPr>
      <w:r>
        <w:rPr>
          <w:rFonts w:ascii="Arial" w:cs="Arial" w:eastAsia="Arial" w:hAnsi="Arial"/>
          <w:sz w:val="22"/>
          <w:szCs w:val="22"/>
          <w:color w:val="auto"/>
        </w:rPr>
        <w:t xml:space="preserve">15.10 </w:t>
      </w:r>
      <w:r>
        <w:rPr>
          <w:rFonts w:ascii="Arial" w:cs="Arial" w:eastAsia="Arial" w:hAnsi="Arial"/>
          <w:sz w:val="22"/>
          <w:szCs w:val="22"/>
          <w:u w:val="single" w:color="auto"/>
          <w:color w:val="auto"/>
        </w:rPr>
        <w:t>Prevailing Party</w:t>
      </w:r>
      <w:r>
        <w:rPr>
          <w:rFonts w:ascii="Arial" w:cs="Arial" w:eastAsia="Arial" w:hAnsi="Arial"/>
          <w:sz w:val="22"/>
          <w:szCs w:val="22"/>
          <w:color w:val="auto"/>
        </w:rPr>
        <w:t>. In any dispute resolution proceeding between the Parties in connection with this Agreement, the prevailing Party shall be entitled to its reasonable attorney’s fees and costs in such proceeding.</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shall constitute one and the same instrument. Any photocopy, facsimile or electronic reproduction of the executed Agreement shall constitute an original.</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15.12 </w:t>
      </w:r>
      <w:r>
        <w:rPr>
          <w:rFonts w:ascii="Arial" w:cs="Arial" w:eastAsia="Arial" w:hAnsi="Arial"/>
          <w:sz w:val="22"/>
          <w:szCs w:val="22"/>
          <w:u w:val="single" w:color="auto"/>
          <w:color w:val="auto"/>
        </w:rPr>
        <w:t>Publicity</w:t>
      </w:r>
      <w:r>
        <w:rPr>
          <w:rFonts w:ascii="Arial" w:cs="Arial" w:eastAsia="Arial" w:hAnsi="Arial"/>
          <w:sz w:val="22"/>
          <w:szCs w:val="22"/>
          <w:color w:val="auto"/>
        </w:rPr>
        <w:t>. Neither Party shall make any press release or other public disclosure regarding this Agreement or the transactions contemplated hereby without the other Party’s express prior written consent, except as required under applicable law or by any governmental agency, in which case the Party required to make the press release or public disclosure shall use commercially reasonable efforts to obtain the approval of the other Party as to the form, nature and extent of the press release or public disclosure prior to issuing the press release or making the public disclosure.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15.13 </w:t>
      </w:r>
      <w:r>
        <w:rPr>
          <w:rFonts w:ascii="Arial" w:cs="Arial" w:eastAsia="Arial" w:hAnsi="Arial"/>
          <w:sz w:val="22"/>
          <w:szCs w:val="22"/>
          <w:u w:val="single" w:color="auto"/>
          <w:color w:val="auto"/>
        </w:rPr>
        <w:t>Survival</w:t>
      </w:r>
      <w:r>
        <w:rPr>
          <w:rFonts w:ascii="Arial" w:cs="Arial" w:eastAsia="Arial" w:hAnsi="Arial"/>
          <w:sz w:val="22"/>
          <w:szCs w:val="22"/>
          <w:color w:val="auto"/>
        </w:rPr>
        <w:t>. The rights and obligations of the Parties shall continue under Articles 10 (Confidentiality and Non-Use), to the extent expressly stated therein, 11 (Indemnification), 12 (Limitations of Liability), 13 (Insurance), to the extent expressly stated therein, 14 (Notice) and 15 (Miscellaneous) and Section 6.4 (Effect of Termination), notwithstanding expiration or termination of this Agreement.</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15.14 </w:t>
      </w:r>
      <w:r>
        <w:rPr>
          <w:rFonts w:ascii="Arial" w:cs="Arial" w:eastAsia="Arial" w:hAnsi="Arial"/>
          <w:sz w:val="19"/>
          <w:szCs w:val="19"/>
          <w:u w:val="single" w:color="auto"/>
          <w:color w:val="auto"/>
        </w:rPr>
        <w:t>Force Majeure</w:t>
      </w:r>
      <w:r>
        <w:rPr>
          <w:rFonts w:ascii="Arial" w:cs="Arial" w:eastAsia="Arial" w:hAnsi="Arial"/>
          <w:sz w:val="19"/>
          <w:szCs w:val="19"/>
          <w:color w:val="auto"/>
        </w:rPr>
        <w:t>. Except as to payments required under this Agreement, neither Party shall be liable in damages for, nor shall this Agreement be terminable or cancelable by reason of, any delay or default in such Party’s performance hereunder if such default or delay is caused by events beyond such Party’s reasonable control including, but not limited to, acts of God, regulation or law or other action or failure to act of any government or agency thereof, war or insurrection, civil commotion, destruction of production facilities or materials by earthquake, fire, flood or storm, epidemic, or failure of suppliers, public utilities or common carriers; provided however, that the Party seeking relief hereunder shall immediately notify the other Party of such cause(s) beyond such Party’s reasonable control. The Party that may invoke this section shall use all reasonable endeavors to reinstate its ongoing obligations to the other. If the cause(s) shall continue unabated for [**] then both Parties shall meet to discuss and negotiate in good faith what modifications to this Agreement should result from this force majeure.</w:t>
      </w:r>
    </w:p>
    <w:p>
      <w:pPr>
        <w:spacing w:after="0" w:line="153" w:lineRule="exact"/>
        <w:rPr>
          <w:sz w:val="20"/>
          <w:szCs w:val="20"/>
          <w:color w:val="auto"/>
        </w:rPr>
      </w:pPr>
    </w:p>
    <w:p>
      <w:pPr>
        <w:ind w:right="40"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have caused their duly authorized representative to execute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date first written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500" w:type="dxa"/>
            <w:vAlign w:val="bottom"/>
            <w:gridSpan w:val="3"/>
          </w:tcPr>
          <w:p>
            <w:pPr>
              <w:spacing w:after="0"/>
              <w:rPr>
                <w:sz w:val="20"/>
                <w:szCs w:val="20"/>
                <w:color w:val="auto"/>
              </w:rPr>
            </w:pPr>
            <w:r>
              <w:rPr>
                <w:rFonts w:ascii="Arial" w:cs="Arial" w:eastAsia="Arial" w:hAnsi="Arial"/>
                <w:sz w:val="22"/>
                <w:szCs w:val="22"/>
                <w:b w:val="1"/>
                <w:bCs w:val="1"/>
                <w:color w:val="auto"/>
              </w:rPr>
              <w:t>CARDINAL HEALTH 105, INC.</w:t>
            </w:r>
          </w:p>
        </w:tc>
        <w:tc>
          <w:tcPr>
            <w:tcW w:w="5920" w:type="dxa"/>
            <w:vAlign w:val="bottom"/>
            <w:gridSpan w:val="2"/>
          </w:tcPr>
          <w:p>
            <w:pPr>
              <w:ind w:left="460"/>
              <w:spacing w:after="0"/>
              <w:rPr>
                <w:sz w:val="20"/>
                <w:szCs w:val="20"/>
                <w:color w:val="auto"/>
              </w:rPr>
            </w:pPr>
            <w:r>
              <w:rPr>
                <w:rFonts w:ascii="Arial" w:cs="Arial" w:eastAsia="Arial" w:hAnsi="Arial"/>
                <w:sz w:val="22"/>
                <w:szCs w:val="22"/>
                <w:b w:val="1"/>
                <w:bCs w:val="1"/>
                <w:color w:val="auto"/>
              </w:rPr>
              <w:t>KERYX BIOPHARMACEUTICALS, INC.</w:t>
            </w:r>
          </w:p>
        </w:tc>
      </w:tr>
      <w:tr>
        <w:trPr>
          <w:trHeight w:val="476"/>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gridSpan w:val="2"/>
          </w:tcPr>
          <w:p>
            <w:pPr>
              <w:ind w:left="120"/>
              <w:spacing w:after="0"/>
              <w:rPr>
                <w:sz w:val="20"/>
                <w:szCs w:val="20"/>
                <w:color w:val="auto"/>
              </w:rPr>
            </w:pPr>
            <w:r>
              <w:rPr>
                <w:rFonts w:ascii="Arial" w:cs="Arial" w:eastAsia="Arial" w:hAnsi="Arial"/>
                <w:sz w:val="22"/>
                <w:szCs w:val="22"/>
                <w:color w:val="auto"/>
              </w:rPr>
              <w:t>/s/ David Cheetham</w:t>
            </w:r>
          </w:p>
        </w:tc>
        <w:tc>
          <w:tcPr>
            <w:tcW w:w="1140" w:type="dxa"/>
            <w:vAlign w:val="bottom"/>
          </w:tcPr>
          <w:p>
            <w:pPr>
              <w:ind w:left="460"/>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Greg Madison</w:t>
            </w:r>
          </w:p>
        </w:tc>
      </w:tr>
      <w:tr>
        <w:trPr>
          <w:trHeight w:val="20"/>
        </w:trPr>
        <w:tc>
          <w:tcPr>
            <w:tcW w:w="700" w:type="dxa"/>
            <w:vAlign w:val="bottom"/>
            <w:gridSpan w:val="2"/>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490"/>
        </w:trPr>
        <w:tc>
          <w:tcPr>
            <w:tcW w:w="5500" w:type="dxa"/>
            <w:vAlign w:val="bottom"/>
            <w:gridSpan w:val="3"/>
          </w:tcPr>
          <w:p>
            <w:pPr>
              <w:spacing w:after="0"/>
              <w:rPr>
                <w:sz w:val="20"/>
                <w:szCs w:val="20"/>
                <w:color w:val="auto"/>
              </w:rPr>
            </w:pPr>
            <w:r>
              <w:rPr>
                <w:rFonts w:ascii="Arial" w:cs="Arial" w:eastAsia="Arial" w:hAnsi="Arial"/>
                <w:sz w:val="22"/>
                <w:szCs w:val="22"/>
                <w:color w:val="auto"/>
              </w:rPr>
              <w:t>David Cheetham</w:t>
            </w:r>
          </w:p>
        </w:tc>
        <w:tc>
          <w:tcPr>
            <w:tcW w:w="5920" w:type="dxa"/>
            <w:vAlign w:val="bottom"/>
            <w:gridSpan w:val="2"/>
          </w:tcPr>
          <w:p>
            <w:pPr>
              <w:ind w:left="460"/>
              <w:spacing w:after="0"/>
              <w:rPr>
                <w:sz w:val="20"/>
                <w:szCs w:val="20"/>
                <w:color w:val="auto"/>
              </w:rPr>
            </w:pPr>
            <w:r>
              <w:rPr>
                <w:rFonts w:ascii="Arial" w:cs="Arial" w:eastAsia="Arial" w:hAnsi="Arial"/>
                <w:sz w:val="22"/>
                <w:szCs w:val="22"/>
                <w:color w:val="auto"/>
              </w:rPr>
              <w:t>Greg Madison</w:t>
            </w:r>
          </w:p>
        </w:tc>
      </w:tr>
      <w:tr>
        <w:trPr>
          <w:trHeight w:val="486"/>
        </w:trPr>
        <w:tc>
          <w:tcPr>
            <w:tcW w:w="5500" w:type="dxa"/>
            <w:vAlign w:val="bottom"/>
            <w:gridSpan w:val="3"/>
          </w:tcPr>
          <w:p>
            <w:pPr>
              <w:spacing w:after="0"/>
              <w:rPr>
                <w:sz w:val="20"/>
                <w:szCs w:val="20"/>
                <w:color w:val="auto"/>
              </w:rPr>
            </w:pPr>
            <w:r>
              <w:rPr>
                <w:rFonts w:ascii="Arial" w:cs="Arial" w:eastAsia="Arial" w:hAnsi="Arial"/>
                <w:sz w:val="22"/>
                <w:szCs w:val="22"/>
                <w:color w:val="auto"/>
              </w:rPr>
              <w:t>Division President</w:t>
            </w:r>
          </w:p>
        </w:tc>
        <w:tc>
          <w:tcPr>
            <w:tcW w:w="5920" w:type="dxa"/>
            <w:vAlign w:val="bottom"/>
            <w:gridSpan w:val="2"/>
          </w:tcPr>
          <w:p>
            <w:pPr>
              <w:ind w:left="460"/>
              <w:spacing w:after="0"/>
              <w:rPr>
                <w:sz w:val="20"/>
                <w:szCs w:val="20"/>
                <w:color w:val="auto"/>
              </w:rPr>
            </w:pPr>
            <w:r>
              <w:rPr>
                <w:rFonts w:ascii="Arial" w:cs="Arial" w:eastAsia="Arial" w:hAnsi="Arial"/>
                <w:sz w:val="22"/>
                <w:szCs w:val="22"/>
                <w:color w:val="auto"/>
              </w:rPr>
              <w:t>EVP/COO</w:t>
            </w:r>
          </w:p>
        </w:tc>
      </w:tr>
      <w:tr>
        <w:trPr>
          <w:trHeight w:val="476"/>
        </w:trPr>
        <w:tc>
          <w:tcPr>
            <w:tcW w:w="580" w:type="dxa"/>
            <w:vAlign w:val="bottom"/>
          </w:tcPr>
          <w:p>
            <w:pPr>
              <w:spacing w:after="0"/>
              <w:rPr>
                <w:sz w:val="20"/>
                <w:szCs w:val="20"/>
                <w:color w:val="auto"/>
              </w:rPr>
            </w:pPr>
            <w:r>
              <w:rPr>
                <w:rFonts w:ascii="Arial" w:cs="Arial" w:eastAsia="Arial" w:hAnsi="Arial"/>
                <w:sz w:val="22"/>
                <w:szCs w:val="22"/>
                <w:color w:val="auto"/>
              </w:rPr>
              <w:t>Date:</w:t>
            </w:r>
          </w:p>
        </w:tc>
        <w:tc>
          <w:tcPr>
            <w:tcW w:w="4920" w:type="dxa"/>
            <w:vAlign w:val="bottom"/>
            <w:gridSpan w:val="2"/>
          </w:tcPr>
          <w:p>
            <w:pPr>
              <w:ind w:left="120"/>
              <w:spacing w:after="0"/>
              <w:rPr>
                <w:sz w:val="20"/>
                <w:szCs w:val="20"/>
                <w:color w:val="auto"/>
              </w:rPr>
            </w:pPr>
            <w:r>
              <w:rPr>
                <w:rFonts w:ascii="Arial" w:cs="Arial" w:eastAsia="Arial" w:hAnsi="Arial"/>
                <w:sz w:val="22"/>
                <w:szCs w:val="22"/>
                <w:color w:val="auto"/>
              </w:rPr>
              <w:t>Oct 23, 2014</w:t>
            </w:r>
          </w:p>
        </w:tc>
        <w:tc>
          <w:tcPr>
            <w:tcW w:w="1140" w:type="dxa"/>
            <w:vAlign w:val="bottom"/>
          </w:tcPr>
          <w:p>
            <w:pPr>
              <w:ind w:left="460"/>
              <w:spacing w:after="0"/>
              <w:rPr>
                <w:sz w:val="20"/>
                <w:szCs w:val="20"/>
                <w:color w:val="auto"/>
              </w:rPr>
            </w:pPr>
            <w:r>
              <w:rPr>
                <w:rFonts w:ascii="Arial" w:cs="Arial" w:eastAsia="Arial" w:hAnsi="Arial"/>
                <w:sz w:val="22"/>
                <w:szCs w:val="22"/>
                <w:color w:val="auto"/>
              </w:rPr>
              <w:t>Date:</w:t>
            </w:r>
          </w:p>
        </w:tc>
        <w:tc>
          <w:tcPr>
            <w:tcW w:w="4780" w:type="dxa"/>
            <w:vAlign w:val="bottom"/>
          </w:tcPr>
          <w:p>
            <w:pPr>
              <w:spacing w:after="0"/>
              <w:rPr>
                <w:sz w:val="20"/>
                <w:szCs w:val="20"/>
                <w:color w:val="auto"/>
              </w:rPr>
            </w:pPr>
            <w:r>
              <w:rPr>
                <w:rFonts w:ascii="Arial" w:cs="Arial" w:eastAsia="Arial" w:hAnsi="Arial"/>
                <w:sz w:val="22"/>
                <w:szCs w:val="22"/>
                <w:color w:val="auto"/>
              </w:rPr>
              <w:t>Oct 23, 2014</w:t>
            </w:r>
          </w:p>
        </w:tc>
      </w:tr>
      <w:tr>
        <w:trPr>
          <w:trHeight w:val="20"/>
        </w:trPr>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bl>
    <w:p>
      <w:pPr>
        <w:spacing w:after="0" w:line="262" w:lineRule="exact"/>
        <w:rPr>
          <w:sz w:val="20"/>
          <w:szCs w:val="20"/>
          <w:color w:val="auto"/>
        </w:rPr>
      </w:pPr>
    </w:p>
    <w:p>
      <w:pPr>
        <w:jc w:val="center"/>
        <w:ind w:left="5600" w:right="3260" w:hanging="2325"/>
        <w:spacing w:after="0" w:line="422" w:lineRule="auto"/>
        <w:tabs>
          <w:tab w:leader="none" w:pos="3445"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 xml:space="preserve">Signature Page to Exclusive Distribution Agreement </w:t>
      </w:r>
      <w:r>
        <w:rPr>
          <w:rFonts w:ascii="Arial" w:cs="Arial" w:eastAsia="Arial" w:hAnsi="Arial"/>
          <w:sz w:val="22"/>
          <w:szCs w:val="22"/>
          <w:color w:val="auto"/>
        </w:rPr>
        <w:t>&gt;</w:t>
      </w:r>
      <w:r>
        <w:rPr>
          <w:rFonts w:ascii="Arial" w:cs="Arial" w:eastAsia="Arial" w:hAnsi="Arial"/>
          <w:sz w:val="22"/>
          <w:szCs w:val="22"/>
          <w:i w:val="1"/>
          <w:iCs w:val="1"/>
          <w:color w:val="auto"/>
        </w:rPr>
        <w:t xml:space="preserve"> </w:t>
      </w:r>
      <w:r>
        <w:rPr>
          <w:rFonts w:ascii="Arial" w:cs="Arial" w:eastAsia="Arial" w:hAnsi="Arial"/>
          <w:sz w:val="22"/>
          <w:szCs w:val="22"/>
          <w:color w:val="auto"/>
        </w:rPr>
        <w:t>13</w:t>
      </w: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1" w:name="page212"/>
    <w:bookmarkEnd w:id="211"/>
    <w:p>
      <w:pPr>
        <w:ind w:left="51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2"/>
          <w:szCs w:val="22"/>
          <w:b w:val="1"/>
          <w:bCs w:val="1"/>
          <w:u w:val="single" w:color="auto"/>
          <w:color w:val="auto"/>
        </w:rPr>
        <w:t>OPERATING GUIDELINES</w:t>
      </w:r>
    </w:p>
    <w:p>
      <w:pPr>
        <w:spacing w:after="0" w:line="206"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Operating Guidelines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Keryx Biopharmaceuticals,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Cardinal Health 105, Inc. - Third Party Logistics Services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Operating Guidelines will be incorporated into the Exclusive Distribution Agreement between Keryx Biopharmaceuticals, Inc., (“</w:t>
      </w:r>
      <w:r>
        <w:rPr>
          <w:rFonts w:ascii="Arial" w:cs="Arial" w:eastAsia="Arial" w:hAnsi="Arial"/>
          <w:sz w:val="22"/>
          <w:szCs w:val="22"/>
          <w:b w:val="1"/>
          <w:bCs w:val="1"/>
          <w:color w:val="auto"/>
        </w:rPr>
        <w:t>Client</w:t>
      </w:r>
      <w:r>
        <w:rPr>
          <w:rFonts w:ascii="Arial" w:cs="Arial" w:eastAsia="Arial" w:hAnsi="Arial"/>
          <w:sz w:val="22"/>
          <w:szCs w:val="22"/>
          <w:color w:val="auto"/>
        </w:rPr>
        <w:t>”), and Cardinal Health 105, Inc. (“</w:t>
      </w:r>
      <w:r>
        <w:rPr>
          <w:rFonts w:ascii="Arial" w:cs="Arial" w:eastAsia="Arial" w:hAnsi="Arial"/>
          <w:sz w:val="22"/>
          <w:szCs w:val="22"/>
          <w:b w:val="1"/>
          <w:bCs w:val="1"/>
          <w:color w:val="auto"/>
        </w:rPr>
        <w:t>Cardinal Health</w:t>
      </w:r>
      <w:r>
        <w:rPr>
          <w:rFonts w:ascii="Arial" w:cs="Arial" w:eastAsia="Arial" w:hAnsi="Arial"/>
          <w:sz w:val="22"/>
          <w:szCs w:val="22"/>
          <w:color w:val="auto"/>
        </w:rPr>
        <w:t>”), dated the 16</w:t>
      </w:r>
      <w:r>
        <w:rPr>
          <w:rFonts w:ascii="Arial" w:cs="Arial" w:eastAsia="Arial" w:hAnsi="Arial"/>
          <w:sz w:val="18"/>
          <w:szCs w:val="18"/>
          <w:color w:val="auto"/>
        </w:rPr>
        <w:t>th</w:t>
      </w:r>
      <w:r>
        <w:rPr>
          <w:rFonts w:ascii="Arial" w:cs="Arial" w:eastAsia="Arial" w:hAnsi="Arial"/>
          <w:sz w:val="22"/>
          <w:szCs w:val="22"/>
          <w:color w:val="auto"/>
        </w:rPr>
        <w:t xml:space="preserve"> day of October, 2014 (the “</w:t>
      </w:r>
      <w:r>
        <w:rPr>
          <w:rFonts w:ascii="Arial" w:cs="Arial" w:eastAsia="Arial" w:hAnsi="Arial"/>
          <w:sz w:val="22"/>
          <w:szCs w:val="22"/>
          <w:b w:val="1"/>
          <w:bCs w:val="1"/>
          <w:color w:val="auto"/>
        </w:rPr>
        <w:t>Agreement</w:t>
      </w:r>
      <w:r>
        <w:rPr>
          <w:rFonts w:ascii="Arial" w:cs="Arial" w:eastAsia="Arial" w:hAnsi="Arial"/>
          <w:sz w:val="22"/>
          <w:szCs w:val="22"/>
          <w:color w:val="auto"/>
        </w:rPr>
        <w:t>”). Capitalized terms not otherwise defined in these Operating Guidelines have the same meaning as set forth in the Agreement.</w:t>
      </w:r>
    </w:p>
    <w:p>
      <w:pPr>
        <w:spacing w:after="0" w:line="179" w:lineRule="exact"/>
        <w:rPr>
          <w:sz w:val="20"/>
          <w:szCs w:val="20"/>
          <w:color w:val="auto"/>
        </w:rPr>
      </w:pPr>
    </w:p>
    <w:p>
      <w:pPr>
        <w:ind w:left="600" w:hanging="592"/>
        <w:spacing w:after="0"/>
        <w:tabs>
          <w:tab w:leader="none" w:pos="60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WAREHOUSING</w:t>
      </w:r>
    </w:p>
    <w:p>
      <w:pPr>
        <w:spacing w:after="0" w:line="212" w:lineRule="exact"/>
        <w:rPr>
          <w:sz w:val="20"/>
          <w:szCs w:val="20"/>
          <w:color w:val="auto"/>
        </w:rPr>
      </w:pPr>
    </w:p>
    <w:p>
      <w:pPr>
        <w:jc w:val="both"/>
        <w:ind w:left="1680" w:hanging="741"/>
        <w:spacing w:after="0" w:line="251" w:lineRule="auto"/>
        <w:tabs>
          <w:tab w:leader="none" w:pos="16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Cardinal Health maintains its warehouse facility in compliance with 21CFR205 and applicable federal, state and local laws, as well as rules and regulations supporting applicable cGMPs.</w:t>
      </w:r>
    </w:p>
    <w:p>
      <w:pPr>
        <w:spacing w:after="0" w:line="173" w:lineRule="exact"/>
        <w:rPr>
          <w:sz w:val="20"/>
          <w:szCs w:val="20"/>
          <w:color w:val="auto"/>
        </w:rPr>
      </w:pPr>
    </w:p>
    <w:p>
      <w:pPr>
        <w:jc w:val="both"/>
        <w:ind w:left="1760" w:right="20" w:hanging="741"/>
        <w:spacing w:after="0" w:line="328" w:lineRule="auto"/>
        <w:tabs>
          <w:tab w:leader="none" w:pos="17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With reference to those regulations set forth in 21CFR203, SPS supports Client PDMA programs related to storage and distribution. Other PDMA compliance elements remain the sole responsibility of the Client.</w:t>
      </w:r>
    </w:p>
    <w:p>
      <w:pPr>
        <w:spacing w:after="0" w:line="105"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Cardinal Health will maintain SOPs appropriate for a pharmaceutical distribution center operating environment. SOPs are appropriately approved and controlled under the Cardinal Health controlled document management system.</w:t>
      </w:r>
    </w:p>
    <w:p>
      <w:pPr>
        <w:spacing w:after="0" w:line="186" w:lineRule="exact"/>
        <w:rPr>
          <w:sz w:val="20"/>
          <w:szCs w:val="20"/>
          <w:color w:val="auto"/>
        </w:rPr>
      </w:pPr>
    </w:p>
    <w:p>
      <w:pPr>
        <w:jc w:val="both"/>
        <w:ind w:left="1700" w:right="20" w:hanging="741"/>
        <w:spacing w:after="0" w:line="328" w:lineRule="auto"/>
        <w:tabs>
          <w:tab w:leader="none" w:pos="16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Cardinal Health maintains compliant documented training programs including DEA, cGMP, and OSHA. These training programs include training on SOPs. Client will have the authorization to audit the training records.</w:t>
      </w:r>
    </w:p>
    <w:p>
      <w:pPr>
        <w:spacing w:after="0" w:line="105" w:lineRule="exact"/>
        <w:rPr>
          <w:sz w:val="20"/>
          <w:szCs w:val="20"/>
          <w:color w:val="auto"/>
        </w:rPr>
      </w:pPr>
    </w:p>
    <w:p>
      <w:pPr>
        <w:jc w:val="both"/>
        <w:ind w:left="1740" w:hanging="741"/>
        <w:spacing w:after="0" w:line="251" w:lineRule="auto"/>
        <w:tabs>
          <w:tab w:leader="none" w:pos="172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Cardinal Health complies with storage, handling and shipping conditions mutually agreed to by the Client and Cardinal Health for the Product.</w:t>
      </w:r>
    </w:p>
    <w:p>
      <w:pPr>
        <w:spacing w:after="0" w:line="173" w:lineRule="exact"/>
        <w:rPr>
          <w:sz w:val="20"/>
          <w:szCs w:val="20"/>
          <w:color w:val="auto"/>
        </w:rPr>
      </w:pPr>
    </w:p>
    <w:p>
      <w:pPr>
        <w:jc w:val="both"/>
        <w:ind w:left="1760" w:hanging="741"/>
        <w:spacing w:after="0" w:line="249" w:lineRule="auto"/>
        <w:tabs>
          <w:tab w:leader="none" w:pos="17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color w:val="auto"/>
        </w:rPr>
        <w:t xml:space="preserve">The Product will be stored by Cardinal Health </w:t>
      </w:r>
      <w:r>
        <w:rPr>
          <w:rFonts w:ascii="Arial" w:cs="Arial" w:eastAsia="Arial" w:hAnsi="Arial"/>
          <w:sz w:val="21"/>
          <w:szCs w:val="21"/>
          <w:b w:val="1"/>
          <w:bCs w:val="1"/>
          <w:i w:val="1"/>
          <w:iCs w:val="1"/>
          <w:color w:val="auto"/>
        </w:rPr>
        <w:t>[**]</w:t>
      </w:r>
      <w:r>
        <w:rPr>
          <w:rFonts w:ascii="Arial" w:cs="Arial" w:eastAsia="Arial" w:hAnsi="Arial"/>
          <w:sz w:val="21"/>
          <w:szCs w:val="21"/>
          <w:i w:val="1"/>
          <w:iCs w:val="1"/>
          <w:color w:val="auto"/>
        </w:rPr>
        <w:t>.</w:t>
      </w:r>
      <w:r>
        <w:rPr>
          <w:rFonts w:ascii="Arial" w:cs="Arial" w:eastAsia="Arial" w:hAnsi="Arial"/>
          <w:sz w:val="21"/>
          <w:szCs w:val="21"/>
          <w:color w:val="auto"/>
        </w:rPr>
        <w:t xml:space="preserve"> Client will ensure that the storage requirements arc in human readable format and the Product NDC number, lot number, carton quantity, and expiry date will be in the standard HDMA barcode format. Product is stored in areas designed to be continuously monitored for the temperature range specified for the Product. Cardinal Health maintains daily temperature recordings. Cardinal Health will provide such records to Client upon written request.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2" w:name="page213"/>
    <w:bookmarkEnd w:id="212"/>
    <w:p>
      <w:pPr>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auto"/>
        </w:rPr>
        <w:t>Cardinal Health reports temperature excursions that last more than [**] to Client, and in no event, more than [**] from the point of discovery of the excursion.</w:t>
      </w:r>
    </w:p>
    <w:p>
      <w:pPr>
        <w:spacing w:after="0" w:line="173" w:lineRule="exact"/>
        <w:rPr>
          <w:sz w:val="20"/>
          <w:szCs w:val="20"/>
          <w:color w:val="auto"/>
        </w:rPr>
      </w:pPr>
    </w:p>
    <w:p>
      <w:pPr>
        <w:ind w:left="1760" w:right="20" w:hanging="741"/>
        <w:spacing w:after="0" w:line="251" w:lineRule="auto"/>
        <w:tabs>
          <w:tab w:leader="none" w:pos="17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color w:val="auto"/>
        </w:rPr>
        <w:t>Product will be stored in an approved warehouse facility with secured access, accessible only to authorized Cardinal Health personnel.</w:t>
      </w:r>
    </w:p>
    <w:p>
      <w:pPr>
        <w:spacing w:after="0" w:line="167" w:lineRule="exact"/>
        <w:rPr>
          <w:sz w:val="20"/>
          <w:szCs w:val="20"/>
          <w:color w:val="auto"/>
        </w:rPr>
      </w:pPr>
    </w:p>
    <w:p>
      <w:pPr>
        <w:ind w:left="600" w:hanging="592"/>
        <w:spacing w:after="0"/>
        <w:tabs>
          <w:tab w:leader="none" w:pos="60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RECEIVING</w:t>
      </w:r>
    </w:p>
    <w:p>
      <w:pPr>
        <w:spacing w:after="0" w:line="212"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Client, Client’s contract manufacturing agent, or mutually agreed upon Cardinal Health transportation agent, will arrange transportation services to transfer the Product to Cardinal Health, Client will notify Cardinal Health of the specific delivery schedule.</w:t>
      </w:r>
    </w:p>
    <w:p>
      <w:pPr>
        <w:spacing w:after="0" w:line="186"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Client’s carrier will contact Cardinal Health [**] prior to expected delivery date to arrange a delivery appointment.</w:t>
      </w:r>
    </w:p>
    <w:p>
      <w:pPr>
        <w:spacing w:after="0" w:line="173" w:lineRule="exact"/>
        <w:rPr>
          <w:sz w:val="20"/>
          <w:szCs w:val="20"/>
          <w:color w:val="auto"/>
        </w:rPr>
      </w:pPr>
    </w:p>
    <w:p>
      <w:pPr>
        <w:jc w:val="both"/>
        <w:ind w:left="1700" w:hanging="741"/>
        <w:spacing w:after="0" w:line="251" w:lineRule="auto"/>
        <w:tabs>
          <w:tab w:leader="none" w:pos="16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Client will retain title and ownership to the Product at all times. Cardinal Health’s signature on the carrier’s bill of lading is an acknowledgement only of Cardinal Health’s receipt of Product.</w:t>
      </w:r>
    </w:p>
    <w:p>
      <w:pPr>
        <w:spacing w:after="0" w:line="173" w:lineRule="exact"/>
        <w:rPr>
          <w:sz w:val="20"/>
          <w:szCs w:val="20"/>
          <w:color w:val="auto"/>
        </w:rPr>
      </w:pPr>
    </w:p>
    <w:p>
      <w:pPr>
        <w:jc w:val="both"/>
        <w:ind w:left="1680" w:right="20" w:hanging="741"/>
        <w:spacing w:after="0" w:line="251" w:lineRule="auto"/>
        <w:tabs>
          <w:tab w:leader="none" w:pos="16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Prior to first receipt of Product, Client will provide Cardinal Health with a Finished Goods Material Safety Data Sheet.</w:t>
      </w:r>
    </w:p>
    <w:p>
      <w:pPr>
        <w:spacing w:after="0" w:line="173"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Client’s Product will meet the following standards for carton identification, documentation, palletization, and uniformity:</w:t>
      </w:r>
    </w:p>
    <w:p>
      <w:pPr>
        <w:spacing w:after="0" w:line="173" w:lineRule="exact"/>
        <w:rPr>
          <w:sz w:val="20"/>
          <w:szCs w:val="20"/>
          <w:color w:val="auto"/>
        </w:rPr>
      </w:pPr>
    </w:p>
    <w:p>
      <w:pPr>
        <w:ind w:left="2640" w:right="20" w:hanging="674"/>
        <w:spacing w:after="0" w:line="251" w:lineRule="auto"/>
        <w:tabs>
          <w:tab w:leader="none" w:pos="2620" w:val="left"/>
        </w:tabs>
        <w:rPr>
          <w:sz w:val="20"/>
          <w:szCs w:val="20"/>
          <w:color w:val="auto"/>
        </w:rPr>
      </w:pPr>
      <w:r>
        <w:rPr>
          <w:rFonts w:ascii="Arial" w:cs="Arial" w:eastAsia="Arial" w:hAnsi="Arial"/>
          <w:sz w:val="22"/>
          <w:szCs w:val="22"/>
          <w:color w:val="auto"/>
        </w:rPr>
        <w:t>2.5.1</w:t>
        <w:tab/>
        <w:t>Client will provide the bill of lading, notice of release, packing list, and other documentation necessary. Cardinal Health will follow its SOP for receiving Product.</w:t>
      </w:r>
    </w:p>
    <w:p>
      <w:pPr>
        <w:spacing w:after="0" w:line="173" w:lineRule="exact"/>
        <w:rPr>
          <w:sz w:val="20"/>
          <w:szCs w:val="20"/>
          <w:color w:val="auto"/>
        </w:rPr>
      </w:pPr>
    </w:p>
    <w:p>
      <w:pPr>
        <w:ind w:left="2620" w:right="20" w:hanging="674"/>
        <w:spacing w:after="0" w:line="251" w:lineRule="auto"/>
        <w:tabs>
          <w:tab w:leader="none" w:pos="2600" w:val="left"/>
        </w:tabs>
        <w:rPr>
          <w:sz w:val="20"/>
          <w:szCs w:val="20"/>
          <w:color w:val="auto"/>
        </w:rPr>
      </w:pPr>
      <w:r>
        <w:rPr>
          <w:rFonts w:ascii="Arial" w:cs="Arial" w:eastAsia="Arial" w:hAnsi="Arial"/>
          <w:sz w:val="22"/>
          <w:szCs w:val="22"/>
          <w:color w:val="auto"/>
        </w:rPr>
        <w:t>2.5.2</w:t>
        <w:tab/>
        <w:t>Pallets will meet GMA standards of [**] dimensions with four-way entry; will be heat-treated, free of broken boards, treated for pests, and clean.</w:t>
      </w:r>
    </w:p>
    <w:p>
      <w:pPr>
        <w:spacing w:after="0" w:line="173" w:lineRule="exact"/>
        <w:rPr>
          <w:sz w:val="20"/>
          <w:szCs w:val="20"/>
          <w:color w:val="auto"/>
        </w:rPr>
      </w:pPr>
    </w:p>
    <w:p>
      <w:pPr>
        <w:ind w:left="2620" w:right="20" w:hanging="674"/>
        <w:spacing w:after="0" w:line="251" w:lineRule="auto"/>
        <w:tabs>
          <w:tab w:leader="none" w:pos="2600" w:val="left"/>
        </w:tabs>
        <w:rPr>
          <w:sz w:val="20"/>
          <w:szCs w:val="20"/>
          <w:color w:val="auto"/>
        </w:rPr>
      </w:pPr>
      <w:r>
        <w:rPr>
          <w:rFonts w:ascii="Arial" w:cs="Arial" w:eastAsia="Arial" w:hAnsi="Arial"/>
          <w:sz w:val="22"/>
          <w:szCs w:val="22"/>
          <w:color w:val="auto"/>
        </w:rPr>
        <w:t>2.5.3</w:t>
        <w:tab/>
        <w:t>Receipt of Product on non-standard pallets may require restacking onto conforming pallets at Client’s expense.</w:t>
      </w:r>
    </w:p>
    <w:p>
      <w:pPr>
        <w:spacing w:after="0" w:line="173" w:lineRule="exact"/>
        <w:rPr>
          <w:sz w:val="20"/>
          <w:szCs w:val="20"/>
          <w:color w:val="auto"/>
        </w:rPr>
      </w:pPr>
    </w:p>
    <w:p>
      <w:pPr>
        <w:ind w:left="2620" w:right="20" w:hanging="674"/>
        <w:spacing w:after="0" w:line="251" w:lineRule="auto"/>
        <w:tabs>
          <w:tab w:leader="none" w:pos="2600" w:val="left"/>
        </w:tabs>
        <w:rPr>
          <w:sz w:val="20"/>
          <w:szCs w:val="20"/>
          <w:color w:val="auto"/>
        </w:rPr>
      </w:pPr>
      <w:r>
        <w:rPr>
          <w:rFonts w:ascii="Arial" w:cs="Arial" w:eastAsia="Arial" w:hAnsi="Arial"/>
          <w:sz w:val="22"/>
          <w:szCs w:val="22"/>
          <w:color w:val="auto"/>
        </w:rPr>
        <w:t>2.5.4</w:t>
        <w:tab/>
        <w:t>Palletized Product must be uniform and consistent with specifications set up in the Product master for the number of cartons and eaches.</w:t>
      </w:r>
    </w:p>
    <w:p>
      <w:pPr>
        <w:spacing w:after="0" w:line="173" w:lineRule="exact"/>
        <w:rPr>
          <w:sz w:val="20"/>
          <w:szCs w:val="20"/>
          <w:color w:val="auto"/>
        </w:rPr>
      </w:pPr>
    </w:p>
    <w:p>
      <w:pPr>
        <w:jc w:val="both"/>
        <w:ind w:left="1700" w:hanging="741"/>
        <w:spacing w:after="0" w:line="251" w:lineRule="auto"/>
        <w:tabs>
          <w:tab w:leader="none" w:pos="16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color w:val="auto"/>
        </w:rPr>
        <w:t>Cardinal Health will receive each shipment into a secure receiving area and perform requirements as detailed in Cardinal Health’s receiving SOP.</w:t>
      </w:r>
    </w:p>
    <w:p>
      <w:pPr>
        <w:spacing w:after="0" w:line="173" w:lineRule="exact"/>
        <w:rPr>
          <w:sz w:val="20"/>
          <w:szCs w:val="20"/>
          <w:color w:val="auto"/>
        </w:rPr>
      </w:pPr>
    </w:p>
    <w:p>
      <w:pPr>
        <w:jc w:val="both"/>
        <w:ind w:left="1660" w:hanging="741"/>
        <w:spacing w:after="0" w:line="258" w:lineRule="auto"/>
        <w:tabs>
          <w:tab w:leader="none" w:pos="1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color w:val="auto"/>
        </w:rPr>
        <w:t>Cardinal Health will count and inspect the exterior packaging of the Product, noting evident shortages, overages, or damage on the carrier bill of lading. Cardinal Health will obtain the carrier’s signature on the bill of lading acknowledging the condition of the Product upon receipt by Cardinal Health.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3" w:name="page214"/>
    <w:bookmarkEnd w:id="213"/>
    <w:p>
      <w:pPr>
        <w:jc w:val="both"/>
        <w:ind w:left="1760" w:hanging="741"/>
        <w:spacing w:after="0"/>
        <w:tabs>
          <w:tab w:leader="none" w:pos="17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2"/>
          <w:szCs w:val="22"/>
          <w:color w:val="auto"/>
        </w:rPr>
        <w:t>Cardinal Health compares the Client documentation to Cardinal Health’s receiving report. Discrepancies are noted. Cardinal Health investigates and reports discrepancies to Client within [**] of receipt or discovery. Client and Cardinal Health will determine corrective actions, if any.</w:t>
      </w:r>
    </w:p>
    <w:p>
      <w:pPr>
        <w:spacing w:after="0" w:line="186" w:lineRule="exact"/>
        <w:rPr>
          <w:sz w:val="20"/>
          <w:szCs w:val="20"/>
          <w:color w:val="auto"/>
        </w:rPr>
      </w:pPr>
    </w:p>
    <w:p>
      <w:pPr>
        <w:jc w:val="both"/>
        <w:ind w:left="1760" w:hanging="741"/>
        <w:spacing w:after="0" w:line="258" w:lineRule="auto"/>
        <w:tabs>
          <w:tab w:leader="none" w:pos="17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color w:val="auto"/>
        </w:rPr>
        <w:t>At Client’s request, Cardinal Health will send via fax or email, necessary receiving documents and temp tale data to Client Quality Assurance for official lot release. Product is kept in a “system hold” status in Cardinal Health’s Operating System until released in writing or by email by Client Quality Assurance.</w:t>
      </w:r>
    </w:p>
    <w:p>
      <w:pPr>
        <w:spacing w:after="0" w:line="167" w:lineRule="exact"/>
        <w:rPr>
          <w:sz w:val="20"/>
          <w:szCs w:val="20"/>
          <w:color w:val="auto"/>
        </w:rPr>
      </w:pPr>
    </w:p>
    <w:p>
      <w:pPr>
        <w:jc w:val="both"/>
        <w:ind w:left="1760" w:hanging="741"/>
        <w:spacing w:after="0" w:line="238" w:lineRule="auto"/>
        <w:tabs>
          <w:tab w:leader="none" w:pos="17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2"/>
          <w:szCs w:val="22"/>
          <w:color w:val="auto"/>
        </w:rPr>
        <w:t>Cardinal Health will provide Client with a designated, single point of contact for all Product release requests. Client Quality Assurance will fax or email to designated contact at the appropriate facility (LaVergne or Reno), signed documentation to Cardinal Health to release the lot from “system hold” Product status to “approved” Product status.</w:t>
      </w:r>
    </w:p>
    <w:p>
      <w:pPr>
        <w:spacing w:after="0" w:line="185" w:lineRule="exact"/>
        <w:rPr>
          <w:sz w:val="20"/>
          <w:szCs w:val="20"/>
          <w:color w:val="auto"/>
        </w:rPr>
      </w:pPr>
    </w:p>
    <w:p>
      <w:pPr>
        <w:jc w:val="both"/>
        <w:ind w:left="1740" w:hanging="741"/>
        <w:spacing w:after="0" w:line="238" w:lineRule="auto"/>
        <w:tabs>
          <w:tab w:leader="none" w:pos="17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color w:val="auto"/>
        </w:rPr>
        <w:t>Cardinal Health will post receipts in the Warehouse Management System within [**] of delivery unless count discrepancies, missing paperwork, damage investigation, and/or other receiving anomalies interfere with efficient receiving and documentation. Upon request by Client, Cardinal Health will provide a report of any unresolved receiving discrepancies.</w:t>
      </w:r>
    </w:p>
    <w:p>
      <w:pPr>
        <w:spacing w:after="0" w:line="179" w:lineRule="exact"/>
        <w:rPr>
          <w:sz w:val="20"/>
          <w:szCs w:val="20"/>
          <w:color w:val="auto"/>
        </w:rPr>
      </w:pPr>
    </w:p>
    <w:p>
      <w:pPr>
        <w:ind w:left="600" w:hanging="592"/>
        <w:spacing w:after="0"/>
        <w:tabs>
          <w:tab w:leader="none" w:pos="60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IMPORT SERVICES</w:t>
      </w:r>
    </w:p>
    <w:p>
      <w:pPr>
        <w:spacing w:after="0" w:line="212" w:lineRule="exact"/>
        <w:rPr>
          <w:sz w:val="20"/>
          <w:szCs w:val="20"/>
          <w:color w:val="auto"/>
        </w:rPr>
      </w:pPr>
    </w:p>
    <w:p>
      <w:pPr>
        <w:jc w:val="both"/>
        <w:ind w:left="1660" w:right="20" w:hanging="741"/>
        <w:spacing w:after="0" w:line="251" w:lineRule="auto"/>
        <w:tabs>
          <w:tab w:leader="none" w:pos="1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Cardinal Health will arrange for transportation and applicable import services on the Client’s behalf as identified in the agreed upon International Import/Export Fee Schedule.</w:t>
      </w:r>
    </w:p>
    <w:p>
      <w:pPr>
        <w:spacing w:after="0" w:line="173"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Client acknowledges and accepts its designation and responsibilities as the Importer of Record in these transactions.</w:t>
      </w:r>
    </w:p>
    <w:p>
      <w:pPr>
        <w:spacing w:after="0" w:line="173" w:lineRule="exact"/>
        <w:rPr>
          <w:sz w:val="20"/>
          <w:szCs w:val="20"/>
          <w:color w:val="auto"/>
        </w:rPr>
      </w:pPr>
    </w:p>
    <w:p>
      <w:pPr>
        <w:jc w:val="both"/>
        <w:ind w:left="1720" w:hanging="741"/>
        <w:spacing w:after="0"/>
        <w:tabs>
          <w:tab w:leader="none" w:pos="17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At Client’s request, Cardinal Health will, on behalf of its Client, make recommendation for brokerage services and will assist with document management including the execution of customs, entry formalities and other government agency clearances.</w:t>
      </w:r>
    </w:p>
    <w:p>
      <w:pPr>
        <w:spacing w:after="0" w:line="186" w:lineRule="exact"/>
        <w:rPr>
          <w:sz w:val="20"/>
          <w:szCs w:val="20"/>
          <w:color w:val="auto"/>
        </w:rPr>
      </w:pPr>
    </w:p>
    <w:p>
      <w:pPr>
        <w:jc w:val="both"/>
        <w:ind w:left="1700" w:hanging="741"/>
        <w:spacing w:after="0"/>
        <w:tabs>
          <w:tab w:leader="none" w:pos="16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At Client’s request, Cardinal Health will, on behalf of Client, arrange for transportation and applicable services to transfer product to the designated Cardinal Health facility and will use commercially reasonable efforts to ensure that product is transferred as required.</w:t>
      </w:r>
    </w:p>
    <w:p>
      <w:pPr>
        <w:spacing w:after="0" w:line="186" w:lineRule="exact"/>
        <w:rPr>
          <w:sz w:val="20"/>
          <w:szCs w:val="20"/>
          <w:color w:val="auto"/>
        </w:rPr>
      </w:pPr>
    </w:p>
    <w:p>
      <w:pPr>
        <w:jc w:val="both"/>
        <w:ind w:left="1760" w:hanging="741"/>
        <w:spacing w:after="0" w:line="282" w:lineRule="auto"/>
        <w:tabs>
          <w:tab w:leader="none" w:pos="17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Cardinal Health will use commercially reasonable efforts to ensure that product is transferred in a timely and effective manner to meet delivery requirements and that required government releases are granted prior to product delivery; provided, however that Cardinal Health will not be responsible for any loss, liability or expense resulting from delays or other acts or omissions of any governmental entity relating to the import of the Product unless directly caused by Cardinal Health’s gross negligence or willful misconduct.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4" w:name="page215"/>
    <w:bookmarkEnd w:id="214"/>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color w:val="auto"/>
        </w:rPr>
        <w:t>Client or Client’s agent will provide to Cardinal Health all necessary details for completion of required documentation.</w:t>
      </w:r>
    </w:p>
    <w:p>
      <w:pPr>
        <w:spacing w:after="0" w:line="173" w:lineRule="exact"/>
        <w:rPr>
          <w:sz w:val="20"/>
          <w:szCs w:val="20"/>
          <w:color w:val="auto"/>
        </w:rPr>
      </w:pPr>
    </w:p>
    <w:p>
      <w:pPr>
        <w:jc w:val="both"/>
        <w:ind w:left="1760" w:hanging="741"/>
        <w:spacing w:after="0" w:line="249" w:lineRule="auto"/>
        <w:tabs>
          <w:tab w:leader="none" w:pos="17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color w:val="auto"/>
        </w:rPr>
        <w:t>Cardinal Health will prepare and have ready at time of transfer, all required documentation, including but not limited to: Commercial Invoice, Packing list, Certificate of origin, Parties to the Transaction, HTS, FDA Product Code, CBP and FDA Country of Origin, FDA Manufacturer, Product Valuation, Quantities, TSCA Statements, DEA Import Permits, USDA Certifications or Vet Certificates and any other applicable OGA documentation, to comply with applicable export and import regulations.</w:t>
      </w:r>
    </w:p>
    <w:p>
      <w:pPr>
        <w:spacing w:after="0" w:line="179" w:lineRule="exact"/>
        <w:rPr>
          <w:sz w:val="20"/>
          <w:szCs w:val="20"/>
          <w:color w:val="auto"/>
        </w:rPr>
      </w:pPr>
    </w:p>
    <w:p>
      <w:pPr>
        <w:jc w:val="both"/>
        <w:ind w:left="1760" w:right="20" w:hanging="741"/>
        <w:spacing w:after="0" w:line="274" w:lineRule="auto"/>
        <w:tabs>
          <w:tab w:leader="none" w:pos="17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Client will ensure that product meets shipping and packaging standards set by the applicable mode of transportation, all local, state and federal regulations and Section 2.5 of the Operating Guidelines.</w:t>
      </w:r>
    </w:p>
    <w:p>
      <w:pPr>
        <w:spacing w:after="0" w:line="151"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2"/>
          <w:szCs w:val="22"/>
          <w:color w:val="auto"/>
        </w:rPr>
        <w:t>For all other instruction related to Import Services please refer to Section 2.0 of the Operating Guidelines regarding Receiving.</w:t>
      </w:r>
    </w:p>
    <w:p>
      <w:pPr>
        <w:spacing w:after="0" w:line="167" w:lineRule="exact"/>
        <w:rPr>
          <w:sz w:val="20"/>
          <w:szCs w:val="20"/>
          <w:color w:val="auto"/>
        </w:rPr>
      </w:pPr>
    </w:p>
    <w:p>
      <w:pPr>
        <w:ind w:left="600" w:hanging="592"/>
        <w:spacing w:after="0"/>
        <w:tabs>
          <w:tab w:leader="none" w:pos="60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EXPORT SERVICES</w:t>
      </w:r>
    </w:p>
    <w:p>
      <w:pPr>
        <w:spacing w:after="0" w:line="212" w:lineRule="exact"/>
        <w:rPr>
          <w:sz w:val="20"/>
          <w:szCs w:val="20"/>
          <w:color w:val="auto"/>
        </w:rPr>
      </w:pPr>
    </w:p>
    <w:p>
      <w:pPr>
        <w:jc w:val="both"/>
        <w:ind w:left="1680" w:hanging="741"/>
        <w:spacing w:after="0" w:line="251" w:lineRule="auto"/>
        <w:tabs>
          <w:tab w:leader="none" w:pos="16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Cardinal Health will arrange for transportation and applicable export services on the Client’s behalf as identified in the agreed upon International Import/Export Fee Schedule.</w:t>
      </w:r>
    </w:p>
    <w:p>
      <w:pPr>
        <w:spacing w:after="0" w:line="173" w:lineRule="exact"/>
        <w:rPr>
          <w:sz w:val="20"/>
          <w:szCs w:val="20"/>
          <w:color w:val="auto"/>
        </w:rPr>
      </w:pPr>
    </w:p>
    <w:p>
      <w:pPr>
        <w:jc w:val="both"/>
        <w:ind w:left="1760" w:right="20" w:hanging="741"/>
        <w:spacing w:after="0" w:line="251" w:lineRule="auto"/>
        <w:tabs>
          <w:tab w:leader="none" w:pos="17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Client acknowledges and accepts its designation and responsibilities as the U.S. Principal Party in Interest (“</w:t>
      </w:r>
      <w:r>
        <w:rPr>
          <w:rFonts w:ascii="Arial" w:cs="Arial" w:eastAsia="Arial" w:hAnsi="Arial"/>
          <w:sz w:val="22"/>
          <w:szCs w:val="22"/>
          <w:b w:val="1"/>
          <w:bCs w:val="1"/>
          <w:color w:val="auto"/>
        </w:rPr>
        <w:t>USPPI</w:t>
      </w:r>
      <w:r>
        <w:rPr>
          <w:rFonts w:ascii="Arial" w:cs="Arial" w:eastAsia="Arial" w:hAnsi="Arial"/>
          <w:sz w:val="22"/>
          <w:szCs w:val="22"/>
          <w:color w:val="auto"/>
        </w:rPr>
        <w:t>”) in these transactions.</w:t>
      </w:r>
    </w:p>
    <w:p>
      <w:pPr>
        <w:spacing w:after="0" w:line="173" w:lineRule="exact"/>
        <w:rPr>
          <w:sz w:val="20"/>
          <w:szCs w:val="20"/>
          <w:color w:val="auto"/>
        </w:rPr>
      </w:pPr>
    </w:p>
    <w:p>
      <w:pPr>
        <w:jc w:val="both"/>
        <w:ind w:left="1660" w:hanging="741"/>
        <w:spacing w:after="0" w:line="328" w:lineRule="auto"/>
        <w:tabs>
          <w:tab w:leader="none" w:pos="1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At Client’s request, Cardinal Health will, on behalf of its Client, assist with document management including the execution of any license determination, export clearance formalities and other government agency clearances.</w:t>
      </w:r>
    </w:p>
    <w:p>
      <w:pPr>
        <w:spacing w:after="0" w:line="105"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color w:val="auto"/>
        </w:rPr>
        <w:t>Client will prepare and have ready at time of transfer, all required documentation, including but not limited to: Commercial Invoice, Packing list, Certificate of origin, and applicable OGA documentation, to comply with applicable export and import regulations.</w:t>
      </w:r>
    </w:p>
    <w:p>
      <w:pPr>
        <w:spacing w:after="0" w:line="186" w:lineRule="exact"/>
        <w:rPr>
          <w:sz w:val="20"/>
          <w:szCs w:val="20"/>
          <w:color w:val="auto"/>
        </w:rPr>
      </w:pPr>
    </w:p>
    <w:p>
      <w:pPr>
        <w:jc w:val="both"/>
        <w:ind w:left="1760" w:hanging="741"/>
        <w:spacing w:after="0" w:line="238" w:lineRule="auto"/>
        <w:tabs>
          <w:tab w:leader="none" w:pos="17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color w:val="auto"/>
        </w:rPr>
        <w:t>Client will prepare and have ready at time of transfer, all required documentation, including but not limited to: Parties to the Transaction, HTS/ECCN verification, Product Valuation, Quantities, Export packaging, Validation of Distribution Agreements and any other applicable OGA documentation, to comply with applicable export and import regulations.</w:t>
      </w:r>
    </w:p>
    <w:p>
      <w:pPr>
        <w:spacing w:after="0" w:line="179" w:lineRule="exact"/>
        <w:rPr>
          <w:sz w:val="20"/>
          <w:szCs w:val="20"/>
          <w:color w:val="auto"/>
        </w:rPr>
      </w:pPr>
    </w:p>
    <w:p>
      <w:pPr>
        <w:jc w:val="both"/>
        <w:ind w:left="1740" w:hanging="741"/>
        <w:spacing w:after="0" w:line="256" w:lineRule="auto"/>
        <w:tabs>
          <w:tab w:leader="none" w:pos="17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color w:val="auto"/>
        </w:rPr>
        <w:t>In addition to the aforementioned documentation, current Power of Attorney (“</w:t>
      </w:r>
      <w:r>
        <w:rPr>
          <w:rFonts w:ascii="Arial" w:cs="Arial" w:eastAsia="Arial" w:hAnsi="Arial"/>
          <w:sz w:val="22"/>
          <w:szCs w:val="22"/>
          <w:b w:val="1"/>
          <w:bCs w:val="1"/>
          <w:color w:val="auto"/>
        </w:rPr>
        <w:t>POA</w:t>
      </w:r>
      <w:r>
        <w:rPr>
          <w:rFonts w:ascii="Arial" w:cs="Arial" w:eastAsia="Arial" w:hAnsi="Arial"/>
          <w:sz w:val="22"/>
          <w:szCs w:val="22"/>
          <w:color w:val="auto"/>
        </w:rPr>
        <w:t>”) from Client must be on file with Cardinal Health and must be renewed at the end of each calendar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5" w:name="page216"/>
    <w:bookmarkEnd w:id="215"/>
    <w:p>
      <w:pPr>
        <w:jc w:val="both"/>
        <w:ind w:left="1740" w:hanging="741"/>
        <w:spacing w:after="0" w:line="246" w:lineRule="auto"/>
        <w:tabs>
          <w:tab w:leader="none" w:pos="172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1"/>
          <w:szCs w:val="21"/>
          <w:color w:val="auto"/>
        </w:rPr>
        <w:t xml:space="preserve">Orders approved and available for processing (pick &amp; pack) by the agreed upon time, </w:t>
      </w:r>
      <w:r>
        <w:rPr>
          <w:rFonts w:ascii="Arial" w:cs="Arial" w:eastAsia="Arial" w:hAnsi="Arial"/>
          <w:sz w:val="21"/>
          <w:szCs w:val="21"/>
          <w:b w:val="1"/>
          <w:bCs w:val="1"/>
          <w:color w:val="auto"/>
        </w:rPr>
        <w:t>[**]</w:t>
      </w:r>
      <w:r>
        <w:rPr>
          <w:rFonts w:ascii="Arial" w:cs="Arial" w:eastAsia="Arial" w:hAnsi="Arial"/>
          <w:sz w:val="21"/>
          <w:szCs w:val="21"/>
          <w:color w:val="auto"/>
        </w:rPr>
        <w:t xml:space="preserve"> local Facility time, Monday through Thursday, and on Fridays if approved by Client, will be processed and shipped within [**] (“</w:t>
      </w:r>
      <w:r>
        <w:rPr>
          <w:rFonts w:ascii="Arial" w:cs="Arial" w:eastAsia="Arial" w:hAnsi="Arial"/>
          <w:sz w:val="21"/>
          <w:szCs w:val="21"/>
          <w:b w:val="1"/>
          <w:bCs w:val="1"/>
          <w:color w:val="auto"/>
        </w:rPr>
        <w:t>Standard Export Hours</w:t>
      </w:r>
      <w:r>
        <w:rPr>
          <w:rFonts w:ascii="Arial" w:cs="Arial" w:eastAsia="Arial" w:hAnsi="Arial"/>
          <w:sz w:val="21"/>
          <w:szCs w:val="21"/>
          <w:color w:val="auto"/>
        </w:rPr>
        <w:t xml:space="preserve">”) in accordance with section 6.2 and section 6.8. Orders received and processed after the agreed upon time, </w:t>
      </w:r>
      <w:r>
        <w:rPr>
          <w:rFonts w:ascii="Arial" w:cs="Arial" w:eastAsia="Arial" w:hAnsi="Arial"/>
          <w:sz w:val="21"/>
          <w:szCs w:val="21"/>
          <w:b w:val="1"/>
          <w:bCs w:val="1"/>
          <w:color w:val="auto"/>
        </w:rPr>
        <w:t>[**]</w:t>
      </w:r>
      <w:r>
        <w:rPr>
          <w:rFonts w:ascii="Arial" w:cs="Arial" w:eastAsia="Arial" w:hAnsi="Arial"/>
          <w:sz w:val="21"/>
          <w:szCs w:val="21"/>
          <w:color w:val="auto"/>
        </w:rPr>
        <w:t xml:space="preserve"> local Facility time, will be handled on an exception basis. Every attempt will be made to ship orders in the allotted time. Any remaining volume not shipped will be communicated to the Customer along with recommendations and schedules for completion. For orders received after Standard Export Hours, </w:t>
      </w:r>
      <w:r>
        <w:rPr>
          <w:rFonts w:ascii="Arial" w:cs="Arial" w:eastAsia="Arial" w:hAnsi="Arial"/>
          <w:sz w:val="21"/>
          <w:szCs w:val="21"/>
          <w:b w:val="1"/>
          <w:bCs w:val="1"/>
          <w:color w:val="auto"/>
        </w:rPr>
        <w:t>[**]</w:t>
      </w:r>
      <w:r>
        <w:rPr>
          <w:rFonts w:ascii="Arial" w:cs="Arial" w:eastAsia="Arial" w:hAnsi="Arial"/>
          <w:sz w:val="21"/>
          <w:szCs w:val="21"/>
          <w:color w:val="auto"/>
        </w:rPr>
        <w:t xml:space="preserve"> local Facility time, Cardinal Health will consider these orders as the following day’s business. If the day the Product is to be received by the Customer falls on a holiday or weekend, then the order will be shipped on the next business day.</w:t>
      </w:r>
    </w:p>
    <w:p>
      <w:pPr>
        <w:spacing w:after="0" w:line="182" w:lineRule="exact"/>
        <w:rPr>
          <w:sz w:val="20"/>
          <w:szCs w:val="20"/>
          <w:color w:val="auto"/>
        </w:rPr>
      </w:pPr>
    </w:p>
    <w:p>
      <w:pPr>
        <w:jc w:val="both"/>
        <w:ind w:left="1760" w:hanging="741"/>
        <w:spacing w:after="0" w:line="328" w:lineRule="auto"/>
        <w:tabs>
          <w:tab w:leader="none" w:pos="174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color w:val="auto"/>
        </w:rPr>
        <w:t>Orders placed outside Standard Export Hours and in which the Customer has requested rush shipment will be defined as emergency orders. All emergency orders will be billed to Client as set forth on the Fee Schedule.</w:t>
      </w:r>
    </w:p>
    <w:p>
      <w:pPr>
        <w:spacing w:after="0" w:line="105" w:lineRule="exact"/>
        <w:rPr>
          <w:sz w:val="20"/>
          <w:szCs w:val="20"/>
          <w:color w:val="auto"/>
        </w:rPr>
      </w:pPr>
    </w:p>
    <w:p>
      <w:pPr>
        <w:jc w:val="both"/>
        <w:ind w:left="1760" w:right="20" w:hanging="741"/>
        <w:spacing w:after="0" w:line="274" w:lineRule="auto"/>
        <w:tabs>
          <w:tab w:leader="none" w:pos="174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21"/>
          <w:szCs w:val="21"/>
          <w:color w:val="auto"/>
        </w:rPr>
        <w:t>Client will ensure that product meets shipping and packaging standards set by the applicable mode of transportation, all local, state and federal regulations and Section 2.5 of the Operating Guidelines.</w:t>
      </w:r>
    </w:p>
    <w:p>
      <w:pPr>
        <w:spacing w:after="0" w:line="151" w:lineRule="exact"/>
        <w:rPr>
          <w:sz w:val="20"/>
          <w:szCs w:val="20"/>
          <w:color w:val="auto"/>
        </w:rPr>
      </w:pPr>
    </w:p>
    <w:p>
      <w:pPr>
        <w:jc w:val="both"/>
        <w:ind w:left="1740" w:hanging="741"/>
        <w:spacing w:after="0"/>
        <w:tabs>
          <w:tab w:leader="none" w:pos="172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22"/>
          <w:szCs w:val="22"/>
          <w:color w:val="auto"/>
        </w:rPr>
        <w:t>Cardinal Health will not be responsible for any loss, liability or expense resulting from delays or other acts or omissions of any governmental entity relating to the export of the Product unless directly caused by Cardinal Health’s gross negligence or willful misconduct.</w:t>
      </w:r>
    </w:p>
    <w:p>
      <w:pPr>
        <w:spacing w:after="0" w:line="186"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22"/>
          <w:szCs w:val="22"/>
          <w:color w:val="auto"/>
        </w:rPr>
        <w:t>For all other instruction related to Export Services please refer to Section 6.0 of the Operating Guidelines regarding Distribution.</w:t>
      </w:r>
    </w:p>
    <w:p>
      <w:pPr>
        <w:spacing w:after="0" w:line="167" w:lineRule="exact"/>
        <w:rPr>
          <w:sz w:val="20"/>
          <w:szCs w:val="20"/>
          <w:color w:val="auto"/>
        </w:rPr>
      </w:pPr>
    </w:p>
    <w:p>
      <w:pPr>
        <w:ind w:left="600" w:hanging="592"/>
        <w:spacing w:after="0"/>
        <w:tabs>
          <w:tab w:leader="none" w:pos="60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INVENTORY</w:t>
      </w:r>
    </w:p>
    <w:p>
      <w:pPr>
        <w:spacing w:after="0" w:line="212" w:lineRule="exact"/>
        <w:rPr>
          <w:sz w:val="20"/>
          <w:szCs w:val="20"/>
          <w:color w:val="auto"/>
        </w:rPr>
      </w:pPr>
    </w:p>
    <w:p>
      <w:pPr>
        <w:jc w:val="both"/>
        <w:ind w:left="1760" w:hanging="741"/>
        <w:spacing w:after="0" w:line="252" w:lineRule="auto"/>
        <w:tabs>
          <w:tab w:leader="none" w:pos="17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Inventory is received, tracked and controlled on Cardinal Health’s Warehouse Management System by item number, lot number, expiration date, quantity, and status. Cardinal Health’s Warehouse Management System meets regulatory requirements for lot traceability and accountability, from receipt of Product at Cardinal Health to shipment of Product to Client’s Customer.</w:t>
      </w:r>
    </w:p>
    <w:p>
      <w:pPr>
        <w:spacing w:after="0" w:line="174"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Cardinal Health performs a daily cycle count on forward pick locations that have had activity during a given day. Cardinal Health will use commercially reasonable efforts to maintain accurate and timely inventory records.</w:t>
      </w:r>
    </w:p>
    <w:p>
      <w:pPr>
        <w:spacing w:after="0" w:line="186" w:lineRule="exact"/>
        <w:rPr>
          <w:sz w:val="20"/>
          <w:szCs w:val="20"/>
          <w:color w:val="auto"/>
        </w:rPr>
      </w:pPr>
    </w:p>
    <w:p>
      <w:pPr>
        <w:ind w:left="1020"/>
        <w:spacing w:after="0"/>
        <w:tabs>
          <w:tab w:leader="none" w:pos="17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Inventory variances are investigated by Cardinal Health and reported promptly to Client and in no event later</w:t>
      </w:r>
    </w:p>
    <w:p>
      <w:pPr>
        <w:spacing w:after="0" w:line="8" w:lineRule="exact"/>
        <w:rPr>
          <w:sz w:val="20"/>
          <w:szCs w:val="20"/>
          <w:color w:val="auto"/>
        </w:rPr>
      </w:pPr>
    </w:p>
    <w:p>
      <w:pPr>
        <w:jc w:val="center"/>
        <w:ind w:left="980"/>
        <w:spacing w:after="0"/>
        <w:rPr>
          <w:sz w:val="20"/>
          <w:szCs w:val="20"/>
          <w:color w:val="auto"/>
        </w:rPr>
      </w:pPr>
      <w:r>
        <w:rPr>
          <w:rFonts w:ascii="Arial" w:cs="Arial" w:eastAsia="Arial" w:hAnsi="Arial"/>
          <w:sz w:val="22"/>
          <w:szCs w:val="22"/>
          <w:color w:val="auto"/>
        </w:rPr>
        <w:t>than [**] from discovery. Corrective actions will be determined jointly by Cardinal Health and Client.</w:t>
      </w:r>
    </w:p>
    <w:p>
      <w:pPr>
        <w:spacing w:after="0" w:line="188" w:lineRule="exact"/>
        <w:rPr>
          <w:sz w:val="20"/>
          <w:szCs w:val="20"/>
          <w:color w:val="auto"/>
        </w:rPr>
      </w:pPr>
    </w:p>
    <w:p>
      <w:pPr>
        <w:jc w:val="both"/>
        <w:ind w:left="1720" w:hanging="741"/>
        <w:spacing w:after="0"/>
        <w:tabs>
          <w:tab w:leader="none" w:pos="17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Client may conduct a complete physical inventory [**] advance written notice is required prior to the start of a physical inventory. More frequent physical inventories may occur if inventory variances exceed the standard of [**]% accuracy.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6" w:name="page217"/>
    <w:bookmarkEnd w:id="216"/>
    <w:p>
      <w:pPr>
        <w:jc w:val="both"/>
        <w:ind w:left="1740" w:hanging="741"/>
        <w:spacing w:after="0" w:line="297" w:lineRule="auto"/>
        <w:tabs>
          <w:tab w:leader="none" w:pos="17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 Cardinal Health notifies Client of expired or short dated Product, as specified by Client. Client will have up to [**] to provide Cardinal Health disposition of said Product. In the event Client docs not disposition said Product within [**], Cardinal Health reserves the right to assess additional charges for excessive storage.</w:t>
      </w:r>
    </w:p>
    <w:p>
      <w:pPr>
        <w:spacing w:after="0" w:line="128" w:lineRule="exact"/>
        <w:rPr>
          <w:sz w:val="20"/>
          <w:szCs w:val="20"/>
          <w:color w:val="auto"/>
        </w:rPr>
      </w:pPr>
    </w:p>
    <w:p>
      <w:pPr>
        <w:jc w:val="both"/>
        <w:ind w:left="1740" w:hanging="741"/>
        <w:spacing w:after="0" w:line="245" w:lineRule="auto"/>
        <w:tabs>
          <w:tab w:leader="none" w:pos="17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1"/>
          <w:szCs w:val="21"/>
          <w:b w:val="1"/>
          <w:bCs w:val="1"/>
          <w:u w:val="single" w:color="auto"/>
          <w:color w:val="auto"/>
        </w:rPr>
        <w:t>Please Note</w:t>
      </w:r>
      <w:r>
        <w:rPr>
          <w:rFonts w:ascii="Arial" w:cs="Arial" w:eastAsia="Arial" w:hAnsi="Arial"/>
          <w:sz w:val="21"/>
          <w:szCs w:val="21"/>
          <w:color w:val="auto"/>
        </w:rPr>
        <w:t>: Under the current federal EPA regulations, as a third party logistics provider, Cardinal Health is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unable to accept or store “waste” or items that have no value or reasonable expectation of credit. Waste is defined by the EPA as product that has received a disposition for destruction or deemed to have no value. Once identified as waste, Cardinal Health (i) may not accept such Product into its warehouse if it is not already in Cardinal Health’s possession (e.g., returns), and (ii) must, within [**], send any items already in Cardinal Health’s possession to a destruction vendor utilizing special carriers certified to transport waste. Cardinal Health receives returned Product according to Cardinal Health SOP and Client’s Returned Goods Policy. If there is a discrepancy between the Cardinal Health SOP and Client’s Returned Goods Policy, the Client’s Returned Goods Policy shall govern. Client will determine appropriate disposition of the returned Product. Client must be notified prior to disposition of the Product. If the disposition is to destroy the Product, Cardinal Health will subcontract the destruction through a third party supplier. Cardinal Health will provide Client with the Certificate of Disposal.</w:t>
      </w:r>
    </w:p>
    <w:p>
      <w:pPr>
        <w:spacing w:after="0" w:line="175" w:lineRule="exact"/>
        <w:rPr>
          <w:sz w:val="20"/>
          <w:szCs w:val="20"/>
          <w:color w:val="auto"/>
        </w:rPr>
      </w:pPr>
    </w:p>
    <w:p>
      <w:pPr>
        <w:ind w:left="600" w:hanging="592"/>
        <w:spacing w:after="0"/>
        <w:tabs>
          <w:tab w:leader="none" w:pos="60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DISTRIBUTION</w:t>
      </w:r>
    </w:p>
    <w:p>
      <w:pPr>
        <w:spacing w:after="0" w:line="206" w:lineRule="exact"/>
        <w:rPr>
          <w:sz w:val="20"/>
          <w:szCs w:val="20"/>
          <w:color w:val="auto"/>
        </w:rPr>
      </w:pPr>
    </w:p>
    <w:p>
      <w:pPr>
        <w:jc w:val="both"/>
        <w:ind w:left="1740" w:hanging="741"/>
        <w:spacing w:after="0" w:line="245" w:lineRule="auto"/>
        <w:tabs>
          <w:tab w:leader="none" w:pos="17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 xml:space="preserve">Orders approved and available for processing (pick &amp; pack) by the agreed upon time, </w:t>
      </w:r>
      <w:r>
        <w:rPr>
          <w:rFonts w:ascii="Arial" w:cs="Arial" w:eastAsia="Arial" w:hAnsi="Arial"/>
          <w:sz w:val="21"/>
          <w:szCs w:val="21"/>
          <w:b w:val="1"/>
          <w:bCs w:val="1"/>
          <w:color w:val="auto"/>
        </w:rPr>
        <w:t>[**]</w:t>
      </w:r>
      <w:r>
        <w:rPr>
          <w:rFonts w:ascii="Arial" w:cs="Arial" w:eastAsia="Arial" w:hAnsi="Arial"/>
          <w:sz w:val="21"/>
          <w:szCs w:val="21"/>
          <w:color w:val="auto"/>
        </w:rPr>
        <w:t xml:space="preserve"> local Facility time, Monday through Thursday, and on Fridays if approved by Client, will be shipped before the close of business the same day (“</w:t>
      </w:r>
      <w:r>
        <w:rPr>
          <w:rFonts w:ascii="Arial" w:cs="Arial" w:eastAsia="Arial" w:hAnsi="Arial"/>
          <w:sz w:val="21"/>
          <w:szCs w:val="21"/>
          <w:b w:val="1"/>
          <w:bCs w:val="1"/>
          <w:color w:val="auto"/>
        </w:rPr>
        <w:t>Standard Hours</w:t>
      </w:r>
      <w:r>
        <w:rPr>
          <w:rFonts w:ascii="Arial" w:cs="Arial" w:eastAsia="Arial" w:hAnsi="Arial"/>
          <w:sz w:val="21"/>
          <w:szCs w:val="21"/>
          <w:color w:val="auto"/>
        </w:rPr>
        <w:t xml:space="preserve">”) in accordance with section 6.2 and section 6.8. Orders received and processed after the agreed upon time, </w:t>
      </w:r>
      <w:r>
        <w:rPr>
          <w:rFonts w:ascii="Arial" w:cs="Arial" w:eastAsia="Arial" w:hAnsi="Arial"/>
          <w:sz w:val="21"/>
          <w:szCs w:val="21"/>
          <w:b w:val="1"/>
          <w:bCs w:val="1"/>
          <w:color w:val="auto"/>
        </w:rPr>
        <w:t>[**]</w:t>
      </w:r>
      <w:r>
        <w:rPr>
          <w:rFonts w:ascii="Arial" w:cs="Arial" w:eastAsia="Arial" w:hAnsi="Arial"/>
          <w:sz w:val="21"/>
          <w:szCs w:val="21"/>
          <w:color w:val="auto"/>
        </w:rPr>
        <w:t xml:space="preserve"> local Facility time, will be handled on an exception basis. Every attempt will be made to ship orders in the allotted time. Any remaining volume not shipped will be communicated to the Client along with recommendations and schedules for completion. For orders received after Standard Hours, </w:t>
      </w:r>
      <w:r>
        <w:rPr>
          <w:rFonts w:ascii="Arial" w:cs="Arial" w:eastAsia="Arial" w:hAnsi="Arial"/>
          <w:sz w:val="21"/>
          <w:szCs w:val="21"/>
          <w:b w:val="1"/>
          <w:bCs w:val="1"/>
          <w:color w:val="auto"/>
        </w:rPr>
        <w:t>[**]</w:t>
      </w:r>
      <w:r>
        <w:rPr>
          <w:rFonts w:ascii="Arial" w:cs="Arial" w:eastAsia="Arial" w:hAnsi="Arial"/>
          <w:sz w:val="21"/>
          <w:szCs w:val="21"/>
          <w:color w:val="auto"/>
        </w:rPr>
        <w:t xml:space="preserve"> local Facility time, Cardinal Health will consider these orders as the following day’s business. If the day the Product is to be received by the Customer falls on a holiday or weekend, then the order will be shipped on the next business day, which will ensure the Product will not be delivered to the Customer on a holiday or weekend.</w:t>
      </w:r>
    </w:p>
    <w:p>
      <w:pPr>
        <w:spacing w:after="0" w:line="182" w:lineRule="exact"/>
        <w:rPr>
          <w:sz w:val="20"/>
          <w:szCs w:val="20"/>
          <w:color w:val="auto"/>
        </w:rPr>
      </w:pPr>
    </w:p>
    <w:p>
      <w:pPr>
        <w:jc w:val="both"/>
        <w:ind w:left="1700" w:hanging="741"/>
        <w:spacing w:after="0" w:line="256" w:lineRule="auto"/>
        <w:tabs>
          <w:tab w:leader="none" w:pos="16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 xml:space="preserve">Orders placed within Standard Hours will be shipped to Customer via </w:t>
      </w:r>
      <w:r>
        <w:rPr>
          <w:rFonts w:ascii="Arial" w:cs="Arial" w:eastAsia="Arial" w:hAnsi="Arial"/>
          <w:sz w:val="22"/>
          <w:szCs w:val="22"/>
          <w:b w:val="1"/>
          <w:bCs w:val="1"/>
          <w:color w:val="auto"/>
        </w:rPr>
        <w:t>standard ground</w:t>
      </w:r>
      <w:r>
        <w:rPr>
          <w:rFonts w:ascii="Arial" w:cs="Arial" w:eastAsia="Arial" w:hAnsi="Arial"/>
          <w:sz w:val="22"/>
          <w:szCs w:val="22"/>
          <w:color w:val="auto"/>
        </w:rPr>
        <w:t xml:space="preserve"> delivery service unless otherwise designated by Client.</w:t>
      </w:r>
    </w:p>
    <w:p>
      <w:pPr>
        <w:spacing w:after="0" w:line="169" w:lineRule="exact"/>
        <w:rPr>
          <w:sz w:val="20"/>
          <w:szCs w:val="20"/>
          <w:color w:val="auto"/>
        </w:rPr>
      </w:pPr>
    </w:p>
    <w:p>
      <w:pPr>
        <w:jc w:val="both"/>
        <w:ind w:left="1760" w:hanging="741"/>
        <w:spacing w:after="0" w:line="235" w:lineRule="auto"/>
        <w:tabs>
          <w:tab w:leader="none" w:pos="17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Client will make best commercial efforts to encourage customers to submit orders to Cardinal Health and/or authorize the release of orders placed on system hold in a fashion that allows for an even distribution of work recognizing normal start times of 8:00 a.m. local Facility time. Cardinal Health will use commercially reasonable efforts to meet the requested shipping schedule. However, if orders received and/or released from system hold do not allow for an even distribution of work, Cardinal Health cannot commit to agreed upon “on time shipping” metric.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7" w:name="page218"/>
    <w:bookmarkEnd w:id="217"/>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color w:val="auto"/>
        </w:rPr>
        <w:t>Orders that have Drop Ship requirements within Standard Hours will be shipped and assessed any special charges or handling fees according to Client’s directions.</w:t>
      </w:r>
    </w:p>
    <w:p>
      <w:pPr>
        <w:spacing w:after="0" w:line="173" w:lineRule="exact"/>
        <w:rPr>
          <w:sz w:val="20"/>
          <w:szCs w:val="20"/>
          <w:color w:val="auto"/>
        </w:rPr>
      </w:pPr>
    </w:p>
    <w:p>
      <w:pPr>
        <w:jc w:val="both"/>
        <w:ind w:left="1680" w:hanging="741"/>
        <w:spacing w:after="0"/>
        <w:tabs>
          <w:tab w:leader="none" w:pos="16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color w:val="auto"/>
        </w:rPr>
        <w:t>Orders placed outside Standard Hours and in which the Customer has requested delivery for the next day will be defined as emergency orders and will be shipped via priority overnight delivery. All emergency orders will be billed to client as set forth on Fee Schedule.</w:t>
      </w:r>
    </w:p>
    <w:p>
      <w:pPr>
        <w:spacing w:after="0" w:line="186"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22"/>
          <w:szCs w:val="22"/>
          <w:color w:val="auto"/>
        </w:rPr>
        <w:t>When a Customer requests upgraded shipping service for an order placed during Standard Hours, Cardinal Health will process per Client’s direction. Applicable upgrade charges will be assessed per an agreed upon flat fee.</w:t>
      </w:r>
    </w:p>
    <w:p>
      <w:pPr>
        <w:spacing w:after="0" w:line="186"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Client is responsible for monitoring customer ordering practices.</w:t>
      </w:r>
    </w:p>
    <w:p>
      <w:pPr>
        <w:spacing w:after="0" w:line="206" w:lineRule="exact"/>
        <w:rPr>
          <w:sz w:val="20"/>
          <w:szCs w:val="20"/>
          <w:color w:val="auto"/>
        </w:rPr>
      </w:pPr>
    </w:p>
    <w:p>
      <w:pPr>
        <w:jc w:val="both"/>
        <w:ind w:left="1760" w:hanging="741"/>
        <w:spacing w:after="0" w:line="282" w:lineRule="auto"/>
        <w:tabs>
          <w:tab w:leader="none" w:pos="17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color w:val="auto"/>
        </w:rPr>
        <w:t>Recognizing that order volume may fluctuate from time to time, Cardinal Health staffs to meet [**]% of the rolling average number of Client orders processed over the previous [**]. Cardinal Health uses commercially reasonable efforts to meet the shipping schedule outlined herein when order or unit volume exceeds [**]% of the rolling average number of orders or units; provided, however, that Cardinal Health cannot guarantee daily on-time shipping standards will be achieved during such increased activity periods.</w:t>
      </w:r>
    </w:p>
    <w:p>
      <w:pPr>
        <w:spacing w:after="0" w:line="148" w:lineRule="exact"/>
        <w:rPr>
          <w:sz w:val="20"/>
          <w:szCs w:val="20"/>
          <w:color w:val="auto"/>
        </w:rPr>
      </w:pPr>
    </w:p>
    <w:p>
      <w:pPr>
        <w:jc w:val="both"/>
        <w:ind w:left="1760" w:hanging="741"/>
        <w:spacing w:after="0" w:line="238" w:lineRule="auto"/>
        <w:tabs>
          <w:tab w:leader="none" w:pos="174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22"/>
          <w:szCs w:val="22"/>
          <w:color w:val="auto"/>
        </w:rPr>
        <w:t>Cardinal Health personal are available for emergency Product shipments, via phone request, twenty-four (24) hours per day, three hundred sixty-five (365) days per year. For shipments called in after the carrier’s cutoff time (approximately 6:00 p.m. Central Time for overnight airfreight), Cardinal Health will ship the Product the following day.</w:t>
      </w:r>
    </w:p>
    <w:p>
      <w:pPr>
        <w:spacing w:after="0" w:line="185"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22"/>
          <w:szCs w:val="22"/>
          <w:color w:val="auto"/>
        </w:rPr>
        <w:t>Cardinal Health’s inventory system complies with [**] inventory allocation. Exceptions from [**] must be approved by the Client in writing prior to shipment.</w:t>
      </w:r>
    </w:p>
    <w:p>
      <w:pPr>
        <w:spacing w:after="0" w:line="173"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22"/>
          <w:szCs w:val="22"/>
          <w:color w:val="auto"/>
        </w:rPr>
        <w:t>Cardinal Health performs quality verification on Client shipments, either systematically or by an individual other than the employee who picked the order. Cardinal Health uses commercially reasonable efforts to pick, pack, and ship Customer orders accurately.</w:t>
      </w:r>
    </w:p>
    <w:p>
      <w:pPr>
        <w:spacing w:after="0" w:line="186" w:lineRule="exact"/>
        <w:rPr>
          <w:sz w:val="20"/>
          <w:szCs w:val="20"/>
          <w:color w:val="auto"/>
        </w:rPr>
      </w:pPr>
    </w:p>
    <w:p>
      <w:pPr>
        <w:jc w:val="both"/>
        <w:ind w:left="1680" w:hanging="741"/>
        <w:spacing w:after="0" w:line="252" w:lineRule="auto"/>
        <w:tabs>
          <w:tab w:leader="none" w:pos="166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1"/>
          <w:szCs w:val="21"/>
          <w:color w:val="auto"/>
        </w:rPr>
        <w:t>Cardinal Health and Client mutually determine and agree in writing on the packaging requirements for shipping the Product. Cardinal Health and Client will issue appropriate guidelines and pack-out training to the distribution department to assure compliance with Client’s specifications. These specific Client specifications are controlled in the Cardinal Health controlled document management system.</w:t>
      </w:r>
    </w:p>
    <w:p>
      <w:pPr>
        <w:spacing w:after="0" w:line="174" w:lineRule="exact"/>
        <w:rPr>
          <w:sz w:val="20"/>
          <w:szCs w:val="20"/>
          <w:color w:val="auto"/>
        </w:rPr>
      </w:pPr>
    </w:p>
    <w:p>
      <w:pPr>
        <w:jc w:val="both"/>
        <w:ind w:left="1760" w:hanging="741"/>
        <w:spacing w:after="0" w:line="328" w:lineRule="auto"/>
        <w:tabs>
          <w:tab w:leader="none" w:pos="174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color w:val="auto"/>
        </w:rPr>
        <w:t>Cardinal Health provides shipment confirmation information to Client through Cardinal Health’s information System. Such information is available the next business day after which the shipment occurs.</w:t>
      </w:r>
    </w:p>
    <w:p>
      <w:pPr>
        <w:spacing w:after="0" w:line="105" w:lineRule="exact"/>
        <w:rPr>
          <w:sz w:val="20"/>
          <w:szCs w:val="20"/>
          <w:color w:val="auto"/>
        </w:rPr>
      </w:pPr>
    </w:p>
    <w:p>
      <w:pPr>
        <w:jc w:val="both"/>
        <w:ind w:left="1760" w:hanging="741"/>
        <w:spacing w:after="0" w:line="238" w:lineRule="auto"/>
        <w:tabs>
          <w:tab w:leader="none" w:pos="174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22"/>
          <w:szCs w:val="22"/>
          <w:color w:val="auto"/>
        </w:rPr>
        <w:t>Cardinal Health manages shipping supplies - including ordering, inventory record keeping, and storage. Cardinal Health will invoice Client for mutually agreed upon shipping materials; corrugated cartons, insulated coolers (if specified), address labels, inner packing; as may be requested by Client’s packing specifications.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8" w:name="page219"/>
    <w:bookmarkEnd w:id="218"/>
    <w:p>
      <w:pPr>
        <w:ind w:left="600" w:hanging="592"/>
        <w:spacing w:after="0"/>
        <w:tabs>
          <w:tab w:leader="none" w:pos="60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PATIENT ASSISTANCE PROGRAM -</w:t>
      </w:r>
      <w:r>
        <w:rPr>
          <w:rFonts w:ascii="Arial" w:cs="Arial" w:eastAsia="Arial" w:hAnsi="Arial"/>
          <w:sz w:val="22"/>
          <w:szCs w:val="22"/>
          <w:b w:val="1"/>
          <w:bCs w:val="1"/>
          <w:color w:val="auto"/>
        </w:rPr>
        <w:t xml:space="preserve"> *Client specific (Not Applicable)</w:t>
      </w:r>
    </w:p>
    <w:p>
      <w:pPr>
        <w:spacing w:after="0" w:line="206" w:lineRule="exact"/>
        <w:rPr>
          <w:rFonts w:ascii="Arial" w:cs="Arial" w:eastAsia="Arial" w:hAnsi="Arial"/>
          <w:sz w:val="22"/>
          <w:szCs w:val="22"/>
          <w:b w:val="1"/>
          <w:bCs w:val="1"/>
          <w:color w:val="auto"/>
        </w:rPr>
      </w:pPr>
    </w:p>
    <w:p>
      <w:pPr>
        <w:ind w:left="600" w:hanging="592"/>
        <w:spacing w:after="0"/>
        <w:tabs>
          <w:tab w:leader="none" w:pos="60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TRANSPORTATION</w:t>
      </w:r>
    </w:p>
    <w:p>
      <w:pPr>
        <w:spacing w:after="0" w:line="212" w:lineRule="exact"/>
        <w:rPr>
          <w:sz w:val="20"/>
          <w:szCs w:val="20"/>
          <w:color w:val="auto"/>
        </w:rPr>
      </w:pPr>
    </w:p>
    <w:p>
      <w:pPr>
        <w:jc w:val="both"/>
        <w:ind w:left="1660" w:hanging="741"/>
        <w:spacing w:after="0"/>
        <w:tabs>
          <w:tab w:leader="none" w:pos="1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Cardinal Health and Client mutually agree upon a common carrier(s) based on shipment size, destination, freight rates, availability of standard and special services, reliability of delivery, and claim history among other requirements.</w:t>
      </w:r>
    </w:p>
    <w:p>
      <w:pPr>
        <w:spacing w:after="0" w:line="186"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If the carrier supplies one and if Client agrees, Cardinal Health will provide its discounted rate.</w:t>
      </w:r>
    </w:p>
    <w:p>
      <w:pPr>
        <w:spacing w:after="0" w:line="206"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Shipping charges, including special charges for insurance, proof of delivery, hazardous materials, service upgrades, and so forth, are billed directly to Cardinal Health’s account with the carrier and passed through, including a handling fee, to Client.</w:t>
      </w:r>
    </w:p>
    <w:p>
      <w:pPr>
        <w:spacing w:after="0" w:line="180"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 xml:space="preserve">Client will designate Freight terms as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12"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color w:val="auto"/>
        </w:rPr>
        <w:t>Cardinal Health, at the request of the Client, will provide proof of delivery for specific Customer shipments. Fees, if any, charged by carriers for proof of delivery will be passed directly to Client.</w:t>
      </w:r>
    </w:p>
    <w:p>
      <w:pPr>
        <w:spacing w:after="0" w:line="167" w:lineRule="exact"/>
        <w:rPr>
          <w:sz w:val="20"/>
          <w:szCs w:val="20"/>
          <w:color w:val="auto"/>
        </w:rPr>
      </w:pPr>
    </w:p>
    <w:p>
      <w:pPr>
        <w:ind w:left="600" w:hanging="592"/>
        <w:spacing w:after="0"/>
        <w:tabs>
          <w:tab w:leader="none" w:pos="60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CUSTOMER SERVICE</w:t>
      </w:r>
    </w:p>
    <w:p>
      <w:pPr>
        <w:spacing w:after="0" w:line="212" w:lineRule="exact"/>
        <w:rPr>
          <w:sz w:val="20"/>
          <w:szCs w:val="20"/>
          <w:color w:val="auto"/>
        </w:rPr>
      </w:pPr>
    </w:p>
    <w:p>
      <w:pPr>
        <w:jc w:val="both"/>
        <w:ind w:left="1760" w:right="20" w:hanging="741"/>
        <w:spacing w:after="0" w:line="251" w:lineRule="auto"/>
        <w:tabs>
          <w:tab w:leader="none" w:pos="17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Cardinal Health provides a dedicated, inbound phone and fax line for Client’s Customers to submit purchase orders and phone in general inquiries.</w:t>
      </w:r>
    </w:p>
    <w:p>
      <w:pPr>
        <w:spacing w:after="0" w:line="173" w:lineRule="exact"/>
        <w:rPr>
          <w:sz w:val="20"/>
          <w:szCs w:val="20"/>
          <w:color w:val="auto"/>
        </w:rPr>
      </w:pPr>
    </w:p>
    <w:p>
      <w:pPr>
        <w:jc w:val="both"/>
        <w:ind w:left="1680" w:hanging="741"/>
        <w:spacing w:after="0" w:line="297" w:lineRule="auto"/>
        <w:tabs>
          <w:tab w:leader="none" w:pos="166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Cardinal Health staffs the inbound phone line from 7:00 a.m. - 6:00 p.m. Central Time, Monday through Friday, except for the following holidays: Christmas Day, New Year’s Day, Memorial Day, Independence Day, Labor Day, Thanksgiving Day, the day after Thanksgiving and any other days as mutually agreed to.</w:t>
      </w:r>
    </w:p>
    <w:p>
      <w:pPr>
        <w:spacing w:after="0" w:line="134"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Cardinal Health is responsible for training Cardinal Health’s client service specialists and backup representative(s). Client will provide company and Product specific information for training of the client service specialists.</w:t>
      </w:r>
    </w:p>
    <w:p>
      <w:pPr>
        <w:spacing w:after="0" w:line="186" w:lineRule="exact"/>
        <w:rPr>
          <w:sz w:val="20"/>
          <w:szCs w:val="20"/>
          <w:color w:val="auto"/>
        </w:rPr>
      </w:pPr>
    </w:p>
    <w:p>
      <w:pPr>
        <w:jc w:val="both"/>
        <w:ind w:left="1700" w:hanging="741"/>
        <w:spacing w:after="0" w:line="258" w:lineRule="auto"/>
        <w:tabs>
          <w:tab w:leader="none" w:pos="16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Cardinal Health is responsible for initial set up and on-going maintenance of Customer master files. The initial Customer master file will be approved and signed by Client. Contract clients should authorize each new customer that is set up in the operating system via the customer maintenance form or an email.</w:t>
      </w:r>
    </w:p>
    <w:p>
      <w:pPr>
        <w:spacing w:after="0" w:line="161" w:lineRule="exact"/>
        <w:rPr>
          <w:sz w:val="20"/>
          <w:szCs w:val="20"/>
          <w:color w:val="auto"/>
        </w:rPr>
      </w:pPr>
    </w:p>
    <w:p>
      <w:pPr>
        <w:jc w:val="both"/>
        <w:ind w:left="1720" w:hanging="741"/>
        <w:spacing w:after="0" w:line="243" w:lineRule="auto"/>
        <w:tabs>
          <w:tab w:leader="none" w:pos="170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Cardinal Health accepts Customer orders by electronic data interchange (“</w:t>
      </w:r>
      <w:r>
        <w:rPr>
          <w:rFonts w:ascii="Arial" w:cs="Arial" w:eastAsia="Arial" w:hAnsi="Arial"/>
          <w:sz w:val="22"/>
          <w:szCs w:val="22"/>
          <w:b w:val="1"/>
          <w:bCs w:val="1"/>
          <w:color w:val="auto"/>
        </w:rPr>
        <w:t>EDI</w:t>
      </w:r>
      <w:r>
        <w:rPr>
          <w:rFonts w:ascii="Arial" w:cs="Arial" w:eastAsia="Arial" w:hAnsi="Arial"/>
          <w:sz w:val="22"/>
          <w:szCs w:val="22"/>
          <w:color w:val="auto"/>
        </w:rPr>
        <w:t>”), mail or fax. Cardinal Health maintains Customer records. Customer orders must be in writing or by EDI. Cardinal Health will not accept telephone orders without a mail or fax confirmation.</w:t>
      </w:r>
    </w:p>
    <w:p>
      <w:pPr>
        <w:spacing w:after="0" w:line="183" w:lineRule="exact"/>
        <w:rPr>
          <w:sz w:val="20"/>
          <w:szCs w:val="20"/>
          <w:color w:val="auto"/>
        </w:rPr>
      </w:pPr>
    </w:p>
    <w:p>
      <w:pPr>
        <w:jc w:val="center"/>
        <w:ind w:left="380"/>
        <w:spacing w:after="0"/>
        <w:tabs>
          <w:tab w:leader="none" w:pos="3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Cardinal Health uses commercially reasonable efforts to answer inbound phone calls within the first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9" w:name="page220"/>
    <w:bookmarkEnd w:id="219"/>
    <w:p>
      <w:pPr>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2"/>
          <w:szCs w:val="22"/>
          <w:color w:val="auto"/>
        </w:rPr>
        <w:t>As a backup to the client service specialists, a voice mail system is maintained to collect messages from Customers.</w:t>
      </w:r>
    </w:p>
    <w:p>
      <w:pPr>
        <w:spacing w:after="0" w:line="173" w:lineRule="exact"/>
        <w:rPr>
          <w:sz w:val="20"/>
          <w:szCs w:val="20"/>
          <w:color w:val="auto"/>
        </w:rPr>
      </w:pPr>
    </w:p>
    <w:p>
      <w:pPr>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2"/>
          <w:szCs w:val="22"/>
          <w:color w:val="auto"/>
        </w:rPr>
        <w:t>Cardinal Health’s client service specialists re-route, via warm transfer, misdirected calls (product complaint/adverse event calls) to the appropriate vendors designated by Client.</w:t>
      </w:r>
    </w:p>
    <w:p>
      <w:pPr>
        <w:spacing w:after="0" w:line="167" w:lineRule="exact"/>
        <w:rPr>
          <w:sz w:val="20"/>
          <w:szCs w:val="20"/>
          <w:color w:val="auto"/>
        </w:rPr>
      </w:pPr>
    </w:p>
    <w:p>
      <w:pPr>
        <w:ind w:left="600" w:hanging="592"/>
        <w:spacing w:after="0"/>
        <w:tabs>
          <w:tab w:leader="none" w:pos="60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ORDER ENTRY</w:t>
      </w:r>
    </w:p>
    <w:p>
      <w:pPr>
        <w:spacing w:after="0" w:line="212" w:lineRule="exact"/>
        <w:rPr>
          <w:sz w:val="20"/>
          <w:szCs w:val="20"/>
          <w:color w:val="auto"/>
        </w:rPr>
      </w:pPr>
    </w:p>
    <w:p>
      <w:pPr>
        <w:ind w:left="1720" w:hanging="741"/>
        <w:spacing w:after="0" w:line="251" w:lineRule="auto"/>
        <w:tabs>
          <w:tab w:leader="none" w:pos="1700" w:val="left"/>
        </w:tabs>
        <w:rPr>
          <w:sz w:val="20"/>
          <w:szCs w:val="20"/>
          <w:color w:val="auto"/>
        </w:rPr>
      </w:pPr>
      <w:r>
        <w:rPr>
          <w:rFonts w:ascii="Arial" w:cs="Arial" w:eastAsia="Arial" w:hAnsi="Arial"/>
          <w:sz w:val="22"/>
          <w:szCs w:val="22"/>
          <w:color w:val="auto"/>
        </w:rPr>
        <w:t>10.1</w:t>
        <w:tab/>
        <w:t>Client will designate minimum and multiple order quantities. Order entry requests are maintained by Cardinal Health through its Operating System.</w:t>
      </w:r>
    </w:p>
    <w:p>
      <w:pPr>
        <w:spacing w:after="0" w:line="173"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Client will instruct its Customers to place orders based on the contract between Client and Customer.</w:t>
      </w:r>
    </w:p>
    <w:p>
      <w:pPr>
        <w:spacing w:after="0" w:line="206" w:lineRule="exact"/>
        <w:rPr>
          <w:sz w:val="20"/>
          <w:szCs w:val="20"/>
          <w:color w:val="auto"/>
        </w:rPr>
      </w:pPr>
    </w:p>
    <w:p>
      <w:pPr>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Client will determine when Customers will pay for premium freight, special handling, and emergency order processing.</w:t>
      </w:r>
    </w:p>
    <w:p>
      <w:pPr>
        <w:spacing w:after="0" w:line="173" w:lineRule="exact"/>
        <w:rPr>
          <w:sz w:val="20"/>
          <w:szCs w:val="20"/>
          <w:color w:val="auto"/>
        </w:rPr>
      </w:pPr>
    </w:p>
    <w:p>
      <w:pPr>
        <w:ind w:left="1020"/>
        <w:spacing w:after="0"/>
        <w:tabs>
          <w:tab w:leader="none" w:pos="16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8"/>
          <w:szCs w:val="18"/>
          <w:color w:val="auto"/>
        </w:rPr>
        <w:t>Cardinal Health uses commercially reasonable best efforts to enter orders accurately.</w:t>
      </w:r>
    </w:p>
    <w:p>
      <w:pPr>
        <w:spacing w:after="0" w:line="200" w:lineRule="exact"/>
        <w:rPr>
          <w:sz w:val="20"/>
          <w:szCs w:val="20"/>
          <w:color w:val="auto"/>
        </w:rPr>
      </w:pPr>
    </w:p>
    <w:p>
      <w:pPr>
        <w:ind w:left="600" w:hanging="592"/>
        <w:spacing w:after="0"/>
        <w:tabs>
          <w:tab w:leader="none" w:pos="60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CUSTOMER CREDIT</w:t>
      </w:r>
    </w:p>
    <w:p>
      <w:pPr>
        <w:spacing w:after="0" w:line="212"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Client will establish credit limits for each Customer or group of Customers.</w:t>
      </w:r>
    </w:p>
    <w:p>
      <w:pPr>
        <w:spacing w:after="0" w:line="206" w:lineRule="exact"/>
        <w:rPr>
          <w:sz w:val="20"/>
          <w:szCs w:val="20"/>
          <w:color w:val="auto"/>
        </w:rPr>
      </w:pPr>
    </w:p>
    <w:p>
      <w:pPr>
        <w:ind w:left="1700" w:right="20" w:hanging="741"/>
        <w:spacing w:after="0" w:line="251" w:lineRule="auto"/>
        <w:tabs>
          <w:tab w:leader="none" w:pos="1680" w:val="left"/>
        </w:tabs>
        <w:rPr>
          <w:sz w:val="20"/>
          <w:szCs w:val="20"/>
          <w:color w:val="auto"/>
        </w:rPr>
      </w:pPr>
      <w:r>
        <w:rPr>
          <w:rFonts w:ascii="Arial" w:cs="Arial" w:eastAsia="Arial" w:hAnsi="Arial"/>
          <w:sz w:val="22"/>
          <w:szCs w:val="22"/>
          <w:color w:val="auto"/>
        </w:rPr>
        <w:t>11.2</w:t>
        <w:tab/>
        <w:t>Cardinal Health’s Operating System monitors orders against the Customer’s credit limit and holds orders when credit limits are exceeded.</w:t>
      </w:r>
    </w:p>
    <w:p>
      <w:pPr>
        <w:spacing w:after="0" w:line="173" w:lineRule="exact"/>
        <w:rPr>
          <w:sz w:val="20"/>
          <w:szCs w:val="20"/>
          <w:color w:val="auto"/>
        </w:rPr>
      </w:pPr>
    </w:p>
    <w:p>
      <w:pPr>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color w:val="auto"/>
        </w:rPr>
        <w:t>Client may elect, with written authorization, to place a Customer’s account on credit hold so that orders arc reviewed prior to shipment.</w:t>
      </w:r>
    </w:p>
    <w:p>
      <w:pPr>
        <w:spacing w:after="0" w:line="173" w:lineRule="exact"/>
        <w:rPr>
          <w:sz w:val="20"/>
          <w:szCs w:val="20"/>
          <w:color w:val="auto"/>
        </w:rPr>
      </w:pPr>
    </w:p>
    <w:p>
      <w:pPr>
        <w:ind w:left="1640" w:hanging="741"/>
        <w:spacing w:after="0" w:line="251" w:lineRule="auto"/>
        <w:tabs>
          <w:tab w:leader="none" w:pos="1620" w:val="left"/>
        </w:tabs>
        <w:rPr>
          <w:sz w:val="20"/>
          <w:szCs w:val="20"/>
          <w:color w:val="auto"/>
        </w:rPr>
      </w:pPr>
      <w:r>
        <w:rPr>
          <w:rFonts w:ascii="Arial" w:cs="Arial" w:eastAsia="Arial" w:hAnsi="Arial"/>
          <w:sz w:val="22"/>
          <w:szCs w:val="22"/>
          <w:color w:val="auto"/>
        </w:rPr>
        <w:t>11.4</w:t>
        <w:tab/>
        <w:t>Client will review and approve Customer orders held for credit limits prior to shipment. Client must release orders or provide written and/or email authorization to release.</w:t>
      </w:r>
    </w:p>
    <w:p>
      <w:pPr>
        <w:spacing w:after="0" w:line="167" w:lineRule="exact"/>
        <w:rPr>
          <w:sz w:val="20"/>
          <w:szCs w:val="20"/>
          <w:color w:val="auto"/>
        </w:rPr>
      </w:pPr>
    </w:p>
    <w:p>
      <w:pPr>
        <w:ind w:left="600" w:hanging="592"/>
        <w:spacing w:after="0"/>
        <w:tabs>
          <w:tab w:leader="none" w:pos="60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PRICING AND TERMS</w:t>
      </w:r>
    </w:p>
    <w:p>
      <w:pPr>
        <w:spacing w:after="0" w:line="212" w:lineRule="exact"/>
        <w:rPr>
          <w:sz w:val="20"/>
          <w:szCs w:val="20"/>
          <w:color w:val="auto"/>
        </w:rPr>
      </w:pPr>
    </w:p>
    <w:p>
      <w:pPr>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Client will publish terms and conditions of sale to all Customers. Standard terms are provided by the Client. Contracted Customers may have non-standard terms.</w:t>
      </w:r>
    </w:p>
    <w:p>
      <w:pPr>
        <w:spacing w:after="0" w:line="173" w:lineRule="exact"/>
        <w:rPr>
          <w:sz w:val="20"/>
          <w:szCs w:val="20"/>
          <w:color w:val="auto"/>
        </w:rPr>
      </w:pPr>
    </w:p>
    <w:p>
      <w:pPr>
        <w:ind w:left="1680" w:right="20" w:hanging="741"/>
        <w:spacing w:after="0" w:line="251" w:lineRule="auto"/>
        <w:tabs>
          <w:tab w:leader="none" w:pos="1660" w:val="left"/>
        </w:tabs>
        <w:rPr>
          <w:sz w:val="20"/>
          <w:szCs w:val="20"/>
          <w:color w:val="auto"/>
        </w:rPr>
      </w:pPr>
      <w:r>
        <w:rPr>
          <w:rFonts w:ascii="Arial" w:cs="Arial" w:eastAsia="Arial" w:hAnsi="Arial"/>
          <w:sz w:val="22"/>
          <w:szCs w:val="22"/>
          <w:color w:val="auto"/>
        </w:rPr>
        <w:t>12.2</w:t>
        <w:tab/>
        <w:t>Client will publish list prices for Customers, which are subject to change from time to time at the sole discretion of Client.</w:t>
      </w:r>
    </w:p>
    <w:p>
      <w:pPr>
        <w:spacing w:after="0" w:line="173" w:lineRule="exact"/>
        <w:rPr>
          <w:sz w:val="20"/>
          <w:szCs w:val="20"/>
          <w:color w:val="auto"/>
        </w:rPr>
      </w:pPr>
    </w:p>
    <w:p>
      <w:pPr>
        <w:ind w:left="1700" w:hanging="741"/>
        <w:spacing w:after="0" w:line="328" w:lineRule="auto"/>
        <w:tabs>
          <w:tab w:leader="none" w:pos="16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Cardinal Health will perform system maintenance of Product pricing and terms. Client will provide to Cardinal Health, in no less than [**], written changes to Product pricing or terms to the following pricing mailbox:</w:t>
      </w:r>
    </w:p>
    <w:p>
      <w:pPr>
        <w:spacing w:after="0" w:line="99"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w:t>
      </w:r>
    </w:p>
    <w:p>
      <w:pPr>
        <w:spacing w:after="0" w:line="212" w:lineRule="exact"/>
        <w:rPr>
          <w:sz w:val="20"/>
          <w:szCs w:val="20"/>
          <w:color w:val="auto"/>
        </w:rPr>
      </w:pPr>
    </w:p>
    <w:p>
      <w:pPr>
        <w:ind w:left="1760" w:right="20"/>
        <w:spacing w:after="0" w:line="251" w:lineRule="auto"/>
        <w:rPr>
          <w:sz w:val="20"/>
          <w:szCs w:val="20"/>
          <w:color w:val="auto"/>
        </w:rPr>
      </w:pPr>
      <w:r>
        <w:rPr>
          <w:rFonts w:ascii="Arial" w:cs="Arial" w:eastAsia="Arial" w:hAnsi="Arial"/>
          <w:sz w:val="22"/>
          <w:szCs w:val="22"/>
          <w:color w:val="auto"/>
        </w:rPr>
        <w:t>Cardinal Health will be responsible for updating the Cardinal Health system within [**] of effective date and time of the price increase.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0" w:name="page221"/>
    <w:bookmarkEnd w:id="220"/>
    <w:p>
      <w:pPr>
        <w:jc w:val="both"/>
        <w:ind w:left="1760" w:hanging="741"/>
        <w:spacing w:after="0" w:line="238" w:lineRule="auto"/>
        <w:tabs>
          <w:tab w:leader="none" w:pos="17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Cardinal Health employees are bound by the confidentiality provisions of the Agreement between Cardinal Health and Client and, as such, will not disclose Client sales data or pricing information outside the specific Cardinal Health employees who have a need to know this information in the course of performing their routine job responsibilities.</w:t>
      </w:r>
    </w:p>
    <w:p>
      <w:pPr>
        <w:spacing w:after="0" w:line="179" w:lineRule="exact"/>
        <w:rPr>
          <w:sz w:val="20"/>
          <w:szCs w:val="20"/>
          <w:color w:val="auto"/>
        </w:rPr>
      </w:pPr>
    </w:p>
    <w:p>
      <w:pPr>
        <w:ind w:left="600" w:hanging="592"/>
        <w:spacing w:after="0"/>
        <w:tabs>
          <w:tab w:leader="none" w:pos="60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INVOICING (Not Applicable)</w:t>
      </w:r>
    </w:p>
    <w:p>
      <w:pPr>
        <w:spacing w:after="0" w:line="206" w:lineRule="exact"/>
        <w:rPr>
          <w:rFonts w:ascii="Arial" w:cs="Arial" w:eastAsia="Arial" w:hAnsi="Arial"/>
          <w:sz w:val="22"/>
          <w:szCs w:val="22"/>
          <w:b w:val="1"/>
          <w:bCs w:val="1"/>
          <w:color w:val="auto"/>
        </w:rPr>
      </w:pPr>
    </w:p>
    <w:p>
      <w:pPr>
        <w:ind w:left="600" w:hanging="592"/>
        <w:spacing w:after="0"/>
        <w:tabs>
          <w:tab w:leader="none" w:pos="60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CHARGEBACKS (Not Applicable)</w:t>
      </w:r>
    </w:p>
    <w:p>
      <w:pPr>
        <w:spacing w:after="0" w:line="206" w:lineRule="exact"/>
        <w:rPr>
          <w:rFonts w:ascii="Arial" w:cs="Arial" w:eastAsia="Arial" w:hAnsi="Arial"/>
          <w:sz w:val="22"/>
          <w:szCs w:val="22"/>
          <w:b w:val="1"/>
          <w:bCs w:val="1"/>
          <w:color w:val="auto"/>
        </w:rPr>
      </w:pPr>
    </w:p>
    <w:p>
      <w:pPr>
        <w:ind w:left="600" w:hanging="592"/>
        <w:spacing w:after="0"/>
        <w:tabs>
          <w:tab w:leader="none" w:pos="60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ACCOUNTS RECEIVABLE (Not Applicable)</w:t>
      </w:r>
    </w:p>
    <w:p>
      <w:pPr>
        <w:spacing w:after="0" w:line="206" w:lineRule="exact"/>
        <w:rPr>
          <w:rFonts w:ascii="Arial" w:cs="Arial" w:eastAsia="Arial" w:hAnsi="Arial"/>
          <w:sz w:val="22"/>
          <w:szCs w:val="22"/>
          <w:b w:val="1"/>
          <w:bCs w:val="1"/>
          <w:color w:val="auto"/>
        </w:rPr>
      </w:pPr>
    </w:p>
    <w:p>
      <w:pPr>
        <w:ind w:left="600" w:hanging="592"/>
        <w:spacing w:after="0"/>
        <w:tabs>
          <w:tab w:leader="none" w:pos="60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GOVERNMENT REPORTING</w:t>
      </w:r>
    </w:p>
    <w:p>
      <w:pPr>
        <w:spacing w:after="0" w:line="212" w:lineRule="exact"/>
        <w:rPr>
          <w:sz w:val="20"/>
          <w:szCs w:val="20"/>
          <w:color w:val="auto"/>
        </w:rPr>
      </w:pPr>
    </w:p>
    <w:p>
      <w:pPr>
        <w:jc w:val="both"/>
        <w:ind w:left="1660" w:hanging="741"/>
        <w:spacing w:after="0" w:line="251" w:lineRule="auto"/>
        <w:tabs>
          <w:tab w:leader="none" w:pos="1640" w:val="left"/>
        </w:tabs>
        <w:rPr>
          <w:sz w:val="20"/>
          <w:szCs w:val="20"/>
          <w:color w:val="auto"/>
        </w:rPr>
      </w:pPr>
      <w:r>
        <w:rPr>
          <w:rFonts w:ascii="Arial" w:cs="Arial" w:eastAsia="Arial" w:hAnsi="Arial"/>
          <w:sz w:val="22"/>
          <w:szCs w:val="22"/>
          <w:color w:val="auto"/>
        </w:rPr>
        <w:t>16.1</w:t>
        <w:tab/>
        <w:t>Client may access data as needed through Cardinal Health’s reporting system. Various reports are available for client use to complete government reporting calculations.</w:t>
      </w:r>
    </w:p>
    <w:p>
      <w:pPr>
        <w:spacing w:after="0" w:line="173" w:lineRule="exact"/>
        <w:rPr>
          <w:sz w:val="20"/>
          <w:szCs w:val="20"/>
          <w:color w:val="auto"/>
        </w:rPr>
      </w:pPr>
    </w:p>
    <w:p>
      <w:pPr>
        <w:jc w:val="both"/>
        <w:ind w:left="1700" w:hanging="741"/>
        <w:spacing w:after="0" w:line="238" w:lineRule="auto"/>
        <w:tabs>
          <w:tab w:leader="none" w:pos="1680" w:val="left"/>
        </w:tabs>
        <w:rPr>
          <w:sz w:val="20"/>
          <w:szCs w:val="20"/>
          <w:color w:val="auto"/>
        </w:rPr>
      </w:pPr>
      <w:r>
        <w:rPr>
          <w:rFonts w:ascii="Arial" w:cs="Arial" w:eastAsia="Arial" w:hAnsi="Arial"/>
          <w:sz w:val="22"/>
          <w:szCs w:val="22"/>
          <w:color w:val="auto"/>
        </w:rPr>
        <w:t>16.2</w:t>
        <w:tab/>
        <w:t>Cardinal Health provides the necessary reports within stipulated time frames To ensure Client can comply with the reporting requirements of Medicaid, Veterans Healthcare Act, PHS Covered Entities, Deficit Reduction Act (“</w:t>
      </w:r>
      <w:r>
        <w:rPr>
          <w:rFonts w:ascii="Arial" w:cs="Arial" w:eastAsia="Arial" w:hAnsi="Arial"/>
          <w:sz w:val="22"/>
          <w:szCs w:val="22"/>
          <w:b w:val="1"/>
          <w:bCs w:val="1"/>
          <w:color w:val="auto"/>
        </w:rPr>
        <w:t>DRA</w:t>
      </w:r>
      <w:r>
        <w:rPr>
          <w:rFonts w:ascii="Arial" w:cs="Arial" w:eastAsia="Arial" w:hAnsi="Arial"/>
          <w:sz w:val="22"/>
          <w:szCs w:val="22"/>
          <w:color w:val="auto"/>
        </w:rPr>
        <w:t>”), and state rebate programs. Client will define reporting requirements against which Cardinal Health will produce the required reports.</w:t>
      </w:r>
    </w:p>
    <w:p>
      <w:pPr>
        <w:spacing w:after="0" w:line="179" w:lineRule="exact"/>
        <w:rPr>
          <w:sz w:val="20"/>
          <w:szCs w:val="20"/>
          <w:color w:val="auto"/>
        </w:rPr>
      </w:pPr>
    </w:p>
    <w:p>
      <w:pPr>
        <w:ind w:left="600" w:hanging="592"/>
        <w:spacing w:after="0"/>
        <w:tabs>
          <w:tab w:leader="none" w:pos="60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MONTH-END CLOSE (Not Applicable)</w:t>
      </w:r>
    </w:p>
    <w:p>
      <w:pPr>
        <w:spacing w:after="0" w:line="206" w:lineRule="exact"/>
        <w:rPr>
          <w:rFonts w:ascii="Arial" w:cs="Arial" w:eastAsia="Arial" w:hAnsi="Arial"/>
          <w:sz w:val="22"/>
          <w:szCs w:val="22"/>
          <w:b w:val="1"/>
          <w:bCs w:val="1"/>
          <w:color w:val="auto"/>
        </w:rPr>
      </w:pPr>
    </w:p>
    <w:p>
      <w:pPr>
        <w:ind w:left="600" w:hanging="592"/>
        <w:spacing w:after="0"/>
        <w:tabs>
          <w:tab w:leader="none" w:pos="60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RETURNED GOODS</w:t>
      </w:r>
    </w:p>
    <w:p>
      <w:pPr>
        <w:spacing w:after="0" w:line="212"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Returns are processed in accordance with Client’s Returned Goods Policy.</w:t>
      </w:r>
    </w:p>
    <w:p>
      <w:pPr>
        <w:spacing w:after="0" w:line="206" w:lineRule="exact"/>
        <w:rPr>
          <w:sz w:val="20"/>
          <w:szCs w:val="20"/>
          <w:color w:val="auto"/>
        </w:rPr>
      </w:pPr>
    </w:p>
    <w:p>
      <w:pPr>
        <w:jc w:val="both"/>
        <w:ind w:left="1680" w:hanging="741"/>
        <w:spacing w:after="0" w:line="251" w:lineRule="auto"/>
        <w:tabs>
          <w:tab w:leader="none" w:pos="1660" w:val="left"/>
        </w:tabs>
        <w:rPr>
          <w:sz w:val="20"/>
          <w:szCs w:val="20"/>
          <w:color w:val="auto"/>
        </w:rPr>
      </w:pPr>
      <w:r>
        <w:rPr>
          <w:rFonts w:ascii="Arial" w:cs="Arial" w:eastAsia="Arial" w:hAnsi="Arial"/>
          <w:sz w:val="22"/>
          <w:szCs w:val="22"/>
          <w:color w:val="auto"/>
        </w:rPr>
        <w:t>18.2</w:t>
        <w:tab/>
        <w:t>If the client makes an exception to their Returned Goods Policy, the client must submit written direction prior to returns being processed.</w:t>
      </w:r>
    </w:p>
    <w:p>
      <w:pPr>
        <w:spacing w:after="0" w:line="173" w:lineRule="exact"/>
        <w:rPr>
          <w:sz w:val="20"/>
          <w:szCs w:val="20"/>
          <w:color w:val="auto"/>
        </w:rPr>
      </w:pPr>
    </w:p>
    <w:p>
      <w:pPr>
        <w:jc w:val="both"/>
        <w:ind w:left="1700" w:hanging="741"/>
        <w:spacing w:after="0"/>
        <w:tabs>
          <w:tab w:leader="none" w:pos="1680" w:val="left"/>
        </w:tabs>
        <w:rPr>
          <w:sz w:val="20"/>
          <w:szCs w:val="20"/>
          <w:color w:val="auto"/>
        </w:rPr>
      </w:pPr>
      <w:r>
        <w:rPr>
          <w:rFonts w:ascii="Arial" w:cs="Arial" w:eastAsia="Arial" w:hAnsi="Arial"/>
          <w:sz w:val="22"/>
          <w:szCs w:val="22"/>
          <w:color w:val="auto"/>
        </w:rPr>
        <w:t>18.3</w:t>
        <w:tab/>
        <w:t>Client is responsible for providing all pertinent pricing and lot information. Cardinal Health will use commercially reasonable efforts to complete the processing of returns and, if applicable, credit issuance within [**] of receipt of the return.</w:t>
      </w:r>
    </w:p>
    <w:p>
      <w:pPr>
        <w:spacing w:after="0" w:line="186"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22"/>
          <w:szCs w:val="22"/>
          <w:color w:val="auto"/>
        </w:rPr>
        <w:t>The Client is responsible for ensuring all vendors are provided with and arc following the Returned Goods Policy.</w:t>
      </w:r>
    </w:p>
    <w:p>
      <w:pPr>
        <w:spacing w:after="0" w:line="173" w:lineRule="exact"/>
        <w:rPr>
          <w:sz w:val="20"/>
          <w:szCs w:val="20"/>
          <w:color w:val="auto"/>
        </w:rPr>
      </w:pPr>
    </w:p>
    <w:p>
      <w:pPr>
        <w:jc w:val="both"/>
        <w:ind w:left="1700" w:right="20" w:hanging="741"/>
        <w:spacing w:after="0" w:line="251" w:lineRule="auto"/>
        <w:tabs>
          <w:tab w:leader="none" w:pos="1680" w:val="left"/>
        </w:tabs>
        <w:rPr>
          <w:sz w:val="20"/>
          <w:szCs w:val="20"/>
          <w:color w:val="auto"/>
        </w:rPr>
      </w:pPr>
      <w:r>
        <w:rPr>
          <w:rFonts w:ascii="Arial" w:cs="Arial" w:eastAsia="Arial" w:hAnsi="Arial"/>
          <w:sz w:val="22"/>
          <w:szCs w:val="22"/>
          <w:color w:val="auto"/>
        </w:rPr>
        <w:t>18.5</w:t>
        <w:tab/>
        <w:t>Cardinal Health will use commercially reasonable efforts to process returned goods as timely and accurately as possible.</w:t>
      </w:r>
    </w:p>
    <w:p>
      <w:pPr>
        <w:spacing w:after="0" w:line="173"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22"/>
          <w:szCs w:val="22"/>
          <w:color w:val="auto"/>
        </w:rPr>
        <w:t>[**], Cardinal Health will notify Client of returned product. Client will have up to [**] to provide Cardinal Health disposition of said product. In the event Client does not disposition said product within [**], Cardinal Health reserves the right to assess additional fees for excessive storage.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1" w:name="page222"/>
    <w:bookmarkEnd w:id="221"/>
    <w:p>
      <w:pPr>
        <w:jc w:val="both"/>
        <w:ind w:left="1760"/>
        <w:spacing w:after="0" w:line="280" w:lineRule="auto"/>
        <w:rPr>
          <w:sz w:val="20"/>
          <w:szCs w:val="20"/>
          <w:color w:val="auto"/>
        </w:rPr>
      </w:pPr>
      <w:r>
        <w:rPr>
          <w:rFonts w:ascii="Arial" w:cs="Arial" w:eastAsia="Arial" w:hAnsi="Arial"/>
          <w:sz w:val="19"/>
          <w:szCs w:val="19"/>
          <w:b w:val="1"/>
          <w:bCs w:val="1"/>
          <w:u w:val="single" w:color="auto"/>
          <w:color w:val="auto"/>
        </w:rPr>
        <w:t>Please Note</w:t>
      </w:r>
      <w:r>
        <w:rPr>
          <w:rFonts w:ascii="Arial" w:cs="Arial" w:eastAsia="Arial" w:hAnsi="Arial"/>
          <w:sz w:val="19"/>
          <w:szCs w:val="19"/>
          <w:color w:val="auto"/>
        </w:rPr>
        <w:t>: Under the current federal EPA regulations, as a third party logistics provider, Cardinal Health is</w:t>
      </w:r>
      <w:r>
        <w:rPr>
          <w:rFonts w:ascii="Arial" w:cs="Arial" w:eastAsia="Arial" w:hAnsi="Arial"/>
          <w:sz w:val="19"/>
          <w:szCs w:val="19"/>
          <w:b w:val="1"/>
          <w:bCs w:val="1"/>
          <w:color w:val="auto"/>
        </w:rPr>
        <w:t xml:space="preserve"> </w:t>
      </w:r>
      <w:r>
        <w:rPr>
          <w:rFonts w:ascii="Arial" w:cs="Arial" w:eastAsia="Arial" w:hAnsi="Arial"/>
          <w:sz w:val="19"/>
          <w:szCs w:val="19"/>
          <w:color w:val="auto"/>
        </w:rPr>
        <w:t>unable to accept or store “waste” or items that have no value or reasonable expectation of credit. Waste is defined by the EPA as product that has received a disposition for destruction or deemed to have no value. Once identified as waste, Cardinal Health (i) may not accept such Product into its warehouse if it is not already in Cardinal Health’s possession (e.g., returns), and (ii) must, within [**], send any items already in Cardinal Health’s possession to a destruction vendor utilizing special carriers certified to transport waste.</w:t>
      </w:r>
    </w:p>
    <w:p>
      <w:pPr>
        <w:spacing w:after="0" w:line="151" w:lineRule="exact"/>
        <w:rPr>
          <w:sz w:val="20"/>
          <w:szCs w:val="20"/>
          <w:color w:val="auto"/>
        </w:rPr>
      </w:pPr>
    </w:p>
    <w:p>
      <w:pPr>
        <w:ind w:left="1760" w:right="20" w:hanging="741"/>
        <w:spacing w:after="0" w:line="251" w:lineRule="auto"/>
        <w:tabs>
          <w:tab w:leader="none" w:pos="174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22"/>
          <w:szCs w:val="22"/>
          <w:color w:val="auto"/>
        </w:rPr>
        <w:t>Cardinal Health will subcontract the destruction of returned product through a third party supplier. Cardinal Health will provide Client with the Certificate of Disposal.</w:t>
      </w:r>
    </w:p>
    <w:p>
      <w:pPr>
        <w:spacing w:after="0" w:line="167" w:lineRule="exact"/>
        <w:rPr>
          <w:sz w:val="20"/>
          <w:szCs w:val="20"/>
          <w:color w:val="auto"/>
        </w:rPr>
      </w:pPr>
    </w:p>
    <w:p>
      <w:pPr>
        <w:ind w:left="600" w:hanging="592"/>
        <w:spacing w:after="0"/>
        <w:tabs>
          <w:tab w:leader="none" w:pos="60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 COMPLAINT RETURNS</w:t>
      </w:r>
    </w:p>
    <w:p>
      <w:pPr>
        <w:spacing w:after="0" w:line="212"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2"/>
          <w:szCs w:val="22"/>
          <w:color w:val="auto"/>
        </w:rPr>
        <w:t>Client or designated vendor will handle product complaints and determine the appropriate action to be taken. Cardinal Health may ship replacement product or issue credit at Client’s direction. Cardinal Health will follow its SOPs with regard to executing these requirements.</w:t>
      </w:r>
    </w:p>
    <w:p>
      <w:pPr>
        <w:spacing w:after="0" w:line="180" w:lineRule="exact"/>
        <w:rPr>
          <w:sz w:val="20"/>
          <w:szCs w:val="20"/>
          <w:color w:val="auto"/>
        </w:rPr>
      </w:pPr>
    </w:p>
    <w:p>
      <w:pPr>
        <w:ind w:left="600" w:hanging="592"/>
        <w:spacing w:after="0"/>
        <w:tabs>
          <w:tab w:leader="none" w:pos="60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RECALL ASSISTANCE</w:t>
      </w:r>
    </w:p>
    <w:p>
      <w:pPr>
        <w:spacing w:after="0" w:line="212"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Client is responsible for decision to initiate recall or product withdrawal.</w:t>
      </w:r>
    </w:p>
    <w:p>
      <w:pPr>
        <w:spacing w:after="0" w:line="206"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Client is responsible for notification of recall or product withdrawal to appropriate regulatory agencies.</w:t>
      </w:r>
    </w:p>
    <w:p>
      <w:pPr>
        <w:spacing w:after="0" w:line="206"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color w:val="auto"/>
        </w:rPr>
        <w:t>Client is responsible for management of a recall event.</w:t>
      </w:r>
    </w:p>
    <w:p>
      <w:pPr>
        <w:spacing w:after="0" w:line="206" w:lineRule="exact"/>
        <w:rPr>
          <w:sz w:val="20"/>
          <w:szCs w:val="20"/>
          <w:color w:val="auto"/>
        </w:rPr>
      </w:pPr>
    </w:p>
    <w:p>
      <w:pPr>
        <w:jc w:val="both"/>
        <w:ind w:left="1680" w:right="20" w:hanging="741"/>
        <w:spacing w:after="0"/>
        <w:tabs>
          <w:tab w:leader="none" w:pos="1660" w:val="left"/>
        </w:tabs>
        <w:rPr>
          <w:sz w:val="20"/>
          <w:szCs w:val="20"/>
          <w:color w:val="auto"/>
        </w:rPr>
      </w:pPr>
      <w:r>
        <w:rPr>
          <w:rFonts w:ascii="Arial" w:cs="Arial" w:eastAsia="Arial" w:hAnsi="Arial"/>
          <w:sz w:val="22"/>
          <w:szCs w:val="22"/>
          <w:color w:val="auto"/>
        </w:rPr>
        <w:t>20.4</w:t>
        <w:tab/>
        <w:t>If there is a recall or withdrawal of Product, then Cardinal Health agrees to stop shipping recalled lots promptly, and in no event later than [**] after Cardinal Health receives written notification of such recall from authorized representative of Client.</w:t>
      </w:r>
    </w:p>
    <w:p>
      <w:pPr>
        <w:spacing w:after="0" w:line="186" w:lineRule="exact"/>
        <w:rPr>
          <w:sz w:val="20"/>
          <w:szCs w:val="20"/>
          <w:color w:val="auto"/>
        </w:rPr>
      </w:pPr>
    </w:p>
    <w:p>
      <w:pPr>
        <w:jc w:val="both"/>
        <w:ind w:left="1760" w:hanging="741"/>
        <w:spacing w:after="0" w:line="238" w:lineRule="auto"/>
        <w:tabs>
          <w:tab w:leader="none" w:pos="174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22"/>
          <w:szCs w:val="22"/>
          <w:color w:val="auto"/>
        </w:rPr>
        <w:t>If mutually agreed upon, Cardinal Health will provide assistance to Client and cooperate fully in any such recall. Client will pay to Cardinal Health an amount equal to Cardinal Health’s actual costs incurred with any such recall services. Such cost will be in addition to the fees set forth in the Fee Schedule. Such assistance will include but not be limited to:</w:t>
      </w:r>
    </w:p>
    <w:p>
      <w:pPr>
        <w:spacing w:after="0" w:line="185" w:lineRule="exact"/>
        <w:rPr>
          <w:sz w:val="20"/>
          <w:szCs w:val="20"/>
          <w:color w:val="auto"/>
        </w:rPr>
      </w:pPr>
    </w:p>
    <w:p>
      <w:pPr>
        <w:jc w:val="both"/>
        <w:ind w:left="2860" w:hanging="822"/>
        <w:spacing w:after="0"/>
        <w:tabs>
          <w:tab w:leader="none" w:pos="2840" w:val="left"/>
        </w:tabs>
        <w:rPr>
          <w:sz w:val="20"/>
          <w:szCs w:val="20"/>
          <w:color w:val="auto"/>
        </w:rPr>
      </w:pPr>
      <w:r>
        <w:rPr>
          <w:rFonts w:ascii="Arial" w:cs="Arial" w:eastAsia="Arial" w:hAnsi="Arial"/>
          <w:sz w:val="22"/>
          <w:szCs w:val="22"/>
          <w:color w:val="auto"/>
        </w:rPr>
        <w:t>20.5.1</w:t>
        <w:tab/>
        <w:t>Contacting consignees (wholesaler, ship to locations) who may have received affected Product and requesting prompt quarantine of all affected lots pending further disposition instructions from Cardinal Health or Client.</w:t>
      </w:r>
    </w:p>
    <w:p>
      <w:pPr>
        <w:spacing w:after="0" w:line="186" w:lineRule="exact"/>
        <w:rPr>
          <w:sz w:val="20"/>
          <w:szCs w:val="20"/>
          <w:color w:val="auto"/>
        </w:rPr>
      </w:pPr>
    </w:p>
    <w:p>
      <w:pPr>
        <w:ind w:left="2040"/>
        <w:spacing w:after="0"/>
        <w:tabs>
          <w:tab w:leader="none" w:pos="2820" w:val="left"/>
        </w:tabs>
        <w:rPr>
          <w:sz w:val="20"/>
          <w:szCs w:val="20"/>
          <w:color w:val="auto"/>
        </w:rPr>
      </w:pPr>
      <w:r>
        <w:rPr>
          <w:rFonts w:ascii="Arial" w:cs="Arial" w:eastAsia="Arial" w:hAnsi="Arial"/>
          <w:sz w:val="22"/>
          <w:szCs w:val="22"/>
          <w:color w:val="auto"/>
        </w:rPr>
        <w:t>20.5.2</w:t>
      </w:r>
      <w:r>
        <w:rPr>
          <w:sz w:val="20"/>
          <w:szCs w:val="20"/>
          <w:color w:val="auto"/>
        </w:rPr>
        <w:tab/>
      </w:r>
      <w:r>
        <w:rPr>
          <w:rFonts w:ascii="Arial" w:cs="Arial" w:eastAsia="Arial" w:hAnsi="Arial"/>
          <w:sz w:val="19"/>
          <w:szCs w:val="19"/>
          <w:color w:val="auto"/>
        </w:rPr>
        <w:t>Storage and control of on-hand inventory of recalled Product.</w:t>
      </w:r>
    </w:p>
    <w:p>
      <w:pPr>
        <w:spacing w:after="0" w:line="206" w:lineRule="exact"/>
        <w:rPr>
          <w:sz w:val="20"/>
          <w:szCs w:val="20"/>
          <w:color w:val="auto"/>
        </w:rPr>
      </w:pPr>
    </w:p>
    <w:p>
      <w:pPr>
        <w:ind w:left="2040"/>
        <w:spacing w:after="0"/>
        <w:tabs>
          <w:tab w:leader="none" w:pos="2820" w:val="left"/>
        </w:tabs>
        <w:rPr>
          <w:sz w:val="20"/>
          <w:szCs w:val="20"/>
          <w:color w:val="auto"/>
        </w:rPr>
      </w:pPr>
      <w:r>
        <w:rPr>
          <w:rFonts w:ascii="Arial" w:cs="Arial" w:eastAsia="Arial" w:hAnsi="Arial"/>
          <w:sz w:val="22"/>
          <w:szCs w:val="22"/>
          <w:color w:val="auto"/>
        </w:rPr>
        <w:t>20.5.3</w:t>
      </w:r>
      <w:r>
        <w:rPr>
          <w:sz w:val="20"/>
          <w:szCs w:val="20"/>
          <w:color w:val="auto"/>
        </w:rPr>
        <w:tab/>
      </w:r>
      <w:r>
        <w:rPr>
          <w:rFonts w:ascii="Arial" w:cs="Arial" w:eastAsia="Arial" w:hAnsi="Arial"/>
          <w:sz w:val="19"/>
          <w:szCs w:val="19"/>
          <w:color w:val="auto"/>
        </w:rPr>
        <w:t>Receipt, storage and control of returned recalled Product.</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2" w:name="page223"/>
    <w:bookmarkEnd w:id="222"/>
    <w:p>
      <w:pPr>
        <w:jc w:val="both"/>
        <w:ind w:left="2860" w:hanging="822"/>
        <w:spacing w:after="0" w:line="251" w:lineRule="auto"/>
        <w:tabs>
          <w:tab w:leader="none" w:pos="2840" w:val="left"/>
        </w:tabs>
        <w:rPr>
          <w:sz w:val="20"/>
          <w:szCs w:val="20"/>
          <w:color w:val="auto"/>
        </w:rPr>
      </w:pPr>
      <w:r>
        <w:rPr>
          <w:rFonts w:ascii="Arial" w:cs="Arial" w:eastAsia="Arial" w:hAnsi="Arial"/>
          <w:sz w:val="22"/>
          <w:szCs w:val="22"/>
          <w:color w:val="auto"/>
        </w:rPr>
        <w:t>20.5.4</w:t>
        <w:tab/>
        <w:t>Documentation of recalled Product used, destroyed or returned to the distributor through established document systems at Cardinal Health.</w:t>
      </w:r>
    </w:p>
    <w:p>
      <w:pPr>
        <w:spacing w:after="0" w:line="173" w:lineRule="exact"/>
        <w:rPr>
          <w:sz w:val="20"/>
          <w:szCs w:val="20"/>
          <w:color w:val="auto"/>
        </w:rPr>
      </w:pPr>
    </w:p>
    <w:p>
      <w:pPr>
        <w:jc w:val="both"/>
        <w:ind w:left="2860" w:hanging="822"/>
        <w:spacing w:after="0" w:line="251" w:lineRule="auto"/>
        <w:tabs>
          <w:tab w:leader="none" w:pos="2840" w:val="left"/>
        </w:tabs>
        <w:rPr>
          <w:sz w:val="20"/>
          <w:szCs w:val="20"/>
          <w:color w:val="auto"/>
        </w:rPr>
      </w:pPr>
      <w:r>
        <w:rPr>
          <w:rFonts w:ascii="Arial" w:cs="Arial" w:eastAsia="Arial" w:hAnsi="Arial"/>
          <w:sz w:val="22"/>
          <w:szCs w:val="22"/>
          <w:color w:val="auto"/>
        </w:rPr>
        <w:t>20.5.5</w:t>
        <w:tab/>
        <w:t>Assistance in preparation of final Recall Report including a copy of all communications, if any, with FDA concerning the recall.</w:t>
      </w:r>
    </w:p>
    <w:p>
      <w:pPr>
        <w:spacing w:after="0" w:line="173" w:lineRule="exact"/>
        <w:rPr>
          <w:sz w:val="20"/>
          <w:szCs w:val="20"/>
          <w:color w:val="auto"/>
        </w:rPr>
      </w:pPr>
    </w:p>
    <w:p>
      <w:pPr>
        <w:jc w:val="both"/>
        <w:ind w:left="2860" w:hanging="822"/>
        <w:spacing w:after="0" w:line="251" w:lineRule="auto"/>
        <w:tabs>
          <w:tab w:leader="none" w:pos="2840" w:val="left"/>
        </w:tabs>
        <w:rPr>
          <w:sz w:val="20"/>
          <w:szCs w:val="20"/>
          <w:color w:val="auto"/>
        </w:rPr>
      </w:pPr>
      <w:r>
        <w:rPr>
          <w:rFonts w:ascii="Arial" w:cs="Arial" w:eastAsia="Arial" w:hAnsi="Arial"/>
          <w:sz w:val="22"/>
          <w:szCs w:val="22"/>
          <w:color w:val="auto"/>
        </w:rPr>
        <w:t>20.5.6</w:t>
        <w:tab/>
        <w:t>Shipment of samples of recalled Product to Client or a designated testing site for analysis, if applicable.</w:t>
      </w:r>
    </w:p>
    <w:p>
      <w:pPr>
        <w:spacing w:after="0" w:line="173" w:lineRule="exact"/>
        <w:rPr>
          <w:sz w:val="20"/>
          <w:szCs w:val="20"/>
          <w:color w:val="auto"/>
        </w:rPr>
      </w:pPr>
    </w:p>
    <w:p>
      <w:pPr>
        <w:jc w:val="both"/>
        <w:ind w:left="2860" w:hanging="822"/>
        <w:spacing w:after="0"/>
        <w:tabs>
          <w:tab w:leader="none" w:pos="2840" w:val="left"/>
        </w:tabs>
        <w:rPr>
          <w:sz w:val="20"/>
          <w:szCs w:val="20"/>
          <w:color w:val="auto"/>
        </w:rPr>
      </w:pPr>
      <w:r>
        <w:rPr>
          <w:rFonts w:ascii="Arial" w:cs="Arial" w:eastAsia="Arial" w:hAnsi="Arial"/>
          <w:sz w:val="22"/>
          <w:szCs w:val="22"/>
          <w:color w:val="auto"/>
        </w:rPr>
        <w:t>20.5.7</w:t>
        <w:tab/>
        <w:t>Cardinal Health will maintain appropriate SOPs. If there is any conflict between the Cardinal Health SOPs and the Operating Guidelines, Cardinal Health will follow its SOPs with regard to executing these requirements.</w:t>
      </w:r>
    </w:p>
    <w:p>
      <w:pPr>
        <w:spacing w:after="0" w:line="186"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22"/>
          <w:szCs w:val="22"/>
          <w:color w:val="auto"/>
        </w:rPr>
        <w:t>Cardinal Health will provide the necessary recall reports within [**] of notification by Client. Reports will contain, but not be limited to, the following information for each recalled Product and lot number: Customer shipments by date, item number, quantity, lot number, and ship to address.</w:t>
      </w:r>
    </w:p>
    <w:p>
      <w:pPr>
        <w:spacing w:after="0" w:line="186" w:lineRule="exact"/>
        <w:rPr>
          <w:sz w:val="20"/>
          <w:szCs w:val="20"/>
          <w:color w:val="auto"/>
        </w:rPr>
      </w:pPr>
    </w:p>
    <w:p>
      <w:pPr>
        <w:jc w:val="both"/>
        <w:ind w:left="1760" w:right="20" w:hanging="741"/>
        <w:spacing w:after="0" w:line="274" w:lineRule="auto"/>
        <w:tabs>
          <w:tab w:leader="none" w:pos="174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21"/>
          <w:szCs w:val="21"/>
          <w:color w:val="auto"/>
        </w:rPr>
        <w:t>Cardinal Health will provide Client Quality Assurance with signed and dated records documenting final disposition of the Product(s). In addition, Cardinal Health will assist with the following information:</w:t>
      </w:r>
    </w:p>
    <w:p>
      <w:pPr>
        <w:spacing w:after="0" w:line="151" w:lineRule="exact"/>
        <w:rPr>
          <w:sz w:val="20"/>
          <w:szCs w:val="20"/>
          <w:color w:val="auto"/>
        </w:rPr>
      </w:pPr>
    </w:p>
    <w:p>
      <w:pPr>
        <w:jc w:val="both"/>
        <w:ind w:left="2860" w:hanging="822"/>
        <w:spacing w:after="0" w:line="251" w:lineRule="auto"/>
        <w:tabs>
          <w:tab w:leader="none" w:pos="2840" w:val="left"/>
        </w:tabs>
        <w:rPr>
          <w:sz w:val="20"/>
          <w:szCs w:val="20"/>
          <w:color w:val="auto"/>
        </w:rPr>
      </w:pPr>
      <w:r>
        <w:rPr>
          <w:rFonts w:ascii="Arial" w:cs="Arial" w:eastAsia="Arial" w:hAnsi="Arial"/>
          <w:sz w:val="22"/>
          <w:szCs w:val="22"/>
          <w:color w:val="auto"/>
        </w:rPr>
        <w:t>20.7.1</w:t>
        <w:tab/>
        <w:t>Name and location of distributors involved in the execution of the final disposition of the recalled Product.</w:t>
      </w:r>
    </w:p>
    <w:p>
      <w:pPr>
        <w:spacing w:after="0" w:line="173" w:lineRule="exact"/>
        <w:rPr>
          <w:sz w:val="20"/>
          <w:szCs w:val="20"/>
          <w:color w:val="auto"/>
        </w:rPr>
      </w:pPr>
    </w:p>
    <w:p>
      <w:pPr>
        <w:ind w:left="2040"/>
        <w:spacing w:after="0"/>
        <w:tabs>
          <w:tab w:leader="none" w:pos="2820" w:val="left"/>
        </w:tabs>
        <w:rPr>
          <w:sz w:val="20"/>
          <w:szCs w:val="20"/>
          <w:color w:val="auto"/>
        </w:rPr>
      </w:pPr>
      <w:r>
        <w:rPr>
          <w:rFonts w:ascii="Arial" w:cs="Arial" w:eastAsia="Arial" w:hAnsi="Arial"/>
          <w:sz w:val="22"/>
          <w:szCs w:val="22"/>
          <w:color w:val="auto"/>
        </w:rPr>
        <w:t>20.7.2</w:t>
      </w:r>
      <w:r>
        <w:rPr>
          <w:sz w:val="20"/>
          <w:szCs w:val="20"/>
          <w:color w:val="auto"/>
        </w:rPr>
        <w:tab/>
      </w:r>
      <w:r>
        <w:rPr>
          <w:rFonts w:ascii="Arial" w:cs="Arial" w:eastAsia="Arial" w:hAnsi="Arial"/>
          <w:sz w:val="19"/>
          <w:szCs w:val="19"/>
          <w:color w:val="auto"/>
        </w:rPr>
        <w:t>Name and location of drug destruction sites (if applicable).</w:t>
      </w:r>
    </w:p>
    <w:p>
      <w:pPr>
        <w:spacing w:after="0" w:line="206" w:lineRule="exact"/>
        <w:rPr>
          <w:sz w:val="20"/>
          <w:szCs w:val="20"/>
          <w:color w:val="auto"/>
        </w:rPr>
      </w:pPr>
    </w:p>
    <w:p>
      <w:pPr>
        <w:jc w:val="both"/>
        <w:ind w:left="2860" w:hanging="822"/>
        <w:spacing w:after="0" w:line="251" w:lineRule="auto"/>
        <w:tabs>
          <w:tab w:leader="none" w:pos="2840" w:val="left"/>
        </w:tabs>
        <w:rPr>
          <w:sz w:val="20"/>
          <w:szCs w:val="20"/>
          <w:color w:val="auto"/>
        </w:rPr>
      </w:pPr>
      <w:r>
        <w:rPr>
          <w:rFonts w:ascii="Arial" w:cs="Arial" w:eastAsia="Arial" w:hAnsi="Arial"/>
          <w:sz w:val="22"/>
          <w:szCs w:val="22"/>
          <w:color w:val="auto"/>
        </w:rPr>
        <w:t>20.7.3</w:t>
        <w:tab/>
        <w:t>List of applicable State or Federal licenses currently required and held for drug transport and/or disposal for all drug destruction sites (if applicable).</w:t>
      </w:r>
    </w:p>
    <w:p>
      <w:pPr>
        <w:spacing w:after="0" w:line="173" w:lineRule="exact"/>
        <w:rPr>
          <w:sz w:val="20"/>
          <w:szCs w:val="20"/>
          <w:color w:val="auto"/>
        </w:rPr>
      </w:pPr>
    </w:p>
    <w:p>
      <w:pPr>
        <w:ind w:left="2040"/>
        <w:spacing w:after="0"/>
        <w:tabs>
          <w:tab w:leader="none" w:pos="2820" w:val="left"/>
        </w:tabs>
        <w:rPr>
          <w:sz w:val="20"/>
          <w:szCs w:val="20"/>
          <w:color w:val="auto"/>
        </w:rPr>
      </w:pPr>
      <w:r>
        <w:rPr>
          <w:rFonts w:ascii="Arial" w:cs="Arial" w:eastAsia="Arial" w:hAnsi="Arial"/>
          <w:sz w:val="22"/>
          <w:szCs w:val="22"/>
          <w:color w:val="auto"/>
        </w:rPr>
        <w:t>20.7.4</w:t>
      </w:r>
      <w:r>
        <w:rPr>
          <w:sz w:val="20"/>
          <w:szCs w:val="20"/>
          <w:color w:val="auto"/>
        </w:rPr>
        <w:tab/>
      </w:r>
      <w:r>
        <w:rPr>
          <w:rFonts w:ascii="Arial" w:cs="Arial" w:eastAsia="Arial" w:hAnsi="Arial"/>
          <w:sz w:val="19"/>
          <w:szCs w:val="19"/>
          <w:color w:val="auto"/>
        </w:rPr>
        <w:t>Product disposition method.</w:t>
      </w:r>
    </w:p>
    <w:p>
      <w:pPr>
        <w:spacing w:after="0" w:line="206" w:lineRule="exact"/>
        <w:rPr>
          <w:sz w:val="20"/>
          <w:szCs w:val="20"/>
          <w:color w:val="auto"/>
        </w:rPr>
      </w:pPr>
    </w:p>
    <w:p>
      <w:pPr>
        <w:ind w:left="2040"/>
        <w:spacing w:after="0"/>
        <w:tabs>
          <w:tab w:leader="none" w:pos="2820" w:val="left"/>
        </w:tabs>
        <w:rPr>
          <w:sz w:val="20"/>
          <w:szCs w:val="20"/>
          <w:color w:val="auto"/>
        </w:rPr>
      </w:pPr>
      <w:r>
        <w:rPr>
          <w:rFonts w:ascii="Arial" w:cs="Arial" w:eastAsia="Arial" w:hAnsi="Arial"/>
          <w:sz w:val="22"/>
          <w:szCs w:val="22"/>
          <w:color w:val="auto"/>
        </w:rPr>
        <w:t>20.7.5</w:t>
      </w:r>
      <w:r>
        <w:rPr>
          <w:sz w:val="20"/>
          <w:szCs w:val="20"/>
          <w:color w:val="auto"/>
        </w:rPr>
        <w:tab/>
      </w:r>
      <w:r>
        <w:rPr>
          <w:rFonts w:ascii="Arial" w:cs="Arial" w:eastAsia="Arial" w:hAnsi="Arial"/>
          <w:sz w:val="19"/>
          <w:szCs w:val="19"/>
          <w:color w:val="auto"/>
        </w:rPr>
        <w:t>Amount of Product dispositioned.</w:t>
      </w:r>
    </w:p>
    <w:p>
      <w:pPr>
        <w:spacing w:after="0" w:line="206" w:lineRule="exact"/>
        <w:rPr>
          <w:sz w:val="20"/>
          <w:szCs w:val="20"/>
          <w:color w:val="auto"/>
        </w:rPr>
      </w:pPr>
    </w:p>
    <w:p>
      <w:pPr>
        <w:ind w:left="2040"/>
        <w:spacing w:after="0"/>
        <w:tabs>
          <w:tab w:leader="none" w:pos="2820" w:val="left"/>
        </w:tabs>
        <w:rPr>
          <w:sz w:val="20"/>
          <w:szCs w:val="20"/>
          <w:color w:val="auto"/>
        </w:rPr>
      </w:pPr>
      <w:r>
        <w:rPr>
          <w:rFonts w:ascii="Arial" w:cs="Arial" w:eastAsia="Arial" w:hAnsi="Arial"/>
          <w:sz w:val="22"/>
          <w:szCs w:val="22"/>
          <w:color w:val="auto"/>
        </w:rPr>
        <w:t>20.7.6</w:t>
      </w:r>
      <w:r>
        <w:rPr>
          <w:sz w:val="20"/>
          <w:szCs w:val="20"/>
          <w:color w:val="auto"/>
        </w:rPr>
        <w:tab/>
      </w:r>
      <w:r>
        <w:rPr>
          <w:rFonts w:ascii="Arial" w:cs="Arial" w:eastAsia="Arial" w:hAnsi="Arial"/>
          <w:sz w:val="19"/>
          <w:szCs w:val="19"/>
          <w:color w:val="auto"/>
        </w:rPr>
        <w:t>Date of Product disposition.</w:t>
      </w:r>
    </w:p>
    <w:p>
      <w:pPr>
        <w:spacing w:after="0" w:line="206" w:lineRule="exact"/>
        <w:rPr>
          <w:sz w:val="20"/>
          <w:szCs w:val="20"/>
          <w:color w:val="auto"/>
        </w:rPr>
      </w:pPr>
    </w:p>
    <w:p>
      <w:pPr>
        <w:jc w:val="both"/>
        <w:ind w:left="2860" w:hanging="822"/>
        <w:spacing w:after="0"/>
        <w:tabs>
          <w:tab w:leader="none" w:pos="2840" w:val="left"/>
        </w:tabs>
        <w:rPr>
          <w:sz w:val="20"/>
          <w:szCs w:val="20"/>
          <w:color w:val="auto"/>
        </w:rPr>
      </w:pPr>
      <w:r>
        <w:rPr>
          <w:rFonts w:ascii="Arial" w:cs="Arial" w:eastAsia="Arial" w:hAnsi="Arial"/>
          <w:sz w:val="22"/>
          <w:szCs w:val="22"/>
          <w:color w:val="auto"/>
        </w:rPr>
        <w:t>20.7.7</w:t>
        <w:tab/>
        <w:t>Documentation from each affected Distributor(s) head of Quality Assurance or designee attesting to the completion of the Product disposition functions and requirements set forth by Client’s Recall Committee.</w:t>
      </w:r>
    </w:p>
    <w:p>
      <w:pPr>
        <w:spacing w:after="0" w:line="180" w:lineRule="exact"/>
        <w:rPr>
          <w:sz w:val="20"/>
          <w:szCs w:val="20"/>
          <w:color w:val="auto"/>
        </w:rPr>
      </w:pPr>
    </w:p>
    <w:p>
      <w:pPr>
        <w:ind w:left="600" w:hanging="592"/>
        <w:spacing w:after="0"/>
        <w:tabs>
          <w:tab w:leader="none" w:pos="60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OPERATING SYSTEMS</w:t>
      </w:r>
    </w:p>
    <w:p>
      <w:pPr>
        <w:spacing w:after="0" w:line="212" w:lineRule="exact"/>
        <w:rPr>
          <w:sz w:val="20"/>
          <w:szCs w:val="20"/>
          <w:color w:val="auto"/>
        </w:rPr>
      </w:pPr>
    </w:p>
    <w:p>
      <w:pPr>
        <w:ind w:left="1700" w:hanging="741"/>
        <w:spacing w:after="0" w:line="251" w:lineRule="auto"/>
        <w:tabs>
          <w:tab w:leader="none" w:pos="1680" w:val="left"/>
        </w:tabs>
        <w:rPr>
          <w:sz w:val="20"/>
          <w:szCs w:val="20"/>
          <w:color w:val="auto"/>
        </w:rPr>
      </w:pPr>
      <w:r>
        <w:rPr>
          <w:rFonts w:ascii="Arial" w:cs="Arial" w:eastAsia="Arial" w:hAnsi="Arial"/>
          <w:sz w:val="22"/>
          <w:szCs w:val="22"/>
          <w:color w:val="auto"/>
        </w:rPr>
        <w:t>21.1</w:t>
        <w:tab/>
        <w:t>Client retains ownership to Client Data in the Cardinal Health System but grants Cardinal Health a limited right to use such Client Data in the performance of its Services.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3" w:name="page224"/>
    <w:bookmarkEnd w:id="223"/>
    <w:p>
      <w:pPr>
        <w:jc w:val="both"/>
        <w:ind w:left="1680" w:hanging="741"/>
        <w:spacing w:after="0"/>
        <w:tabs>
          <w:tab w:leader="none" w:pos="1660" w:val="left"/>
        </w:tabs>
        <w:rPr>
          <w:sz w:val="20"/>
          <w:szCs w:val="20"/>
          <w:color w:val="auto"/>
        </w:rPr>
      </w:pPr>
      <w:r>
        <w:rPr>
          <w:rFonts w:ascii="Arial" w:cs="Arial" w:eastAsia="Arial" w:hAnsi="Arial"/>
          <w:sz w:val="22"/>
          <w:szCs w:val="22"/>
          <w:color w:val="auto"/>
        </w:rPr>
        <w:t>21.2</w:t>
        <w:tab/>
        <w:t>Cardinal Health will use commercially reasonable efforts to maintain security of the Client Data in our systems, to segregate them and render them inaccessible to all third parties except those providing services or systems support hereunder.</w:t>
      </w:r>
    </w:p>
    <w:p>
      <w:pPr>
        <w:spacing w:after="0" w:line="186"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2"/>
          <w:szCs w:val="22"/>
          <w:color w:val="auto"/>
        </w:rPr>
        <w:t>Cardinal Health will provide Client with on-line access to account receivable, customers, general ledger, inventory, invoices, orders, returns, sales, shipping, and other business critical data as defined in Cardinal Health’s standard reports output.</w:t>
      </w:r>
    </w:p>
    <w:p>
      <w:pPr>
        <w:spacing w:after="0" w:line="186"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Additional reporting and interfaces may be jointly defined by Client and Cardinal Health.</w:t>
      </w:r>
    </w:p>
    <w:p>
      <w:pPr>
        <w:spacing w:after="0" w:line="206" w:lineRule="exact"/>
        <w:rPr>
          <w:sz w:val="20"/>
          <w:szCs w:val="20"/>
          <w:color w:val="auto"/>
        </w:rPr>
      </w:pPr>
    </w:p>
    <w:p>
      <w:pPr>
        <w:jc w:val="both"/>
        <w:ind w:left="1760" w:hanging="741"/>
        <w:spacing w:after="0" w:line="251" w:lineRule="auto"/>
        <w:tabs>
          <w:tab w:leader="none" w:pos="17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2"/>
          <w:szCs w:val="22"/>
          <w:color w:val="auto"/>
        </w:rPr>
        <w:t>Cardinal Health will use commercially reasonable efforts to maintain all Systems within the change control SOPs.</w:t>
      </w:r>
    </w:p>
    <w:p>
      <w:pPr>
        <w:spacing w:after="0" w:line="173" w:lineRule="exact"/>
        <w:rPr>
          <w:sz w:val="20"/>
          <w:szCs w:val="20"/>
          <w:color w:val="auto"/>
        </w:rPr>
      </w:pPr>
    </w:p>
    <w:p>
      <w:pPr>
        <w:jc w:val="both"/>
        <w:ind w:left="1680" w:hanging="741"/>
        <w:spacing w:after="0" w:line="249" w:lineRule="auto"/>
        <w:tabs>
          <w:tab w:leader="none" w:pos="166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1"/>
          <w:szCs w:val="21"/>
          <w:color w:val="auto"/>
        </w:rPr>
        <w:t>Cardinal Health will use commercially reasonable efforts to make Cardinal Health’s System accessible to the Client twenty-four (24) hours per day seven (7) days per week and guaranteed between the hours of 7:00 a.m. - 9:00 p.m. Central Time, Monday through Friday (“Accessible Hours”), except for routine, scheduled or emergency maintenance. Cardinal Health will provide [**] advance notification to Client of a scheduled maintenance, which would affect Client’s ability to access the System.</w:t>
      </w:r>
    </w:p>
    <w:p>
      <w:pPr>
        <w:spacing w:after="0" w:line="179" w:lineRule="exact"/>
        <w:rPr>
          <w:sz w:val="20"/>
          <w:szCs w:val="20"/>
          <w:color w:val="auto"/>
        </w:rPr>
      </w:pPr>
    </w:p>
    <w:p>
      <w:pPr>
        <w:jc w:val="both"/>
        <w:ind w:left="1760" w:hanging="741"/>
        <w:spacing w:after="0" w:line="238" w:lineRule="auto"/>
        <w:tabs>
          <w:tab w:leader="none" w:pos="17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22"/>
          <w:szCs w:val="22"/>
          <w:color w:val="auto"/>
        </w:rPr>
        <w:t>Cardinal Health will use commercially reasonable efforts to ensure that unscheduled System downtime for Cardinal Health Systems, will not exceed [**] percent ([**]%) of the Accessible Hours per [**]. Cardinal Health will promptly notify Client of any System problem that might affect services and if possible an estimated time for restoration of System access.</w:t>
      </w:r>
    </w:p>
    <w:p>
      <w:pPr>
        <w:spacing w:after="0" w:line="185" w:lineRule="exact"/>
        <w:rPr>
          <w:sz w:val="20"/>
          <w:szCs w:val="20"/>
          <w:color w:val="auto"/>
        </w:rPr>
      </w:pPr>
    </w:p>
    <w:p>
      <w:pPr>
        <w:jc w:val="both"/>
        <w:ind w:left="1720" w:hanging="741"/>
        <w:spacing w:after="0"/>
        <w:tabs>
          <w:tab w:leader="none" w:pos="1700" w:val="left"/>
        </w:tabs>
        <w:rPr>
          <w:sz w:val="20"/>
          <w:szCs w:val="20"/>
          <w:color w:val="auto"/>
        </w:rPr>
      </w:pPr>
      <w:r>
        <w:rPr>
          <w:rFonts w:ascii="Arial" w:cs="Arial" w:eastAsia="Arial" w:hAnsi="Arial"/>
          <w:sz w:val="22"/>
          <w:szCs w:val="22"/>
          <w:color w:val="auto"/>
        </w:rPr>
        <w:t>21.8</w:t>
        <w:tab/>
        <w:t>System backups will be generated on a nightly basis in conjunction with Cardinal’s corporate standard Backup and Recovery policy. These backup tapes will be stored either off-site or in a fireproof cabinet as indicated by the policy.</w:t>
      </w:r>
    </w:p>
    <w:p>
      <w:pPr>
        <w:spacing w:after="0" w:line="186"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2"/>
          <w:szCs w:val="22"/>
          <w:color w:val="auto"/>
        </w:rPr>
        <w:t>Cardinal Health may upgrade, enhance, modify, or convert the System and will notify the Client of System changes as appropriate. Initial training will be provided as agreed. Any additional training will be provided at Client expense.</w:t>
      </w:r>
    </w:p>
    <w:p>
      <w:pPr>
        <w:spacing w:after="0" w:line="186" w:lineRule="exact"/>
        <w:rPr>
          <w:sz w:val="20"/>
          <w:szCs w:val="20"/>
          <w:color w:val="auto"/>
        </w:rPr>
      </w:pPr>
    </w:p>
    <w:p>
      <w:pPr>
        <w:jc w:val="both"/>
        <w:ind w:left="1720" w:hanging="741"/>
        <w:spacing w:after="0" w:line="238" w:lineRule="auto"/>
        <w:tabs>
          <w:tab w:leader="none" w:pos="1700" w:val="left"/>
        </w:tabs>
        <w:rPr>
          <w:sz w:val="20"/>
          <w:szCs w:val="20"/>
          <w:color w:val="auto"/>
        </w:rPr>
      </w:pPr>
      <w:r>
        <w:rPr>
          <w:rFonts w:ascii="Arial" w:cs="Arial" w:eastAsia="Arial" w:hAnsi="Arial"/>
          <w:sz w:val="22"/>
          <w:szCs w:val="22"/>
          <w:color w:val="auto"/>
        </w:rPr>
        <w:t>21.10</w:t>
        <w:tab/>
        <w:t>System development work may be undertaken by Cardinal Health on behalf of the Client. Such work will be billed at the hourly development rate specified in the Fee Schedule plus any applicable travel expenses. This applies but is not limited to Web Reporting enhancements, EDI transaction implementations, and enhancements to the System.</w:t>
      </w:r>
    </w:p>
    <w:p>
      <w:pPr>
        <w:spacing w:after="0" w:line="185" w:lineRule="exact"/>
        <w:rPr>
          <w:sz w:val="20"/>
          <w:szCs w:val="20"/>
          <w:color w:val="auto"/>
        </w:rPr>
      </w:pPr>
    </w:p>
    <w:p>
      <w:pPr>
        <w:jc w:val="both"/>
        <w:ind w:left="1680" w:hanging="741"/>
        <w:spacing w:after="0" w:line="258" w:lineRule="auto"/>
        <w:tabs>
          <w:tab w:leader="none" w:pos="1660" w:val="left"/>
        </w:tabs>
        <w:rPr>
          <w:sz w:val="20"/>
          <w:szCs w:val="20"/>
          <w:color w:val="auto"/>
        </w:rPr>
      </w:pPr>
      <w:r>
        <w:rPr>
          <w:rFonts w:ascii="Arial" w:cs="Arial" w:eastAsia="Arial" w:hAnsi="Arial"/>
          <w:sz w:val="22"/>
          <w:szCs w:val="22"/>
          <w:color w:val="auto"/>
        </w:rPr>
        <w:t>21.11</w:t>
      </w:r>
      <w:r>
        <w:rPr>
          <w:sz w:val="20"/>
          <w:szCs w:val="20"/>
          <w:color w:val="auto"/>
        </w:rPr>
        <w:tab/>
      </w:r>
      <w:r>
        <w:rPr>
          <w:rFonts w:ascii="Arial" w:cs="Arial" w:eastAsia="Arial" w:hAnsi="Arial"/>
          <w:sz w:val="21"/>
          <w:szCs w:val="21"/>
          <w:color w:val="auto"/>
        </w:rPr>
        <w:t>Enhancements to the System may from time to time be requested by the Client. Requests will be evaluated and undertaken at Cardinal Health’s discretion. Costs of design, quote, development, testing, and validation of system enhancements will be borne as mutually agreed to by the parties in writing.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4" w:name="page225"/>
    <w:bookmarkEnd w:id="224"/>
    <w:p>
      <w:pPr>
        <w:ind w:left="600" w:hanging="592"/>
        <w:spacing w:after="0"/>
        <w:tabs>
          <w:tab w:leader="none" w:pos="60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AUDITS</w:t>
      </w:r>
    </w:p>
    <w:p>
      <w:pPr>
        <w:spacing w:after="0" w:line="172" w:lineRule="exact"/>
        <w:rPr>
          <w:sz w:val="20"/>
          <w:szCs w:val="20"/>
          <w:color w:val="auto"/>
        </w:rPr>
      </w:pPr>
    </w:p>
    <w:p>
      <w:pPr>
        <w:jc w:val="both"/>
        <w:ind w:left="1680" w:right="20" w:hanging="741"/>
        <w:spacing w:after="0" w:line="238" w:lineRule="auto"/>
        <w:tabs>
          <w:tab w:leader="none" w:pos="1660" w:val="left"/>
        </w:tabs>
        <w:rPr>
          <w:sz w:val="20"/>
          <w:szCs w:val="20"/>
          <w:color w:val="auto"/>
        </w:rPr>
      </w:pPr>
      <w:r>
        <w:rPr>
          <w:rFonts w:ascii="Arial" w:cs="Arial" w:eastAsia="Arial" w:hAnsi="Arial"/>
          <w:sz w:val="22"/>
          <w:szCs w:val="22"/>
          <w:color w:val="auto"/>
        </w:rPr>
        <w:t>22.1</w:t>
        <w:tab/>
        <w:t>No more than [**], Client or its designee has the right during normal business hours (i.e., 8:00 a.m. to 5:00 p.m. local Facility time), to conduct a complete quality audit upon [**] prior written notice to Cardinal Health. In the event of a for cause audit, Client has the right to inspect immediately as pertains to recalls, product safety or potential product safety.</w:t>
      </w:r>
    </w:p>
    <w:p>
      <w:pPr>
        <w:spacing w:after="0" w:line="152" w:lineRule="exact"/>
        <w:rPr>
          <w:sz w:val="20"/>
          <w:szCs w:val="20"/>
          <w:color w:val="auto"/>
        </w:rPr>
      </w:pPr>
    </w:p>
    <w:p>
      <w:pPr>
        <w:ind w:left="600" w:hanging="592"/>
        <w:spacing w:after="0"/>
        <w:tabs>
          <w:tab w:leader="none" w:pos="60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MEASURED ATTRIBUTES</w:t>
      </w:r>
    </w:p>
    <w:p>
      <w:pPr>
        <w:spacing w:after="0" w:line="172" w:lineRule="exact"/>
        <w:rPr>
          <w:sz w:val="20"/>
          <w:szCs w:val="20"/>
          <w:color w:val="auto"/>
        </w:rPr>
      </w:pPr>
    </w:p>
    <w:p>
      <w:pPr>
        <w:jc w:val="both"/>
        <w:ind w:left="1760" w:right="20" w:hanging="741"/>
        <w:spacing w:after="0"/>
        <w:tabs>
          <w:tab w:leader="none" w:pos="17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2"/>
          <w:szCs w:val="22"/>
          <w:color w:val="auto"/>
        </w:rPr>
        <w:t>Cardinal Health will provide Client with reports on measurable attributes including but not limited to those identified in Section 23.5 below. Such reports (“Specialty Pharmaceutical Services Scorecard” or “</w:t>
      </w:r>
      <w:r>
        <w:rPr>
          <w:rFonts w:ascii="Arial" w:cs="Arial" w:eastAsia="Arial" w:hAnsi="Arial"/>
          <w:sz w:val="22"/>
          <w:szCs w:val="22"/>
          <w:b w:val="1"/>
          <w:bCs w:val="1"/>
          <w:color w:val="auto"/>
        </w:rPr>
        <w:t>SPS</w:t>
      </w:r>
      <w:r>
        <w:rPr>
          <w:rFonts w:ascii="Arial" w:cs="Arial" w:eastAsia="Arial" w:hAnsi="Arial"/>
          <w:sz w:val="22"/>
          <w:szCs w:val="22"/>
          <w:color w:val="auto"/>
        </w:rPr>
        <w:t xml:space="preserve"> </w:t>
      </w:r>
      <w:r>
        <w:rPr>
          <w:rFonts w:ascii="Arial" w:cs="Arial" w:eastAsia="Arial" w:hAnsi="Arial"/>
          <w:sz w:val="22"/>
          <w:szCs w:val="22"/>
          <w:b w:val="1"/>
          <w:bCs w:val="1"/>
          <w:color w:val="auto"/>
        </w:rPr>
        <w:t>Scorecard</w:t>
      </w:r>
      <w:r>
        <w:rPr>
          <w:rFonts w:ascii="Arial" w:cs="Arial" w:eastAsia="Arial" w:hAnsi="Arial"/>
          <w:sz w:val="22"/>
          <w:szCs w:val="22"/>
          <w:color w:val="auto"/>
        </w:rPr>
        <w:t>”) will be used to track and benchmark performance.</w:t>
      </w:r>
    </w:p>
    <w:p>
      <w:pPr>
        <w:spacing w:after="0" w:line="146" w:lineRule="exact"/>
        <w:rPr>
          <w:sz w:val="20"/>
          <w:szCs w:val="20"/>
          <w:color w:val="auto"/>
        </w:rPr>
      </w:pPr>
    </w:p>
    <w:p>
      <w:pPr>
        <w:jc w:val="both"/>
        <w:ind w:left="1680" w:right="20" w:hanging="741"/>
        <w:spacing w:after="0"/>
        <w:tabs>
          <w:tab w:leader="none" w:pos="1660" w:val="left"/>
        </w:tabs>
        <w:rPr>
          <w:sz w:val="20"/>
          <w:szCs w:val="20"/>
          <w:color w:val="auto"/>
        </w:rPr>
      </w:pPr>
      <w:r>
        <w:rPr>
          <w:rFonts w:ascii="Arial" w:cs="Arial" w:eastAsia="Arial" w:hAnsi="Arial"/>
          <w:sz w:val="22"/>
          <w:szCs w:val="22"/>
          <w:color w:val="auto"/>
        </w:rPr>
        <w:t>23.2</w:t>
        <w:tab/>
        <w:t>Client and Cardinal Health will agree to meet not less than [**] to review performance and to develop methods, policies, practices, and procedures that may improve the quality and efficiency of the Cardinal Health/Client relationship.</w:t>
      </w:r>
    </w:p>
    <w:p>
      <w:pPr>
        <w:spacing w:after="0" w:line="159" w:lineRule="exact"/>
        <w:rPr>
          <w:sz w:val="20"/>
          <w:szCs w:val="20"/>
          <w:color w:val="auto"/>
        </w:rPr>
      </w:pPr>
    </w:p>
    <w:p>
      <w:pPr>
        <w:jc w:val="both"/>
        <w:ind w:left="1760" w:right="20" w:hanging="741"/>
        <w:spacing w:after="0" w:line="251" w:lineRule="auto"/>
        <w:tabs>
          <w:tab w:leader="none" w:pos="17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2"/>
          <w:szCs w:val="22"/>
          <w:color w:val="auto"/>
        </w:rPr>
        <w:t>Cardinal Health will use commercially reasonable efforts to meet or exceed the Client’s expectation for performance based on the measured attributes.</w:t>
      </w:r>
    </w:p>
    <w:p>
      <w:pPr>
        <w:spacing w:after="0" w:line="133" w:lineRule="exact"/>
        <w:rPr>
          <w:sz w:val="20"/>
          <w:szCs w:val="20"/>
          <w:color w:val="auto"/>
        </w:rPr>
      </w:pPr>
    </w:p>
    <w:p>
      <w:pPr>
        <w:jc w:val="both"/>
        <w:ind w:left="1720" w:right="20" w:hanging="741"/>
        <w:spacing w:after="0" w:line="251" w:lineRule="auto"/>
        <w:tabs>
          <w:tab w:leader="none" w:pos="1700" w:val="left"/>
        </w:tabs>
        <w:rPr>
          <w:sz w:val="20"/>
          <w:szCs w:val="20"/>
          <w:color w:val="auto"/>
        </w:rPr>
      </w:pPr>
      <w:r>
        <w:rPr>
          <w:rFonts w:ascii="Arial" w:cs="Arial" w:eastAsia="Arial" w:hAnsi="Arial"/>
          <w:sz w:val="22"/>
          <w:szCs w:val="22"/>
          <w:color w:val="auto"/>
        </w:rPr>
        <w:t>23.4</w:t>
        <w:tab/>
        <w:t>Cardinal Health will notify Client in writing if there are changes to the attributes used to track and benchmark performance.</w:t>
      </w:r>
    </w:p>
    <w:p>
      <w:pPr>
        <w:spacing w:after="0" w:line="133"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color w:val="auto"/>
        </w:rPr>
        <w:t>Measured Attributes and Performance Standards According to the SPS Scorecard.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 w:type="dxa"/>
            <w:vAlign w:val="bottom"/>
            <w:tcBorders>
              <w:right w:val="single" w:sz="8" w:color="auto"/>
            </w:tcBorders>
          </w:tcPr>
          <w:p>
            <w:pPr>
              <w:spacing w:after="0"/>
              <w:rPr>
                <w:sz w:val="19"/>
                <w:szCs w:val="19"/>
                <w:color w:val="auto"/>
              </w:rPr>
            </w:pPr>
          </w:p>
        </w:tc>
        <w:tc>
          <w:tcPr>
            <w:tcW w:w="3420" w:type="dxa"/>
            <w:vAlign w:val="bottom"/>
            <w:tcBorders>
              <w:top w:val="single" w:sz="8" w:color="auto"/>
              <w:right w:val="single" w:sz="8" w:color="auto"/>
            </w:tcBorders>
            <w:shd w:val="clear" w:color="auto" w:fill="D9D9D9"/>
          </w:tcPr>
          <w:p>
            <w:pPr>
              <w:ind w:left="1220"/>
              <w:spacing w:after="0" w:line="229" w:lineRule="exact"/>
              <w:rPr>
                <w:sz w:val="20"/>
                <w:szCs w:val="20"/>
                <w:color w:val="auto"/>
              </w:rPr>
            </w:pPr>
            <w:r>
              <w:rPr>
                <w:rFonts w:ascii="Arial" w:cs="Arial" w:eastAsia="Arial" w:hAnsi="Arial"/>
                <w:sz w:val="22"/>
                <w:szCs w:val="22"/>
                <w:b w:val="1"/>
                <w:bCs w:val="1"/>
                <w:color w:val="auto"/>
              </w:rPr>
              <w:t>Measured</w:t>
            </w:r>
          </w:p>
        </w:tc>
        <w:tc>
          <w:tcPr>
            <w:tcW w:w="6840" w:type="dxa"/>
            <w:vAlign w:val="bottom"/>
            <w:tcBorders>
              <w:top w:val="single" w:sz="8" w:color="auto"/>
              <w:right w:val="single" w:sz="8" w:color="auto"/>
            </w:tcBorders>
            <w:shd w:val="clear" w:color="auto" w:fill="D9D9D9"/>
          </w:tcPr>
          <w:p>
            <w:pPr>
              <w:ind w:left="2360"/>
              <w:spacing w:after="0" w:line="229" w:lineRule="exact"/>
              <w:rPr>
                <w:sz w:val="20"/>
                <w:szCs w:val="20"/>
                <w:color w:val="auto"/>
              </w:rPr>
            </w:pPr>
            <w:r>
              <w:rPr>
                <w:rFonts w:ascii="Arial" w:cs="Arial" w:eastAsia="Arial" w:hAnsi="Arial"/>
                <w:sz w:val="22"/>
                <w:szCs w:val="22"/>
                <w:b w:val="1"/>
                <w:bCs w:val="1"/>
                <w:color w:val="auto"/>
              </w:rPr>
              <w:t>Operational Definition</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shd w:val="clear" w:color="auto" w:fill="D9D9D9"/>
          </w:tcPr>
          <w:p>
            <w:pPr>
              <w:ind w:left="640"/>
              <w:spacing w:after="0"/>
              <w:rPr>
                <w:sz w:val="20"/>
                <w:szCs w:val="20"/>
                <w:color w:val="auto"/>
              </w:rPr>
            </w:pPr>
            <w:r>
              <w:rPr>
                <w:rFonts w:ascii="Arial" w:cs="Arial" w:eastAsia="Arial" w:hAnsi="Arial"/>
                <w:sz w:val="22"/>
                <w:szCs w:val="22"/>
                <w:b w:val="1"/>
                <w:bCs w:val="1"/>
                <w:color w:val="auto"/>
              </w:rPr>
              <w:t>Performance Attribute</w:t>
            </w:r>
          </w:p>
        </w:tc>
        <w:tc>
          <w:tcPr>
            <w:tcW w:w="6840" w:type="dxa"/>
            <w:vAlign w:val="bottom"/>
            <w:tcBorders>
              <w:right w:val="single" w:sz="8" w:color="auto"/>
            </w:tcBorders>
            <w:shd w:val="clear" w:color="auto" w:fill="D9D9D9"/>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shd w:val="clear" w:color="auto" w:fill="D9D9D9"/>
          </w:tcPr>
          <w:p>
            <w:pPr>
              <w:spacing w:after="0"/>
              <w:rPr>
                <w:sz w:val="17"/>
                <w:szCs w:val="17"/>
                <w:color w:val="auto"/>
              </w:rPr>
            </w:pPr>
          </w:p>
        </w:tc>
        <w:tc>
          <w:tcPr>
            <w:tcW w:w="6840" w:type="dxa"/>
            <w:vAlign w:val="bottom"/>
            <w:tcBorders>
              <w:bottom w:val="single" w:sz="8" w:color="auto"/>
              <w:right w:val="single" w:sz="8" w:color="auto"/>
            </w:tcBorders>
            <w:shd w:val="clear" w:color="auto" w:fill="D9D9D9"/>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Order/Shipment Accuracy</w:t>
            </w:r>
          </w:p>
        </w:tc>
        <w:tc>
          <w:tcPr>
            <w:tcW w:w="68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Any order not shipped to manufacturer order requirements (such as mispick</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68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quantity, mispick item, keying error etc.)</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Late to Standard Orders</w:t>
            </w:r>
          </w:p>
        </w:tc>
        <w:tc>
          <w:tcPr>
            <w:tcW w:w="68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Any order that is received by cut-off or agreed upon time and is not shipped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68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by agreed upon time.</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SPS Inventory Exceptions</w:t>
            </w:r>
          </w:p>
        </w:tc>
        <w:tc>
          <w:tcPr>
            <w:tcW w:w="68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Measures Inventory Overages, Inventory Shortages, SPS Damages,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68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Unexplained Product Damages and Missing Labels.</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Inbound Receiving Exceptions</w:t>
            </w:r>
          </w:p>
        </w:tc>
        <w:tc>
          <w:tcPr>
            <w:tcW w:w="68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6"/>
              </w:rPr>
              <w:t>Measures Inbound Broken or Missing Seal, Inbound Damages, Inbound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68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Incorrect Documentation, Inbound Missing Documentation, Inbound</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68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3"/>
              </w:rPr>
              <w:t>Overages, Inbound Shortages, Inbound Temperature Excursions, Inbound</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68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Missing Labels and Inbound Partial Cases.</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2"/>
                <w:szCs w:val="22"/>
                <w:color w:val="auto"/>
              </w:rPr>
              <w:t>Invoice Collection Process Lead</w:t>
            </w:r>
          </w:p>
        </w:tc>
        <w:tc>
          <w:tcPr>
            <w:tcW w:w="6840" w:type="dxa"/>
            <w:vAlign w:val="bottom"/>
            <w:tcBorders>
              <w:right w:val="single" w:sz="8" w:color="auto"/>
            </w:tcBorders>
          </w:tcPr>
          <w:p>
            <w:pPr>
              <w:ind w:left="60"/>
              <w:spacing w:after="0" w:line="209" w:lineRule="exact"/>
              <w:rPr>
                <w:sz w:val="20"/>
                <w:szCs w:val="20"/>
                <w:color w:val="auto"/>
              </w:rPr>
            </w:pPr>
            <w:r>
              <w:rPr>
                <w:rFonts w:ascii="Arial" w:cs="Arial" w:eastAsia="Arial" w:hAnsi="Arial"/>
                <w:sz w:val="22"/>
                <w:szCs w:val="22"/>
                <w:color w:val="auto"/>
                <w:w w:val="87"/>
              </w:rPr>
              <w:t>Measures from the date the invoice is created to the date the invoice is cleared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ind w:left="100"/>
              <w:spacing w:after="0" w:line="249" w:lineRule="exact"/>
              <w:rPr>
                <w:sz w:val="20"/>
                <w:szCs w:val="20"/>
                <w:color w:val="auto"/>
              </w:rPr>
            </w:pPr>
            <w:r>
              <w:rPr>
                <w:rFonts w:ascii="Arial" w:cs="Arial" w:eastAsia="Arial" w:hAnsi="Arial"/>
                <w:sz w:val="22"/>
                <w:szCs w:val="22"/>
                <w:color w:val="auto"/>
              </w:rPr>
              <w:t>Time</w:t>
            </w:r>
          </w:p>
        </w:tc>
        <w:tc>
          <w:tcPr>
            <w:tcW w:w="6840" w:type="dxa"/>
            <w:vAlign w:val="bottom"/>
            <w:tcBorders>
              <w:right w:val="single" w:sz="8" w:color="auto"/>
            </w:tcBorders>
          </w:tcPr>
          <w:p>
            <w:pPr>
              <w:ind w:left="60"/>
              <w:spacing w:after="0" w:line="249" w:lineRule="exact"/>
              <w:rPr>
                <w:sz w:val="20"/>
                <w:szCs w:val="20"/>
                <w:color w:val="auto"/>
              </w:rPr>
            </w:pPr>
            <w:r>
              <w:rPr>
                <w:rFonts w:ascii="Arial" w:cs="Arial" w:eastAsia="Arial" w:hAnsi="Arial"/>
                <w:sz w:val="22"/>
                <w:szCs w:val="22"/>
                <w:color w:val="auto"/>
                <w:w w:val="91"/>
              </w:rPr>
              <w:t xml:space="preserve">from Accounts Receivable. </w:t>
            </w:r>
            <w:r>
              <w:rPr>
                <w:rFonts w:ascii="Arial" w:cs="Arial" w:eastAsia="Arial" w:hAnsi="Arial"/>
                <w:sz w:val="22"/>
                <w:szCs w:val="22"/>
                <w:b w:val="1"/>
                <w:bCs w:val="1"/>
                <w:color w:val="auto"/>
                <w:w w:val="91"/>
              </w:rPr>
              <w:t>Please Note</w:t>
            </w:r>
            <w:r>
              <w:rPr>
                <w:rFonts w:ascii="Arial" w:cs="Arial" w:eastAsia="Arial" w:hAnsi="Arial"/>
                <w:sz w:val="22"/>
                <w:szCs w:val="22"/>
                <w:color w:val="auto"/>
                <w:w w:val="91"/>
              </w:rPr>
              <w:t>: If an account is in a credit balance</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68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8"/>
              </w:rPr>
              <w:t>position or terms are extended beyond the initial terms invoiced, these</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68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6"/>
              </w:rPr>
              <w:t>transactions will be included in the metric and may increase the count of</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68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invoices collected greater than [**].</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4020" w:type="dxa"/>
            <w:vAlign w:val="bottom"/>
            <w:gridSpan w:val="2"/>
            <w:vMerge w:val="restart"/>
          </w:tcPr>
          <w:p>
            <w:pPr>
              <w:spacing w:after="0"/>
              <w:rPr>
                <w:sz w:val="20"/>
                <w:szCs w:val="20"/>
                <w:color w:val="auto"/>
              </w:rPr>
            </w:pPr>
            <w:r>
              <w:rPr>
                <w:rFonts w:ascii="Arial" w:cs="Arial" w:eastAsia="Arial" w:hAnsi="Arial"/>
                <w:sz w:val="16"/>
                <w:szCs w:val="16"/>
                <w:color w:val="auto"/>
              </w:rPr>
              <w:t>ActiveUS 172391979v.1</w:t>
            </w:r>
          </w:p>
        </w:tc>
        <w:tc>
          <w:tcPr>
            <w:tcW w:w="6840" w:type="dxa"/>
            <w:vAlign w:val="bottom"/>
          </w:tcPr>
          <w:p>
            <w:pPr>
              <w:ind w:left="1580"/>
              <w:spacing w:after="0"/>
              <w:rPr>
                <w:sz w:val="20"/>
                <w:szCs w:val="20"/>
                <w:color w:val="auto"/>
              </w:rPr>
            </w:pPr>
            <w:r>
              <w:rPr>
                <w:rFonts w:ascii="Arial" w:cs="Arial" w:eastAsia="Arial" w:hAnsi="Arial"/>
                <w:sz w:val="22"/>
                <w:szCs w:val="22"/>
                <w:color w:val="auto"/>
              </w:rPr>
              <w:t>27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20" w:type="dxa"/>
            <w:vAlign w:val="bottom"/>
            <w:gridSpan w:val="2"/>
            <w:vMerge w:val="continue"/>
          </w:tcPr>
          <w:p>
            <w:pPr>
              <w:spacing w:after="0"/>
              <w:rPr>
                <w:sz w:val="16"/>
                <w:szCs w:val="16"/>
                <w:color w:val="auto"/>
              </w:rPr>
            </w:pPr>
          </w:p>
        </w:tc>
        <w:tc>
          <w:tcPr>
            <w:tcW w:w="6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6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25" w:name="page226"/>
    <w:bookmarkEnd w:id="225"/>
    <w:tbl>
      <w:tblPr>
        <w:tblLayout w:type="fixed"/>
        <w:tblInd w:w="590" w:type="dxa"/>
        <w:tblCellMar>
          <w:top w:w="0" w:type="dxa"/>
          <w:left w:w="0" w:type="dxa"/>
          <w:bottom w:w="0" w:type="dxa"/>
          <w:right w:w="0" w:type="dxa"/>
        </w:tblCellMar>
      </w:tblPr>
      <w:tr>
        <w:trPr>
          <w:trHeight w:val="229"/>
        </w:trPr>
        <w:tc>
          <w:tcPr>
            <w:tcW w:w="3440" w:type="dxa"/>
            <w:vAlign w:val="bottom"/>
            <w:tcBorders>
              <w:top w:val="single" w:sz="8" w:color="auto"/>
              <w:left w:val="single" w:sz="8" w:color="auto"/>
              <w:right w:val="single" w:sz="8" w:color="auto"/>
            </w:tcBorders>
            <w:shd w:val="clear" w:color="auto" w:fill="D9D9D9"/>
          </w:tcPr>
          <w:p>
            <w:pPr>
              <w:ind w:left="1240"/>
              <w:spacing w:after="0" w:line="229" w:lineRule="exact"/>
              <w:rPr>
                <w:sz w:val="20"/>
                <w:szCs w:val="20"/>
                <w:color w:val="auto"/>
              </w:rPr>
            </w:pPr>
            <w:r>
              <w:rPr>
                <w:rFonts w:ascii="Arial" w:cs="Arial" w:eastAsia="Arial" w:hAnsi="Arial"/>
                <w:sz w:val="22"/>
                <w:szCs w:val="22"/>
                <w:b w:val="1"/>
                <w:bCs w:val="1"/>
                <w:color w:val="auto"/>
              </w:rPr>
              <w:t>Measured</w:t>
            </w:r>
          </w:p>
        </w:tc>
        <w:tc>
          <w:tcPr>
            <w:tcW w:w="6840" w:type="dxa"/>
            <w:vAlign w:val="bottom"/>
            <w:tcBorders>
              <w:top w:val="single" w:sz="8" w:color="auto"/>
              <w:right w:val="single" w:sz="8" w:color="auto"/>
            </w:tcBorders>
            <w:shd w:val="clear" w:color="auto" w:fill="D9D9D9"/>
          </w:tcPr>
          <w:p>
            <w:pPr>
              <w:ind w:left="2360"/>
              <w:spacing w:after="0" w:line="229" w:lineRule="exact"/>
              <w:rPr>
                <w:sz w:val="20"/>
                <w:szCs w:val="20"/>
                <w:color w:val="auto"/>
              </w:rPr>
            </w:pPr>
            <w:r>
              <w:rPr>
                <w:rFonts w:ascii="Arial" w:cs="Arial" w:eastAsia="Arial" w:hAnsi="Arial"/>
                <w:sz w:val="22"/>
                <w:szCs w:val="22"/>
                <w:b w:val="1"/>
                <w:bCs w:val="1"/>
                <w:color w:val="auto"/>
              </w:rPr>
              <w:t>Operational Definition</w:t>
            </w:r>
          </w:p>
        </w:tc>
      </w:tr>
      <w:tr>
        <w:trPr>
          <w:trHeight w:val="281"/>
        </w:trPr>
        <w:tc>
          <w:tcPr>
            <w:tcW w:w="3440" w:type="dxa"/>
            <w:vAlign w:val="bottom"/>
            <w:tcBorders>
              <w:left w:val="single" w:sz="8" w:color="auto"/>
              <w:right w:val="single" w:sz="8" w:color="auto"/>
            </w:tcBorders>
            <w:shd w:val="clear" w:color="auto" w:fill="D9D9D9"/>
          </w:tcPr>
          <w:p>
            <w:pPr>
              <w:ind w:left="660"/>
              <w:spacing w:after="0"/>
              <w:rPr>
                <w:sz w:val="20"/>
                <w:szCs w:val="20"/>
                <w:color w:val="auto"/>
              </w:rPr>
            </w:pPr>
            <w:r>
              <w:rPr>
                <w:rFonts w:ascii="Arial" w:cs="Arial" w:eastAsia="Arial" w:hAnsi="Arial"/>
                <w:sz w:val="22"/>
                <w:szCs w:val="22"/>
                <w:b w:val="1"/>
                <w:bCs w:val="1"/>
                <w:color w:val="auto"/>
              </w:rPr>
              <w:t>Performance Attribute</w:t>
            </w:r>
          </w:p>
        </w:tc>
        <w:tc>
          <w:tcPr>
            <w:tcW w:w="6840" w:type="dxa"/>
            <w:vAlign w:val="bottom"/>
            <w:tcBorders>
              <w:right w:val="single" w:sz="8" w:color="auto"/>
            </w:tcBorders>
            <w:shd w:val="clear" w:color="auto" w:fill="D9D9D9"/>
          </w:tcPr>
          <w:p>
            <w:pPr>
              <w:spacing w:after="0"/>
              <w:rPr>
                <w:sz w:val="24"/>
                <w:szCs w:val="24"/>
                <w:color w:val="auto"/>
              </w:rPr>
            </w:pPr>
          </w:p>
        </w:tc>
      </w:tr>
      <w:tr>
        <w:trPr>
          <w:trHeight w:val="206"/>
        </w:trPr>
        <w:tc>
          <w:tcPr>
            <w:tcW w:w="344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684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15"/>
        </w:trPr>
        <w:tc>
          <w:tcPr>
            <w:tcW w:w="34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Chargeback Process Lead Time</w:t>
            </w:r>
          </w:p>
        </w:tc>
        <w:tc>
          <w:tcPr>
            <w:tcW w:w="68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8"/>
              </w:rPr>
              <w:t>Measures from the date the chargeback is available to process to the date the</w:t>
            </w:r>
          </w:p>
        </w:tc>
      </w:tr>
      <w:tr>
        <w:trPr>
          <w:trHeight w:val="275"/>
        </w:trPr>
        <w:tc>
          <w:tcPr>
            <w:tcW w:w="3440" w:type="dxa"/>
            <w:vAlign w:val="bottom"/>
            <w:tcBorders>
              <w:left w:val="single" w:sz="8" w:color="auto"/>
              <w:right w:val="single" w:sz="8" w:color="auto"/>
            </w:tcBorders>
          </w:tcPr>
          <w:p>
            <w:pPr>
              <w:spacing w:after="0"/>
              <w:rPr>
                <w:sz w:val="23"/>
                <w:szCs w:val="23"/>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credit is issued. This metric includes manual and EDI Chargebacks.</w:t>
            </w:r>
          </w:p>
        </w:tc>
      </w:tr>
      <w:tr>
        <w:trPr>
          <w:trHeight w:val="206"/>
        </w:trPr>
        <w:tc>
          <w:tcPr>
            <w:tcW w:w="3440" w:type="dxa"/>
            <w:vAlign w:val="bottom"/>
            <w:tcBorders>
              <w:left w:val="single" w:sz="8" w:color="auto"/>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r>
      <w:tr>
        <w:trPr>
          <w:trHeight w:val="215"/>
        </w:trPr>
        <w:tc>
          <w:tcPr>
            <w:tcW w:w="34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6"/>
              </w:rPr>
              <w:t>Return Authorization Process Lead</w:t>
            </w:r>
          </w:p>
        </w:tc>
        <w:tc>
          <w:tcPr>
            <w:tcW w:w="68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Measures from the date the Return Authorization is requested by the</w:t>
            </w:r>
          </w:p>
        </w:tc>
      </w:tr>
      <w:tr>
        <w:trPr>
          <w:trHeight w:val="275"/>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Time</w:t>
            </w: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customer to the date the Return Authorization is issued.</w:t>
            </w:r>
          </w:p>
        </w:tc>
      </w:tr>
      <w:tr>
        <w:trPr>
          <w:trHeight w:val="206"/>
        </w:trPr>
        <w:tc>
          <w:tcPr>
            <w:tcW w:w="3440" w:type="dxa"/>
            <w:vAlign w:val="bottom"/>
            <w:tcBorders>
              <w:left w:val="single" w:sz="8" w:color="auto"/>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r>
      <w:tr>
        <w:trPr>
          <w:trHeight w:val="215"/>
        </w:trPr>
        <w:tc>
          <w:tcPr>
            <w:tcW w:w="34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Return Process Lead Time</w:t>
            </w:r>
          </w:p>
        </w:tc>
        <w:tc>
          <w:tcPr>
            <w:tcW w:w="68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9"/>
              </w:rPr>
              <w:t>Measures from the date of the physical return to the date the Return Credit is</w:t>
            </w:r>
          </w:p>
        </w:tc>
      </w:tr>
      <w:tr>
        <w:trPr>
          <w:trHeight w:val="275"/>
        </w:trPr>
        <w:tc>
          <w:tcPr>
            <w:tcW w:w="3440" w:type="dxa"/>
            <w:vAlign w:val="bottom"/>
            <w:tcBorders>
              <w:left w:val="single" w:sz="8" w:color="auto"/>
              <w:right w:val="single" w:sz="8" w:color="auto"/>
            </w:tcBorders>
          </w:tcPr>
          <w:p>
            <w:pPr>
              <w:spacing w:after="0"/>
              <w:rPr>
                <w:sz w:val="23"/>
                <w:szCs w:val="23"/>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issued.</w:t>
            </w:r>
          </w:p>
        </w:tc>
      </w:tr>
      <w:tr>
        <w:trPr>
          <w:trHeight w:val="206"/>
        </w:trPr>
        <w:tc>
          <w:tcPr>
            <w:tcW w:w="3440" w:type="dxa"/>
            <w:vAlign w:val="bottom"/>
            <w:tcBorders>
              <w:left w:val="single" w:sz="8" w:color="auto"/>
              <w:bottom w:val="single" w:sz="8" w:color="auto"/>
              <w:right w:val="single" w:sz="8" w:color="auto"/>
            </w:tcBorders>
          </w:tcPr>
          <w:p>
            <w:pPr>
              <w:spacing w:after="0"/>
              <w:rPr>
                <w:sz w:val="17"/>
                <w:szCs w:val="17"/>
                <w:color w:val="auto"/>
              </w:rPr>
            </w:pPr>
          </w:p>
        </w:tc>
        <w:tc>
          <w:tcPr>
            <w:tcW w:w="684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p>
      <w:pPr>
        <w:ind w:left="600" w:hanging="592"/>
        <w:spacing w:after="0"/>
        <w:tabs>
          <w:tab w:leader="none" w:pos="60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RECORD RETENTION GUIDELINES (Customer Operations)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objective of these guidelines is to establish uniform procedures for the maintenance, storage and destruction of company records under the control of Cardinal Health. The records are documentation produced through order management, accounts receivable, returns management and chargeback management. The records do not include transactions that are electronically preserved in the Enterprise Resource Planning (“</w:t>
      </w:r>
      <w:r>
        <w:rPr>
          <w:rFonts w:ascii="Arial" w:cs="Arial" w:eastAsia="Arial" w:hAnsi="Arial"/>
          <w:sz w:val="19"/>
          <w:szCs w:val="19"/>
          <w:b w:val="1"/>
          <w:bCs w:val="1"/>
          <w:color w:val="auto"/>
        </w:rPr>
        <w:t>ERP</w:t>
      </w:r>
      <w:r>
        <w:rPr>
          <w:rFonts w:ascii="Arial" w:cs="Arial" w:eastAsia="Arial" w:hAnsi="Arial"/>
          <w:sz w:val="19"/>
          <w:szCs w:val="19"/>
          <w:color w:val="auto"/>
        </w:rPr>
        <w:t>”) System, Elite Series System or the Bid and Contract Chargeback System (“</w:t>
      </w:r>
      <w:r>
        <w:rPr>
          <w:rFonts w:ascii="Arial" w:cs="Arial" w:eastAsia="Arial" w:hAnsi="Arial"/>
          <w:sz w:val="19"/>
          <w:szCs w:val="19"/>
          <w:b w:val="1"/>
          <w:bCs w:val="1"/>
          <w:color w:val="auto"/>
        </w:rPr>
        <w:t>BACCS</w:t>
      </w:r>
      <w:r>
        <w:rPr>
          <w:rFonts w:ascii="Arial" w:cs="Arial" w:eastAsia="Arial" w:hAnsi="Arial"/>
          <w:sz w:val="19"/>
          <w:szCs w:val="19"/>
          <w:color w:val="auto"/>
        </w:rPr>
        <w:t>”) and the Returns (“</w:t>
      </w:r>
      <w:r>
        <w:rPr>
          <w:rFonts w:ascii="Arial" w:cs="Arial" w:eastAsia="Arial" w:hAnsi="Arial"/>
          <w:sz w:val="19"/>
          <w:szCs w:val="19"/>
          <w:b w:val="1"/>
          <w:bCs w:val="1"/>
          <w:color w:val="auto"/>
        </w:rPr>
        <w:t>IMPRS</w:t>
      </w:r>
      <w:r>
        <w:rPr>
          <w:rFonts w:ascii="Arial" w:cs="Arial" w:eastAsia="Arial" w:hAnsi="Arial"/>
          <w:sz w:val="19"/>
          <w:szCs w:val="19"/>
          <w:color w:val="auto"/>
        </w:rPr>
        <w:t>”) System. Electronic systems are maintained by the EIT group and that group has responsibility for coordinating any appropriate record purge with any and all affected parties.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w:t>
      </w:r>
    </w:p>
    <w:p>
      <w:pPr>
        <w:spacing w:after="0" w:line="212" w:lineRule="exact"/>
        <w:rPr>
          <w:sz w:val="20"/>
          <w:szCs w:val="20"/>
          <w:color w:val="auto"/>
        </w:rPr>
      </w:pPr>
    </w:p>
    <w:p>
      <w:pPr>
        <w:jc w:val="both"/>
        <w:ind w:left="880" w:hanging="400"/>
        <w:spacing w:after="0"/>
        <w:tabs>
          <w:tab w:leader="none" w:pos="8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Records are locally housed in file cabinets or in storage boxes that have been labeled for content. Labeling of boxes is uniform, by client, by function and by date. Boxes are numbered and recorded on a record retention list that is maintained in customer operations.</w:t>
      </w:r>
    </w:p>
    <w:p>
      <w:pPr>
        <w:spacing w:after="0" w:line="186" w:lineRule="exact"/>
        <w:rPr>
          <w:rFonts w:ascii="Arial" w:cs="Arial" w:eastAsia="Arial" w:hAnsi="Arial"/>
          <w:sz w:val="22"/>
          <w:szCs w:val="22"/>
          <w:color w:val="auto"/>
        </w:rPr>
      </w:pPr>
    </w:p>
    <w:p>
      <w:pPr>
        <w:jc w:val="both"/>
        <w:ind w:left="880" w:hanging="400"/>
        <w:spacing w:after="0" w:line="258" w:lineRule="auto"/>
        <w:tabs>
          <w:tab w:leader="none" w:pos="82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Records should be retained for the period designated on the attached Records Retention Schedule. The retention periods have been established based on business need and/or requirements under applicable state and federal laws and regulations. Retention periods are based upon the calendar year in which the records are created.</w:t>
      </w:r>
    </w:p>
    <w:p>
      <w:pPr>
        <w:spacing w:after="0" w:line="166" w:lineRule="exact"/>
        <w:rPr>
          <w:rFonts w:ascii="Arial" w:cs="Arial" w:eastAsia="Arial" w:hAnsi="Arial"/>
          <w:sz w:val="21"/>
          <w:szCs w:val="21"/>
          <w:color w:val="auto"/>
        </w:rPr>
      </w:pPr>
    </w:p>
    <w:p>
      <w:pPr>
        <w:jc w:val="both"/>
        <w:ind w:left="880" w:hanging="400"/>
        <w:spacing w:after="0" w:line="234" w:lineRule="auto"/>
        <w:tabs>
          <w:tab w:leader="none" w:pos="82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Records should be discarded/destroyed or should be forwarded to the Client at the Client’s request, at the conclusion of the applicable retention period. Cardinal Health will participate in regularly scheduled clean-up sessions to ensure that unnecessary records are destroyed on a timely basis. Cardinal Health will provide the client with a listing of records that are eligible for destruction. Client has [**] to review the list and approve records for destruction or to take ownership. If Cardinal Health does not receive an answer within [**], Cardinal Health will (at Client’s expense) forward such records to Client’s corporate office. Record destruction must be approved by the Client and fees assessed as set forth in the Fee Schedule.</w:t>
      </w:r>
    </w:p>
    <w:p>
      <w:pPr>
        <w:spacing w:after="0" w:line="191" w:lineRule="exact"/>
        <w:rPr>
          <w:rFonts w:ascii="Arial" w:cs="Arial" w:eastAsia="Arial" w:hAnsi="Arial"/>
          <w:sz w:val="22"/>
          <w:szCs w:val="22"/>
          <w:color w:val="auto"/>
        </w:rPr>
      </w:pPr>
    </w:p>
    <w:p>
      <w:pPr>
        <w:jc w:val="both"/>
        <w:ind w:left="880" w:hanging="400"/>
        <w:spacing w:after="0" w:line="252" w:lineRule="auto"/>
        <w:tabs>
          <w:tab w:leader="none" w:pos="808" w:val="left"/>
        </w:tabs>
        <w:numPr>
          <w:ilvl w:val="0"/>
          <w:numId w:val="160"/>
        </w:numPr>
        <w:rPr>
          <w:rFonts w:ascii="Arial" w:cs="Arial" w:eastAsia="Arial" w:hAnsi="Arial"/>
          <w:sz w:val="21"/>
          <w:szCs w:val="21"/>
          <w:color w:val="auto"/>
        </w:rPr>
      </w:pPr>
      <w:r>
        <w:rPr>
          <w:rFonts w:ascii="Arial" w:cs="Arial" w:eastAsia="Arial" w:hAnsi="Arial"/>
          <w:sz w:val="21"/>
          <w:szCs w:val="21"/>
          <w:color w:val="auto"/>
        </w:rPr>
        <w:t>Records that are not ordinarily subject to retention but need to be retained due to unusual circumstances, such as litigation or government investigation will be maintained as directed by the client or as directed by the Cardinal Health Legal Department. The Client will notify the Relationship Manager or the Customer Operations Director in writing stipulating which records are affected and the requirements for the records affected.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26" w:name="page227"/>
    <w:bookmarkEnd w:id="226"/>
    <w:p>
      <w:pPr>
        <w:ind w:right="600" w:firstLine="472"/>
        <w:spacing w:after="0" w:line="445" w:lineRule="auto"/>
        <w:rPr>
          <w:sz w:val="20"/>
          <w:szCs w:val="20"/>
          <w:color w:val="auto"/>
        </w:rPr>
      </w:pPr>
      <w:r>
        <w:rPr>
          <w:rFonts w:ascii="Arial" w:cs="Arial" w:eastAsia="Arial" w:hAnsi="Arial"/>
          <w:sz w:val="22"/>
          <w:szCs w:val="22"/>
          <w:color w:val="auto"/>
        </w:rPr>
        <w:t xml:space="preserve">5. If services are terminated, Customer Operations records will be sent to the client within [**] of the termination date. </w:t>
      </w:r>
      <w:r>
        <w:rPr>
          <w:rFonts w:ascii="Arial" w:cs="Arial" w:eastAsia="Arial" w:hAnsi="Arial"/>
          <w:sz w:val="22"/>
          <w:szCs w:val="22"/>
          <w:b w:val="1"/>
          <w:bCs w:val="1"/>
          <w:color w:val="auto"/>
        </w:rPr>
        <w:t>RECORD RETENTION SCHEDULE</w:t>
      </w:r>
    </w:p>
    <w:tbl>
      <w:tblPr>
        <w:tblLayout w:type="fixed"/>
        <w:tblInd w:w="30" w:type="dxa"/>
        <w:tblCellMar>
          <w:top w:w="0" w:type="dxa"/>
          <w:left w:w="0" w:type="dxa"/>
          <w:bottom w:w="0" w:type="dxa"/>
          <w:right w:w="0" w:type="dxa"/>
        </w:tblCellMar>
      </w:tblPr>
      <w:tr>
        <w:trPr>
          <w:trHeight w:val="276"/>
        </w:trPr>
        <w:tc>
          <w:tcPr>
            <w:tcW w:w="4500" w:type="dxa"/>
            <w:vAlign w:val="bottom"/>
            <w:tcBorders>
              <w:top w:val="single" w:sz="8" w:color="auto"/>
              <w:left w:val="single" w:sz="8" w:color="auto"/>
              <w:right w:val="single" w:sz="8" w:color="auto"/>
            </w:tcBorders>
            <w:shd w:val="clear" w:color="auto" w:fill="D9D9D9"/>
          </w:tcPr>
          <w:p>
            <w:pPr>
              <w:ind w:left="1520"/>
              <w:spacing w:after="0"/>
              <w:rPr>
                <w:sz w:val="20"/>
                <w:szCs w:val="20"/>
                <w:color w:val="auto"/>
              </w:rPr>
            </w:pPr>
            <w:r>
              <w:rPr>
                <w:rFonts w:ascii="Arial" w:cs="Arial" w:eastAsia="Arial" w:hAnsi="Arial"/>
                <w:sz w:val="22"/>
                <w:szCs w:val="22"/>
                <w:b w:val="1"/>
                <w:bCs w:val="1"/>
                <w:color w:val="auto"/>
              </w:rPr>
              <w:t>Document Type</w:t>
            </w:r>
          </w:p>
        </w:tc>
        <w:tc>
          <w:tcPr>
            <w:tcW w:w="2860" w:type="dxa"/>
            <w:vAlign w:val="bottom"/>
            <w:tcBorders>
              <w:top w:val="single" w:sz="8" w:color="auto"/>
              <w:right w:val="single" w:sz="8" w:color="auto"/>
            </w:tcBorders>
            <w:shd w:val="clear" w:color="auto" w:fill="D9D9D9"/>
          </w:tcPr>
          <w:p>
            <w:pPr>
              <w:jc w:val="right"/>
              <w:ind w:right="52"/>
              <w:spacing w:after="0"/>
              <w:rPr>
                <w:sz w:val="20"/>
                <w:szCs w:val="20"/>
                <w:color w:val="auto"/>
              </w:rPr>
            </w:pPr>
            <w:r>
              <w:rPr>
                <w:rFonts w:ascii="Arial" w:cs="Arial" w:eastAsia="Arial" w:hAnsi="Arial"/>
                <w:sz w:val="22"/>
                <w:szCs w:val="22"/>
                <w:b w:val="1"/>
                <w:bCs w:val="1"/>
                <w:color w:val="auto"/>
                <w:w w:val="92"/>
              </w:rPr>
              <w:t>Document Retention Period</w:t>
            </w:r>
          </w:p>
        </w:tc>
        <w:tc>
          <w:tcPr>
            <w:tcW w:w="4060" w:type="dxa"/>
            <w:vAlign w:val="bottom"/>
            <w:tcBorders>
              <w:top w:val="single" w:sz="8" w:color="auto"/>
              <w:right w:val="single" w:sz="8" w:color="auto"/>
            </w:tcBorders>
            <w:shd w:val="clear" w:color="auto" w:fill="D9D9D9"/>
          </w:tcPr>
          <w:p>
            <w:pPr>
              <w:jc w:val="right"/>
              <w:ind w:right="1212"/>
              <w:spacing w:after="0"/>
              <w:rPr>
                <w:sz w:val="20"/>
                <w:szCs w:val="20"/>
                <w:color w:val="auto"/>
              </w:rPr>
            </w:pPr>
            <w:r>
              <w:rPr>
                <w:rFonts w:ascii="Arial" w:cs="Arial" w:eastAsia="Arial" w:hAnsi="Arial"/>
                <w:sz w:val="22"/>
                <w:szCs w:val="22"/>
                <w:b w:val="1"/>
                <w:bCs w:val="1"/>
                <w:color w:val="auto"/>
              </w:rPr>
              <w:t>Storage Method</w:t>
            </w:r>
          </w:p>
        </w:tc>
      </w:tr>
      <w:tr>
        <w:trPr>
          <w:trHeight w:val="179"/>
        </w:trPr>
        <w:tc>
          <w:tcPr>
            <w:tcW w:w="45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2860" w:type="dxa"/>
            <w:vAlign w:val="bottom"/>
            <w:tcBorders>
              <w:bottom w:val="single" w:sz="8" w:color="auto"/>
              <w:right w:val="single" w:sz="8" w:color="auto"/>
            </w:tcBorders>
            <w:shd w:val="clear" w:color="auto" w:fill="D9D9D9"/>
          </w:tcPr>
          <w:p>
            <w:pPr>
              <w:spacing w:after="0"/>
              <w:rPr>
                <w:sz w:val="15"/>
                <w:szCs w:val="15"/>
                <w:color w:val="auto"/>
              </w:rPr>
            </w:pPr>
          </w:p>
        </w:tc>
        <w:tc>
          <w:tcPr>
            <w:tcW w:w="40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I. Customer Service</w:t>
            </w:r>
          </w:p>
        </w:tc>
        <w:tc>
          <w:tcPr>
            <w:tcW w:w="28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Customer order records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Patient Assistance Orders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Price Notifications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Adverse Events Notifications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Freight Claims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Bills of Lading</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Customer Set-up &amp; Maintenance</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PAP Customer Set-Up</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Invoice Adjustments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860" w:type="dxa"/>
            <w:vAlign w:val="bottom"/>
            <w:tcBorders>
              <w:bottom w:val="single" w:sz="8" w:color="auto"/>
              <w:right w:val="single" w:sz="8" w:color="auto"/>
            </w:tcBorders>
            <w:shd w:val="clear" w:color="auto" w:fill="D9D9D9"/>
          </w:tcPr>
          <w:p>
            <w:pPr>
              <w:spacing w:after="0"/>
              <w:rPr>
                <w:sz w:val="20"/>
                <w:szCs w:val="20"/>
                <w:color w:val="auto"/>
              </w:rPr>
            </w:pPr>
          </w:p>
        </w:tc>
        <w:tc>
          <w:tcPr>
            <w:tcW w:w="406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II. Accounts Receivable</w:t>
            </w:r>
          </w:p>
        </w:tc>
        <w:tc>
          <w:tcPr>
            <w:tcW w:w="28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Customer Invoices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Invoice collection documentation</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Cash Receipts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Deduction documentation/resolution</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Month end Close Records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Related correspondence</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III. Returns Management</w:t>
            </w:r>
          </w:p>
        </w:tc>
        <w:tc>
          <w:tcPr>
            <w:tcW w:w="28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Return Authorizations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Return paperwork &amp; credit memo</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Related correspondence</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Return Policy</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Pricing Notification</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860" w:type="dxa"/>
            <w:vAlign w:val="bottom"/>
            <w:tcBorders>
              <w:bottom w:val="single" w:sz="8" w:color="auto"/>
              <w:right w:val="single" w:sz="8" w:color="auto"/>
            </w:tcBorders>
            <w:shd w:val="clear" w:color="auto" w:fill="D9D9D9"/>
          </w:tcPr>
          <w:p>
            <w:pPr>
              <w:spacing w:after="0"/>
              <w:rPr>
                <w:sz w:val="20"/>
                <w:szCs w:val="20"/>
                <w:color w:val="auto"/>
              </w:rPr>
            </w:pPr>
          </w:p>
        </w:tc>
        <w:tc>
          <w:tcPr>
            <w:tcW w:w="406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i w:val="1"/>
                <w:iCs w:val="1"/>
                <w:color w:val="auto"/>
              </w:rPr>
              <w:t>IV. Contracts &amp; Chargebacks</w:t>
            </w:r>
          </w:p>
        </w:tc>
        <w:tc>
          <w:tcPr>
            <w:tcW w:w="28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Contract Set-up/Contract Change</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Contract Price Changes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Pricing Notifications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Chargeback Submissions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Chargeback Rejections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Credit Feed Report</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Membership Rosters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r>
        <w:trPr>
          <w:trHeight w:val="237"/>
        </w:trPr>
        <w:tc>
          <w:tcPr>
            <w:tcW w:w="450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Membership changes/notifications</w:t>
            </w:r>
          </w:p>
        </w:tc>
        <w:tc>
          <w:tcPr>
            <w:tcW w:w="2860" w:type="dxa"/>
            <w:vAlign w:val="bottom"/>
            <w:tcBorders>
              <w:bottom w:val="single" w:sz="8" w:color="auto"/>
              <w:right w:val="single" w:sz="8" w:color="auto"/>
            </w:tcBorders>
          </w:tcPr>
          <w:p>
            <w:pPr>
              <w:jc w:val="right"/>
              <w:ind w:right="2332"/>
              <w:spacing w:after="0" w:line="237" w:lineRule="exact"/>
              <w:rPr>
                <w:sz w:val="20"/>
                <w:szCs w:val="20"/>
                <w:color w:val="auto"/>
              </w:rPr>
            </w:pPr>
            <w:r>
              <w:rPr>
                <w:rFonts w:ascii="Arial" w:cs="Arial" w:eastAsia="Arial" w:hAnsi="Arial"/>
                <w:sz w:val="22"/>
                <w:szCs w:val="22"/>
                <w:color w:val="auto"/>
              </w:rPr>
              <w:t>[**]</w:t>
            </w:r>
          </w:p>
        </w:tc>
        <w:tc>
          <w:tcPr>
            <w:tcW w:w="4060" w:type="dxa"/>
            <w:vAlign w:val="bottom"/>
            <w:tcBorders>
              <w:bottom w:val="single" w:sz="8" w:color="auto"/>
              <w:right w:val="single" w:sz="8" w:color="auto"/>
            </w:tcBorders>
          </w:tcPr>
          <w:p>
            <w:pPr>
              <w:jc w:val="right"/>
              <w:ind w:right="3532"/>
              <w:spacing w:after="0" w:line="237" w:lineRule="exact"/>
              <w:rPr>
                <w:sz w:val="20"/>
                <w:szCs w:val="20"/>
                <w:color w:val="auto"/>
              </w:rPr>
            </w:pPr>
            <w:r>
              <w:rPr>
                <w:rFonts w:ascii="Arial" w:cs="Arial" w:eastAsia="Arial" w:hAnsi="Arial"/>
                <w:sz w:val="22"/>
                <w:szCs w:val="22"/>
                <w:color w:val="auto"/>
              </w:rPr>
              <w:t>[**]</w:t>
            </w:r>
          </w:p>
        </w:tc>
      </w:tr>
    </w:tbl>
    <w:p>
      <w:pPr>
        <w:spacing w:after="0" w:line="21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2"/>
          <w:szCs w:val="22"/>
          <w:b w:val="1"/>
          <w:bCs w:val="1"/>
          <w:u w:val="single" w:color="auto"/>
          <w:color w:val="auto"/>
        </w:rPr>
        <w:t>LINE EXTENSIONS</w:t>
      </w:r>
    </w:p>
    <w:p>
      <w:pPr>
        <w:spacing w:after="0" w:line="212" w:lineRule="exact"/>
        <w:rPr>
          <w:sz w:val="20"/>
          <w:szCs w:val="20"/>
          <w:color w:val="auto"/>
        </w:rPr>
      </w:pPr>
    </w:p>
    <w:p>
      <w:pPr>
        <w:ind w:left="1760" w:right="40" w:hanging="741"/>
        <w:spacing w:after="0" w:line="251" w:lineRule="auto"/>
        <w:tabs>
          <w:tab w:leader="none" w:pos="174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22"/>
          <w:szCs w:val="22"/>
          <w:color w:val="auto"/>
        </w:rPr>
        <w:t>Client will provide Cardinal Health Account Management notification not less than [**] prior to receipt of a new product and [**] prior to receipt of an acquired product.</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227" w:name="page228"/>
    <w:bookmarkEnd w:id="227"/>
    <w:p>
      <w:pPr>
        <w:ind w:left="1700" w:hanging="741"/>
        <w:spacing w:after="0" w:line="251" w:lineRule="auto"/>
        <w:tabs>
          <w:tab w:leader="none" w:pos="1680" w:val="left"/>
        </w:tabs>
        <w:rPr>
          <w:sz w:val="20"/>
          <w:szCs w:val="20"/>
          <w:color w:val="auto"/>
        </w:rPr>
      </w:pPr>
      <w:r>
        <w:rPr>
          <w:rFonts w:ascii="Arial" w:cs="Arial" w:eastAsia="Arial" w:hAnsi="Arial"/>
          <w:sz w:val="22"/>
          <w:szCs w:val="22"/>
          <w:color w:val="auto"/>
        </w:rPr>
        <w:t>25.2</w:t>
        <w:tab/>
        <w:t>Client will provide the following information [**] prior to receipt of a new product and [**] prior to receipt of an acquired product:</w:t>
      </w:r>
    </w:p>
    <w:p>
      <w:pPr>
        <w:spacing w:after="0" w:line="173" w:lineRule="exact"/>
        <w:rPr>
          <w:sz w:val="20"/>
          <w:szCs w:val="20"/>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Complete RFI</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Item Set Up</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Trade Letter</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MSDS</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Packing schematics (if applicable)</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Storage / shipping forecast</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Returns Pricing (for acquired Products)</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Return Guidelines (for acquired Products)</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Chargeback Guidelines (for acquired Products)</w:t>
      </w:r>
    </w:p>
    <w:p>
      <w:pPr>
        <w:spacing w:after="0" w:line="206" w:lineRule="exact"/>
        <w:rPr>
          <w:sz w:val="20"/>
          <w:szCs w:val="20"/>
          <w:color w:val="auto"/>
        </w:rPr>
      </w:pPr>
    </w:p>
    <w:p>
      <w:pPr>
        <w:jc w:val="both"/>
        <w:ind w:left="1760" w:hanging="741"/>
        <w:spacing w:after="0"/>
        <w:tabs>
          <w:tab w:leader="none" w:pos="17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22"/>
          <w:szCs w:val="22"/>
          <w:color w:val="auto"/>
        </w:rPr>
        <w:t>Cardinal Health will use commercially reasonable efforts to launch new product within [**] of initial receipt unless count discrepancies, missing paperwork, damage investigation, and other receiving anomalies interfere with efficient receiving and documentation.</w:t>
      </w:r>
    </w:p>
    <w:p>
      <w:pPr>
        <w:spacing w:after="0" w:line="180" w:lineRule="exact"/>
        <w:rPr>
          <w:sz w:val="20"/>
          <w:szCs w:val="20"/>
          <w:color w:val="auto"/>
        </w:rPr>
      </w:pPr>
    </w:p>
    <w:p>
      <w:pPr>
        <w:ind w:left="600" w:hanging="592"/>
        <w:spacing w:after="0"/>
        <w:tabs>
          <w:tab w:leader="none" w:pos="60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RELATIONSHIP MANAGEMENT</w:t>
      </w:r>
    </w:p>
    <w:p>
      <w:pPr>
        <w:spacing w:after="0" w:line="212" w:lineRule="exact"/>
        <w:rPr>
          <w:sz w:val="20"/>
          <w:szCs w:val="20"/>
          <w:color w:val="auto"/>
        </w:rPr>
      </w:pPr>
    </w:p>
    <w:p>
      <w:pPr>
        <w:jc w:val="both"/>
        <w:ind w:left="1740" w:hanging="741"/>
        <w:spacing w:after="0" w:line="277" w:lineRule="auto"/>
        <w:tabs>
          <w:tab w:leader="none" w:pos="172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u w:val="single" w:color="auto"/>
          <w:color w:val="auto"/>
        </w:rPr>
        <w:t>Appointment of Relationship Managers</w:t>
      </w:r>
      <w:r>
        <w:rPr>
          <w:rFonts w:ascii="Arial" w:cs="Arial" w:eastAsia="Arial" w:hAnsi="Arial"/>
          <w:sz w:val="19"/>
          <w:szCs w:val="19"/>
          <w:color w:val="auto"/>
        </w:rPr>
        <w:t>. Each Party will forthwith upon execution of this Agreement appoint</w:t>
      </w:r>
      <w:r>
        <w:rPr>
          <w:rFonts w:ascii="Arial" w:cs="Arial" w:eastAsia="Arial" w:hAnsi="Arial"/>
          <w:sz w:val="19"/>
          <w:szCs w:val="19"/>
          <w:u w:val="single" w:color="auto"/>
          <w:color w:val="auto"/>
        </w:rPr>
        <w:t xml:space="preserve"> </w:t>
      </w:r>
      <w:r>
        <w:rPr>
          <w:rFonts w:ascii="Arial" w:cs="Arial" w:eastAsia="Arial" w:hAnsi="Arial"/>
          <w:sz w:val="19"/>
          <w:szCs w:val="19"/>
          <w:color w:val="auto"/>
        </w:rPr>
        <w:t>one of its employees to be responsible for all aspects of the relationship between the Parties (the “</w:t>
      </w:r>
      <w:r>
        <w:rPr>
          <w:rFonts w:ascii="Arial" w:cs="Arial" w:eastAsia="Arial" w:hAnsi="Arial"/>
          <w:sz w:val="19"/>
          <w:szCs w:val="19"/>
          <w:b w:val="1"/>
          <w:bCs w:val="1"/>
          <w:color w:val="auto"/>
        </w:rPr>
        <w:t>Relationship</w:t>
      </w:r>
      <w:r>
        <w:rPr>
          <w:rFonts w:ascii="Arial" w:cs="Arial" w:eastAsia="Arial" w:hAnsi="Arial"/>
          <w:sz w:val="19"/>
          <w:szCs w:val="19"/>
          <w:color w:val="auto"/>
        </w:rPr>
        <w:t xml:space="preserve"> </w:t>
      </w:r>
      <w:r>
        <w:rPr>
          <w:rFonts w:ascii="Arial" w:cs="Arial" w:eastAsia="Arial" w:hAnsi="Arial"/>
          <w:sz w:val="19"/>
          <w:szCs w:val="19"/>
          <w:b w:val="1"/>
          <w:bCs w:val="1"/>
          <w:color w:val="auto"/>
        </w:rPr>
        <w:t>Manager</w:t>
      </w:r>
      <w:r>
        <w:rPr>
          <w:rFonts w:ascii="Arial" w:cs="Arial" w:eastAsia="Arial" w:hAnsi="Arial"/>
          <w:sz w:val="19"/>
          <w:szCs w:val="19"/>
          <w:color w:val="auto"/>
        </w:rPr>
        <w:t>”) and will promptly thereafter notify the other Party of such appointment. Each Party may replace</w:t>
      </w:r>
      <w:r>
        <w:rPr>
          <w:rFonts w:ascii="Arial" w:cs="Arial" w:eastAsia="Arial" w:hAnsi="Arial"/>
          <w:sz w:val="19"/>
          <w:szCs w:val="19"/>
          <w:b w:val="1"/>
          <w:bCs w:val="1"/>
          <w:color w:val="auto"/>
        </w:rPr>
        <w:t xml:space="preserve"> </w:t>
      </w:r>
      <w:r>
        <w:rPr>
          <w:rFonts w:ascii="Arial" w:cs="Arial" w:eastAsia="Arial" w:hAnsi="Arial"/>
          <w:sz w:val="19"/>
          <w:szCs w:val="19"/>
          <w:color w:val="auto"/>
        </w:rPr>
        <w:t>its Relationship Manager at any time and will fill a vacancy for its Relationship Manager as soon as reasonably practicable. Each Party will promptly notify the other Party of any substitution of another person as its Relationship Manager, Each Party’s Relationship Manager will be available throughout the Term to answer any reasonable questions from the other Party’s Relationship Manager.</w:t>
      </w:r>
    </w:p>
    <w:p>
      <w:pPr>
        <w:spacing w:after="0" w:line="153" w:lineRule="exact"/>
        <w:rPr>
          <w:sz w:val="20"/>
          <w:szCs w:val="20"/>
          <w:color w:val="auto"/>
        </w:rPr>
      </w:pPr>
    </w:p>
    <w:p>
      <w:pPr>
        <w:jc w:val="both"/>
        <w:ind w:left="1760" w:hanging="741"/>
        <w:spacing w:after="0" w:line="235" w:lineRule="auto"/>
        <w:tabs>
          <w:tab w:leader="none" w:pos="174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2"/>
          <w:szCs w:val="22"/>
          <w:color w:val="auto"/>
        </w:rPr>
        <w:t>[**] Review by Relationship Managers. The Relationship Manager may communicate as frequently as they deem necessary; provided that there is a formal meeting no less then [**]-to review the status of the relationship. These business review meetings may take place in person, by videoconference or by telephone conference, as mutually agreed by the Parties. There will be an agenda for each meeting, and written minutes of each meeting will be taken and will include the issues discussed and action items, if any, arising from such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8" w:name="page229"/>
    <w:bookmarkEnd w:id="228"/>
    <w:p>
      <w:pPr>
        <w:ind w:right="20"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have caused their duly authorized representative to execute these Operating</w:t>
      </w:r>
      <w:r>
        <w:rPr>
          <w:rFonts w:ascii="Arial" w:cs="Arial" w:eastAsia="Arial" w:hAnsi="Arial"/>
          <w:sz w:val="22"/>
          <w:szCs w:val="22"/>
          <w:b w:val="1"/>
          <w:bCs w:val="1"/>
          <w:color w:val="auto"/>
        </w:rPr>
        <w:t xml:space="preserve"> </w:t>
      </w:r>
      <w:r>
        <w:rPr>
          <w:rFonts w:ascii="Arial" w:cs="Arial" w:eastAsia="Arial" w:hAnsi="Arial"/>
          <w:sz w:val="22"/>
          <w:szCs w:val="22"/>
          <w:color w:val="auto"/>
        </w:rPr>
        <w:t>Guidelines effective as of the date first written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500" w:type="dxa"/>
            <w:vAlign w:val="bottom"/>
            <w:gridSpan w:val="3"/>
          </w:tcPr>
          <w:p>
            <w:pPr>
              <w:spacing w:after="0"/>
              <w:rPr>
                <w:sz w:val="20"/>
                <w:szCs w:val="20"/>
                <w:color w:val="auto"/>
              </w:rPr>
            </w:pPr>
            <w:r>
              <w:rPr>
                <w:rFonts w:ascii="Arial" w:cs="Arial" w:eastAsia="Arial" w:hAnsi="Arial"/>
                <w:sz w:val="22"/>
                <w:szCs w:val="22"/>
                <w:b w:val="1"/>
                <w:bCs w:val="1"/>
                <w:color w:val="auto"/>
              </w:rPr>
              <w:t>CARDINAL HEALTH 105, INC.</w:t>
            </w:r>
          </w:p>
        </w:tc>
        <w:tc>
          <w:tcPr>
            <w:tcW w:w="5920" w:type="dxa"/>
            <w:vAlign w:val="bottom"/>
            <w:gridSpan w:val="2"/>
          </w:tcPr>
          <w:p>
            <w:pPr>
              <w:ind w:left="460"/>
              <w:spacing w:after="0"/>
              <w:rPr>
                <w:sz w:val="20"/>
                <w:szCs w:val="20"/>
                <w:color w:val="auto"/>
              </w:rPr>
            </w:pPr>
            <w:r>
              <w:rPr>
                <w:rFonts w:ascii="Arial" w:cs="Arial" w:eastAsia="Arial" w:hAnsi="Arial"/>
                <w:sz w:val="22"/>
                <w:szCs w:val="22"/>
                <w:b w:val="1"/>
                <w:bCs w:val="1"/>
                <w:color w:val="auto"/>
              </w:rPr>
              <w:t>KERYX BIOPHARMACEUTICALS, INC.</w:t>
            </w:r>
          </w:p>
        </w:tc>
      </w:tr>
      <w:tr>
        <w:trPr>
          <w:trHeight w:val="719"/>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gridSpan w:val="2"/>
          </w:tcPr>
          <w:p>
            <w:pPr>
              <w:ind w:left="120"/>
              <w:spacing w:after="0"/>
              <w:rPr>
                <w:sz w:val="20"/>
                <w:szCs w:val="20"/>
                <w:color w:val="auto"/>
              </w:rPr>
            </w:pPr>
            <w:r>
              <w:rPr>
                <w:rFonts w:ascii="Arial" w:cs="Arial" w:eastAsia="Arial" w:hAnsi="Arial"/>
                <w:sz w:val="22"/>
                <w:szCs w:val="22"/>
                <w:color w:val="auto"/>
              </w:rPr>
              <w:t>/s/ David Cheetham</w:t>
            </w:r>
          </w:p>
        </w:tc>
        <w:tc>
          <w:tcPr>
            <w:tcW w:w="1140" w:type="dxa"/>
            <w:vAlign w:val="bottom"/>
          </w:tcPr>
          <w:p>
            <w:pPr>
              <w:ind w:left="460"/>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/s/ Greg Madison</w:t>
            </w:r>
          </w:p>
        </w:tc>
      </w:tr>
      <w:tr>
        <w:trPr>
          <w:trHeight w:val="20"/>
        </w:trPr>
        <w:tc>
          <w:tcPr>
            <w:tcW w:w="700" w:type="dxa"/>
            <w:vAlign w:val="bottom"/>
            <w:gridSpan w:val="2"/>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490"/>
        </w:trPr>
        <w:tc>
          <w:tcPr>
            <w:tcW w:w="5500" w:type="dxa"/>
            <w:vAlign w:val="bottom"/>
            <w:gridSpan w:val="3"/>
          </w:tcPr>
          <w:p>
            <w:pPr>
              <w:spacing w:after="0"/>
              <w:rPr>
                <w:sz w:val="20"/>
                <w:szCs w:val="20"/>
                <w:color w:val="auto"/>
              </w:rPr>
            </w:pPr>
            <w:r>
              <w:rPr>
                <w:rFonts w:ascii="Arial" w:cs="Arial" w:eastAsia="Arial" w:hAnsi="Arial"/>
                <w:sz w:val="22"/>
                <w:szCs w:val="22"/>
                <w:color w:val="auto"/>
              </w:rPr>
              <w:t>David Cheetham</w:t>
            </w:r>
          </w:p>
        </w:tc>
        <w:tc>
          <w:tcPr>
            <w:tcW w:w="5920" w:type="dxa"/>
            <w:vAlign w:val="bottom"/>
            <w:gridSpan w:val="2"/>
          </w:tcPr>
          <w:p>
            <w:pPr>
              <w:ind w:left="460"/>
              <w:spacing w:after="0"/>
              <w:rPr>
                <w:sz w:val="20"/>
                <w:szCs w:val="20"/>
                <w:color w:val="auto"/>
              </w:rPr>
            </w:pPr>
            <w:r>
              <w:rPr>
                <w:rFonts w:ascii="Arial" w:cs="Arial" w:eastAsia="Arial" w:hAnsi="Arial"/>
                <w:sz w:val="22"/>
                <w:szCs w:val="22"/>
                <w:color w:val="auto"/>
              </w:rPr>
              <w:t>Greg Madison</w:t>
            </w:r>
          </w:p>
        </w:tc>
      </w:tr>
      <w:tr>
        <w:trPr>
          <w:trHeight w:val="486"/>
        </w:trPr>
        <w:tc>
          <w:tcPr>
            <w:tcW w:w="5500" w:type="dxa"/>
            <w:vAlign w:val="bottom"/>
            <w:gridSpan w:val="3"/>
          </w:tcPr>
          <w:p>
            <w:pPr>
              <w:spacing w:after="0"/>
              <w:rPr>
                <w:sz w:val="20"/>
                <w:szCs w:val="20"/>
                <w:color w:val="auto"/>
              </w:rPr>
            </w:pPr>
            <w:r>
              <w:rPr>
                <w:rFonts w:ascii="Arial" w:cs="Arial" w:eastAsia="Arial" w:hAnsi="Arial"/>
                <w:sz w:val="22"/>
                <w:szCs w:val="22"/>
                <w:color w:val="auto"/>
              </w:rPr>
              <w:t>Division President</w:t>
            </w:r>
          </w:p>
        </w:tc>
        <w:tc>
          <w:tcPr>
            <w:tcW w:w="5920" w:type="dxa"/>
            <w:vAlign w:val="bottom"/>
            <w:gridSpan w:val="2"/>
          </w:tcPr>
          <w:p>
            <w:pPr>
              <w:ind w:left="460"/>
              <w:spacing w:after="0"/>
              <w:rPr>
                <w:sz w:val="20"/>
                <w:szCs w:val="20"/>
                <w:color w:val="auto"/>
              </w:rPr>
            </w:pPr>
            <w:r>
              <w:rPr>
                <w:rFonts w:ascii="Arial" w:cs="Arial" w:eastAsia="Arial" w:hAnsi="Arial"/>
                <w:sz w:val="22"/>
                <w:szCs w:val="22"/>
                <w:color w:val="auto"/>
              </w:rPr>
              <w:t>EVP/COO</w:t>
            </w:r>
          </w:p>
        </w:tc>
      </w:tr>
      <w:tr>
        <w:trPr>
          <w:trHeight w:val="476"/>
        </w:trPr>
        <w:tc>
          <w:tcPr>
            <w:tcW w:w="580" w:type="dxa"/>
            <w:vAlign w:val="bottom"/>
          </w:tcPr>
          <w:p>
            <w:pPr>
              <w:spacing w:after="0"/>
              <w:rPr>
                <w:sz w:val="20"/>
                <w:szCs w:val="20"/>
                <w:color w:val="auto"/>
              </w:rPr>
            </w:pPr>
            <w:r>
              <w:rPr>
                <w:rFonts w:ascii="Arial" w:cs="Arial" w:eastAsia="Arial" w:hAnsi="Arial"/>
                <w:sz w:val="22"/>
                <w:szCs w:val="22"/>
                <w:color w:val="auto"/>
              </w:rPr>
              <w:t>Date:</w:t>
            </w:r>
          </w:p>
        </w:tc>
        <w:tc>
          <w:tcPr>
            <w:tcW w:w="4920" w:type="dxa"/>
            <w:vAlign w:val="bottom"/>
            <w:gridSpan w:val="2"/>
          </w:tcPr>
          <w:p>
            <w:pPr>
              <w:ind w:left="120"/>
              <w:spacing w:after="0"/>
              <w:rPr>
                <w:sz w:val="20"/>
                <w:szCs w:val="20"/>
                <w:color w:val="auto"/>
              </w:rPr>
            </w:pPr>
            <w:r>
              <w:rPr>
                <w:rFonts w:ascii="Arial" w:cs="Arial" w:eastAsia="Arial" w:hAnsi="Arial"/>
                <w:sz w:val="22"/>
                <w:szCs w:val="22"/>
                <w:color w:val="auto"/>
              </w:rPr>
              <w:t>Oct 23, 2014</w:t>
            </w:r>
          </w:p>
        </w:tc>
        <w:tc>
          <w:tcPr>
            <w:tcW w:w="1140" w:type="dxa"/>
            <w:vAlign w:val="bottom"/>
          </w:tcPr>
          <w:p>
            <w:pPr>
              <w:ind w:left="460"/>
              <w:spacing w:after="0"/>
              <w:rPr>
                <w:sz w:val="20"/>
                <w:szCs w:val="20"/>
                <w:color w:val="auto"/>
              </w:rPr>
            </w:pPr>
            <w:r>
              <w:rPr>
                <w:rFonts w:ascii="Arial" w:cs="Arial" w:eastAsia="Arial" w:hAnsi="Arial"/>
                <w:sz w:val="22"/>
                <w:szCs w:val="22"/>
                <w:color w:val="auto"/>
              </w:rPr>
              <w:t>Date:</w:t>
            </w:r>
          </w:p>
        </w:tc>
        <w:tc>
          <w:tcPr>
            <w:tcW w:w="4780" w:type="dxa"/>
            <w:vAlign w:val="bottom"/>
          </w:tcPr>
          <w:p>
            <w:pPr>
              <w:spacing w:after="0"/>
              <w:rPr>
                <w:sz w:val="20"/>
                <w:szCs w:val="20"/>
                <w:color w:val="auto"/>
              </w:rPr>
            </w:pPr>
            <w:r>
              <w:rPr>
                <w:rFonts w:ascii="Arial" w:cs="Arial" w:eastAsia="Arial" w:hAnsi="Arial"/>
                <w:sz w:val="22"/>
                <w:szCs w:val="22"/>
                <w:color w:val="auto"/>
              </w:rPr>
              <w:t>Oct 23, 2014</w:t>
            </w:r>
          </w:p>
        </w:tc>
      </w:tr>
      <w:tr>
        <w:trPr>
          <w:trHeight w:val="20"/>
        </w:trPr>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9" w:name="page230"/>
    <w:bookmarkEnd w:id="229"/>
    <w:p>
      <w:pPr>
        <w:jc w:val="center"/>
        <w:ind w:right="-120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u w:val="single" w:color="auto"/>
          <w:color w:val="auto"/>
        </w:rPr>
        <w:t>FEE SCHEDULE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355"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 Makenna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817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Makenna Knight (Oct 23, 2014)</w:t>
      </w:r>
    </w:p>
    <w:p>
      <w:pPr>
        <w:spacing w:after="0"/>
        <w:rPr>
          <w:sz w:val="20"/>
          <w:szCs w:val="20"/>
          <w:color w:val="auto"/>
        </w:rPr>
      </w:pPr>
      <w:r>
        <w:rPr>
          <w:rFonts w:ascii="Arial" w:cs="Arial" w:eastAsia="Arial" w:hAnsi="Arial"/>
          <w:sz w:val="19"/>
          <w:szCs w:val="19"/>
          <w:i w:val="1"/>
          <w:iCs w:val="1"/>
          <w:color w:val="auto"/>
        </w:rPr>
        <w:t>3PL Finance Manager Signature/Date</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/s/ David Cheetham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817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David Cheetham (Oct 23, 2014)</w:t>
      </w:r>
    </w:p>
    <w:p>
      <w:pPr>
        <w:spacing w:after="0"/>
        <w:rPr>
          <w:sz w:val="20"/>
          <w:szCs w:val="20"/>
          <w:color w:val="auto"/>
        </w:rPr>
      </w:pPr>
      <w:r>
        <w:rPr>
          <w:rFonts w:ascii="Arial" w:cs="Arial" w:eastAsia="Arial" w:hAnsi="Arial"/>
          <w:sz w:val="21"/>
          <w:szCs w:val="21"/>
          <w:i w:val="1"/>
          <w:iCs w:val="1"/>
          <w:color w:val="auto"/>
        </w:rPr>
        <w:t>3PL Vice President Signature/Date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Greg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34734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Greg Madison (Oct 23, 2014)</w:t>
      </w:r>
    </w:p>
    <w:p>
      <w:pPr>
        <w:spacing w:after="0"/>
        <w:rPr>
          <w:sz w:val="20"/>
          <w:szCs w:val="20"/>
          <w:color w:val="auto"/>
        </w:rPr>
      </w:pPr>
      <w:r>
        <w:rPr>
          <w:rFonts w:ascii="Arial" w:cs="Arial" w:eastAsia="Arial" w:hAnsi="Arial"/>
          <w:sz w:val="19"/>
          <w:szCs w:val="19"/>
          <w:i w:val="1"/>
          <w:iCs w:val="1"/>
          <w:color w:val="auto"/>
        </w:rPr>
        <w:t>Keryx Approval Signature/Title/Date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EVP/COO</w:t>
      </w:r>
    </w:p>
    <w:p>
      <w:pPr>
        <w:spacing w:after="0" w:line="931" w:lineRule="exact"/>
        <w:rPr>
          <w:sz w:val="20"/>
          <w:szCs w:val="20"/>
          <w:color w:val="auto"/>
        </w:rPr>
      </w:pPr>
    </w:p>
    <w:p>
      <w:pPr>
        <w:sectPr>
          <w:pgSz w:w="11900" w:h="16838" w:orient="portrait"/>
          <w:cols w:equalWidth="0" w:num="2">
            <w:col w:w="5240" w:space="720"/>
            <w:col w:w="4259"/>
          </w:cols>
          <w:pgMar w:left="240" w:top="3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32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230" w:name="page231"/>
    <w:bookmarkEnd w:id="230"/>
    <w:p>
      <w:pPr>
        <w:jc w:val="center"/>
        <w:ind w:right="-1200"/>
        <w:spacing w:after="0"/>
        <w:rPr>
          <w:sz w:val="20"/>
          <w:szCs w:val="20"/>
          <w:color w:val="auto"/>
        </w:rPr>
      </w:pPr>
      <w:r>
        <w:rPr>
          <w:rFonts w:ascii="Arial" w:cs="Arial" w:eastAsia="Arial" w:hAnsi="Arial"/>
          <w:sz w:val="19"/>
          <w:szCs w:val="19"/>
          <w:color w:val="auto"/>
        </w:rPr>
        <w:t>Exhibit B (Addendum to 3PL Distribution Fee Schedule)</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Keryx</w:t>
      </w:r>
    </w:p>
    <w:p>
      <w:pPr>
        <w:jc w:val="center"/>
        <w:ind w:right="-1200"/>
        <w:spacing w:after="0" w:line="230" w:lineRule="auto"/>
        <w:rPr>
          <w:sz w:val="20"/>
          <w:szCs w:val="20"/>
          <w:color w:val="auto"/>
        </w:rPr>
      </w:pPr>
      <w:r>
        <w:rPr>
          <w:rFonts w:ascii="Arial" w:cs="Arial" w:eastAsia="Arial" w:hAnsi="Arial"/>
          <w:sz w:val="22"/>
          <w:szCs w:val="22"/>
          <w:color w:val="auto"/>
        </w:rPr>
        <w:t>Transportation Management Services Addendum</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Freight Fee Schedule</w:t>
      </w: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31" w:name="page232"/>
    <w:bookmarkEnd w:id="231"/>
    <w:p>
      <w:pPr>
        <w:ind w:left="4800"/>
        <w:spacing w:after="0"/>
        <w:rPr>
          <w:sz w:val="20"/>
          <w:szCs w:val="20"/>
          <w:color w:val="auto"/>
        </w:rPr>
      </w:pPr>
      <w:r>
        <w:rPr>
          <w:rFonts w:ascii="Arial" w:cs="Arial" w:eastAsia="Arial" w:hAnsi="Arial"/>
          <w:sz w:val="22"/>
          <w:szCs w:val="22"/>
          <w:b w:val="1"/>
          <w:bCs w:val="1"/>
          <w:color w:val="auto"/>
        </w:rPr>
        <w:t>AMENDMENT TO</w:t>
      </w:r>
    </w:p>
    <w:p>
      <w:pPr>
        <w:spacing w:after="0" w:line="20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EXCLUSIVE DISTRIBUTION AGREEMENT</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KERYX BIOPHARMACEUTICALS,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CARDINAL HEALTH 105, INC.</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This Amendment to the Exclusive Distribution Agreement (“</w:t>
      </w:r>
      <w:r>
        <w:rPr>
          <w:rFonts w:ascii="Arial" w:cs="Arial" w:eastAsia="Arial" w:hAnsi="Arial"/>
          <w:sz w:val="22"/>
          <w:szCs w:val="22"/>
          <w:b w:val="1"/>
          <w:bCs w:val="1"/>
          <w:color w:val="auto"/>
        </w:rPr>
        <w:t>Amendment</w:t>
      </w:r>
      <w:r>
        <w:rPr>
          <w:rFonts w:ascii="Arial" w:cs="Arial" w:eastAsia="Arial" w:hAnsi="Arial"/>
          <w:sz w:val="22"/>
          <w:szCs w:val="22"/>
          <w:color w:val="auto"/>
        </w:rPr>
        <w:t>”) is dated effective as of the 14th day of April, 2015 (“</w:t>
      </w:r>
      <w:r>
        <w:rPr>
          <w:rFonts w:ascii="Arial" w:cs="Arial" w:eastAsia="Arial" w:hAnsi="Arial"/>
          <w:sz w:val="22"/>
          <w:szCs w:val="22"/>
          <w:b w:val="1"/>
          <w:bCs w:val="1"/>
          <w:color w:val="auto"/>
        </w:rPr>
        <w:t>Effective Date</w:t>
      </w:r>
      <w:r>
        <w:rPr>
          <w:rFonts w:ascii="Arial" w:cs="Arial" w:eastAsia="Arial" w:hAnsi="Arial"/>
          <w:sz w:val="22"/>
          <w:szCs w:val="22"/>
          <w:color w:val="auto"/>
        </w:rPr>
        <w:t>”) and is by and between Keryx Biopharmaceuticals. Inc. (“</w:t>
      </w:r>
      <w:r>
        <w:rPr>
          <w:rFonts w:ascii="Arial" w:cs="Arial" w:eastAsia="Arial" w:hAnsi="Arial"/>
          <w:sz w:val="22"/>
          <w:szCs w:val="22"/>
          <w:b w:val="1"/>
          <w:bCs w:val="1"/>
          <w:color w:val="auto"/>
        </w:rPr>
        <w:t>Client</w:t>
      </w:r>
      <w:r>
        <w:rPr>
          <w:rFonts w:ascii="Arial" w:cs="Arial" w:eastAsia="Arial" w:hAnsi="Arial"/>
          <w:sz w:val="22"/>
          <w:szCs w:val="22"/>
          <w:color w:val="auto"/>
        </w:rPr>
        <w:t>”) and Cardinal Health 105, Inc. (“</w:t>
      </w:r>
      <w:r>
        <w:rPr>
          <w:rFonts w:ascii="Arial" w:cs="Arial" w:eastAsia="Arial" w:hAnsi="Arial"/>
          <w:sz w:val="22"/>
          <w:szCs w:val="22"/>
          <w:b w:val="1"/>
          <w:bCs w:val="1"/>
          <w:color w:val="auto"/>
        </w:rPr>
        <w:t>Cardinal</w:t>
      </w:r>
      <w:r>
        <w:rPr>
          <w:rFonts w:ascii="Arial" w:cs="Arial" w:eastAsia="Arial" w:hAnsi="Arial"/>
          <w:sz w:val="22"/>
          <w:szCs w:val="22"/>
          <w:color w:val="auto"/>
        </w:rPr>
        <w:t xml:space="preserve"> </w:t>
      </w:r>
      <w:r>
        <w:rPr>
          <w:rFonts w:ascii="Arial" w:cs="Arial" w:eastAsia="Arial" w:hAnsi="Arial"/>
          <w:sz w:val="22"/>
          <w:szCs w:val="22"/>
          <w:b w:val="1"/>
          <w:bCs w:val="1"/>
          <w:color w:val="auto"/>
        </w:rPr>
        <w:t>Health</w:t>
      </w:r>
      <w:r>
        <w:rPr>
          <w:rFonts w:ascii="Arial" w:cs="Arial" w:eastAsia="Arial" w:hAnsi="Arial"/>
          <w:sz w:val="22"/>
          <w:szCs w:val="22"/>
          <w:color w:val="auto"/>
        </w:rPr>
        <w:t>”) referred to each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WHEREAS Cardinal Health and Client are Parties to an Exclusive Distribution Agreement (the “</w:t>
      </w:r>
      <w:r>
        <w:rPr>
          <w:rFonts w:ascii="Arial" w:cs="Arial" w:eastAsia="Arial" w:hAnsi="Arial"/>
          <w:sz w:val="22"/>
          <w:szCs w:val="22"/>
          <w:b w:val="1"/>
          <w:bCs w:val="1"/>
          <w:color w:val="auto"/>
        </w:rPr>
        <w:t>Agreement</w:t>
      </w:r>
      <w:r>
        <w:rPr>
          <w:rFonts w:ascii="Arial" w:cs="Arial" w:eastAsia="Arial" w:hAnsi="Arial"/>
          <w:sz w:val="22"/>
          <w:szCs w:val="22"/>
          <w:color w:val="auto"/>
        </w:rPr>
        <w:t>”) dated as of October 16, 2014 and the Parties desire to amend the Agreement as provided in this Amendment; and</w:t>
      </w:r>
    </w:p>
    <w:p>
      <w:pPr>
        <w:spacing w:after="0" w:line="16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 xml:space="preserve">WHEREAS, the Parties mutually agree to amend the Agreement by adding language related to Samples Services to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(Operating Guidelines).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NOW, THEREFORE, in consideration of the mutual covenants and agreements set forth in this Amendment, and for other good and valuable consideration, the receipt and sufficiency of which are hereby acknowledged, the Parties hereto agree that the Agreement is amended as follows:</w:t>
      </w:r>
    </w:p>
    <w:p>
      <w:pPr>
        <w:spacing w:after="0" w:line="186" w:lineRule="exact"/>
        <w:rPr>
          <w:sz w:val="20"/>
          <w:szCs w:val="20"/>
          <w:color w:val="auto"/>
        </w:rPr>
      </w:pPr>
    </w:p>
    <w:p>
      <w:pPr>
        <w:ind w:firstLine="8"/>
        <w:spacing w:after="0" w:line="274" w:lineRule="auto"/>
        <w:tabs>
          <w:tab w:leader="none" w:pos="716" w:val="left"/>
        </w:tabs>
        <w:numPr>
          <w:ilvl w:val="0"/>
          <w:numId w:val="163"/>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 xml:space="preserve">Amendment to Section 1. of Exhibit A </w:t>
      </w:r>
      <w:r>
        <w:rPr>
          <w:rFonts w:ascii="Arial" w:cs="Arial" w:eastAsia="Arial" w:hAnsi="Arial"/>
          <w:sz w:val="21"/>
          <w:szCs w:val="21"/>
          <w:color w:val="auto"/>
        </w:rPr>
        <w:t>(</w:t>
      </w:r>
      <w:r>
        <w:rPr>
          <w:rFonts w:ascii="Arial" w:cs="Arial" w:eastAsia="Arial" w:hAnsi="Arial"/>
          <w:sz w:val="21"/>
          <w:szCs w:val="21"/>
          <w:b w:val="1"/>
          <w:bCs w:val="1"/>
          <w:i w:val="1"/>
          <w:iCs w:val="1"/>
          <w:color w:val="auto"/>
        </w:rPr>
        <w:t>Operating Guidelines</w:t>
      </w:r>
      <w:r>
        <w:rPr>
          <w:rFonts w:ascii="Arial" w:cs="Arial" w:eastAsia="Arial" w:hAnsi="Arial"/>
          <w:sz w:val="21"/>
          <w:szCs w:val="21"/>
          <w:color w:val="auto"/>
        </w:rPr>
        <w:t>)</w:t>
      </w:r>
      <w:r>
        <w:rPr>
          <w:rFonts w:ascii="Arial" w:cs="Arial" w:eastAsia="Arial" w:hAnsi="Arial"/>
          <w:sz w:val="21"/>
          <w:szCs w:val="21"/>
          <w:b w:val="1"/>
          <w:bCs w:val="1"/>
          <w:i w:val="1"/>
          <w:iCs w:val="1"/>
          <w:color w:val="auto"/>
        </w:rPr>
        <w:t xml:space="preserve"> of the Agreement related to Warehousing. </w:t>
      </w:r>
      <w:r>
        <w:rPr>
          <w:rFonts w:ascii="Arial" w:cs="Arial" w:eastAsia="Arial" w:hAnsi="Arial"/>
          <w:sz w:val="21"/>
          <w:szCs w:val="21"/>
          <w:color w:val="auto"/>
        </w:rPr>
        <w:t>The following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section shall be added to Section 1. of the Operating Guidelines immediately after the existing Section 1.2:</w:t>
      </w:r>
    </w:p>
    <w:p>
      <w:pPr>
        <w:spacing w:after="0" w:line="151" w:lineRule="exact"/>
        <w:rPr>
          <w:sz w:val="20"/>
          <w:szCs w:val="20"/>
          <w:color w:val="auto"/>
        </w:rPr>
      </w:pPr>
    </w:p>
    <w:p>
      <w:pPr>
        <w:jc w:val="both"/>
        <w:ind w:left="880"/>
        <w:spacing w:after="0" w:line="252" w:lineRule="auto"/>
        <w:rPr>
          <w:sz w:val="20"/>
          <w:szCs w:val="20"/>
          <w:color w:val="auto"/>
        </w:rPr>
      </w:pPr>
      <w:r>
        <w:rPr>
          <w:rFonts w:ascii="Arial" w:cs="Arial" w:eastAsia="Arial" w:hAnsi="Arial"/>
          <w:sz w:val="21"/>
          <w:szCs w:val="21"/>
          <w:color w:val="auto"/>
        </w:rPr>
        <w:t>“1.2(a) With reference to those regulations set forth in 21 CFR Part 203, Cardinal Health will support Client’s programs directed to ensure compliance with the Prescription Drug Marketing Act of 1987 (“</w:t>
      </w:r>
      <w:r>
        <w:rPr>
          <w:rFonts w:ascii="Arial" w:cs="Arial" w:eastAsia="Arial" w:hAnsi="Arial"/>
          <w:sz w:val="21"/>
          <w:szCs w:val="21"/>
          <w:b w:val="1"/>
          <w:bCs w:val="1"/>
          <w:color w:val="auto"/>
        </w:rPr>
        <w:t>PDMA</w:t>
      </w:r>
      <w:r>
        <w:rPr>
          <w:rFonts w:ascii="Arial" w:cs="Arial" w:eastAsia="Arial" w:hAnsi="Arial"/>
          <w:sz w:val="21"/>
          <w:szCs w:val="21"/>
          <w:color w:val="auto"/>
        </w:rPr>
        <w:t>”) provisions related to acceptance of valid sample requests, inventory, storage, distribution, shipment, document controls and record retention, and other services performed on behalf of the Client to maintain PDMA compliance.</w:t>
      </w:r>
    </w:p>
    <w:p>
      <w:pPr>
        <w:spacing w:after="0" w:line="168" w:lineRule="exact"/>
        <w:rPr>
          <w:sz w:val="20"/>
          <w:szCs w:val="20"/>
          <w:color w:val="auto"/>
        </w:rPr>
      </w:pPr>
    </w:p>
    <w:p>
      <w:pPr>
        <w:jc w:val="both"/>
        <w:ind w:left="880"/>
        <w:spacing w:after="0" w:line="243" w:lineRule="auto"/>
        <w:rPr>
          <w:sz w:val="20"/>
          <w:szCs w:val="20"/>
          <w:color w:val="auto"/>
        </w:rPr>
      </w:pPr>
      <w:r>
        <w:rPr>
          <w:rFonts w:ascii="Arial" w:cs="Arial" w:eastAsia="Arial" w:hAnsi="Arial"/>
          <w:sz w:val="22"/>
          <w:szCs w:val="22"/>
          <w:b w:val="1"/>
          <w:bCs w:val="1"/>
          <w:u w:val="single" w:color="auto"/>
          <w:color w:val="auto"/>
        </w:rPr>
        <w:t>Please Note</w:t>
      </w:r>
      <w:r>
        <w:rPr>
          <w:rFonts w:ascii="Arial" w:cs="Arial" w:eastAsia="Arial" w:hAnsi="Arial"/>
          <w:sz w:val="22"/>
          <w:szCs w:val="22"/>
          <w:b w:val="1"/>
          <w:bCs w:val="1"/>
          <w:color w:val="auto"/>
        </w:rPr>
        <w:t xml:space="preserve">: </w:t>
      </w:r>
      <w:r>
        <w:rPr>
          <w:rFonts w:ascii="Arial" w:cs="Arial" w:eastAsia="Arial" w:hAnsi="Arial"/>
          <w:sz w:val="22"/>
          <w:szCs w:val="22"/>
          <w:color w:val="auto"/>
        </w:rPr>
        <w:t>Other aspects of compliance with the PDMA, such as manual, wet-ink or part 11 exempt, signature</w:t>
      </w:r>
      <w:r>
        <w:rPr>
          <w:rFonts w:ascii="Arial" w:cs="Arial" w:eastAsia="Arial" w:hAnsi="Arial"/>
          <w:sz w:val="22"/>
          <w:szCs w:val="22"/>
          <w:b w:val="1"/>
          <w:bCs w:val="1"/>
          <w:color w:val="auto"/>
        </w:rPr>
        <w:t xml:space="preserve"> </w:t>
      </w:r>
      <w:r>
        <w:rPr>
          <w:rFonts w:ascii="Arial" w:cs="Arial" w:eastAsia="Arial" w:hAnsi="Arial"/>
          <w:sz w:val="22"/>
          <w:szCs w:val="22"/>
          <w:color w:val="auto"/>
        </w:rPr>
        <w:t>verification, providing Product labeled specifically for sampling, forwarding requests for samples to Cardinal Health and interacting with regulatory authorities, will remain the sole responsibility of the Client.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2" w:name="page233"/>
    <w:bookmarkEnd w:id="232"/>
    <w:p>
      <w:pPr>
        <w:ind w:firstLine="8"/>
        <w:spacing w:after="0" w:line="251" w:lineRule="auto"/>
        <w:tabs>
          <w:tab w:leader="none" w:pos="716" w:val="left"/>
        </w:tabs>
        <w:numPr>
          <w:ilvl w:val="0"/>
          <w:numId w:val="16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Amendment to Section 6.0 of Exhibit A </w:t>
      </w: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Guidelines</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of the Agreement related to Distribution. </w:t>
      </w:r>
      <w:r>
        <w:rPr>
          <w:rFonts w:ascii="Arial" w:cs="Arial" w:eastAsia="Arial" w:hAnsi="Arial"/>
          <w:sz w:val="22"/>
          <w:szCs w:val="22"/>
          <w:color w:val="auto"/>
        </w:rPr>
        <w:t>The following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shall be added to Section 6. of the Operating Guidelines:</w:t>
      </w:r>
    </w:p>
    <w:p>
      <w:pPr>
        <w:spacing w:after="0" w:line="167" w:lineRule="exact"/>
        <w:rPr>
          <w:sz w:val="20"/>
          <w:szCs w:val="20"/>
          <w:color w:val="auto"/>
        </w:rPr>
      </w:pPr>
    </w:p>
    <w:p>
      <w:pPr>
        <w:ind w:left="880"/>
        <w:spacing w:after="0" w:line="256" w:lineRule="auto"/>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b w:val="1"/>
          <w:bCs w:val="1"/>
          <w:u w:val="single" w:color="auto"/>
          <w:color w:val="auto"/>
        </w:rPr>
        <w:t>Please Note</w:t>
      </w:r>
      <w:r>
        <w:rPr>
          <w:rFonts w:ascii="Arial" w:cs="Arial" w:eastAsia="Arial" w:hAnsi="Arial"/>
          <w:sz w:val="22"/>
          <w:szCs w:val="22"/>
          <w:b w:val="1"/>
          <w:bCs w:val="1"/>
          <w:color w:val="auto"/>
        </w:rPr>
        <w:t>:</w:t>
      </w:r>
      <w:r>
        <w:rPr>
          <w:rFonts w:ascii="Arial" w:cs="Arial" w:eastAsia="Arial" w:hAnsi="Arial"/>
          <w:sz w:val="22"/>
          <w:szCs w:val="22"/>
          <w:color w:val="auto"/>
        </w:rPr>
        <w:t xml:space="preserve"> Responsibility for verifying sample order forms, conducting physician signature audits and submitting sample order requests to Cardinal Health, will be the responsibility of the Client.</w:t>
      </w:r>
    </w:p>
    <w:p>
      <w:pPr>
        <w:spacing w:after="0" w:line="169" w:lineRule="exact"/>
        <w:rPr>
          <w:sz w:val="20"/>
          <w:szCs w:val="20"/>
          <w:color w:val="auto"/>
        </w:rPr>
      </w:pPr>
    </w:p>
    <w:p>
      <w:pPr>
        <w:ind w:firstLine="8"/>
        <w:spacing w:after="0" w:line="251" w:lineRule="auto"/>
        <w:tabs>
          <w:tab w:leader="none" w:pos="601" w:val="left"/>
        </w:tabs>
        <w:numPr>
          <w:ilvl w:val="0"/>
          <w:numId w:val="16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No Other Changes. </w:t>
      </w:r>
      <w:r>
        <w:rPr>
          <w:rFonts w:ascii="Arial" w:cs="Arial" w:eastAsia="Arial" w:hAnsi="Arial"/>
          <w:sz w:val="22"/>
          <w:szCs w:val="22"/>
          <w:color w:val="auto"/>
        </w:rPr>
        <w:t>Except as specifically set forth in this Amendment, the Agreement will continue in full force and effect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without change.</w:t>
      </w:r>
    </w:p>
    <w:p>
      <w:pPr>
        <w:spacing w:after="0" w:line="173" w:lineRule="exact"/>
        <w:rPr>
          <w:rFonts w:ascii="Arial" w:cs="Arial" w:eastAsia="Arial" w:hAnsi="Arial"/>
          <w:sz w:val="22"/>
          <w:szCs w:val="22"/>
          <w:b w:val="1"/>
          <w:bCs w:val="1"/>
          <w:i w:val="1"/>
          <w:iCs w:val="1"/>
          <w:color w:val="auto"/>
        </w:rPr>
      </w:pPr>
    </w:p>
    <w:p>
      <w:pPr>
        <w:jc w:val="both"/>
        <w:ind w:firstLine="8"/>
        <w:spacing w:after="0" w:line="248" w:lineRule="auto"/>
        <w:tabs>
          <w:tab w:leader="none" w:pos="659" w:val="left"/>
        </w:tabs>
        <w:numPr>
          <w:ilvl w:val="0"/>
          <w:numId w:val="16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 xml:space="preserve">Interpretation. </w:t>
      </w:r>
      <w:r>
        <w:rPr>
          <w:rFonts w:ascii="Arial" w:cs="Arial" w:eastAsia="Arial" w:hAnsi="Arial"/>
          <w:sz w:val="21"/>
          <w:szCs w:val="21"/>
          <w:color w:val="auto"/>
        </w:rPr>
        <w:t>To the extent there are any inconsistencies between the provisions of this Amendment and the provisions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Agreement, the provisions of this Amendment will control. Capitalized terms not otherwise defined herein shall have the same meaning given those terms in the Agreement, it being the intent of the Parties that the Agreement and this Amendment will be applied and construed as a single instrument. The Agreement, as modified by this Amendment, constitutes the entire agreement between Cardinal Health and Client regarding the subject matter of this Amendment and supersedes all prior or contemporaneous writings and understandings between the Parties regarding the same.</w:t>
      </w:r>
    </w:p>
    <w:p>
      <w:pPr>
        <w:spacing w:after="0" w:line="177" w:lineRule="exact"/>
        <w:rPr>
          <w:rFonts w:ascii="Arial" w:cs="Arial" w:eastAsia="Arial" w:hAnsi="Arial"/>
          <w:sz w:val="21"/>
          <w:szCs w:val="21"/>
          <w:b w:val="1"/>
          <w:bCs w:val="1"/>
          <w:i w:val="1"/>
          <w:iCs w:val="1"/>
          <w:color w:val="auto"/>
        </w:rPr>
      </w:pPr>
    </w:p>
    <w:p>
      <w:pPr>
        <w:jc w:val="both"/>
        <w:ind w:firstLine="8"/>
        <w:spacing w:after="0" w:line="258" w:lineRule="auto"/>
        <w:tabs>
          <w:tab w:leader="none" w:pos="682" w:val="left"/>
        </w:tabs>
        <w:numPr>
          <w:ilvl w:val="0"/>
          <w:numId w:val="16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 xml:space="preserve">Counterparts. </w:t>
      </w:r>
      <w:r>
        <w:rPr>
          <w:rFonts w:ascii="Arial" w:cs="Arial" w:eastAsia="Arial" w:hAnsi="Arial"/>
          <w:sz w:val="21"/>
          <w:szCs w:val="21"/>
          <w:color w:val="auto"/>
        </w:rPr>
        <w:t>This Amendment may be executed in one or more counterparts (with facsimile signatures acceptable), each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which shall be deemed an original but all of which together shall constitute one and the same instrument. Any photocopy, facsimile or electronic reproduction of the executed Amendment shall constitute an original.</w:t>
      </w:r>
    </w:p>
    <w:p>
      <w:pPr>
        <w:spacing w:after="0" w:line="166" w:lineRule="exact"/>
        <w:rPr>
          <w:rFonts w:ascii="Arial" w:cs="Arial" w:eastAsia="Arial" w:hAnsi="Arial"/>
          <w:sz w:val="21"/>
          <w:szCs w:val="21"/>
          <w:b w:val="1"/>
          <w:bCs w:val="1"/>
          <w:i w:val="1"/>
          <w:iCs w:val="1"/>
          <w:color w:val="auto"/>
        </w:rPr>
      </w:pPr>
    </w:p>
    <w:p>
      <w:pPr>
        <w:ind w:firstLine="8"/>
        <w:spacing w:after="0" w:line="328" w:lineRule="auto"/>
        <w:tabs>
          <w:tab w:leader="none" w:pos="587" w:val="left"/>
        </w:tabs>
        <w:numPr>
          <w:ilvl w:val="0"/>
          <w:numId w:val="16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Authorized Signatories. </w:t>
      </w:r>
      <w:r>
        <w:rPr>
          <w:rFonts w:ascii="Arial" w:cs="Arial" w:eastAsia="Arial" w:hAnsi="Arial"/>
          <w:sz w:val="19"/>
          <w:szCs w:val="19"/>
          <w:color w:val="auto"/>
        </w:rPr>
        <w:t>All signatories to this Amendment represent that they are authorized by their respective companies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execute and deliver this Amendment on behalf of their respective companies. and to bind such companies to the terms herein.</w:t>
      </w:r>
    </w:p>
    <w:p>
      <w:pPr>
        <w:spacing w:after="0" w:line="99" w:lineRule="exact"/>
        <w:rPr>
          <w:sz w:val="20"/>
          <w:szCs w:val="20"/>
          <w:color w:val="auto"/>
        </w:rPr>
      </w:pPr>
    </w:p>
    <w:p>
      <w:pPr>
        <w:ind w:right="20" w:firstLine="877"/>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agreed to this Amendment by having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execute this Amendment effective as of the Effective Date first written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40" w:type="dxa"/>
            <w:vAlign w:val="bottom"/>
            <w:gridSpan w:val="2"/>
          </w:tcPr>
          <w:p>
            <w:pPr>
              <w:spacing w:after="0"/>
              <w:rPr>
                <w:sz w:val="20"/>
                <w:szCs w:val="20"/>
                <w:color w:val="auto"/>
              </w:rPr>
            </w:pPr>
            <w:r>
              <w:rPr>
                <w:rFonts w:ascii="Arial" w:cs="Arial" w:eastAsia="Arial" w:hAnsi="Arial"/>
                <w:sz w:val="22"/>
                <w:szCs w:val="22"/>
                <w:b w:val="1"/>
                <w:bCs w:val="1"/>
                <w:color w:val="auto"/>
              </w:rPr>
              <w:t>CARDINAL HEALTH 105, INC.</w:t>
            </w:r>
          </w:p>
        </w:tc>
        <w:tc>
          <w:tcPr>
            <w:tcW w:w="1840" w:type="dxa"/>
            <w:vAlign w:val="bottom"/>
          </w:tcPr>
          <w:p>
            <w:pPr>
              <w:spacing w:after="0"/>
              <w:rPr>
                <w:sz w:val="24"/>
                <w:szCs w:val="24"/>
                <w:color w:val="auto"/>
              </w:rPr>
            </w:pPr>
          </w:p>
        </w:tc>
        <w:tc>
          <w:tcPr>
            <w:tcW w:w="5940" w:type="dxa"/>
            <w:vAlign w:val="bottom"/>
            <w:gridSpan w:val="2"/>
          </w:tcPr>
          <w:p>
            <w:pPr>
              <w:ind w:left="440"/>
              <w:spacing w:after="0"/>
              <w:rPr>
                <w:sz w:val="20"/>
                <w:szCs w:val="20"/>
                <w:color w:val="auto"/>
              </w:rPr>
            </w:pPr>
            <w:r>
              <w:rPr>
                <w:rFonts w:ascii="Arial" w:cs="Arial" w:eastAsia="Arial" w:hAnsi="Arial"/>
                <w:sz w:val="22"/>
                <w:szCs w:val="22"/>
                <w:b w:val="1"/>
                <w:bCs w:val="1"/>
                <w:color w:val="auto"/>
              </w:rPr>
              <w:t>KERYX BIOPHARMACEUTICALS, INC.</w:t>
            </w:r>
          </w:p>
        </w:tc>
        <w:tc>
          <w:tcPr>
            <w:tcW w:w="0" w:type="dxa"/>
            <w:vAlign w:val="bottom"/>
          </w:tcPr>
          <w:p>
            <w:pPr>
              <w:spacing w:after="0"/>
              <w:rPr>
                <w:sz w:val="1"/>
                <w:szCs w:val="1"/>
                <w:color w:val="auto"/>
              </w:rPr>
            </w:pPr>
          </w:p>
        </w:tc>
      </w:tr>
      <w:tr>
        <w:trPr>
          <w:trHeight w:val="719"/>
        </w:trPr>
        <w:tc>
          <w:tcPr>
            <w:tcW w:w="3640" w:type="dxa"/>
            <w:vAlign w:val="bottom"/>
            <w:gridSpan w:val="2"/>
          </w:tcPr>
          <w:p>
            <w:pPr>
              <w:spacing w:after="0"/>
              <w:rPr>
                <w:sz w:val="20"/>
                <w:szCs w:val="20"/>
                <w:color w:val="auto"/>
              </w:rPr>
            </w:pPr>
            <w:r>
              <w:rPr>
                <w:rFonts w:ascii="Arial" w:cs="Arial" w:eastAsia="Arial" w:hAnsi="Arial"/>
                <w:sz w:val="22"/>
                <w:szCs w:val="22"/>
                <w:color w:val="auto"/>
              </w:rPr>
              <w:t>By:   /s/ David Cheetham</w:t>
            </w:r>
          </w:p>
        </w:tc>
        <w:tc>
          <w:tcPr>
            <w:tcW w:w="184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22"/>
                <w:szCs w:val="22"/>
                <w:color w:val="auto"/>
              </w:rPr>
              <w:t>By:</w:t>
            </w:r>
          </w:p>
        </w:tc>
        <w:tc>
          <w:tcPr>
            <w:tcW w:w="4680" w:type="dxa"/>
            <w:vAlign w:val="bottom"/>
          </w:tcPr>
          <w:p>
            <w:pPr>
              <w:spacing w:after="0"/>
              <w:rPr>
                <w:sz w:val="20"/>
                <w:szCs w:val="20"/>
                <w:color w:val="auto"/>
              </w:rPr>
            </w:pPr>
            <w:r>
              <w:rPr>
                <w:rFonts w:ascii="Arial" w:cs="Arial" w:eastAsia="Arial" w:hAnsi="Arial"/>
                <w:sz w:val="22"/>
                <w:szCs w:val="22"/>
                <w:color w:val="auto"/>
              </w:rPr>
              <w:t>/s/ Greg Madison</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640" w:type="dxa"/>
            <w:vAlign w:val="bottom"/>
            <w:gridSpan w:val="2"/>
          </w:tcPr>
          <w:p>
            <w:pPr>
              <w:spacing w:after="0"/>
              <w:rPr>
                <w:sz w:val="20"/>
                <w:szCs w:val="20"/>
                <w:color w:val="auto"/>
              </w:rPr>
            </w:pPr>
            <w:r>
              <w:rPr>
                <w:rFonts w:ascii="Arial" w:cs="Arial" w:eastAsia="Arial" w:hAnsi="Arial"/>
                <w:sz w:val="22"/>
                <w:szCs w:val="22"/>
                <w:color w:val="auto"/>
              </w:rPr>
              <w:t>David Cheetham</w:t>
            </w:r>
          </w:p>
        </w:tc>
        <w:tc>
          <w:tcPr>
            <w:tcW w:w="184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22"/>
                <w:szCs w:val="22"/>
                <w:color w:val="auto"/>
              </w:rPr>
              <w:t>Print</w:t>
            </w:r>
          </w:p>
        </w:tc>
        <w:tc>
          <w:tcPr>
            <w:tcW w:w="4680" w:type="dxa"/>
            <w:vAlign w:val="bottom"/>
          </w:tcPr>
          <w:p>
            <w:pPr>
              <w:spacing w:after="0"/>
              <w:rPr>
                <w:sz w:val="20"/>
                <w:szCs w:val="20"/>
                <w:color w:val="auto"/>
              </w:rPr>
            </w:pPr>
            <w:r>
              <w:rPr>
                <w:rFonts w:ascii="Arial" w:cs="Arial" w:eastAsia="Arial" w:hAnsi="Arial"/>
                <w:sz w:val="22"/>
                <w:szCs w:val="22"/>
                <w:color w:val="auto"/>
              </w:rPr>
              <w:t>Greg Madison</w:t>
            </w:r>
          </w:p>
        </w:tc>
        <w:tc>
          <w:tcPr>
            <w:tcW w:w="0" w:type="dxa"/>
            <w:vAlign w:val="bottom"/>
          </w:tcPr>
          <w:p>
            <w:pPr>
              <w:spacing w:after="0"/>
              <w:rPr>
                <w:sz w:val="1"/>
                <w:szCs w:val="1"/>
                <w:color w:val="auto"/>
              </w:rPr>
            </w:pPr>
          </w:p>
        </w:tc>
      </w:tr>
      <w:tr>
        <w:trPr>
          <w:trHeight w:val="265"/>
        </w:trPr>
        <w:tc>
          <w:tcPr>
            <w:tcW w:w="3640" w:type="dxa"/>
            <w:vAlign w:val="bottom"/>
            <w:gridSpan w:val="2"/>
            <w:vMerge w:val="restart"/>
          </w:tcPr>
          <w:p>
            <w:pPr>
              <w:spacing w:after="0"/>
              <w:rPr>
                <w:sz w:val="20"/>
                <w:szCs w:val="20"/>
                <w:color w:val="auto"/>
              </w:rPr>
            </w:pPr>
            <w:r>
              <w:rPr>
                <w:rFonts w:ascii="Arial" w:cs="Arial" w:eastAsia="Arial" w:hAnsi="Arial"/>
                <w:sz w:val="22"/>
                <w:szCs w:val="22"/>
                <w:color w:val="auto"/>
              </w:rPr>
              <w:t>Division President</w:t>
            </w:r>
          </w:p>
        </w:tc>
        <w:tc>
          <w:tcPr>
            <w:tcW w:w="184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640" w:type="dxa"/>
            <w:vAlign w:val="bottom"/>
            <w:gridSpan w:val="2"/>
            <w:vMerge w:val="continue"/>
          </w:tcPr>
          <w:p>
            <w:pPr>
              <w:spacing w:after="0"/>
              <w:rPr>
                <w:sz w:val="21"/>
                <w:szCs w:val="21"/>
                <w:color w:val="auto"/>
              </w:rPr>
            </w:pPr>
          </w:p>
        </w:tc>
        <w:tc>
          <w:tcPr>
            <w:tcW w:w="1840" w:type="dxa"/>
            <w:vAlign w:val="bottom"/>
          </w:tcPr>
          <w:p>
            <w:pPr>
              <w:spacing w:after="0"/>
              <w:rPr>
                <w:sz w:val="21"/>
                <w:szCs w:val="21"/>
                <w:color w:val="auto"/>
              </w:rPr>
            </w:pPr>
          </w:p>
        </w:tc>
        <w:tc>
          <w:tcPr>
            <w:tcW w:w="1260" w:type="dxa"/>
            <w:vAlign w:val="bottom"/>
            <w:vMerge w:val="restart"/>
          </w:tcPr>
          <w:p>
            <w:pPr>
              <w:ind w:left="440"/>
              <w:spacing w:after="0"/>
              <w:rPr>
                <w:sz w:val="20"/>
                <w:szCs w:val="20"/>
                <w:color w:val="auto"/>
              </w:rPr>
            </w:pPr>
            <w:r>
              <w:rPr>
                <w:rFonts w:ascii="Arial" w:cs="Arial" w:eastAsia="Arial" w:hAnsi="Arial"/>
                <w:sz w:val="22"/>
                <w:szCs w:val="22"/>
                <w:color w:val="auto"/>
              </w:rPr>
              <w:t>Title:</w:t>
            </w:r>
          </w:p>
        </w:tc>
        <w:tc>
          <w:tcPr>
            <w:tcW w:w="4680" w:type="dxa"/>
            <w:vAlign w:val="bottom"/>
            <w:vMerge w:val="restart"/>
          </w:tcPr>
          <w:p>
            <w:pPr>
              <w:spacing w:after="0"/>
              <w:rPr>
                <w:sz w:val="20"/>
                <w:szCs w:val="20"/>
                <w:color w:val="auto"/>
              </w:rPr>
            </w:pPr>
            <w:r>
              <w:rPr>
                <w:rFonts w:ascii="Arial" w:cs="Arial" w:eastAsia="Arial" w:hAnsi="Arial"/>
                <w:sz w:val="22"/>
                <w:szCs w:val="22"/>
                <w:color w:val="auto"/>
              </w:rPr>
              <w:t>President, COO</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4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2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22"/>
                <w:szCs w:val="22"/>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4/17/15</w:t>
            </w:r>
          </w:p>
        </w:tc>
        <w:tc>
          <w:tcPr>
            <w:tcW w:w="0" w:type="dxa"/>
            <w:vAlign w:val="bottom"/>
          </w:tcPr>
          <w:p>
            <w:pPr>
              <w:spacing w:after="0"/>
              <w:rPr>
                <w:sz w:val="1"/>
                <w:szCs w:val="1"/>
                <w:color w:val="auto"/>
              </w:rPr>
            </w:pPr>
          </w:p>
        </w:tc>
      </w:tr>
      <w:tr>
        <w:trPr>
          <w:trHeight w:val="490"/>
        </w:trPr>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780" w:type="dxa"/>
            <w:vAlign w:val="bottom"/>
            <w:gridSpan w:val="3"/>
          </w:tcPr>
          <w:p>
            <w:pPr>
              <w:ind w:left="560"/>
              <w:spacing w:after="0"/>
              <w:rPr>
                <w:sz w:val="20"/>
                <w:szCs w:val="20"/>
                <w:color w:val="auto"/>
              </w:rPr>
            </w:pPr>
            <w:r>
              <w:rPr>
                <w:rFonts w:ascii="Arial" w:cs="Arial" w:eastAsia="Arial" w:hAnsi="Arial"/>
                <w:sz w:val="22"/>
                <w:szCs w:val="22"/>
                <w:i w:val="1"/>
                <w:iCs w:val="1"/>
                <w:color w:val="auto"/>
              </w:rPr>
              <w:t>&lt; Signature Page to Amendment &gt;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ActiveUS 172391979v.1</w:t>
      </w:r>
    </w:p>
    <w:p>
      <w:pPr>
        <w:sectPr>
          <w:pgSz w:w="11900" w:h="16838" w:orient="portrait"/>
          <w:cols w:equalWidth="0" w:num="1">
            <w:col w:w="11420"/>
          </w:cols>
          <w:pgMar w:left="240" w:top="361" w:right="239" w:bottom="1440" w:gutter="0" w:footer="0" w:header="0"/>
        </w:sectPr>
      </w:pPr>
    </w:p>
    <w:bookmarkStart w:id="233" w:name="page234"/>
    <w:bookmarkEnd w:id="233"/>
    <w:p>
      <w:pPr>
        <w:ind w:left="10200"/>
        <w:spacing w:after="0"/>
        <w:rPr>
          <w:sz w:val="20"/>
          <w:szCs w:val="20"/>
          <w:color w:val="auto"/>
        </w:rPr>
      </w:pPr>
      <w:r>
        <w:rPr>
          <w:rFonts w:ascii="Arial" w:cs="Arial" w:eastAsia="Arial" w:hAnsi="Arial"/>
          <w:sz w:val="19"/>
          <w:szCs w:val="19"/>
          <w:b w:val="1"/>
          <w:bCs w:val="1"/>
          <w:color w:val="auto"/>
        </w:rPr>
        <w:t>Exhibit 10.61</w:t>
      </w:r>
    </w:p>
    <w:p>
      <w:pPr>
        <w:spacing w:after="0" w:line="274"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Double asterisks denote omissions.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MANUFACTURE AND SUPPLY AGREEMENT</w:t>
      </w:r>
    </w:p>
    <w:p>
      <w:pPr>
        <w:jc w:val="center"/>
        <w:spacing w:after="0" w:line="238" w:lineRule="auto"/>
        <w:rPr>
          <w:sz w:val="20"/>
          <w:szCs w:val="20"/>
          <w:color w:val="auto"/>
        </w:rPr>
      </w:pPr>
      <w:r>
        <w:rPr>
          <w:rFonts w:ascii="Arial" w:cs="Arial" w:eastAsia="Arial" w:hAnsi="Arial"/>
          <w:sz w:val="22"/>
          <w:szCs w:val="22"/>
          <w:color w:val="auto"/>
        </w:rPr>
        <w:t>Between</w:t>
      </w:r>
    </w:p>
    <w:p>
      <w:pPr>
        <w:jc w:val="center"/>
        <w:spacing w:after="0" w:line="230" w:lineRule="auto"/>
        <w:rPr>
          <w:sz w:val="20"/>
          <w:szCs w:val="20"/>
          <w:color w:val="auto"/>
        </w:rPr>
      </w:pPr>
      <w:r>
        <w:rPr>
          <w:rFonts w:ascii="Arial" w:cs="Arial" w:eastAsia="Arial" w:hAnsi="Arial"/>
          <w:sz w:val="22"/>
          <w:szCs w:val="22"/>
          <w:color w:val="auto"/>
        </w:rPr>
        <w:t>BIOVECTRA INC.</w:t>
      </w:r>
    </w:p>
    <w:p>
      <w:pPr>
        <w:jc w:val="center"/>
        <w:spacing w:after="0" w:line="231" w:lineRule="auto"/>
        <w:rPr>
          <w:sz w:val="20"/>
          <w:szCs w:val="20"/>
          <w:color w:val="auto"/>
        </w:rPr>
      </w:pPr>
      <w:r>
        <w:rPr>
          <w:rFonts w:ascii="Arial" w:cs="Arial" w:eastAsia="Arial" w:hAnsi="Arial"/>
          <w:sz w:val="22"/>
          <w:szCs w:val="22"/>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KERYX BIOPHARMACEUTICALS, INC.</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manufacture and supply agreement (“Agreement”) is made and entered into on May 26, 2017 by and between BioVectra Inc., with its registered offices at 11 Aviation Avenue, Charlottetown, PEI, C1E 0A1, Canada (“BioVectra”) and Keryx Biopharmaceuticals, Inc., with its offices at One Marina Park Drive, 12</w:t>
      </w:r>
      <w:r>
        <w:rPr>
          <w:rFonts w:ascii="Arial" w:cs="Arial" w:eastAsia="Arial" w:hAnsi="Arial"/>
          <w:sz w:val="16"/>
          <w:szCs w:val="16"/>
          <w:color w:val="auto"/>
        </w:rPr>
        <w:t>th</w:t>
      </w:r>
      <w:r>
        <w:rPr>
          <w:rFonts w:ascii="Arial" w:cs="Arial" w:eastAsia="Arial" w:hAnsi="Arial"/>
          <w:sz w:val="19"/>
          <w:szCs w:val="19"/>
          <w:color w:val="auto"/>
        </w:rPr>
        <w:t xml:space="preserve"> floor, Boston, Massachusetts, USA, 02210 (“Keryx”).</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WHEREAS, BioVectra has the capability to manufacture and in the past has manufactured GMP quantities of Keryx’s proprietary Product Ferric Citrate at BioVectra’s API Facility, [**] (as defined below);</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AND WHEREAS, Keryx desires to purchase certain quantities of such Product from BioVectra over a defined period of time and BioVectra desires to manufacture said quantities of Product for Keryx.</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mutual covenants hereafter set forth, the parties hereto mutually agree as follows:</w:t>
      </w:r>
    </w:p>
    <w:p>
      <w:pPr>
        <w:spacing w:after="0" w:line="235" w:lineRule="exact"/>
        <w:rPr>
          <w:sz w:val="20"/>
          <w:szCs w:val="20"/>
          <w:color w:val="auto"/>
        </w:rPr>
      </w:pPr>
    </w:p>
    <w:p>
      <w:pPr>
        <w:ind w:left="880" w:hanging="440"/>
        <w:spacing w:after="0" w:line="256" w:lineRule="auto"/>
        <w:tabs>
          <w:tab w:leader="none" w:pos="88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this Agreement expressly provides to the contrary, the following terms, whether used in the singular</w:t>
      </w:r>
      <w:r>
        <w:rPr>
          <w:rFonts w:ascii="Arial" w:cs="Arial" w:eastAsia="Arial" w:hAnsi="Arial"/>
          <w:sz w:val="22"/>
          <w:szCs w:val="22"/>
          <w:b w:val="1"/>
          <w:bCs w:val="1"/>
          <w:color w:val="auto"/>
        </w:rPr>
        <w:t xml:space="preserve"> </w:t>
      </w:r>
      <w:r>
        <w:rPr>
          <w:rFonts w:ascii="Arial" w:cs="Arial" w:eastAsia="Arial" w:hAnsi="Arial"/>
          <w:sz w:val="22"/>
          <w:szCs w:val="22"/>
          <w:color w:val="auto"/>
        </w:rPr>
        <w:t>or plural, have the respective meanings set forth below</w:t>
      </w:r>
    </w:p>
    <w:p>
      <w:pPr>
        <w:spacing w:after="0" w:line="168" w:lineRule="exact"/>
        <w:rPr>
          <w:rFonts w:ascii="Arial" w:cs="Arial" w:eastAsia="Arial" w:hAnsi="Arial"/>
          <w:sz w:val="22"/>
          <w:szCs w:val="22"/>
          <w:b w:val="1"/>
          <w:bCs w:val="1"/>
          <w:color w:val="auto"/>
        </w:rPr>
      </w:pPr>
    </w:p>
    <w:p>
      <w:pPr>
        <w:jc w:val="both"/>
        <w:ind w:left="1760" w:hanging="442"/>
        <w:spacing w:after="0" w:line="279" w:lineRule="auto"/>
        <w:tabs>
          <w:tab w:leader="none" w:pos="1760"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either Party, any other corporation or business entity that directly, or indirectly through one or more intermediaries, controls, is controlled by or is under common control with such Party. For purposes of this definition, the term “</w:t>
      </w:r>
      <w:r>
        <w:rPr>
          <w:rFonts w:ascii="Arial" w:cs="Arial" w:eastAsia="Arial" w:hAnsi="Arial"/>
          <w:sz w:val="19"/>
          <w:szCs w:val="19"/>
          <w:u w:val="single" w:color="auto"/>
          <w:color w:val="auto"/>
        </w:rPr>
        <w:t>control</w:t>
      </w:r>
      <w:r>
        <w:rPr>
          <w:rFonts w:ascii="Arial" w:cs="Arial" w:eastAsia="Arial" w:hAnsi="Arial"/>
          <w:sz w:val="19"/>
          <w:szCs w:val="19"/>
          <w:color w:val="auto"/>
        </w:rPr>
        <w:t>” means direct or indirect ownership of more than fifty percent (50%) of the securities or other ownership interests representing the equity voting stock or general partnership or membership interest of such entity or the power to direct or cause the direction of the management or policies of such entity, whether through the ownership of voting securities, by contract, or otherwise.</w:t>
      </w:r>
    </w:p>
    <w:p>
      <w:pPr>
        <w:spacing w:after="0" w:line="150" w:lineRule="exact"/>
        <w:rPr>
          <w:rFonts w:ascii="Arial" w:cs="Arial" w:eastAsia="Arial" w:hAnsi="Arial"/>
          <w:sz w:val="19"/>
          <w:szCs w:val="19"/>
          <w:color w:val="auto"/>
        </w:rPr>
      </w:pPr>
    </w:p>
    <w:p>
      <w:pPr>
        <w:ind w:left="1760" w:hanging="442"/>
        <w:spacing w:after="0"/>
        <w:tabs>
          <w:tab w:leader="none" w:pos="1760"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API Facility</w:t>
      </w:r>
      <w:r>
        <w:rPr>
          <w:rFonts w:ascii="Arial" w:cs="Arial" w:eastAsia="Arial" w:hAnsi="Arial"/>
          <w:sz w:val="22"/>
          <w:szCs w:val="22"/>
          <w:color w:val="auto"/>
        </w:rPr>
        <w:t xml:space="preserve"> means [**].</w:t>
      </w:r>
    </w:p>
    <w:p>
      <w:pPr>
        <w:spacing w:after="0" w:line="206" w:lineRule="exact"/>
        <w:rPr>
          <w:rFonts w:ascii="Arial" w:cs="Arial" w:eastAsia="Arial" w:hAnsi="Arial"/>
          <w:sz w:val="22"/>
          <w:szCs w:val="22"/>
          <w:color w:val="auto"/>
        </w:rPr>
      </w:pPr>
    </w:p>
    <w:p>
      <w:pPr>
        <w:ind w:left="1760" w:hanging="442"/>
        <w:spacing w:after="0" w:line="328" w:lineRule="auto"/>
        <w:tabs>
          <w:tab w:leader="none" w:pos="1760"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xml:space="preserve"> means all applicable ordinances, rules, regulations, laws, guidelines, guidances, requirements and court orders of any kind whatsoever of any Authority, as amended from time to time, including GMP.</w:t>
      </w:r>
    </w:p>
    <w:p>
      <w:pPr>
        <w:spacing w:after="0" w:line="105" w:lineRule="exact"/>
        <w:rPr>
          <w:rFonts w:ascii="Arial" w:cs="Arial" w:eastAsia="Arial" w:hAnsi="Arial"/>
          <w:sz w:val="19"/>
          <w:szCs w:val="19"/>
          <w:color w:val="auto"/>
        </w:rPr>
      </w:pPr>
    </w:p>
    <w:p>
      <w:pPr>
        <w:jc w:val="both"/>
        <w:ind w:left="1760" w:hanging="442"/>
        <w:spacing w:after="0" w:line="297" w:lineRule="auto"/>
        <w:tabs>
          <w:tab w:leader="none" w:pos="1760"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xml:space="preserve"> means any government regulatory authority responsible for granting approvals for the performance of the Parties’ obligations under this Agreement or for issuing regulations pertaining to the manufacture and/or use of Product in the intended country of use, including the U.S. Food &amp; Drug Administration (“FDA”).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4" w:name="page235"/>
    <w:bookmarkEnd w:id="234"/>
    <w:p>
      <w:pPr>
        <w:jc w:val="both"/>
        <w:ind w:left="560" w:hanging="442"/>
        <w:spacing w:after="0"/>
        <w:tabs>
          <w:tab w:leader="none" w:pos="56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Batch</w:t>
      </w:r>
      <w:r>
        <w:rPr>
          <w:rFonts w:ascii="Arial" w:cs="Arial" w:eastAsia="Arial" w:hAnsi="Arial"/>
          <w:sz w:val="22"/>
          <w:szCs w:val="22"/>
          <w:color w:val="auto"/>
        </w:rPr>
        <w:t xml:space="preserve"> means a specific quantity of Product that is intended to be of uniform character and quality, within specified limits, and is produced during the same cycle of manufacture as defined by the applicable Batch record.</w:t>
      </w:r>
    </w:p>
    <w:p>
      <w:pPr>
        <w:spacing w:after="0" w:line="186" w:lineRule="exact"/>
        <w:rPr>
          <w:rFonts w:ascii="Arial" w:cs="Arial" w:eastAsia="Arial" w:hAnsi="Arial"/>
          <w:sz w:val="22"/>
          <w:szCs w:val="22"/>
          <w:color w:val="auto"/>
        </w:rPr>
      </w:pPr>
    </w:p>
    <w:p>
      <w:pPr>
        <w:jc w:val="both"/>
        <w:ind w:left="560" w:right="20" w:hanging="442"/>
        <w:spacing w:after="0"/>
        <w:tabs>
          <w:tab w:leader="none" w:pos="56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BioVectra Technology</w:t>
      </w:r>
      <w:r>
        <w:rPr>
          <w:rFonts w:ascii="Arial" w:cs="Arial" w:eastAsia="Arial" w:hAnsi="Arial"/>
          <w:sz w:val="22"/>
          <w:szCs w:val="22"/>
          <w:color w:val="auto"/>
        </w:rPr>
        <w:t xml:space="preserve"> means the Technology of BioVectra (i) existing prior to the Effective Date; or (ii) developed or obtained by or on behalf of BioVectra independent of this Agreement and without reliance upon the Confidential Information of Keryx.</w:t>
      </w:r>
    </w:p>
    <w:p>
      <w:pPr>
        <w:spacing w:after="0" w:line="186" w:lineRule="exact"/>
        <w:rPr>
          <w:rFonts w:ascii="Arial" w:cs="Arial" w:eastAsia="Arial" w:hAnsi="Arial"/>
          <w:sz w:val="22"/>
          <w:szCs w:val="22"/>
          <w:color w:val="auto"/>
        </w:rPr>
      </w:pPr>
    </w:p>
    <w:p>
      <w:pPr>
        <w:ind w:left="560" w:hanging="442"/>
        <w:spacing w:after="0" w:line="251" w:lineRule="auto"/>
        <w:tabs>
          <w:tab w:leader="none" w:pos="56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Certificate of Analysis</w:t>
      </w:r>
      <w:r>
        <w:rPr>
          <w:rFonts w:ascii="Arial" w:cs="Arial" w:eastAsia="Arial" w:hAnsi="Arial"/>
          <w:sz w:val="22"/>
          <w:szCs w:val="22"/>
          <w:color w:val="auto"/>
        </w:rPr>
        <w:t xml:space="preserve"> means a document signed by an authorized representative of BioVectra, describing Specifications for, and testing methods applied to, Product, and the results of testing.</w:t>
      </w:r>
    </w:p>
    <w:p>
      <w:pPr>
        <w:spacing w:after="0" w:line="173" w:lineRule="exact"/>
        <w:rPr>
          <w:rFonts w:ascii="Arial" w:cs="Arial" w:eastAsia="Arial" w:hAnsi="Arial"/>
          <w:sz w:val="22"/>
          <w:szCs w:val="22"/>
          <w:color w:val="auto"/>
        </w:rPr>
      </w:pPr>
    </w:p>
    <w:p>
      <w:pPr>
        <w:jc w:val="both"/>
        <w:ind w:left="560" w:hanging="442"/>
        <w:spacing w:after="0"/>
        <w:tabs>
          <w:tab w:leader="none" w:pos="56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Certificate of Compliance</w:t>
      </w:r>
      <w:r>
        <w:rPr>
          <w:rFonts w:ascii="Arial" w:cs="Arial" w:eastAsia="Arial" w:hAnsi="Arial"/>
          <w:sz w:val="22"/>
          <w:szCs w:val="22"/>
          <w:color w:val="auto"/>
        </w:rPr>
        <w:t xml:space="preserve"> means a document signed by an authorized representative of BioVectra, certifying that a particular Batch was manufactured in accordance with GMP, all other Applicable Law, the Manufacturing Procedure, and the Specifications.</w:t>
      </w:r>
    </w:p>
    <w:p>
      <w:pPr>
        <w:spacing w:after="0" w:line="186" w:lineRule="exact"/>
        <w:rPr>
          <w:rFonts w:ascii="Arial" w:cs="Arial" w:eastAsia="Arial" w:hAnsi="Arial"/>
          <w:sz w:val="22"/>
          <w:szCs w:val="22"/>
          <w:color w:val="auto"/>
        </w:rPr>
      </w:pPr>
    </w:p>
    <w:p>
      <w:pPr>
        <w:jc w:val="both"/>
        <w:ind w:left="560" w:hanging="442"/>
        <w:spacing w:after="0" w:line="297" w:lineRule="auto"/>
        <w:tabs>
          <w:tab w:leader="none" w:pos="560"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CMC</w:t>
      </w:r>
      <w:r>
        <w:rPr>
          <w:rFonts w:ascii="Arial" w:cs="Arial" w:eastAsia="Arial" w:hAnsi="Arial"/>
          <w:sz w:val="19"/>
          <w:szCs w:val="19"/>
          <w:color w:val="auto"/>
        </w:rPr>
        <w:t xml:space="preserve"> shall mean the chemistry, manufacturing, and controls section(s) and data in any Health Registration(s) that covers the chemical composition of a given Product and its components and the control and Manufacturing Procedure for any Products and their components, as may be amended or supplemented from time to time.</w:t>
      </w:r>
    </w:p>
    <w:p>
      <w:pPr>
        <w:spacing w:after="0" w:line="134" w:lineRule="exact"/>
        <w:rPr>
          <w:rFonts w:ascii="Arial" w:cs="Arial" w:eastAsia="Arial" w:hAnsi="Arial"/>
          <w:sz w:val="19"/>
          <w:szCs w:val="19"/>
          <w:color w:val="auto"/>
        </w:rPr>
      </w:pPr>
    </w:p>
    <w:p>
      <w:pPr>
        <w:ind w:left="560" w:hanging="442"/>
        <w:spacing w:after="0"/>
        <w:tabs>
          <w:tab w:leader="none" w:pos="56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is May 1, 2017.</w:t>
      </w:r>
    </w:p>
    <w:p>
      <w:pPr>
        <w:spacing w:after="0" w:line="206" w:lineRule="exact"/>
        <w:rPr>
          <w:rFonts w:ascii="Arial" w:cs="Arial" w:eastAsia="Arial" w:hAnsi="Arial"/>
          <w:sz w:val="22"/>
          <w:szCs w:val="22"/>
          <w:color w:val="auto"/>
        </w:rPr>
      </w:pPr>
    </w:p>
    <w:p>
      <w:pPr>
        <w:jc w:val="both"/>
        <w:ind w:left="560" w:hanging="442"/>
        <w:spacing w:after="0" w:line="238" w:lineRule="auto"/>
        <w:tabs>
          <w:tab w:leader="none" w:pos="56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GMP</w:t>
      </w:r>
      <w:r>
        <w:rPr>
          <w:rFonts w:ascii="Arial" w:cs="Arial" w:eastAsia="Arial" w:hAnsi="Arial"/>
          <w:sz w:val="22"/>
          <w:szCs w:val="22"/>
          <w:color w:val="auto"/>
        </w:rPr>
        <w:t xml:space="preserve"> means current Good Manufacturing Practice; which are requirements for the quality system under which Products will be manufactured. Those practices are laid down in guidelines and regulations including ICH Q7 Good Manufacturing Practice Guide for Active Pharmaceutical Ingredients and US Code of Federal Regulations 21CFR parts 210 &amp; 211.</w:t>
      </w:r>
    </w:p>
    <w:p>
      <w:pPr>
        <w:spacing w:after="0" w:line="185" w:lineRule="exact"/>
        <w:rPr>
          <w:sz w:val="20"/>
          <w:szCs w:val="20"/>
          <w:color w:val="auto"/>
        </w:rPr>
      </w:pPr>
    </w:p>
    <w:p>
      <w:pPr>
        <w:jc w:val="both"/>
        <w:ind w:left="540" w:hanging="422"/>
        <w:spacing w:after="0" w:line="252" w:lineRule="auto"/>
        <w:tabs>
          <w:tab w:leader="none" w:pos="540"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Health Registration</w:t>
      </w:r>
      <w:r>
        <w:rPr>
          <w:rFonts w:ascii="Arial" w:cs="Arial" w:eastAsia="Arial" w:hAnsi="Arial"/>
          <w:sz w:val="21"/>
          <w:szCs w:val="21"/>
          <w:color w:val="auto"/>
        </w:rPr>
        <w:t xml:space="preserve"> shall mean the technical, medical and scientific licenses, registrations, authorizations and/or approvals of a Product that are required by any national, supra-national (e.g., the European Commission or the Council of the European Union), regional, state or local Governmental Authority or other governmental entity, for the manufacture, use or sale of the subject Product.</w:t>
      </w:r>
    </w:p>
    <w:p>
      <w:pPr>
        <w:spacing w:after="0" w:line="174" w:lineRule="exact"/>
        <w:rPr>
          <w:sz w:val="20"/>
          <w:szCs w:val="20"/>
          <w:color w:val="auto"/>
        </w:rPr>
      </w:pPr>
    </w:p>
    <w:p>
      <w:pPr>
        <w:jc w:val="both"/>
        <w:ind w:left="560" w:hanging="442"/>
        <w:spacing w:after="0" w:line="238" w:lineRule="auto"/>
        <w:tabs>
          <w:tab w:leader="none" w:pos="56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Improvements</w:t>
      </w:r>
      <w:r>
        <w:rPr>
          <w:rFonts w:ascii="Arial" w:cs="Arial" w:eastAsia="Arial" w:hAnsi="Arial"/>
          <w:sz w:val="22"/>
          <w:szCs w:val="22"/>
          <w:color w:val="auto"/>
        </w:rPr>
        <w:t xml:space="preserve"> means all Technology and discoveries, inventions, developments, modifications, innovations, updates, enhancements, improvements, writings or rights (whether or not protectable under patent, trademark, copyright or similar laws) that are conceived, discovered, invented, developed, created, made or reduced to practice in the performance under this Agreement.</w:t>
      </w:r>
    </w:p>
    <w:p>
      <w:pPr>
        <w:spacing w:after="0" w:line="185" w:lineRule="exact"/>
        <w:rPr>
          <w:rFonts w:ascii="Arial" w:cs="Arial" w:eastAsia="Arial" w:hAnsi="Arial"/>
          <w:sz w:val="22"/>
          <w:szCs w:val="22"/>
          <w:color w:val="auto"/>
        </w:rPr>
      </w:pPr>
    </w:p>
    <w:p>
      <w:pPr>
        <w:ind w:left="560" w:hanging="442"/>
        <w:spacing w:after="0"/>
        <w:tabs>
          <w:tab w:leader="none" w:pos="5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jc w:val="both"/>
        <w:ind w:left="560" w:hanging="442"/>
        <w:spacing w:after="0" w:line="236" w:lineRule="auto"/>
        <w:tabs>
          <w:tab w:leader="none" w:pos="56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Keryx Supplied Materials</w:t>
      </w:r>
      <w:r>
        <w:rPr>
          <w:rFonts w:ascii="Arial" w:cs="Arial" w:eastAsia="Arial" w:hAnsi="Arial"/>
          <w:sz w:val="22"/>
          <w:szCs w:val="22"/>
          <w:color w:val="auto"/>
        </w:rPr>
        <w:t xml:space="preserve"> means those materials and equipment, if any, supplied by, or on behalf of, Keryx to BioVectra for use in the manufacture of Product hereunder (including any raw materials). Keryx Supplied Materials shall at all times remain the property of Keryx (and BioVectra shall ensure that no pledges, liens, restrictions, claims, charges, security interests or other encumbrance are placed on such Keryx Supplied Materials).</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35" w:name="page236"/>
    <w:bookmarkEnd w:id="235"/>
    <w:p>
      <w:pPr>
        <w:jc w:val="both"/>
        <w:ind w:left="560" w:hanging="442"/>
        <w:spacing w:after="0" w:line="287" w:lineRule="auto"/>
        <w:tabs>
          <w:tab w:leader="none" w:pos="560"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Keryx Technology</w:t>
      </w:r>
      <w:r>
        <w:rPr>
          <w:rFonts w:ascii="Arial" w:cs="Arial" w:eastAsia="Arial" w:hAnsi="Arial"/>
          <w:sz w:val="19"/>
          <w:szCs w:val="19"/>
          <w:color w:val="auto"/>
        </w:rPr>
        <w:t xml:space="preserve"> means (i) Keryx Supplied Materials and any intermediates, components, or derivatives thereof; ii) Product and any intermediates, components, or derivatives of Product; (iii) Specifications; and (iv) the Technology of Keryx (A) existing prior to the Effective Date, or (B) developed or obtained by or on behalf of Keryx independent of this Agreement and without reliance upon the Confidential Information of BioVectra.</w:t>
      </w:r>
    </w:p>
    <w:p>
      <w:pPr>
        <w:spacing w:after="0" w:line="143" w:lineRule="exact"/>
        <w:rPr>
          <w:rFonts w:ascii="Arial" w:cs="Arial" w:eastAsia="Arial" w:hAnsi="Arial"/>
          <w:sz w:val="19"/>
          <w:szCs w:val="19"/>
          <w:color w:val="auto"/>
        </w:rPr>
      </w:pPr>
    </w:p>
    <w:p>
      <w:pPr>
        <w:ind w:left="560" w:hanging="442"/>
        <w:spacing w:after="0"/>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LSU</w:t>
      </w:r>
      <w:r>
        <w:rPr>
          <w:rFonts w:ascii="Arial" w:cs="Arial" w:eastAsia="Arial" w:hAnsi="Arial"/>
          <w:sz w:val="22"/>
          <w:szCs w:val="22"/>
          <w:color w:val="auto"/>
        </w:rPr>
        <w:t xml:space="preserve"> means BioVectra’s approved third-party GMP storage facility located at [**].</w:t>
      </w:r>
    </w:p>
    <w:p>
      <w:pPr>
        <w:spacing w:after="0" w:line="206" w:lineRule="exact"/>
        <w:rPr>
          <w:rFonts w:ascii="Arial" w:cs="Arial" w:eastAsia="Arial" w:hAnsi="Arial"/>
          <w:sz w:val="22"/>
          <w:szCs w:val="22"/>
          <w:color w:val="auto"/>
        </w:rPr>
      </w:pPr>
    </w:p>
    <w:p>
      <w:pPr>
        <w:jc w:val="both"/>
        <w:ind w:left="560" w:hanging="442"/>
        <w:spacing w:after="0"/>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manufacture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manufacturing</w:t>
      </w:r>
      <w:r>
        <w:rPr>
          <w:rFonts w:ascii="Arial" w:cs="Arial" w:eastAsia="Arial" w:hAnsi="Arial"/>
          <w:sz w:val="22"/>
          <w:szCs w:val="22"/>
          <w:color w:val="auto"/>
        </w:rPr>
        <w:t xml:space="preserve"> (whether or not capitalized) means any steps, processes and activities necessary to produce Product including the manufacturing, processing, packaging, labeling, quality control testing, stability testing, release, storage, shipping or supply of Product.</w:t>
      </w:r>
    </w:p>
    <w:p>
      <w:pPr>
        <w:spacing w:after="0" w:line="186" w:lineRule="exact"/>
        <w:rPr>
          <w:rFonts w:ascii="Arial" w:cs="Arial" w:eastAsia="Arial" w:hAnsi="Arial"/>
          <w:sz w:val="22"/>
          <w:szCs w:val="22"/>
          <w:color w:val="auto"/>
        </w:rPr>
      </w:pPr>
    </w:p>
    <w:p>
      <w:pPr>
        <w:jc w:val="both"/>
        <w:ind w:left="560" w:hanging="442"/>
        <w:spacing w:after="0"/>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Manufacturing Procedure</w:t>
      </w:r>
      <w:r>
        <w:rPr>
          <w:rFonts w:ascii="Arial" w:cs="Arial" w:eastAsia="Arial" w:hAnsi="Arial"/>
          <w:sz w:val="22"/>
          <w:szCs w:val="22"/>
          <w:color w:val="auto"/>
        </w:rPr>
        <w:t xml:space="preserve"> means the agreed upon manufacturing process as detailed in mutually approved batch production records and Batch Documentation including the testing plan, used by BioVectra to manufacture the Products.</w:t>
      </w:r>
    </w:p>
    <w:p>
      <w:pPr>
        <w:spacing w:after="0" w:line="186" w:lineRule="exact"/>
        <w:rPr>
          <w:rFonts w:ascii="Arial" w:cs="Arial" w:eastAsia="Arial" w:hAnsi="Arial"/>
          <w:sz w:val="22"/>
          <w:szCs w:val="22"/>
          <w:color w:val="auto"/>
        </w:rPr>
      </w:pPr>
    </w:p>
    <w:p>
      <w:pPr>
        <w:ind w:left="560" w:hanging="442"/>
        <w:spacing w:after="0"/>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Metric Tons</w:t>
      </w:r>
      <w:r>
        <w:rPr>
          <w:rFonts w:ascii="Arial" w:cs="Arial" w:eastAsia="Arial" w:hAnsi="Arial"/>
          <w:sz w:val="22"/>
          <w:szCs w:val="22"/>
          <w:color w:val="auto"/>
        </w:rPr>
        <w:t xml:space="preserve"> means one thousand kilograms.</w:t>
      </w:r>
    </w:p>
    <w:p>
      <w:pPr>
        <w:spacing w:after="0" w:line="206" w:lineRule="exact"/>
        <w:rPr>
          <w:rFonts w:ascii="Arial" w:cs="Arial" w:eastAsia="Arial" w:hAnsi="Arial"/>
          <w:sz w:val="22"/>
          <w:szCs w:val="22"/>
          <w:color w:val="auto"/>
        </w:rPr>
      </w:pPr>
    </w:p>
    <w:p>
      <w:pPr>
        <w:ind w:left="560" w:hanging="442"/>
        <w:spacing w:after="0"/>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Party</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Parties</w:t>
      </w:r>
      <w:r>
        <w:rPr>
          <w:rFonts w:ascii="Arial" w:cs="Arial" w:eastAsia="Arial" w:hAnsi="Arial"/>
          <w:sz w:val="22"/>
          <w:szCs w:val="22"/>
          <w:color w:val="auto"/>
        </w:rPr>
        <w:t xml:space="preserve"> means one or both Keryx and BioVectra, as the context indicates.</w:t>
      </w:r>
    </w:p>
    <w:p>
      <w:pPr>
        <w:spacing w:after="0" w:line="206" w:lineRule="exact"/>
        <w:rPr>
          <w:rFonts w:ascii="Arial" w:cs="Arial" w:eastAsia="Arial" w:hAnsi="Arial"/>
          <w:sz w:val="22"/>
          <w:szCs w:val="22"/>
          <w:color w:val="auto"/>
        </w:rPr>
      </w:pPr>
    </w:p>
    <w:p>
      <w:pPr>
        <w:ind w:left="560" w:hanging="442"/>
        <w:spacing w:after="0"/>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Product(s)</w:t>
      </w:r>
      <w:r>
        <w:rPr>
          <w:rFonts w:ascii="Arial" w:cs="Arial" w:eastAsia="Arial" w:hAnsi="Arial"/>
          <w:sz w:val="22"/>
          <w:szCs w:val="22"/>
          <w:color w:val="auto"/>
        </w:rPr>
        <w:t xml:space="preserve"> means Product 7067 and Product 7011.</w:t>
      </w:r>
    </w:p>
    <w:p>
      <w:pPr>
        <w:spacing w:after="0" w:line="206" w:lineRule="exact"/>
        <w:rPr>
          <w:rFonts w:ascii="Arial" w:cs="Arial" w:eastAsia="Arial" w:hAnsi="Arial"/>
          <w:sz w:val="22"/>
          <w:szCs w:val="22"/>
          <w:color w:val="auto"/>
        </w:rPr>
      </w:pPr>
    </w:p>
    <w:p>
      <w:pPr>
        <w:ind w:left="560" w:hanging="442"/>
        <w:spacing w:after="0"/>
        <w:tabs>
          <w:tab w:leader="none" w:pos="560"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Product 7067</w:t>
      </w:r>
      <w:r>
        <w:rPr>
          <w:rFonts w:ascii="Arial" w:cs="Arial" w:eastAsia="Arial" w:hAnsi="Arial"/>
          <w:sz w:val="21"/>
          <w:szCs w:val="21"/>
          <w:color w:val="auto"/>
        </w:rPr>
        <w:t xml:space="preserve"> means Ferric Citrate, catalogue number 7067, manufactured in the [**] at the API Facility.</w:t>
      </w:r>
    </w:p>
    <w:p>
      <w:pPr>
        <w:spacing w:after="0" w:line="217" w:lineRule="exact"/>
        <w:rPr>
          <w:rFonts w:ascii="Arial" w:cs="Arial" w:eastAsia="Arial" w:hAnsi="Arial"/>
          <w:sz w:val="21"/>
          <w:szCs w:val="21"/>
          <w:color w:val="auto"/>
        </w:rPr>
      </w:pPr>
    </w:p>
    <w:p>
      <w:pPr>
        <w:ind w:left="560" w:hanging="442"/>
        <w:spacing w:after="0"/>
        <w:tabs>
          <w:tab w:leader="none" w:pos="560"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Product 7011</w:t>
      </w:r>
      <w:r>
        <w:rPr>
          <w:rFonts w:ascii="Arial" w:cs="Arial" w:eastAsia="Arial" w:hAnsi="Arial"/>
          <w:sz w:val="21"/>
          <w:szCs w:val="21"/>
          <w:color w:val="auto"/>
        </w:rPr>
        <w:t xml:space="preserve"> means Ferric Citrate catalogue number 7011, manufactured in the [**] at the API Facility.</w:t>
      </w:r>
    </w:p>
    <w:p>
      <w:pPr>
        <w:spacing w:after="0" w:line="217" w:lineRule="exact"/>
        <w:rPr>
          <w:rFonts w:ascii="Arial" w:cs="Arial" w:eastAsia="Arial" w:hAnsi="Arial"/>
          <w:sz w:val="21"/>
          <w:szCs w:val="21"/>
          <w:color w:val="auto"/>
        </w:rPr>
      </w:pPr>
    </w:p>
    <w:p>
      <w:pPr>
        <w:ind w:left="560" w:hanging="442"/>
        <w:spacing w:after="0" w:line="251" w:lineRule="auto"/>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Quality Agreement</w:t>
      </w:r>
      <w:r>
        <w:rPr>
          <w:rFonts w:ascii="Arial" w:cs="Arial" w:eastAsia="Arial" w:hAnsi="Arial"/>
          <w:sz w:val="22"/>
          <w:szCs w:val="22"/>
          <w:color w:val="auto"/>
        </w:rPr>
        <w:t xml:space="preserve"> means the Quality Agreement executed by the parties, and attached hereto as Exhibit A, and as amended and updated by mutual approval from time to time.</w:t>
      </w:r>
    </w:p>
    <w:p>
      <w:pPr>
        <w:spacing w:after="0" w:line="173" w:lineRule="exact"/>
        <w:rPr>
          <w:rFonts w:ascii="Arial" w:cs="Arial" w:eastAsia="Arial" w:hAnsi="Arial"/>
          <w:sz w:val="22"/>
          <w:szCs w:val="22"/>
          <w:color w:val="auto"/>
        </w:rPr>
      </w:pPr>
    </w:p>
    <w:p>
      <w:pPr>
        <w:jc w:val="both"/>
        <w:ind w:left="560" w:hanging="442"/>
        <w:spacing w:after="0" w:line="238" w:lineRule="auto"/>
        <w:tabs>
          <w:tab w:leader="none" w:pos="5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Records</w:t>
      </w:r>
      <w:r>
        <w:rPr>
          <w:rFonts w:ascii="Arial" w:cs="Arial" w:eastAsia="Arial" w:hAnsi="Arial"/>
          <w:sz w:val="22"/>
          <w:szCs w:val="22"/>
          <w:color w:val="auto"/>
        </w:rPr>
        <w:t xml:space="preserve"> are all records (including reports, accounts, notes, raw data, and records of all information and results obtained from performance of BioVectra’s activities under this Agreement) of all work done by BioVectra under this Agreement, in form and substance as specified in the applicable purchase order, the Quality Agreement, and this Agreement.</w:t>
      </w:r>
    </w:p>
    <w:p>
      <w:pPr>
        <w:spacing w:after="0" w:line="185" w:lineRule="exact"/>
        <w:rPr>
          <w:rFonts w:ascii="Arial" w:cs="Arial" w:eastAsia="Arial" w:hAnsi="Arial"/>
          <w:sz w:val="22"/>
          <w:szCs w:val="22"/>
          <w:color w:val="auto"/>
        </w:rPr>
      </w:pPr>
    </w:p>
    <w:p>
      <w:pPr>
        <w:jc w:val="both"/>
        <w:ind w:left="560" w:hanging="442"/>
        <w:spacing w:after="0" w:line="258" w:lineRule="auto"/>
        <w:tabs>
          <w:tab w:leader="none" w:pos="560"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Reprocess</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Reprocessing</w:t>
      </w:r>
      <w:r>
        <w:rPr>
          <w:rFonts w:ascii="Arial" w:cs="Arial" w:eastAsia="Arial" w:hAnsi="Arial"/>
          <w:sz w:val="21"/>
          <w:szCs w:val="21"/>
          <w:color w:val="auto"/>
        </w:rPr>
        <w:t xml:space="preserve"> means introducing a Product back into, and repeating appropriate manipulation steps that are part of, the established Manufacturing Procedure. Continuation of a process step after an in-process control test shows the process to be incomplete is not considered reprocessing.</w:t>
      </w:r>
    </w:p>
    <w:p>
      <w:pPr>
        <w:spacing w:after="0" w:line="167" w:lineRule="exact"/>
        <w:rPr>
          <w:sz w:val="20"/>
          <w:szCs w:val="20"/>
          <w:color w:val="auto"/>
        </w:rPr>
      </w:pPr>
    </w:p>
    <w:p>
      <w:pPr>
        <w:ind w:left="560" w:hanging="442"/>
        <w:spacing w:after="0" w:line="251" w:lineRule="auto"/>
        <w:tabs>
          <w:tab w:leader="none" w:pos="56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Rework</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Reworking</w:t>
      </w:r>
      <w:r>
        <w:rPr>
          <w:rFonts w:ascii="Arial" w:cs="Arial" w:eastAsia="Arial" w:hAnsi="Arial"/>
          <w:sz w:val="22"/>
          <w:szCs w:val="22"/>
          <w:color w:val="auto"/>
        </w:rPr>
        <w:t xml:space="preserve"> means subjecting a Product to one or more processing steps that are different from the established Manufacturing Procedure.</w:t>
      </w:r>
    </w:p>
    <w:p>
      <w:pPr>
        <w:spacing w:after="0" w:line="38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36" w:name="page237"/>
    <w:bookmarkEnd w:id="236"/>
    <w:p>
      <w:pPr>
        <w:ind w:left="1320" w:hanging="442"/>
        <w:spacing w:after="0" w:line="251" w:lineRule="auto"/>
        <w:tabs>
          <w:tab w:leader="none" w:pos="1320" w:val="left"/>
        </w:tabs>
        <w:numPr>
          <w:ilvl w:val="1"/>
          <w:numId w:val="172"/>
        </w:numPr>
        <w:rPr>
          <w:rFonts w:ascii="Arial" w:cs="Arial" w:eastAsia="Arial" w:hAnsi="Arial"/>
          <w:sz w:val="22"/>
          <w:szCs w:val="22"/>
          <w:color w:val="auto"/>
        </w:rPr>
      </w:pPr>
      <w:r>
        <w:rPr>
          <w:rFonts w:ascii="Arial" w:cs="Arial" w:eastAsia="Arial" w:hAnsi="Arial"/>
          <w:sz w:val="22"/>
          <w:szCs w:val="22"/>
          <w:u w:val="single" w:color="auto"/>
          <w:color w:val="auto"/>
        </w:rPr>
        <w:t>Specifications</w:t>
      </w:r>
      <w:r>
        <w:rPr>
          <w:rFonts w:ascii="Arial" w:cs="Arial" w:eastAsia="Arial" w:hAnsi="Arial"/>
          <w:sz w:val="22"/>
          <w:szCs w:val="22"/>
          <w:color w:val="auto"/>
        </w:rPr>
        <w:t xml:space="preserve"> means those set out in Appendix </w:t>
      </w:r>
      <w:r>
        <w:rPr>
          <w:rFonts w:ascii="Arial" w:cs="Arial" w:eastAsia="Arial" w:hAnsi="Arial"/>
          <w:sz w:val="22"/>
          <w:szCs w:val="22"/>
          <w:i w:val="1"/>
          <w:iCs w:val="1"/>
          <w:color w:val="auto"/>
        </w:rPr>
        <w:t>3 -</w:t>
      </w:r>
      <w:r>
        <w:rPr>
          <w:rFonts w:ascii="Arial" w:cs="Arial" w:eastAsia="Arial" w:hAnsi="Arial"/>
          <w:sz w:val="22"/>
          <w:szCs w:val="22"/>
          <w:color w:val="auto"/>
        </w:rPr>
        <w:t xml:space="preserve"> Specifications for Product 7067 and Appendix 4 - Specifications for Product 7011.</w:t>
      </w:r>
    </w:p>
    <w:p>
      <w:pPr>
        <w:spacing w:after="0" w:line="173" w:lineRule="exact"/>
        <w:rPr>
          <w:rFonts w:ascii="Arial" w:cs="Arial" w:eastAsia="Arial" w:hAnsi="Arial"/>
          <w:sz w:val="22"/>
          <w:szCs w:val="22"/>
          <w:color w:val="auto"/>
        </w:rPr>
      </w:pPr>
    </w:p>
    <w:p>
      <w:pPr>
        <w:ind w:left="1320" w:hanging="442"/>
        <w:spacing w:after="0"/>
        <w:tabs>
          <w:tab w:leader="none" w:pos="1320" w:val="left"/>
        </w:tabs>
        <w:numPr>
          <w:ilvl w:val="1"/>
          <w:numId w:val="172"/>
        </w:numPr>
        <w:rPr>
          <w:rFonts w:ascii="Arial" w:cs="Arial" w:eastAsia="Arial" w:hAnsi="Arial"/>
          <w:sz w:val="22"/>
          <w:szCs w:val="22"/>
          <w:color w:val="auto"/>
        </w:rPr>
      </w:pPr>
      <w:r>
        <w:rPr>
          <w:rFonts w:ascii="Arial" w:cs="Arial" w:eastAsia="Arial" w:hAnsi="Arial"/>
          <w:sz w:val="22"/>
          <w:szCs w:val="22"/>
          <w:u w:val="single" w:color="auto"/>
          <w:color w:val="auto"/>
        </w:rPr>
        <w:t>Supply Term 1</w:t>
      </w:r>
      <w:r>
        <w:rPr>
          <w:rFonts w:ascii="Arial" w:cs="Arial" w:eastAsia="Arial" w:hAnsi="Arial"/>
          <w:sz w:val="22"/>
          <w:szCs w:val="22"/>
          <w:color w:val="auto"/>
        </w:rPr>
        <w:t xml:space="preserve"> is from [**] to [**].</w:t>
      </w:r>
    </w:p>
    <w:p>
      <w:pPr>
        <w:spacing w:after="0" w:line="206" w:lineRule="exact"/>
        <w:rPr>
          <w:rFonts w:ascii="Arial" w:cs="Arial" w:eastAsia="Arial" w:hAnsi="Arial"/>
          <w:sz w:val="22"/>
          <w:szCs w:val="22"/>
          <w:color w:val="auto"/>
        </w:rPr>
      </w:pPr>
    </w:p>
    <w:p>
      <w:pPr>
        <w:ind w:left="1320" w:hanging="442"/>
        <w:spacing w:after="0"/>
        <w:tabs>
          <w:tab w:leader="none" w:pos="1320" w:val="left"/>
        </w:tabs>
        <w:numPr>
          <w:ilvl w:val="1"/>
          <w:numId w:val="172"/>
        </w:numPr>
        <w:rPr>
          <w:rFonts w:ascii="Arial" w:cs="Arial" w:eastAsia="Arial" w:hAnsi="Arial"/>
          <w:sz w:val="22"/>
          <w:szCs w:val="22"/>
          <w:color w:val="auto"/>
        </w:rPr>
      </w:pPr>
      <w:r>
        <w:rPr>
          <w:rFonts w:ascii="Arial" w:cs="Arial" w:eastAsia="Arial" w:hAnsi="Arial"/>
          <w:sz w:val="22"/>
          <w:szCs w:val="22"/>
          <w:u w:val="single" w:color="auto"/>
          <w:color w:val="auto"/>
        </w:rPr>
        <w:t>Supply Term 2</w:t>
      </w:r>
      <w:r>
        <w:rPr>
          <w:rFonts w:ascii="Arial" w:cs="Arial" w:eastAsia="Arial" w:hAnsi="Arial"/>
          <w:sz w:val="22"/>
          <w:szCs w:val="22"/>
          <w:color w:val="auto"/>
        </w:rPr>
        <w:t xml:space="preserve"> is from [**] to [**].</w:t>
      </w:r>
    </w:p>
    <w:p>
      <w:pPr>
        <w:spacing w:after="0" w:line="206" w:lineRule="exact"/>
        <w:rPr>
          <w:rFonts w:ascii="Arial" w:cs="Arial" w:eastAsia="Arial" w:hAnsi="Arial"/>
          <w:sz w:val="22"/>
          <w:szCs w:val="22"/>
          <w:color w:val="auto"/>
        </w:rPr>
      </w:pPr>
    </w:p>
    <w:p>
      <w:pPr>
        <w:ind w:left="1320" w:hanging="442"/>
        <w:spacing w:after="0"/>
        <w:tabs>
          <w:tab w:leader="none" w:pos="1320" w:val="left"/>
        </w:tabs>
        <w:numPr>
          <w:ilvl w:val="1"/>
          <w:numId w:val="172"/>
        </w:numPr>
        <w:rPr>
          <w:rFonts w:ascii="Arial" w:cs="Arial" w:eastAsia="Arial" w:hAnsi="Arial"/>
          <w:sz w:val="22"/>
          <w:szCs w:val="22"/>
          <w:color w:val="auto"/>
        </w:rPr>
      </w:pPr>
      <w:r>
        <w:rPr>
          <w:rFonts w:ascii="Arial" w:cs="Arial" w:eastAsia="Arial" w:hAnsi="Arial"/>
          <w:sz w:val="22"/>
          <w:szCs w:val="22"/>
          <w:u w:val="single" w:color="auto"/>
          <w:color w:val="auto"/>
        </w:rPr>
        <w:t>Supply Term 3</w:t>
      </w:r>
      <w:r>
        <w:rPr>
          <w:rFonts w:ascii="Arial" w:cs="Arial" w:eastAsia="Arial" w:hAnsi="Arial"/>
          <w:sz w:val="22"/>
          <w:szCs w:val="22"/>
          <w:color w:val="auto"/>
        </w:rPr>
        <w:t xml:space="preserve"> is from [**] to [**].</w:t>
      </w:r>
    </w:p>
    <w:p>
      <w:pPr>
        <w:spacing w:after="0" w:line="206" w:lineRule="exact"/>
        <w:rPr>
          <w:rFonts w:ascii="Arial" w:cs="Arial" w:eastAsia="Arial" w:hAnsi="Arial"/>
          <w:sz w:val="22"/>
          <w:szCs w:val="22"/>
          <w:color w:val="auto"/>
        </w:rPr>
      </w:pPr>
    </w:p>
    <w:p>
      <w:pPr>
        <w:jc w:val="both"/>
        <w:ind w:left="1320" w:hanging="442"/>
        <w:spacing w:after="0" w:line="297" w:lineRule="auto"/>
        <w:tabs>
          <w:tab w:leader="none" w:pos="1320" w:val="left"/>
        </w:tabs>
        <w:numPr>
          <w:ilvl w:val="1"/>
          <w:numId w:val="172"/>
        </w:numPr>
        <w:rPr>
          <w:rFonts w:ascii="Arial" w:cs="Arial" w:eastAsia="Arial" w:hAnsi="Arial"/>
          <w:sz w:val="19"/>
          <w:szCs w:val="19"/>
          <w:color w:val="auto"/>
        </w:rPr>
      </w:pPr>
      <w:r>
        <w:rPr>
          <w:rFonts w:ascii="Arial" w:cs="Arial" w:eastAsia="Arial" w:hAnsi="Arial"/>
          <w:sz w:val="19"/>
          <w:szCs w:val="19"/>
          <w:u w:val="single" w:color="auto"/>
          <w:color w:val="auto"/>
        </w:rPr>
        <w:t>Supporting Documentation</w:t>
      </w:r>
      <w:r>
        <w:rPr>
          <w:rFonts w:ascii="Arial" w:cs="Arial" w:eastAsia="Arial" w:hAnsi="Arial"/>
          <w:sz w:val="19"/>
          <w:szCs w:val="19"/>
          <w:color w:val="auto"/>
        </w:rPr>
        <w:t xml:space="preserve"> is authorizations, certificates, methodologies, raw material specifications, SOPs, standard test methods, and other documentation in the possession or under the control of BioVectra relating to the development and/or manufacture of Product (or any intermediate or component of Product).</w:t>
      </w:r>
    </w:p>
    <w:p>
      <w:pPr>
        <w:spacing w:after="0" w:line="134" w:lineRule="exact"/>
        <w:rPr>
          <w:rFonts w:ascii="Arial" w:cs="Arial" w:eastAsia="Arial" w:hAnsi="Arial"/>
          <w:sz w:val="19"/>
          <w:szCs w:val="19"/>
          <w:color w:val="auto"/>
        </w:rPr>
      </w:pPr>
    </w:p>
    <w:p>
      <w:pPr>
        <w:jc w:val="both"/>
        <w:ind w:left="1320" w:hanging="442"/>
        <w:spacing w:after="0"/>
        <w:tabs>
          <w:tab w:leader="none" w:pos="1320" w:val="left"/>
        </w:tabs>
        <w:numPr>
          <w:ilvl w:val="1"/>
          <w:numId w:val="172"/>
        </w:numPr>
        <w:rPr>
          <w:rFonts w:ascii="Arial" w:cs="Arial" w:eastAsia="Arial" w:hAnsi="Arial"/>
          <w:sz w:val="22"/>
          <w:szCs w:val="22"/>
          <w:color w:val="auto"/>
        </w:rPr>
      </w:pPr>
      <w:r>
        <w:rPr>
          <w:rFonts w:ascii="Arial" w:cs="Arial" w:eastAsia="Arial" w:hAnsi="Arial"/>
          <w:sz w:val="22"/>
          <w:szCs w:val="22"/>
          <w:u w:val="single" w:color="auto"/>
          <w:color w:val="auto"/>
        </w:rPr>
        <w:t>Technology</w:t>
      </w:r>
      <w:r>
        <w:rPr>
          <w:rFonts w:ascii="Arial" w:cs="Arial" w:eastAsia="Arial" w:hAnsi="Arial"/>
          <w:sz w:val="22"/>
          <w:szCs w:val="22"/>
          <w:color w:val="auto"/>
        </w:rPr>
        <w:t xml:space="preserve"> means all methods, techniques, trade secrets, copyrights, know-how, data, documentation, regulatory submissions, specifications and other intellectual property of any kind (whether or not protectable under patent, trademark, copyright or similar laws).</w:t>
      </w:r>
    </w:p>
    <w:p>
      <w:pPr>
        <w:spacing w:after="0" w:line="180" w:lineRule="exact"/>
        <w:rPr>
          <w:rFonts w:ascii="Arial" w:cs="Arial" w:eastAsia="Arial" w:hAnsi="Arial"/>
          <w:sz w:val="22"/>
          <w:szCs w:val="22"/>
          <w:color w:val="auto"/>
        </w:rPr>
      </w:pPr>
    </w:p>
    <w:p>
      <w:pPr>
        <w:ind w:left="440" w:hanging="440"/>
        <w:spacing w:after="0"/>
        <w:tabs>
          <w:tab w:leader="none" w:pos="44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 Supply, Purchase Order Placement</w:t>
      </w:r>
    </w:p>
    <w:p>
      <w:pPr>
        <w:spacing w:after="0" w:line="212" w:lineRule="exact"/>
        <w:rPr>
          <w:rFonts w:ascii="Arial" w:cs="Arial" w:eastAsia="Arial" w:hAnsi="Arial"/>
          <w:sz w:val="22"/>
          <w:szCs w:val="22"/>
          <w:b w:val="1"/>
          <w:bCs w:val="1"/>
          <w:color w:val="auto"/>
        </w:rPr>
      </w:pPr>
    </w:p>
    <w:p>
      <w:pPr>
        <w:jc w:val="both"/>
        <w:ind w:left="1320" w:hanging="442"/>
        <w:spacing w:after="0" w:line="238" w:lineRule="auto"/>
        <w:tabs>
          <w:tab w:leader="none" w:pos="132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During the Term of this Agreement, BioVectra will manufacture Product, utilizing [**] BioVectra considers proprietary (the “BV [**]”), [**] for Keryx for the US, Europe and any other market in which Keryx has license to sell. Without limiting Keryx’s purchase obligations below, nothing herein shall limit or prohibit Keryx from purchasing Product from any third party.</w:t>
      </w:r>
    </w:p>
    <w:p>
      <w:pPr>
        <w:spacing w:after="0" w:line="185" w:lineRule="exact"/>
        <w:rPr>
          <w:rFonts w:ascii="Arial" w:cs="Arial" w:eastAsia="Arial" w:hAnsi="Arial"/>
          <w:sz w:val="22"/>
          <w:szCs w:val="22"/>
          <w:color w:val="auto"/>
        </w:rPr>
      </w:pPr>
    </w:p>
    <w:p>
      <w:pPr>
        <w:ind w:left="1320" w:hanging="442"/>
        <w:spacing w:after="0"/>
        <w:tabs>
          <w:tab w:leader="none" w:pos="132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Product 7067:</w:t>
      </w:r>
    </w:p>
    <w:p>
      <w:pPr>
        <w:spacing w:after="0" w:line="206" w:lineRule="exact"/>
        <w:rPr>
          <w:rFonts w:ascii="Arial" w:cs="Arial" w:eastAsia="Arial" w:hAnsi="Arial"/>
          <w:sz w:val="22"/>
          <w:szCs w:val="22"/>
          <w:color w:val="auto"/>
        </w:rPr>
      </w:pPr>
    </w:p>
    <w:p>
      <w:pPr>
        <w:ind w:left="2180" w:hanging="424"/>
        <w:spacing w:after="0"/>
        <w:tabs>
          <w:tab w:leader="none" w:pos="2180" w:val="left"/>
        </w:tabs>
        <w:numPr>
          <w:ilvl w:val="2"/>
          <w:numId w:val="173"/>
        </w:numPr>
        <w:rPr>
          <w:rFonts w:ascii="Arial" w:cs="Arial" w:eastAsia="Arial" w:hAnsi="Arial"/>
          <w:sz w:val="19"/>
          <w:szCs w:val="19"/>
          <w:color w:val="auto"/>
        </w:rPr>
      </w:pPr>
      <w:r>
        <w:rPr>
          <w:rFonts w:ascii="Arial" w:cs="Arial" w:eastAsia="Arial" w:hAnsi="Arial"/>
          <w:sz w:val="19"/>
          <w:szCs w:val="19"/>
          <w:color w:val="auto"/>
        </w:rPr>
        <w:t>For Supply Term 1, Keryx may, at its election, purchase up to a maximum of [**] of Product 7067.</w:t>
      </w:r>
    </w:p>
    <w:p>
      <w:pPr>
        <w:spacing w:after="0" w:line="240" w:lineRule="exact"/>
        <w:rPr>
          <w:rFonts w:ascii="Arial" w:cs="Arial" w:eastAsia="Arial" w:hAnsi="Arial"/>
          <w:sz w:val="19"/>
          <w:szCs w:val="19"/>
          <w:color w:val="auto"/>
        </w:rPr>
      </w:pPr>
    </w:p>
    <w:p>
      <w:pPr>
        <w:ind w:left="2180" w:hanging="424"/>
        <w:spacing w:after="0" w:line="251" w:lineRule="auto"/>
        <w:tabs>
          <w:tab w:leader="none" w:pos="218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For Supply Term 2, Keryx will purchase [**] of Product 7067 (subject to BioVectra’s performance of its obligations under this Agreement).</w:t>
      </w:r>
    </w:p>
    <w:p>
      <w:pPr>
        <w:spacing w:after="0" w:line="173" w:lineRule="exact"/>
        <w:rPr>
          <w:rFonts w:ascii="Arial" w:cs="Arial" w:eastAsia="Arial" w:hAnsi="Arial"/>
          <w:sz w:val="22"/>
          <w:szCs w:val="22"/>
          <w:color w:val="auto"/>
        </w:rPr>
      </w:pPr>
    </w:p>
    <w:p>
      <w:pPr>
        <w:ind w:left="2180" w:hanging="424"/>
        <w:spacing w:after="0" w:line="251" w:lineRule="auto"/>
        <w:tabs>
          <w:tab w:leader="none" w:pos="218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For Supply Term 3, Keryx will purchase [**] of Product 7067 (subject to BioVectra’s performance of its obligations under this Agreement).</w:t>
      </w:r>
    </w:p>
    <w:p>
      <w:pPr>
        <w:spacing w:after="0" w:line="173" w:lineRule="exact"/>
        <w:rPr>
          <w:rFonts w:ascii="Arial" w:cs="Arial" w:eastAsia="Arial" w:hAnsi="Arial"/>
          <w:sz w:val="22"/>
          <w:szCs w:val="22"/>
          <w:color w:val="auto"/>
        </w:rPr>
      </w:pPr>
    </w:p>
    <w:p>
      <w:pPr>
        <w:jc w:val="both"/>
        <w:ind w:left="2180" w:hanging="424"/>
        <w:spacing w:after="0" w:line="236" w:lineRule="auto"/>
        <w:tabs>
          <w:tab w:leader="none" w:pos="218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Notwithstanding the above, Keryx may meet its annual minimums for Supply Term 2 and 3 by purchasing [**] over the course of Supply Term 2 and Supply Term 3. If Keryx fails to purchase [**] of Product 7067 over by the end of Supply Term 3, BioVectra will invoice Keryx for the difference between [**] and the number of Metric Tons of Product actually purchased over Supply Term 2 and 3.</w:t>
      </w:r>
    </w:p>
    <w:p>
      <w:pPr>
        <w:spacing w:after="0" w:line="187" w:lineRule="exact"/>
        <w:rPr>
          <w:rFonts w:ascii="Arial" w:cs="Arial" w:eastAsia="Arial" w:hAnsi="Arial"/>
          <w:sz w:val="22"/>
          <w:szCs w:val="22"/>
          <w:color w:val="auto"/>
        </w:rPr>
      </w:pPr>
    </w:p>
    <w:p>
      <w:pPr>
        <w:jc w:val="both"/>
        <w:ind w:left="2180" w:hanging="424"/>
        <w:spacing w:after="0" w:line="236" w:lineRule="auto"/>
        <w:tabs>
          <w:tab w:leader="none" w:pos="218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Subject to the Forecast Planning Schedule negotiated between [**] and Keryx (as such may be amended by [**] and Keryx from time to time hereafter and provided to BioVectra, the “Production Forecast”), set out herein as Appendix 2, BioVectra in Supply Term 2 and 3 has annual capacity to deliver up to [**] of Product Number 7067. BioVectra will make Keryx aware of additional capacity over [**].</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237" w:name="page238"/>
    <w:bookmarkEnd w:id="237"/>
    <w:p>
      <w:pPr>
        <w:ind w:left="560" w:hanging="442"/>
        <w:spacing w:after="0"/>
        <w:tabs>
          <w:tab w:leader="none" w:pos="5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Product 7011:</w:t>
      </w:r>
    </w:p>
    <w:p>
      <w:pPr>
        <w:spacing w:after="0" w:line="206" w:lineRule="exact"/>
        <w:rPr>
          <w:rFonts w:ascii="Arial" w:cs="Arial" w:eastAsia="Arial" w:hAnsi="Arial"/>
          <w:sz w:val="22"/>
          <w:szCs w:val="22"/>
          <w:color w:val="auto"/>
        </w:rPr>
      </w:pPr>
    </w:p>
    <w:p>
      <w:pPr>
        <w:ind w:left="1420" w:hanging="424"/>
        <w:spacing w:after="0"/>
        <w:tabs>
          <w:tab w:leader="none" w:pos="142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For Supply Term 1, Keryx may, at its election, purchase up to a maximum of [**].</w:t>
      </w:r>
    </w:p>
    <w:p>
      <w:pPr>
        <w:spacing w:after="0" w:line="206" w:lineRule="exact"/>
        <w:rPr>
          <w:rFonts w:ascii="Arial" w:cs="Arial" w:eastAsia="Arial" w:hAnsi="Arial"/>
          <w:sz w:val="22"/>
          <w:szCs w:val="22"/>
          <w:color w:val="auto"/>
        </w:rPr>
      </w:pPr>
    </w:p>
    <w:p>
      <w:pPr>
        <w:jc w:val="both"/>
        <w:ind w:left="1420" w:hanging="424"/>
        <w:spacing w:after="0" w:line="238" w:lineRule="auto"/>
        <w:tabs>
          <w:tab w:leader="none" w:pos="142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Keryx may purchase Product 7011, in certain quantities to be agreed to between the Parties, in Supply Term 2 or Supply Term 3, however BioVectra will only manufacture Product 7011 after BioVectra has received a purchase order(s) for Product 7067 pursuant to Section 2.b. above for the given Supply Term.</w:t>
      </w:r>
    </w:p>
    <w:p>
      <w:pPr>
        <w:spacing w:after="0" w:line="185" w:lineRule="exact"/>
        <w:rPr>
          <w:rFonts w:ascii="Arial" w:cs="Arial" w:eastAsia="Arial" w:hAnsi="Arial"/>
          <w:sz w:val="22"/>
          <w:szCs w:val="22"/>
          <w:color w:val="auto"/>
        </w:rPr>
      </w:pPr>
    </w:p>
    <w:p>
      <w:pPr>
        <w:ind w:left="560" w:hanging="442"/>
        <w:spacing w:after="0"/>
        <w:tabs>
          <w:tab w:leader="none" w:pos="5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price of Product 7067 and Product 7011 is set out in Appendix 1.</w:t>
      </w:r>
    </w:p>
    <w:p>
      <w:pPr>
        <w:spacing w:after="0" w:line="206" w:lineRule="exact"/>
        <w:rPr>
          <w:rFonts w:ascii="Arial" w:cs="Arial" w:eastAsia="Arial" w:hAnsi="Arial"/>
          <w:sz w:val="22"/>
          <w:szCs w:val="22"/>
          <w:color w:val="auto"/>
        </w:rPr>
      </w:pPr>
    </w:p>
    <w:p>
      <w:pPr>
        <w:jc w:val="both"/>
        <w:ind w:left="560" w:hanging="442"/>
        <w:spacing w:after="0" w:line="236" w:lineRule="auto"/>
        <w:tabs>
          <w:tab w:leader="none" w:pos="5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Purchase and shipment of Product 7067 will be in response to written purchase orders submitted by Keryx according to process set out herein. Keryx will place a binding purchase order for all its requirements for Product 7067 for Supply Term 1 by [**]. Subject to Section 2.b.v above, Keryx will place a binding purchase order for all its requirements of Product 7067 for Supply Year 2 by [**], and by [**] for all its requirements of Product 7067 for Supply Year 3.</w:t>
      </w:r>
    </w:p>
    <w:p>
      <w:pPr>
        <w:spacing w:after="0" w:line="187" w:lineRule="exact"/>
        <w:rPr>
          <w:rFonts w:ascii="Arial" w:cs="Arial" w:eastAsia="Arial" w:hAnsi="Arial"/>
          <w:sz w:val="22"/>
          <w:szCs w:val="22"/>
          <w:color w:val="auto"/>
        </w:rPr>
      </w:pPr>
    </w:p>
    <w:p>
      <w:pPr>
        <w:ind w:left="560" w:hanging="442"/>
        <w:spacing w:after="0" w:line="328" w:lineRule="auto"/>
        <w:tabs>
          <w:tab w:leader="none" w:pos="5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Purchase and shipment of Product 7011 will be in response to written purchase orders submitted by Keryx. For Supply Term 1, Keryx may submit a binding purchase order for a maximum of [**], to be delivered by [**].</w:t>
      </w:r>
    </w:p>
    <w:p>
      <w:pPr>
        <w:spacing w:after="0" w:line="105" w:lineRule="exact"/>
        <w:rPr>
          <w:rFonts w:ascii="Arial" w:cs="Arial" w:eastAsia="Arial" w:hAnsi="Arial"/>
          <w:sz w:val="19"/>
          <w:szCs w:val="19"/>
          <w:color w:val="auto"/>
        </w:rPr>
      </w:pPr>
    </w:p>
    <w:p>
      <w:pPr>
        <w:ind w:left="560" w:hanging="442"/>
        <w:spacing w:after="0" w:line="328" w:lineRule="auto"/>
        <w:tabs>
          <w:tab w:leader="none" w:pos="5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Purchase orders will be be confirmed by BioVectra for acceptance and delivery timing and BioVectra shall not reject any Kerxy purchase orders for Product that fall within the capacity requirements of this Agreement.</w:t>
      </w:r>
    </w:p>
    <w:p>
      <w:pPr>
        <w:spacing w:after="0" w:line="105" w:lineRule="exact"/>
        <w:rPr>
          <w:rFonts w:ascii="Arial" w:cs="Arial" w:eastAsia="Arial" w:hAnsi="Arial"/>
          <w:sz w:val="19"/>
          <w:szCs w:val="19"/>
          <w:color w:val="auto"/>
        </w:rPr>
      </w:pPr>
    </w:p>
    <w:p>
      <w:pPr>
        <w:jc w:val="both"/>
        <w:ind w:left="560" w:hanging="442"/>
        <w:spacing w:after="0" w:line="272" w:lineRule="auto"/>
        <w:tabs>
          <w:tab w:leader="none" w:pos="5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Keryx shall submit to BioVectra a purchase order for each delivery of a given Product, and BioVectra shall fulfill such purchase order in accordance with this Agreement. Each purchase order shall be on such form of purchase order or document as agreed between the Parties from time-to-time in writing and shall include (a) the quantities and types of Product and (b) shipping instructions and destination(s) (and for clarity, Keryx may designate a designee to receive shipments </w:t>
      </w:r>
      <w:r>
        <w:rPr>
          <w:rFonts w:ascii="Arial" w:cs="Arial" w:eastAsia="Arial" w:hAnsi="Arial"/>
          <w:sz w:val="19"/>
          <w:szCs w:val="19"/>
          <w:i w:val="1"/>
          <w:iCs w:val="1"/>
          <w:color w:val="auto"/>
        </w:rPr>
        <w:t>(e.g,</w:t>
      </w:r>
      <w:r>
        <w:rPr>
          <w:rFonts w:ascii="Arial" w:cs="Arial" w:eastAsia="Arial" w:hAnsi="Arial"/>
          <w:sz w:val="19"/>
          <w:szCs w:val="19"/>
          <w:color w:val="auto"/>
        </w:rPr>
        <w:t xml:space="preserve"> a distributor)). BioVectra shall be obligated to manufacture and supply such quantities of Product as are set forth in each purchase order and deliver such quantities in accordance with the mutually agreed upon delivery schedule, provided that in no circumstances shall the delivery date be later than [**] after completion of manufacture pursuant to the Production Forecast. BioVectra shall, within [**] of receipt of a purchase order, confirm in writing that a purchase order has been accepted. BioVectra shall be required to accept the purchase orders (or portions thereof, as applicable) which are provided to BioVectra in accordance with the terms and conditions of this Agreement. In the event that the terms of any purchase order or purchase order acceptance are not consistent with this Agreement, the terms of this Agreement shall prevail.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2" w:right="239" w:bottom="1440" w:gutter="0" w:footer="0" w:header="0"/>
        </w:sectPr>
      </w:pPr>
    </w:p>
    <w:bookmarkStart w:id="238" w:name="page239"/>
    <w:bookmarkEnd w:id="238"/>
    <w:p>
      <w:pPr>
        <w:jc w:val="both"/>
        <w:ind w:left="1320" w:hanging="442"/>
        <w:spacing w:after="0" w:line="233" w:lineRule="auto"/>
        <w:tabs>
          <w:tab w:leader="none" w:pos="1320" w:val="left"/>
        </w:tabs>
        <w:numPr>
          <w:ilvl w:val="1"/>
          <w:numId w:val="175"/>
        </w:numPr>
        <w:rPr>
          <w:rFonts w:ascii="Arial" w:cs="Arial" w:eastAsia="Arial" w:hAnsi="Arial"/>
          <w:sz w:val="22"/>
          <w:szCs w:val="22"/>
          <w:color w:val="auto"/>
        </w:rPr>
      </w:pPr>
      <w:r>
        <w:rPr>
          <w:rFonts w:ascii="Arial" w:cs="Arial" w:eastAsia="Arial" w:hAnsi="Arial"/>
          <w:sz w:val="22"/>
          <w:szCs w:val="22"/>
          <w:u w:val="single" w:color="auto"/>
          <w:color w:val="auto"/>
        </w:rPr>
        <w:t>Non-Compete and Non-Use</w:t>
      </w:r>
      <w:r>
        <w:rPr>
          <w:rFonts w:ascii="Arial" w:cs="Arial" w:eastAsia="Arial" w:hAnsi="Arial"/>
          <w:sz w:val="22"/>
          <w:szCs w:val="22"/>
          <w:color w:val="auto"/>
        </w:rPr>
        <w:t>. Other than its pre-existing commitments to [**], during the Term BioVectra agrees that it will not, directly or with or on behalf of a third party, develop, market, advertise, promote, manufacture, supply, distribute, [**] (as reasonably determined by Keryx) for any other person or entity (other than for Keryx pursuant to this Agreement) without Keryx’s prior written consent. In all cases, under no circumstances will BioVectra (or any of its Affiliates) use any Keryx Technology, Improvements or Confidential Information of Keryx to manufacture, for itself or for any other person or entity other than for Keryx pursuant to this Agreement any product at any time, or for any other purpose other than for the manufacture of Product for Keryx hereunder, and such obligation not to use any Keryx Technology, Improvements or Confidential Information of Keryx shall survive the expiration or termination of this Agreement.</w:t>
      </w:r>
    </w:p>
    <w:p>
      <w:pPr>
        <w:spacing w:after="0" w:line="185" w:lineRule="exact"/>
        <w:rPr>
          <w:rFonts w:ascii="Arial" w:cs="Arial" w:eastAsia="Arial" w:hAnsi="Arial"/>
          <w:sz w:val="22"/>
          <w:szCs w:val="22"/>
          <w:color w:val="auto"/>
        </w:rPr>
      </w:pPr>
    </w:p>
    <w:p>
      <w:pPr>
        <w:ind w:left="440" w:hanging="440"/>
        <w:spacing w:after="0"/>
        <w:tabs>
          <w:tab w:leader="none" w:pos="44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 Quality, Disposition</w:t>
      </w:r>
    </w:p>
    <w:p>
      <w:pPr>
        <w:spacing w:after="0" w:line="212" w:lineRule="exact"/>
        <w:rPr>
          <w:rFonts w:ascii="Arial" w:cs="Arial" w:eastAsia="Arial" w:hAnsi="Arial"/>
          <w:sz w:val="22"/>
          <w:szCs w:val="22"/>
          <w:b w:val="1"/>
          <w:bCs w:val="1"/>
          <w:color w:val="auto"/>
        </w:rPr>
      </w:pPr>
    </w:p>
    <w:p>
      <w:pPr>
        <w:jc w:val="both"/>
        <w:ind w:left="1320" w:hanging="442"/>
        <w:spacing w:after="0" w:line="274" w:lineRule="auto"/>
        <w:tabs>
          <w:tab w:leader="none" w:pos="132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BioVectra will manufacture Product according to GMPs, Manufacturing Procedure, Specifications and quality requirements set forth in the Quality Agreement as well as in accordance with all Applicable Law (collectively, all the forgoing the “Manufacturing Requirements”). The Quality Agreement contains and governs all quality related matters and set forth the responsibility of the Parties with respect to certain tasks including change control, deviations, stability, complaints, records, sampling, testing, retaining of samples, release, as well as tasks related to regulatory reporting, investigations, and recalls. Each Batch of Product will be sampled and tested by BioVectra against the Specifications, and the quality assurance department of BioVectra will review the documentation relating to the manufacture of the Batch and will assess if the manufacture has taken place in compliance with the Manufacturing Requirements.</w:t>
      </w:r>
    </w:p>
    <w:p>
      <w:pPr>
        <w:spacing w:after="0" w:line="158" w:lineRule="exact"/>
        <w:rPr>
          <w:rFonts w:ascii="Arial" w:cs="Arial" w:eastAsia="Arial" w:hAnsi="Arial"/>
          <w:sz w:val="19"/>
          <w:szCs w:val="19"/>
          <w:color w:val="auto"/>
        </w:rPr>
      </w:pPr>
    </w:p>
    <w:p>
      <w:pPr>
        <w:jc w:val="both"/>
        <w:ind w:left="1320" w:hanging="442"/>
        <w:spacing w:after="0" w:line="273" w:lineRule="auto"/>
        <w:tabs>
          <w:tab w:leader="none" w:pos="132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In addition to any release requirements set forth in the Quality Agreement, BioVectra will release Product against agreed upon Specifications (set out in Appendix 3 and Appendix 4) and provision to Keryx of a Certificate of Conformance, Certificate of Analysis, certificate of origin (including a BSE / TSE statement), and a summary of Batch deviations (collectively “Batch Documentation”) for each Batch of Product will be delivered to Keryx by electronic mail in the form of a PDF. BioVectra will provide to Keryx following release of each Batch, a PDF scan of the executed Batch records. Upon request, and at Keryx’s cost, BioVectra will also deliver to Keryx all Records and Supporting Documentation in the possession or under the control of BioVectra relating to the manufacture of each Batch of Product (or any intermediate or component of Product). Any scope changes to the manufacturing schedule, release requirements or quality requirements and associated impact(s), including impacts to costs, will be reviewed and assessed prior to implementation, and in all cases subject to the prior mutual agreement of both Parties.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239" w:name="page240"/>
    <w:bookmarkEnd w:id="239"/>
    <w:p>
      <w:pPr>
        <w:jc w:val="both"/>
        <w:ind w:left="560" w:hanging="442"/>
        <w:spacing w:after="0" w:line="279" w:lineRule="auto"/>
        <w:tabs>
          <w:tab w:leader="none" w:pos="56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In addition to Section 3.a. above, as required by GMP, at release Product will be absent of any foreign particulate matter. Safety screening will be implemented by BioVectra as part of the Manufacturing Procedure to aid in the identification of foreign particulate matter. [**] of this Agreement shall be [**]. Because Product contacts [**] of the manufacturing surfaces as a condition of production, it is expected and understood that these surfaces can and will [**] GMP (including 21CFR parts 210 &amp; 211); equipment having been designed, fabricated and qualified to perform to pre-determined standards and materials of construction.</w:t>
      </w:r>
    </w:p>
    <w:p>
      <w:pPr>
        <w:spacing w:after="0" w:line="150" w:lineRule="exact"/>
        <w:rPr>
          <w:rFonts w:ascii="Arial" w:cs="Arial" w:eastAsia="Arial" w:hAnsi="Arial"/>
          <w:sz w:val="19"/>
          <w:szCs w:val="19"/>
          <w:color w:val="auto"/>
        </w:rPr>
      </w:pPr>
    </w:p>
    <w:p>
      <w:pPr>
        <w:jc w:val="both"/>
        <w:ind w:left="560" w:hanging="442"/>
        <w:spacing w:after="0" w:line="238" w:lineRule="auto"/>
        <w:tabs>
          <w:tab w:leader="none" w:pos="56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If [**] Product are observed, Parties will investigate and evaluate risk of Product, and determine disposition. Any disputes between the Parties regarding whether Product conforms to GMP or the other requirements of the Agreement will be submitted to a neutral expert/laboratory for binding resolution pursuant to the procedures set forth below in Section 4.</w:t>
      </w:r>
    </w:p>
    <w:p>
      <w:pPr>
        <w:spacing w:after="0" w:line="185" w:lineRule="exact"/>
        <w:rPr>
          <w:rFonts w:ascii="Arial" w:cs="Arial" w:eastAsia="Arial" w:hAnsi="Arial"/>
          <w:sz w:val="22"/>
          <w:szCs w:val="22"/>
          <w:color w:val="auto"/>
        </w:rPr>
      </w:pPr>
    </w:p>
    <w:p>
      <w:pPr>
        <w:jc w:val="both"/>
        <w:ind w:left="560"/>
        <w:spacing w:after="0" w:line="238" w:lineRule="auto"/>
        <w:rPr>
          <w:rFonts w:ascii="Arial" w:cs="Arial" w:eastAsia="Arial" w:hAnsi="Arial"/>
          <w:sz w:val="22"/>
          <w:szCs w:val="22"/>
          <w:color w:val="auto"/>
        </w:rPr>
      </w:pPr>
      <w:r>
        <w:rPr>
          <w:rFonts w:ascii="Arial" w:cs="Arial" w:eastAsia="Arial" w:hAnsi="Arial"/>
          <w:sz w:val="22"/>
          <w:szCs w:val="22"/>
          <w:color w:val="auto"/>
        </w:rPr>
        <w:t>During each Supply Term, one lot of Product 7067 and Product 7011 (when applicable) will be placed on [**] stability program which shall provide data necessary to support the annual product quality review (APQR). Any additional lots for stability will be considered outside of the scope of this Agreement and a separate quotation will be provided for costs of any additional lots requested.</w:t>
      </w:r>
    </w:p>
    <w:p>
      <w:pPr>
        <w:spacing w:after="0" w:line="185" w:lineRule="exact"/>
        <w:rPr>
          <w:rFonts w:ascii="Arial" w:cs="Arial" w:eastAsia="Arial" w:hAnsi="Arial"/>
          <w:sz w:val="22"/>
          <w:szCs w:val="22"/>
          <w:color w:val="auto"/>
        </w:rPr>
      </w:pPr>
    </w:p>
    <w:p>
      <w:pPr>
        <w:jc w:val="both"/>
        <w:ind w:left="560" w:hanging="442"/>
        <w:spacing w:after="0" w:line="236" w:lineRule="auto"/>
        <w:tabs>
          <w:tab w:leader="none" w:pos="56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API Facility Status</w:t>
      </w:r>
      <w:r>
        <w:rPr>
          <w:rFonts w:ascii="Arial" w:cs="Arial" w:eastAsia="Arial" w:hAnsi="Arial"/>
          <w:sz w:val="22"/>
          <w:szCs w:val="22"/>
          <w:color w:val="auto"/>
        </w:rPr>
        <w:t>. BioVectra shall, at its own cost and expense, ensure that at all times during the Term of this Agreement, the API Facility are in a qualified and validated state appropriate for inclusion as a manufacturing site for Product as required by the applicable Authorities, Applicable Law, the Specifications and any Health Registrations and shall ensure that at all times there is sufficient capacity to manufacture Product ordered hereunder.</w:t>
      </w:r>
    </w:p>
    <w:p>
      <w:pPr>
        <w:spacing w:after="0" w:line="187" w:lineRule="exact"/>
        <w:rPr>
          <w:rFonts w:ascii="Arial" w:cs="Arial" w:eastAsia="Arial" w:hAnsi="Arial"/>
          <w:sz w:val="22"/>
          <w:szCs w:val="22"/>
          <w:color w:val="auto"/>
        </w:rPr>
      </w:pPr>
    </w:p>
    <w:p>
      <w:pPr>
        <w:jc w:val="both"/>
        <w:ind w:left="560" w:hanging="442"/>
        <w:spacing w:after="0" w:line="275" w:lineRule="auto"/>
        <w:tabs>
          <w:tab w:leader="none" w:pos="560"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Location of Manufacturing Activities</w:t>
      </w:r>
      <w:r>
        <w:rPr>
          <w:rFonts w:ascii="Arial" w:cs="Arial" w:eastAsia="Arial" w:hAnsi="Arial"/>
          <w:sz w:val="19"/>
          <w:szCs w:val="19"/>
          <w:color w:val="auto"/>
        </w:rPr>
        <w:t xml:space="preserve">. Notwithstanding anything to the contrary contained herein, all manufacturing activities shall occur at the API Facility and BioVectra may not change to a different facility (for all or any portion of the manufacture of Product hereunder) unless consented to by Keryx in writing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all cases no change of API Facility and LSU shall relieve BioVectra of any of its obligations under this Agreement. BioVectra shall provide to Keryx supporting data in order to permit Keryx to amend its (and its Affiliate’s and designee’s, as applicable) regulatory filings to reflect any such change and shall otherwise cooperate in good faith with Keryx to comply with all regulatory obligations arising out of such changes (and BioVectra shall reimburse Keryx for all costs incurred in connection therewith).</w:t>
      </w: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40" w:name="page241"/>
    <w:bookmarkEnd w:id="240"/>
    <w:p>
      <w:pPr>
        <w:jc w:val="both"/>
        <w:ind w:left="560" w:hanging="442"/>
        <w:spacing w:after="0" w:line="278" w:lineRule="auto"/>
        <w:tabs>
          <w:tab w:leader="none" w:pos="560" w:val="left"/>
        </w:tabs>
        <w:numPr>
          <w:ilvl w:val="0"/>
          <w:numId w:val="1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Person in Plant</w:t>
      </w:r>
      <w:r>
        <w:rPr>
          <w:rFonts w:ascii="Arial" w:cs="Arial" w:eastAsia="Arial" w:hAnsi="Arial"/>
          <w:sz w:val="19"/>
          <w:szCs w:val="19"/>
          <w:b w:val="1"/>
          <w:bCs w:val="1"/>
          <w:color w:val="auto"/>
        </w:rPr>
        <w:t>. During the Term of this Agreement, Keryx shall be allowed, during reasonable times while manufacturing activities are occurring, to have representatives on site at the API Facility and access to all applicable portions of the API Facility provided that accessing the API Facility does not put manufacturing at risk, and all associated Records, for the purpose of observing, reporting on, and consulting as to any manufacturing activities hereunder. BioVectra shall use commercially reasonable efforts to provide Keryx personnel adequate temporary desk space and other reasonable resources available to these representatives during the periods they are at the API Facility.</w:t>
      </w:r>
    </w:p>
    <w:p>
      <w:pPr>
        <w:spacing w:after="0" w:line="152" w:lineRule="exact"/>
        <w:rPr>
          <w:rFonts w:ascii="Arial" w:cs="Arial" w:eastAsia="Arial" w:hAnsi="Arial"/>
          <w:sz w:val="19"/>
          <w:szCs w:val="19"/>
          <w:b w:val="1"/>
          <w:bCs w:val="1"/>
          <w:color w:val="auto"/>
        </w:rPr>
      </w:pPr>
    </w:p>
    <w:p>
      <w:pPr>
        <w:jc w:val="both"/>
        <w:ind w:left="560" w:hanging="442"/>
        <w:spacing w:after="0" w:line="277" w:lineRule="auto"/>
        <w:tabs>
          <w:tab w:leader="none" w:pos="560"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Quality Agreement</w:t>
      </w:r>
      <w:r>
        <w:rPr>
          <w:rFonts w:ascii="Arial" w:cs="Arial" w:eastAsia="Arial" w:hAnsi="Arial"/>
          <w:sz w:val="19"/>
          <w:szCs w:val="19"/>
          <w:color w:val="auto"/>
        </w:rPr>
        <w:t xml:space="preserve">. In the event of any discrepancy or inconsistency between the tasks listed in such Quality Agreement and the terms of this Agreement, the terms of Quality Agreement will govern with respect to quality matters and other similar matters, and the terms of this Agreement shall govern with respect to all other matters;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Quality Agreement may not be interpreted or construed by either Party as amending or modifying in any way any terms of this Agreement except those terms specifically governed by the Quality Agreement. The Quality Agreement may be modified or amended by the Parties,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modification or amendment shall not be deemed to modify or amend the terms of this Agreement.</w:t>
      </w:r>
    </w:p>
    <w:p>
      <w:pPr>
        <w:spacing w:after="0" w:line="152" w:lineRule="exact"/>
        <w:rPr>
          <w:rFonts w:ascii="Arial" w:cs="Arial" w:eastAsia="Arial" w:hAnsi="Arial"/>
          <w:sz w:val="19"/>
          <w:szCs w:val="19"/>
          <w:color w:val="auto"/>
        </w:rPr>
      </w:pPr>
    </w:p>
    <w:p>
      <w:pPr>
        <w:jc w:val="both"/>
        <w:ind w:left="560" w:hanging="442"/>
        <w:spacing w:after="0" w:line="235" w:lineRule="auto"/>
        <w:tabs>
          <w:tab w:leader="none" w:pos="56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Batch Failure</w:t>
      </w:r>
      <w:r>
        <w:rPr>
          <w:rFonts w:ascii="Arial" w:cs="Arial" w:eastAsia="Arial" w:hAnsi="Arial"/>
          <w:sz w:val="22"/>
          <w:szCs w:val="22"/>
          <w:color w:val="auto"/>
        </w:rPr>
        <w:t>. BioVectra agrees to notify Keryx within [**] of discovery after any Batch failure which could result in BioVectra’s inability to meet the agreed upon delivery dates, or of learning of any failure of any Batch of Product to meet Specifications or the Manufacturing Requirements or if BioVectra has any other safety or efficacy concerns with respect to a Batch of Product. BioVectra agrees not to Reprocess or Rework any Batch of Product, or any intermediate in the manufacture of Product, without the prior written approval of Keryx in writing (in its sole discretion).</w:t>
      </w:r>
    </w:p>
    <w:p>
      <w:pPr>
        <w:spacing w:after="0" w:line="188" w:lineRule="exact"/>
        <w:rPr>
          <w:rFonts w:ascii="Arial" w:cs="Arial" w:eastAsia="Arial" w:hAnsi="Arial"/>
          <w:sz w:val="22"/>
          <w:szCs w:val="22"/>
          <w:color w:val="auto"/>
        </w:rPr>
      </w:pPr>
    </w:p>
    <w:p>
      <w:pPr>
        <w:jc w:val="both"/>
        <w:ind w:left="560" w:hanging="442"/>
        <w:spacing w:after="0" w:line="273" w:lineRule="auto"/>
        <w:tabs>
          <w:tab w:leader="none" w:pos="560"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Sarbanes-Oxley Compliance</w:t>
      </w:r>
      <w:r>
        <w:rPr>
          <w:rFonts w:ascii="Arial" w:cs="Arial" w:eastAsia="Arial" w:hAnsi="Arial"/>
          <w:sz w:val="19"/>
          <w:szCs w:val="19"/>
          <w:color w:val="auto"/>
        </w:rPr>
        <w:t>. Without limiting the foregoing, if and to the extent reasonably necessary to ensure Keryx’s continuing compliance with the requirements of the Sarbanes-Oxley Act of 2002 (as determined by Keryx in its sole discretion), BioVectra shall, at Keryx’s request, provide the appropriate report(s) as established by the Statement on Standards for Attestation Engagements No. 16 (SSAE 16) (or its successor standard), and other report(s) as requested by Keryx covering the manufacturing services provided by BioVectra to Keryx. The audit will be performed at BioVectra’s expense and audit findings shall be provided to Keryx on an annual basis consistent with SSAE 16 (or its successor standard) and with the requirements of the Keryx. The report should be prepared by a public accounting firm that is reasonably acceptable to Keryx (preferably one of the Big Four - Deloitte, Ernst &amp; Young, KPMG or PricewaterhouseCoopers). Any material weaknesses in BioVectra’s internal controls revealed by the audit will be promptly remedied by BioVectra.</w:t>
      </w:r>
    </w:p>
    <w:p>
      <w:pPr>
        <w:spacing w:after="0" w:line="37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241" w:name="page242"/>
    <w:bookmarkEnd w:id="241"/>
    <w:p>
      <w:pPr>
        <w:jc w:val="both"/>
        <w:ind w:left="560" w:hanging="442"/>
        <w:spacing w:after="0" w:line="235" w:lineRule="auto"/>
        <w:tabs>
          <w:tab w:leader="none" w:pos="560"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Filing and Maintenance of the Health Registrations</w:t>
      </w:r>
      <w:r>
        <w:rPr>
          <w:rFonts w:ascii="Arial" w:cs="Arial" w:eastAsia="Arial" w:hAnsi="Arial"/>
          <w:sz w:val="22"/>
          <w:szCs w:val="22"/>
          <w:color w:val="auto"/>
        </w:rPr>
        <w:t>. As between the Parties, Keryx shall have the sole right to prepare and file for the Health Registrations, including the CMC, with the applicable Authorities, and, for clarity, BioVectra shall have no right to do so and shall not communicate with any Authorities in connection with any Health Registration. If determined by Keryx (in its sole discretion), Keryx shall have the right to include a designation of BioVectra and the API Facility as a manufacturer and manufacturing site of Product in the applicable Health Registrations.</w:t>
      </w:r>
    </w:p>
    <w:p>
      <w:pPr>
        <w:spacing w:after="0" w:line="188" w:lineRule="exact"/>
        <w:rPr>
          <w:rFonts w:ascii="Arial" w:cs="Arial" w:eastAsia="Arial" w:hAnsi="Arial"/>
          <w:sz w:val="22"/>
          <w:szCs w:val="22"/>
          <w:color w:val="auto"/>
        </w:rPr>
      </w:pPr>
    </w:p>
    <w:p>
      <w:pPr>
        <w:jc w:val="both"/>
        <w:ind w:left="560" w:hanging="442"/>
        <w:spacing w:after="0" w:line="234" w:lineRule="auto"/>
        <w:tabs>
          <w:tab w:leader="none" w:pos="560"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CMC Information</w:t>
      </w:r>
      <w:r>
        <w:rPr>
          <w:rFonts w:ascii="Arial" w:cs="Arial" w:eastAsia="Arial" w:hAnsi="Arial"/>
          <w:sz w:val="22"/>
          <w:szCs w:val="22"/>
          <w:color w:val="auto"/>
        </w:rPr>
        <w:t>. Keryx, in its discretion, may provide BioVectra with CMC information applicable to BioVectra for BioVectra to manufacture Product in accordance with this Agreement and the Health Registrations, and BioVectra shall comply with all such CMC information in performing its activities hereunder. Any changes to CMC section after the effective date of this Agreement, will need to be reviewed for scope changes to the manufacturing schedule, release requirements or quality requirements and associated impact(s), including impacts to costs prior to implementation. For clarity, all CMC information shall be considered Confidential Information of Keryx hereunder.</w:t>
      </w:r>
    </w:p>
    <w:p>
      <w:pPr>
        <w:spacing w:after="0" w:line="191" w:lineRule="exact"/>
        <w:rPr>
          <w:rFonts w:ascii="Arial" w:cs="Arial" w:eastAsia="Arial" w:hAnsi="Arial"/>
          <w:sz w:val="22"/>
          <w:szCs w:val="22"/>
          <w:color w:val="auto"/>
        </w:rPr>
      </w:pPr>
    </w:p>
    <w:p>
      <w:pPr>
        <w:jc w:val="both"/>
        <w:ind w:left="560" w:hanging="442"/>
        <w:spacing w:after="0" w:line="271" w:lineRule="auto"/>
        <w:tabs>
          <w:tab w:leader="none" w:pos="560"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Regulatory Support for Maintaining Filings</w:t>
      </w:r>
      <w:r>
        <w:rPr>
          <w:rFonts w:ascii="Arial" w:cs="Arial" w:eastAsia="Arial" w:hAnsi="Arial"/>
          <w:sz w:val="19"/>
          <w:szCs w:val="19"/>
          <w:color w:val="auto"/>
        </w:rPr>
        <w:t>. BioVectra shall perform, at Keryx’s cost, the activities (including tests and also including at Keryx’s request, preparing documents to support CMC modules for filing or filing related support for the Health Registrations) in connection with the receipt and maintenance of the Health Registrations as requested in writing by Keryx from time to time, which activities shall be performed by BioVectra in compliance with all Applicable Law. In all cases, BioVectra shall be prepared for any and all inspections, including pre-approval inspections, by Authorities. Without limitation of the foregoing, BioVectra shall provide Keryx with such information and assistance as Keryx may reasonably request, at Keryx’s cost, for purposes of applying for and maintaining all relevant Health Registrations for Product including providing Keryx with all reports, authorizations, certificates, methodologies, specifications and other documentation in the possession or under the control of BioVectra (or any of its Affiliates) relating to the pharmaceutical/technical development and/or manufacture of Product or any component thereof. BioVectra hereby grants Keryx an irrevocable, perpetual, worldwide, fully paid-up license, with the right to grant sublicenses (through multiple tiers) to use such information, data and other BioVectra Technology reflected in such documentation for the purpose of obtaining and maintaining the Health Registrations for Product as well as a right of reference to any regulatory approvals of BioVectra for use in connection with Product.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560" w:hanging="442"/>
        <w:spacing w:after="0" w:line="238" w:lineRule="auto"/>
        <w:tabs>
          <w:tab w:leader="none" w:pos="560"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Communications by Keryx</w:t>
      </w:r>
      <w:r>
        <w:rPr>
          <w:rFonts w:ascii="Arial" w:cs="Arial" w:eastAsia="Arial" w:hAnsi="Arial"/>
          <w:sz w:val="22"/>
          <w:szCs w:val="22"/>
          <w:color w:val="auto"/>
        </w:rPr>
        <w:t>. For purposes of clarity, nothing in this Agreement, including the provisions of this Section 3, shall restrict the right of Keryx (or its Affiliates or other designees) from taking an action that it deems to be appropriate or required by Applicable Law with respect to Product, including making a timely report to a given Authority with respect to Product.</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42" w:name="page243"/>
    <w:bookmarkEnd w:id="242"/>
    <w:p>
      <w:pPr>
        <w:ind w:left="440" w:hanging="440"/>
        <w:spacing w:after="0"/>
        <w:tabs>
          <w:tab w:leader="none" w:pos="44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Shipment, Payment, Recalls</w:t>
      </w:r>
    </w:p>
    <w:p>
      <w:pPr>
        <w:spacing w:after="0" w:line="212" w:lineRule="exact"/>
        <w:rPr>
          <w:rFonts w:ascii="Arial" w:cs="Arial" w:eastAsia="Arial" w:hAnsi="Arial"/>
          <w:sz w:val="22"/>
          <w:szCs w:val="22"/>
          <w:b w:val="1"/>
          <w:bCs w:val="1"/>
          <w:color w:val="auto"/>
        </w:rPr>
      </w:pPr>
    </w:p>
    <w:p>
      <w:pPr>
        <w:jc w:val="both"/>
        <w:ind w:left="1320" w:hanging="442"/>
        <w:spacing w:after="0" w:line="236" w:lineRule="auto"/>
        <w:tabs>
          <w:tab w:leader="none" w:pos="132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BioVectra will invoice Keryx for Product upon Product release by BioVectra in accordance with Section 3.b. above. Keryx will pay for invoices less any holdback for disputed amounts, within [**] of the invoice receipt. Transfer of ownership shall occur upon [**]. All invoices shall be submitted electronically to [**] and addressed to Keryx Biopharmaceuticals, Inc., Attn: Accounts Payable, One Marina Park Drive, 12</w:t>
      </w:r>
      <w:r>
        <w:rPr>
          <w:rFonts w:ascii="Arial" w:cs="Arial" w:eastAsia="Arial" w:hAnsi="Arial"/>
          <w:sz w:val="18"/>
          <w:szCs w:val="18"/>
          <w:color w:val="auto"/>
        </w:rPr>
        <w:t>th</w:t>
      </w:r>
      <w:r>
        <w:rPr>
          <w:rFonts w:ascii="Arial" w:cs="Arial" w:eastAsia="Arial" w:hAnsi="Arial"/>
          <w:sz w:val="22"/>
          <w:szCs w:val="22"/>
          <w:color w:val="auto"/>
        </w:rPr>
        <w:t xml:space="preserve"> Floor, Boston, MA 02210 USA.</w:t>
      </w:r>
    </w:p>
    <w:p>
      <w:pPr>
        <w:spacing w:after="0" w:line="187" w:lineRule="exact"/>
        <w:rPr>
          <w:rFonts w:ascii="Arial" w:cs="Arial" w:eastAsia="Arial" w:hAnsi="Arial"/>
          <w:sz w:val="22"/>
          <w:szCs w:val="22"/>
          <w:color w:val="auto"/>
        </w:rPr>
      </w:pPr>
    </w:p>
    <w:p>
      <w:pPr>
        <w:jc w:val="both"/>
        <w:ind w:left="1320" w:hanging="442"/>
        <w:spacing w:after="0" w:line="248" w:lineRule="auto"/>
        <w:tabs>
          <w:tab w:leader="none" w:pos="1320" w:val="left"/>
        </w:tabs>
        <w:numPr>
          <w:ilvl w:val="1"/>
          <w:numId w:val="180"/>
        </w:numPr>
        <w:rPr>
          <w:rFonts w:ascii="Arial" w:cs="Arial" w:eastAsia="Arial" w:hAnsi="Arial"/>
          <w:sz w:val="21"/>
          <w:szCs w:val="21"/>
          <w:color w:val="auto"/>
        </w:rPr>
      </w:pPr>
      <w:r>
        <w:rPr>
          <w:rFonts w:ascii="Arial" w:cs="Arial" w:eastAsia="Arial" w:hAnsi="Arial"/>
          <w:sz w:val="21"/>
          <w:szCs w:val="21"/>
          <w:color w:val="auto"/>
        </w:rPr>
        <w:t>BioVectra will ship and be responsible for the shipping costs for shipment of Product from the API Facility to LSU, or if so requested by Keryx, BioVectra will ship Product directly to Keryx’s designated storage site. Keryx will be responsible for the shipping costs, customs, duties, clearances and fees for the shipment of Product from LSU or API Facility to Keryx’ assigned destination. Keryx will also be responsible for any costs related to the storage, handling and insurance fees incurred with respect to storage of Product at LSU after release and transfer of ownership.</w:t>
      </w:r>
    </w:p>
    <w:p>
      <w:pPr>
        <w:spacing w:after="0" w:line="177" w:lineRule="exact"/>
        <w:rPr>
          <w:rFonts w:ascii="Arial" w:cs="Arial" w:eastAsia="Arial" w:hAnsi="Arial"/>
          <w:sz w:val="21"/>
          <w:szCs w:val="21"/>
          <w:color w:val="auto"/>
        </w:rPr>
      </w:pPr>
    </w:p>
    <w:p>
      <w:pPr>
        <w:jc w:val="both"/>
        <w:ind w:left="1320" w:hanging="442"/>
        <w:spacing w:after="0" w:line="236" w:lineRule="auto"/>
        <w:tabs>
          <w:tab w:leader="none" w:pos="132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Any services requested that are beyond the activities related to manufacture of Product or the ordinary support of the obligations of this Agreement, including changes to Products as specified for reasons other than to uphold compliance to the Quality Agreement, will be considered ad hoc services. The Parties will enter into a separate written agreement for any such ad hoc services. For purposes of clarity, BioVectra’s standard FTE rates for services are set out in Appendix 1.</w:t>
      </w:r>
    </w:p>
    <w:p>
      <w:pPr>
        <w:spacing w:after="0" w:line="187" w:lineRule="exact"/>
        <w:rPr>
          <w:rFonts w:ascii="Arial" w:cs="Arial" w:eastAsia="Arial" w:hAnsi="Arial"/>
          <w:sz w:val="22"/>
          <w:szCs w:val="22"/>
          <w:color w:val="auto"/>
        </w:rPr>
      </w:pPr>
    </w:p>
    <w:p>
      <w:pPr>
        <w:jc w:val="both"/>
        <w:ind w:left="1320" w:hanging="442"/>
        <w:spacing w:after="0" w:line="270" w:lineRule="auto"/>
        <w:tabs>
          <w:tab w:leader="none" w:pos="132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As Keryx plans to [**], Keryx shall have [**] from date of release to inspect Product for conformance to agreed upon Specifications and Manufacturing Requirements. Keryx will review the Batch Documentation for each Batch of Product and may test samples of the Batch of Product against the Specifications. During this review period, the Parties agree to respond promptly, but in any event within [**], to any reasonable inquiry or request for a correction or change by the other Party with respect to such Batch Documentation. Keryx has no obligation to accept a Batch if such Batch does not comply with the Manufacturing Requirements. If Keryx rejects a Batch of Product or a portion thereof pursuant to this section for failure to meet Specifications or other Manufacturing Requirements, Keryx will inform BioVectra of the reason in writing. If BioVectra confirms that the Product(s) shall be rejected for failure to meet the Specifications or otherwise fail to conform with the Manufacturing Requirements or the independent testing lab or GMP consultant determines their has been a failure to meet the Specifications or conform with the Manufacturing Requirements, then BioVectra will, at Keryx’s sole option (i) expeditiously replace the Product, at BioVectra’s sole cost and expense, including the cost of any Keryx Supplied Materials, according to a schedule to be agreed upon between the Parties; (ii) Rework or Reprocess the Product, at BioVectra’s cost and expense, so that the Batch can be deemed to have been manufactured in compliance with the Manufacturing Requirements; or (iii) refund in full the fees and expenses paid by Keryx for such Batch, including the cost of any Keryx Supplied Materials. Moreover, the Parties will meet to discuss, evaluate and analyze the reasons for and implications of the failure to comply with the Manufacturing Requirements.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55" w:right="239" w:bottom="1440" w:gutter="0" w:footer="0" w:header="0"/>
        </w:sectPr>
      </w:pPr>
    </w:p>
    <w:bookmarkStart w:id="243" w:name="page244"/>
    <w:bookmarkEnd w:id="243"/>
    <w:p>
      <w:pPr>
        <w:jc w:val="both"/>
        <w:ind w:left="560" w:hanging="442"/>
        <w:spacing w:after="0" w:line="270" w:lineRule="auto"/>
        <w:tabs>
          <w:tab w:leader="none" w:pos="56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If BioVectra does not agree with Keryx’s rejection of the Products, the difference of opinion shall be first negotiated in good faith by the Parties through their quality assurance representatives, who will attempt in good faith to resolve any such disagreement and Keryx and BioVectra will follow their respective SOPs to determine the conformity of the Product to the Manufacturing Requirements. If such dispute is not resolved within [**] after BioVectra’s receipt of Keryx’s written notice of its disagreement, the Parties shall submit such dispute to a mutually acceptable independent third party laboratory for such laboratory’s determination as to whether Product meets or fails to meet Specifications and/or mutually acceptable independent GMP consultant in the case of an alleged failure to comply with GMP or any of the other Manufacturing Requirements, as appropriate. The laboratory and consultant, as applicable, must be of recognized standing in the industry, and consent to the appointment of such laboratory and consultant will not be unreasonably withheld or delayed by either Party. Such laboratory will use the test methods contained in the applicable Specifications. The determination by the third party laboratory will be final binding on the Parties absent manifest error on the laboratory’s part, in which event the laboratory will again run the test or the Parties will promptly select another third party laboratory meeting the criteria above to run the test. The Party determined to have incorrectly assessed the Product’s compliance with the Specifications or other Manufacturing Requirements shall bear all of the costs and expenses of the laboratory and/or consultant, as applicable, incurred in making such determination will be paid by the Party against whom the determination is made. The ultimate disposition of non-conforming Product will be the responsibility of Keryx’s quality assurance department.</w:t>
      </w:r>
    </w:p>
    <w:p>
      <w:pPr>
        <w:spacing w:after="0" w:line="167" w:lineRule="exact"/>
        <w:rPr>
          <w:rFonts w:ascii="Arial" w:cs="Arial" w:eastAsia="Arial" w:hAnsi="Arial"/>
          <w:sz w:val="19"/>
          <w:szCs w:val="19"/>
          <w:color w:val="auto"/>
        </w:rPr>
      </w:pPr>
    </w:p>
    <w:p>
      <w:pPr>
        <w:ind w:left="560" w:hanging="442"/>
        <w:spacing w:after="0" w:line="251" w:lineRule="auto"/>
        <w:tabs>
          <w:tab w:leader="none" w:pos="5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Keryx will have the responsibility for handling customer returns of the Products. BioVectra will give Keryx any assistance that Keryx may reasonably require to handle the returns.</w:t>
      </w:r>
    </w:p>
    <w:p>
      <w:pPr>
        <w:spacing w:after="0" w:line="173" w:lineRule="exact"/>
        <w:rPr>
          <w:rFonts w:ascii="Arial" w:cs="Arial" w:eastAsia="Arial" w:hAnsi="Arial"/>
          <w:sz w:val="22"/>
          <w:szCs w:val="22"/>
          <w:color w:val="auto"/>
        </w:rPr>
      </w:pPr>
    </w:p>
    <w:p>
      <w:pPr>
        <w:jc w:val="both"/>
        <w:ind w:left="560" w:hanging="442"/>
        <w:spacing w:after="0" w:line="235" w:lineRule="auto"/>
        <w:tabs>
          <w:tab w:leader="none" w:pos="5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a Recall or return results from, or arises out of, a failure by BioVectra to provide Product that conforms to the Specifications or other Manufacturing Requirements, in addition to the amounts payable under this Agreement, BioVectra will also be responsible for the documented out-of-pocket expenses of the Recall or return. If the Parties disagree about whether Product conforms to the Specifications or other Manufacturing Requirements, then they shall be submitted to a neutral expert/laboratory for binding resolution pursuant to the procedures set forth in Section 4.e. above.</w:t>
      </w:r>
    </w:p>
    <w:p>
      <w:pPr>
        <w:spacing w:after="0" w:line="188" w:lineRule="exact"/>
        <w:rPr>
          <w:rFonts w:ascii="Arial" w:cs="Arial" w:eastAsia="Arial" w:hAnsi="Arial"/>
          <w:sz w:val="22"/>
          <w:szCs w:val="22"/>
          <w:color w:val="auto"/>
        </w:rPr>
      </w:pPr>
    </w:p>
    <w:p>
      <w:pPr>
        <w:jc w:val="both"/>
        <w:ind w:left="560" w:right="20" w:hanging="442"/>
        <w:spacing w:after="0"/>
        <w:tabs>
          <w:tab w:leader="none" w:pos="5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Product is recalled because the Product manufactured and released by BioVectra deviates from the Specifications or otherwise does not meet the Manufacturing Requirements, Keryx shall have the right to avail itself of the remedies set forth in Section 4.d. above.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44" w:name="page245"/>
    <w:bookmarkEnd w:id="244"/>
    <w:p>
      <w:pPr>
        <w:ind w:left="440" w:hanging="440"/>
        <w:spacing w:after="0"/>
        <w:tabs>
          <w:tab w:leader="none" w:pos="44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Warranties, Indemnifications</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a.   BioVectra warrants and represents that:</w:t>
      </w:r>
    </w:p>
    <w:p>
      <w:pPr>
        <w:spacing w:after="0" w:line="206" w:lineRule="exact"/>
        <w:rPr>
          <w:rFonts w:ascii="Arial" w:cs="Arial" w:eastAsia="Arial" w:hAnsi="Arial"/>
          <w:sz w:val="22"/>
          <w:szCs w:val="22"/>
          <w:b w:val="1"/>
          <w:bCs w:val="1"/>
          <w:color w:val="auto"/>
        </w:rPr>
      </w:pPr>
    </w:p>
    <w:p>
      <w:pPr>
        <w:ind w:left="2180" w:hanging="424"/>
        <w:spacing w:after="0" w:line="251" w:lineRule="auto"/>
        <w:tabs>
          <w:tab w:leader="none" w:pos="2180" w:val="left"/>
        </w:tabs>
        <w:numPr>
          <w:ilvl w:val="2"/>
          <w:numId w:val="182"/>
        </w:numPr>
        <w:rPr>
          <w:rFonts w:ascii="Arial" w:cs="Arial" w:eastAsia="Arial" w:hAnsi="Arial"/>
          <w:sz w:val="22"/>
          <w:szCs w:val="22"/>
          <w:color w:val="auto"/>
        </w:rPr>
      </w:pPr>
      <w:r>
        <w:rPr>
          <w:rFonts w:ascii="Arial" w:cs="Arial" w:eastAsia="Arial" w:hAnsi="Arial"/>
          <w:sz w:val="22"/>
          <w:szCs w:val="22"/>
          <w:color w:val="auto"/>
        </w:rPr>
        <w:t>BioVectra is a corporation duly organized, validly existing and in good standing under the laws of the Prince Edward Island, Canada;</w:t>
      </w:r>
    </w:p>
    <w:p>
      <w:pPr>
        <w:spacing w:after="0" w:line="173" w:lineRule="exact"/>
        <w:rPr>
          <w:rFonts w:ascii="Arial" w:cs="Arial" w:eastAsia="Arial" w:hAnsi="Arial"/>
          <w:sz w:val="22"/>
          <w:szCs w:val="22"/>
          <w:color w:val="auto"/>
        </w:rPr>
      </w:pPr>
    </w:p>
    <w:p>
      <w:pPr>
        <w:jc w:val="both"/>
        <w:ind w:left="2180" w:hanging="424"/>
        <w:spacing w:after="0" w:line="252" w:lineRule="auto"/>
        <w:tabs>
          <w:tab w:leader="none" w:pos="2180" w:val="left"/>
        </w:tabs>
        <w:numPr>
          <w:ilvl w:val="2"/>
          <w:numId w:val="182"/>
        </w:numPr>
        <w:rPr>
          <w:rFonts w:ascii="Arial" w:cs="Arial" w:eastAsia="Arial" w:hAnsi="Arial"/>
          <w:sz w:val="21"/>
          <w:szCs w:val="21"/>
          <w:color w:val="auto"/>
        </w:rPr>
      </w:pPr>
      <w:r>
        <w:rPr>
          <w:rFonts w:ascii="Arial" w:cs="Arial" w:eastAsia="Arial" w:hAnsi="Arial"/>
          <w:sz w:val="21"/>
          <w:szCs w:val="21"/>
          <w:color w:val="auto"/>
        </w:rPr>
        <w:t>BioVectra has full right, power and authority to enter into this Agreement, and that the execution and performance of this Agreement shall not constitute a violation of any material covenant of restriction, or breach of any obligation under any other agreement, contract, commitment, rule, or regulation to which BioVectra is a party or by which BioVectra is bound;</w:t>
      </w:r>
    </w:p>
    <w:p>
      <w:pPr>
        <w:spacing w:after="0" w:line="174" w:lineRule="exact"/>
        <w:rPr>
          <w:rFonts w:ascii="Arial" w:cs="Arial" w:eastAsia="Arial" w:hAnsi="Arial"/>
          <w:sz w:val="21"/>
          <w:szCs w:val="21"/>
          <w:color w:val="auto"/>
        </w:rPr>
      </w:pPr>
    </w:p>
    <w:p>
      <w:pPr>
        <w:ind w:left="2180" w:hanging="424"/>
        <w:spacing w:after="0"/>
        <w:tabs>
          <w:tab w:leader="none" w:pos="2180" w:val="left"/>
        </w:tabs>
        <w:numPr>
          <w:ilvl w:val="2"/>
          <w:numId w:val="182"/>
        </w:numPr>
        <w:rPr>
          <w:rFonts w:ascii="Arial" w:cs="Arial" w:eastAsia="Arial" w:hAnsi="Arial"/>
          <w:sz w:val="22"/>
          <w:szCs w:val="22"/>
          <w:color w:val="auto"/>
        </w:rPr>
      </w:pPr>
      <w:r>
        <w:rPr>
          <w:rFonts w:ascii="Arial" w:cs="Arial" w:eastAsia="Arial" w:hAnsi="Arial"/>
          <w:sz w:val="22"/>
          <w:szCs w:val="22"/>
          <w:color w:val="auto"/>
        </w:rPr>
        <w:t>the Products supplied to Keryx shall meet all the Manufacturing Requirements;</w:t>
      </w:r>
    </w:p>
    <w:p>
      <w:pPr>
        <w:spacing w:after="0" w:line="206" w:lineRule="exact"/>
        <w:rPr>
          <w:rFonts w:ascii="Arial" w:cs="Arial" w:eastAsia="Arial" w:hAnsi="Arial"/>
          <w:sz w:val="22"/>
          <w:szCs w:val="22"/>
          <w:color w:val="auto"/>
        </w:rPr>
      </w:pPr>
    </w:p>
    <w:p>
      <w:pPr>
        <w:ind w:left="2180" w:right="20" w:hanging="424"/>
        <w:spacing w:after="0" w:line="328" w:lineRule="auto"/>
        <w:tabs>
          <w:tab w:leader="none" w:pos="2180" w:val="left"/>
        </w:tabs>
        <w:numPr>
          <w:ilvl w:val="2"/>
          <w:numId w:val="182"/>
        </w:numPr>
        <w:rPr>
          <w:rFonts w:ascii="Arial" w:cs="Arial" w:eastAsia="Arial" w:hAnsi="Arial"/>
          <w:sz w:val="19"/>
          <w:szCs w:val="19"/>
          <w:color w:val="auto"/>
        </w:rPr>
      </w:pPr>
      <w:r>
        <w:rPr>
          <w:rFonts w:ascii="Arial" w:cs="Arial" w:eastAsia="Arial" w:hAnsi="Arial"/>
          <w:sz w:val="19"/>
          <w:szCs w:val="19"/>
          <w:color w:val="auto"/>
        </w:rPr>
        <w:t>when delivered, Keryx will have good and marketable title, free and clear of any liability, pledge, lien, restriction, claim, charge, security interest and/or other encumbrance, to all Product;</w:t>
      </w:r>
    </w:p>
    <w:p>
      <w:pPr>
        <w:spacing w:after="0" w:line="105" w:lineRule="exact"/>
        <w:rPr>
          <w:rFonts w:ascii="Arial" w:cs="Arial" w:eastAsia="Arial" w:hAnsi="Arial"/>
          <w:sz w:val="19"/>
          <w:szCs w:val="19"/>
          <w:color w:val="auto"/>
        </w:rPr>
      </w:pPr>
    </w:p>
    <w:p>
      <w:pPr>
        <w:ind w:left="2180" w:hanging="424"/>
        <w:spacing w:after="0" w:line="251" w:lineRule="auto"/>
        <w:tabs>
          <w:tab w:leader="none" w:pos="2180" w:val="left"/>
        </w:tabs>
        <w:numPr>
          <w:ilvl w:val="2"/>
          <w:numId w:val="182"/>
        </w:numPr>
        <w:rPr>
          <w:rFonts w:ascii="Arial" w:cs="Arial" w:eastAsia="Arial" w:hAnsi="Arial"/>
          <w:sz w:val="22"/>
          <w:szCs w:val="22"/>
          <w:color w:val="auto"/>
        </w:rPr>
      </w:pPr>
      <w:r>
        <w:rPr>
          <w:rFonts w:ascii="Arial" w:cs="Arial" w:eastAsia="Arial" w:hAnsi="Arial"/>
          <w:sz w:val="22"/>
          <w:szCs w:val="22"/>
          <w:color w:val="auto"/>
        </w:rPr>
        <w:t>the work hereunder will be performed with requisite care, skill and diligence, by individuals who are appropriately trained and qualified and in facilities suited for such work;</w:t>
      </w:r>
    </w:p>
    <w:p>
      <w:pPr>
        <w:spacing w:after="0" w:line="173" w:lineRule="exact"/>
        <w:rPr>
          <w:rFonts w:ascii="Arial" w:cs="Arial" w:eastAsia="Arial" w:hAnsi="Arial"/>
          <w:sz w:val="22"/>
          <w:szCs w:val="22"/>
          <w:color w:val="auto"/>
        </w:rPr>
      </w:pPr>
    </w:p>
    <w:p>
      <w:pPr>
        <w:jc w:val="both"/>
        <w:ind w:left="2180" w:hanging="424"/>
        <w:spacing w:after="0" w:line="238" w:lineRule="auto"/>
        <w:tabs>
          <w:tab w:leader="none" w:pos="2180" w:val="left"/>
        </w:tabs>
        <w:numPr>
          <w:ilvl w:val="2"/>
          <w:numId w:val="182"/>
        </w:numPr>
        <w:rPr>
          <w:rFonts w:ascii="Arial" w:cs="Arial" w:eastAsia="Arial" w:hAnsi="Arial"/>
          <w:sz w:val="22"/>
          <w:szCs w:val="22"/>
          <w:color w:val="auto"/>
        </w:rPr>
      </w:pPr>
      <w:r>
        <w:rPr>
          <w:rFonts w:ascii="Arial" w:cs="Arial" w:eastAsia="Arial" w:hAnsi="Arial"/>
          <w:sz w:val="22"/>
          <w:szCs w:val="22"/>
          <w:color w:val="auto"/>
        </w:rPr>
        <w:t>the conduct and the provision of the work hereunder, including use of any BioVectra Technology, will not violate any patent, trade secret or other proprietary or intellectual property rights of any third party and BioVectra will promptly notify Keryx in writing should BioVectra become aware of any claims asserting such violation; and</w:t>
      </w:r>
    </w:p>
    <w:p>
      <w:pPr>
        <w:spacing w:after="0" w:line="185" w:lineRule="exact"/>
        <w:rPr>
          <w:rFonts w:ascii="Arial" w:cs="Arial" w:eastAsia="Arial" w:hAnsi="Arial"/>
          <w:sz w:val="22"/>
          <w:szCs w:val="22"/>
          <w:color w:val="auto"/>
        </w:rPr>
      </w:pPr>
    </w:p>
    <w:p>
      <w:pPr>
        <w:jc w:val="both"/>
        <w:ind w:left="2180" w:hanging="424"/>
        <w:spacing w:after="0" w:line="244" w:lineRule="auto"/>
        <w:tabs>
          <w:tab w:leader="none" w:pos="2180" w:val="left"/>
        </w:tabs>
        <w:numPr>
          <w:ilvl w:val="2"/>
          <w:numId w:val="182"/>
        </w:numPr>
        <w:rPr>
          <w:rFonts w:ascii="Arial" w:cs="Arial" w:eastAsia="Arial" w:hAnsi="Arial"/>
          <w:sz w:val="21"/>
          <w:szCs w:val="21"/>
          <w:color w:val="auto"/>
        </w:rPr>
      </w:pPr>
      <w:r>
        <w:rPr>
          <w:rFonts w:ascii="Arial" w:cs="Arial" w:eastAsia="Arial" w:hAnsi="Arial"/>
          <w:sz w:val="21"/>
          <w:szCs w:val="21"/>
          <w:color w:val="auto"/>
        </w:rPr>
        <w:t>BioVectra and its officers and directors and any person or entity engaged by BioVectra in connection with the manufacture of Product or performance of any other obligations under this Agreement: (i) have not been debarred and are not subject to a pending debarment pursuant to section 306 of the United States Food, Drug and Cosmetic Act, 21 U.S.C. § 335a; (ii) are not ineligible to participate in any federal and/or state healthcare programs or federal procurement or non-procurement programs (as that term is defined in 42 U.S.C. § 1320a-7b(f)); (iii) are not disqualified by any government or regulatory authorities from performing specific services, and are not subject to a pending disqualification proceeding; and (iv) have not been convicted of a criminal offense related to the provision of healthcare items or services and are not subject to any such pending action. BioVectra will notify Keryx immediately if BioVectra and its officers and directors and any person or entity engaged by BioVectra in connection with the manufacture of Product or performance of any other obligations under this Agreement is subject to the foregoing, or if any action, suit, claim, investigation, or proceeding relating to the foregoing is pending, or to the best of BioVectra’s knowledge, is threatened</w:t>
      </w:r>
    </w:p>
    <w:p>
      <w:pPr>
        <w:spacing w:after="0" w:line="39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55" w:right="239" w:bottom="1440" w:gutter="0" w:footer="0" w:header="0"/>
        </w:sectPr>
      </w:pPr>
    </w:p>
    <w:bookmarkStart w:id="245" w:name="page246"/>
    <w:bookmarkEnd w:id="245"/>
    <w:p>
      <w:pPr>
        <w:ind w:left="560" w:hanging="442"/>
        <w:spacing w:after="0"/>
        <w:tabs>
          <w:tab w:leader="none" w:pos="5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Keryx warrants and represents that:</w:t>
      </w:r>
    </w:p>
    <w:p>
      <w:pPr>
        <w:spacing w:after="0" w:line="206" w:lineRule="exact"/>
        <w:rPr>
          <w:rFonts w:ascii="Arial" w:cs="Arial" w:eastAsia="Arial" w:hAnsi="Arial"/>
          <w:sz w:val="22"/>
          <w:szCs w:val="22"/>
          <w:color w:val="auto"/>
        </w:rPr>
      </w:pPr>
    </w:p>
    <w:p>
      <w:pPr>
        <w:ind w:left="1420" w:hanging="424"/>
        <w:spacing w:after="0"/>
        <w:tabs>
          <w:tab w:leader="none" w:pos="142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Keryx is duly organized validly existing and in good standing under the laws of Delaware, USA;</w:t>
      </w:r>
    </w:p>
    <w:p>
      <w:pPr>
        <w:spacing w:after="0" w:line="240" w:lineRule="exact"/>
        <w:rPr>
          <w:rFonts w:ascii="Arial" w:cs="Arial" w:eastAsia="Arial" w:hAnsi="Arial"/>
          <w:sz w:val="19"/>
          <w:szCs w:val="19"/>
          <w:color w:val="auto"/>
        </w:rPr>
      </w:pPr>
    </w:p>
    <w:p>
      <w:pPr>
        <w:jc w:val="both"/>
        <w:ind w:left="1420" w:hanging="424"/>
        <w:spacing w:after="0" w:line="252" w:lineRule="auto"/>
        <w:tabs>
          <w:tab w:leader="none" w:pos="1420" w:val="left"/>
        </w:tabs>
        <w:numPr>
          <w:ilvl w:val="1"/>
          <w:numId w:val="183"/>
        </w:numPr>
        <w:rPr>
          <w:rFonts w:ascii="Arial" w:cs="Arial" w:eastAsia="Arial" w:hAnsi="Arial"/>
          <w:sz w:val="21"/>
          <w:szCs w:val="21"/>
          <w:color w:val="auto"/>
        </w:rPr>
      </w:pPr>
      <w:r>
        <w:rPr>
          <w:rFonts w:ascii="Arial" w:cs="Arial" w:eastAsia="Arial" w:hAnsi="Arial"/>
          <w:sz w:val="21"/>
          <w:szCs w:val="21"/>
          <w:color w:val="auto"/>
        </w:rPr>
        <w:t>Keryx has full right, power and authority to enter into this Agreement, and that the execution and performance of this agreement shall not constitute a violation of any material covenant or restriction, or breach of any obligation under any other agreement, contract, commitment, rule, or regulation to which Keryx is a Party or by which Keryx is bound;</w:t>
      </w:r>
    </w:p>
    <w:p>
      <w:pPr>
        <w:spacing w:after="0" w:line="174" w:lineRule="exact"/>
        <w:rPr>
          <w:rFonts w:ascii="Arial" w:cs="Arial" w:eastAsia="Arial" w:hAnsi="Arial"/>
          <w:sz w:val="21"/>
          <w:szCs w:val="21"/>
          <w:color w:val="auto"/>
        </w:rPr>
      </w:pPr>
    </w:p>
    <w:p>
      <w:pPr>
        <w:jc w:val="both"/>
        <w:ind w:left="1420" w:hanging="424"/>
        <w:spacing w:after="0" w:line="238" w:lineRule="auto"/>
        <w:tabs>
          <w:tab w:leader="none" w:pos="142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To the knowledge of Keryx, the provision of and use of any Keryx Technology will not violate any patent, trade secret or other proprietary or intellectual property rights of any third party and Keryx will promptly notify BioVectra in writing should Keryx become aware of any claims asserting such violation; and</w:t>
      </w:r>
    </w:p>
    <w:p>
      <w:pPr>
        <w:spacing w:after="0" w:line="185" w:lineRule="exact"/>
        <w:rPr>
          <w:rFonts w:ascii="Arial" w:cs="Arial" w:eastAsia="Arial" w:hAnsi="Arial"/>
          <w:sz w:val="22"/>
          <w:szCs w:val="22"/>
          <w:color w:val="auto"/>
        </w:rPr>
      </w:pPr>
    </w:p>
    <w:p>
      <w:pPr>
        <w:ind w:left="1420" w:hanging="424"/>
        <w:spacing w:after="0" w:line="274" w:lineRule="auto"/>
        <w:tabs>
          <w:tab w:leader="none" w:pos="1420" w:val="left"/>
        </w:tabs>
        <w:numPr>
          <w:ilvl w:val="1"/>
          <w:numId w:val="183"/>
        </w:numPr>
        <w:rPr>
          <w:rFonts w:ascii="Arial" w:cs="Arial" w:eastAsia="Arial" w:hAnsi="Arial"/>
          <w:sz w:val="21"/>
          <w:szCs w:val="21"/>
          <w:color w:val="auto"/>
        </w:rPr>
      </w:pPr>
      <w:r>
        <w:rPr>
          <w:rFonts w:ascii="Arial" w:cs="Arial" w:eastAsia="Arial" w:hAnsi="Arial"/>
          <w:sz w:val="21"/>
          <w:szCs w:val="21"/>
          <w:color w:val="auto"/>
        </w:rPr>
        <w:t>Keryx has or will maintain all the necessary qualified personnel, equipment, materials, quality systems recall procedures, facilities and support to maintain performance hereunder.</w:t>
      </w:r>
    </w:p>
    <w:p>
      <w:pPr>
        <w:spacing w:after="0" w:line="150" w:lineRule="exact"/>
        <w:rPr>
          <w:rFonts w:ascii="Arial" w:cs="Arial" w:eastAsia="Arial" w:hAnsi="Arial"/>
          <w:sz w:val="21"/>
          <w:szCs w:val="21"/>
          <w:color w:val="auto"/>
        </w:rPr>
      </w:pPr>
    </w:p>
    <w:p>
      <w:pPr>
        <w:jc w:val="both"/>
        <w:ind w:left="560" w:hanging="442"/>
        <w:spacing w:after="0" w:line="270" w:lineRule="auto"/>
        <w:tabs>
          <w:tab w:leader="none" w:pos="56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Indemnity. BioVectra will defend, indemnify, and hold Keryx and its directors, officers, employees, agents and Affiliates (all the foregoing “Keryx Indemnitees”), harmless from any and all losses, liabilities, judgments, fines, penalties, damages and reasonable out-of-pocket expenses, including reasonable attorney’s fees and costs (all the foregoing “Losses”), arising from or related to any and all third-party related claims, actions, suits or proceedings (all the foregoing “Third-Party Claims”) arising as a result of the manufacturing of the Product(s), breach of this Agreement, including any representations or warranties, or negligence or willful misconduct by any BioVectra Indemnitee, except to the extent that such Losses result from negligence or willful misconduct of a Keryx Indemnitee. Keryx will defend, indemnify, and hold BioVectra and its directors, officers, employees, agents and Affiliates (all the foregoing “BioVectra Indemnitees”), harmless from any and all Losses arising from or related to any and all Third-Party Claims arising as a result of (i) the marketing, and sale of the final drug product incorporating the Product(s) by Keryx, (ii) Keryx breach of this Agreement, including any representations or warranties and, (iii) the storage and handling of Product by Keryx, except to the extent that such Losses from negligence or willful misconduct of any Keryx Indemnitee or the failure of any BioVectra Indemnitee to abide by the terms of this Agreement. In the event a person or entity seeks indemnification under Section 5.c. (each an “Indemnitee”), it shall: (i) inform the other Party (the “Indemnifying Party”) of a Third-Party Claim as soon as reasonably practicable (and in any event within 30 days) after it receives notice of the Third-Party Claim; (ii) shall permit the Indemnifying Party to assume direction and control of the defense of the Third-Party Claim (including the right to settle the claim solely for monetary consideration with no admission of fault and using legal counsel of its choice) at the Indemnifying Party’s expense; and (iii) shall cooperate as reasonably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46" w:name="page247"/>
    <w:bookmarkEnd w:id="246"/>
    <w:p>
      <w:pPr>
        <w:jc w:val="both"/>
        <w:ind w:left="1320"/>
        <w:spacing w:after="0" w:line="279" w:lineRule="auto"/>
        <w:rPr>
          <w:sz w:val="20"/>
          <w:szCs w:val="20"/>
          <w:color w:val="auto"/>
        </w:rPr>
      </w:pPr>
      <w:r>
        <w:rPr>
          <w:rFonts w:ascii="Arial" w:cs="Arial" w:eastAsia="Arial" w:hAnsi="Arial"/>
          <w:sz w:val="19"/>
          <w:szCs w:val="19"/>
          <w:color w:val="auto"/>
        </w:rPr>
        <w:t>requested (at the expense of the Indemnifying Party) in the defense of the claim; provided, however, no Indemnitee, as applicable, shall be required to admit fault or responsibility in connection with any settlement. An Indemnitee’s failure to perform any obligations under this Section shall not relieve the Indemnifying Party of its obligations under this Section 5 except to the extent that the Indemnifying Party can demonstrate that it has been materially prejudiced as a result of such failure. An Indemnitee shall have the right participate in and observe the proceedings through its own separate legal counsel at its own expense.</w:t>
      </w:r>
    </w:p>
    <w:p>
      <w:pPr>
        <w:spacing w:after="0" w:line="151" w:lineRule="exact"/>
        <w:rPr>
          <w:sz w:val="20"/>
          <w:szCs w:val="20"/>
          <w:color w:val="auto"/>
        </w:rPr>
      </w:pPr>
    </w:p>
    <w:p>
      <w:pPr>
        <w:jc w:val="both"/>
        <w:ind w:left="1320" w:hanging="442"/>
        <w:spacing w:after="0" w:line="236" w:lineRule="auto"/>
        <w:tabs>
          <w:tab w:leader="none" w:pos="132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Disclaimer. Except as otherwise set forth above, neither Party makes any warranties, express or implied, with respect to the products, including, without limitation, any warranties of merchantability or fitness for a particular purpose. No representation or statement not expressly contained in this Agreement shall be binding upon a Party as a warranty or otherwise. The stated warranty is exclusive and in lieu of all other warranties provided by law.</w:t>
      </w:r>
    </w:p>
    <w:p>
      <w:pPr>
        <w:spacing w:after="0" w:line="181" w:lineRule="exact"/>
        <w:rPr>
          <w:rFonts w:ascii="Arial" w:cs="Arial" w:eastAsia="Arial" w:hAnsi="Arial"/>
          <w:sz w:val="22"/>
          <w:szCs w:val="22"/>
          <w:color w:val="auto"/>
        </w:rPr>
      </w:pPr>
    </w:p>
    <w:p>
      <w:pPr>
        <w:ind w:left="440" w:hanging="440"/>
        <w:spacing w:after="0"/>
        <w:tabs>
          <w:tab w:leader="none" w:pos="44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Insurance.</w:t>
      </w:r>
    </w:p>
    <w:p>
      <w:pPr>
        <w:spacing w:after="0" w:line="212" w:lineRule="exact"/>
        <w:rPr>
          <w:rFonts w:ascii="Arial" w:cs="Arial" w:eastAsia="Arial" w:hAnsi="Arial"/>
          <w:sz w:val="22"/>
          <w:szCs w:val="22"/>
          <w:b w:val="1"/>
          <w:bCs w:val="1"/>
          <w:color w:val="auto"/>
        </w:rPr>
      </w:pPr>
    </w:p>
    <w:p>
      <w:pPr>
        <w:jc w:val="both"/>
        <w:ind w:left="1320" w:hanging="442"/>
        <w:spacing w:after="0" w:line="244" w:lineRule="auto"/>
        <w:tabs>
          <w:tab w:leader="none" w:pos="1320" w:val="left"/>
        </w:tabs>
        <w:numPr>
          <w:ilvl w:val="1"/>
          <w:numId w:val="185"/>
        </w:numPr>
        <w:rPr>
          <w:rFonts w:ascii="Arial" w:cs="Arial" w:eastAsia="Arial" w:hAnsi="Arial"/>
          <w:sz w:val="21"/>
          <w:szCs w:val="21"/>
          <w:color w:val="auto"/>
        </w:rPr>
      </w:pPr>
      <w:r>
        <w:rPr>
          <w:rFonts w:ascii="Arial" w:cs="Arial" w:eastAsia="Arial" w:hAnsi="Arial"/>
          <w:sz w:val="21"/>
          <w:szCs w:val="21"/>
          <w:color w:val="auto"/>
        </w:rPr>
        <w:t>BioVectra and Keryx will maintain comprehensive general liability insurance (which may be in the form of primary insurance and umbrella coverage), including product liability insurance against claims regarding the Products under this Agreement (at a minimum of [**] in the case of BioVectra and in the case of Keryx [**] per occurrence and in the aggregate). Each Party shall maintain such insurance during the Term of this Agreement and, thereafter, for so long as it customarily maintains insurance for itself for similar products and activities, but in no event less than [**]. Each Party shall cause the other Party to be named as an additional insured under such insurance and shall provide the other party proof of such insurance upon request. If requested each Party will give the other a certificate of insurance evidencing the above and showing the name of the issuing company, the policy number, the effective date, the expiration date, and the limits of liability. The insurance certificate will further provide for a minimum of [**] written notice to the insured of a cancellation of, or material change in, the insurance.</w:t>
      </w:r>
    </w:p>
    <w:p>
      <w:pPr>
        <w:spacing w:after="0" w:line="183" w:lineRule="exact"/>
        <w:rPr>
          <w:rFonts w:ascii="Arial" w:cs="Arial" w:eastAsia="Arial" w:hAnsi="Arial"/>
          <w:sz w:val="21"/>
          <w:szCs w:val="21"/>
          <w:color w:val="auto"/>
        </w:rPr>
      </w:pPr>
    </w:p>
    <w:p>
      <w:pPr>
        <w:ind w:left="440" w:hanging="440"/>
        <w:spacing w:after="0"/>
        <w:tabs>
          <w:tab w:leader="none" w:pos="44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 Information; Intellectual Property</w:t>
      </w:r>
    </w:p>
    <w:p>
      <w:pPr>
        <w:spacing w:after="0" w:line="212" w:lineRule="exact"/>
        <w:rPr>
          <w:rFonts w:ascii="Arial" w:cs="Arial" w:eastAsia="Arial" w:hAnsi="Arial"/>
          <w:sz w:val="22"/>
          <w:szCs w:val="22"/>
          <w:b w:val="1"/>
          <w:bCs w:val="1"/>
          <w:color w:val="auto"/>
        </w:rPr>
      </w:pPr>
    </w:p>
    <w:p>
      <w:pPr>
        <w:jc w:val="both"/>
        <w:ind w:left="1320" w:hanging="442"/>
        <w:spacing w:after="0" w:line="273" w:lineRule="auto"/>
        <w:tabs>
          <w:tab w:leader="none" w:pos="132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Each of the Parties shall protect all information (“Confidential Information”) supplied or revealed to it by the other Party pursuant to this Agreement, and shall not directly or indirectly, disclose to any third party the other Party’s Confidential Information without the prior written consent of the such other Party or use such information except in the case of BioVectra to perform its obligations pursuant to this Agreement and in the case of Keryx to exercise its rights under this Agreement. Confidential Information shall include any and all non-public scientific, technical, financial regulatory or business information, or data or trade secrets in whatever form (written, oral or visual) that is furnished or made available by the disclosing Party to the other Party, as the receiving Party whether marked in writing, or communicated in visual or oral form. Confidential Information of Keryx includes (i) Keryx Supplied Materials, Keryx Technology and Improvements; (ii) development and marketing plans, regulatory and business strategies, financial</w:t>
      </w:r>
    </w:p>
    <w:p>
      <w:pPr>
        <w:spacing w:after="0" w:line="37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247" w:name="page248"/>
    <w:bookmarkEnd w:id="247"/>
    <w:p>
      <w:pPr>
        <w:jc w:val="both"/>
        <w:ind w:left="560"/>
        <w:spacing w:after="0" w:line="272" w:lineRule="auto"/>
        <w:rPr>
          <w:sz w:val="20"/>
          <w:szCs w:val="20"/>
          <w:color w:val="auto"/>
        </w:rPr>
      </w:pPr>
      <w:r>
        <w:rPr>
          <w:rFonts w:ascii="Arial" w:cs="Arial" w:eastAsia="Arial" w:hAnsi="Arial"/>
          <w:sz w:val="19"/>
          <w:szCs w:val="19"/>
          <w:color w:val="auto"/>
        </w:rPr>
        <w:t>information, and forecasts of Keryx; and (iii) all information of third parties that Keryx has an obligation to keep confidential. Confidential Information of BioVectra includes (i) BioVectra Technology; (ii) capabilities, regulatory and business strategies, financial information; and (iii) all information of third parties that BioVectra has an obligation to keep confidential. Each Party shall take such steps as are reasonably required (including without limitation such steps as such Party takes to protect its own proprietary information) to protect the other Party’s Confidential Information from unauthorized disclosure or use. Product, Records and other reports and information provided by, or on behalf of, BioVectra to Keryx shall be deemed Confidential Information of Keryx, as to which Keryx shall be deemed the disclosing Party for purposes of this Agreement. The Parties acknowledge and agree that BioVectra and its employees shall have access to Confidential Information of Keryx (which may include information from its Affiliates, its licensors and third party business partners). For purposes of this Agreement, the terms of this Agreement shall be deemed to be Confidential Information of both Parties. Confidential Information also includes third-party confidential information supplied by receiving Party to disclosing Party hereunder.</w:t>
      </w:r>
    </w:p>
    <w:p>
      <w:pPr>
        <w:spacing w:after="0" w:line="200" w:lineRule="exact"/>
        <w:rPr>
          <w:sz w:val="20"/>
          <w:szCs w:val="20"/>
          <w:color w:val="auto"/>
        </w:rPr>
      </w:pPr>
    </w:p>
    <w:p>
      <w:pPr>
        <w:spacing w:after="0" w:line="205" w:lineRule="exact"/>
        <w:rPr>
          <w:sz w:val="20"/>
          <w:szCs w:val="20"/>
          <w:color w:val="auto"/>
        </w:rPr>
      </w:pPr>
    </w:p>
    <w:p>
      <w:pPr>
        <w:jc w:val="both"/>
        <w:ind w:left="560" w:hanging="442"/>
        <w:spacing w:after="0" w:line="276" w:lineRule="auto"/>
        <w:tabs>
          <w:tab w:leader="none" w:pos="5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Nothing in this Section 7 shall be construed to impose a confidentiality obligation on a Party in connection with any Confidential Information to the extent such information can be shown by clear and convincing evidence:</w:t>
      </w:r>
    </w:p>
    <w:p>
      <w:pPr>
        <w:spacing w:after="0" w:line="1" w:lineRule="exact"/>
        <w:rPr>
          <w:rFonts w:ascii="Arial" w:cs="Arial" w:eastAsia="Arial" w:hAnsi="Arial"/>
          <w:sz w:val="19"/>
          <w:szCs w:val="19"/>
          <w:color w:val="auto"/>
        </w:rPr>
      </w:pPr>
    </w:p>
    <w:p>
      <w:pPr>
        <w:jc w:val="both"/>
        <w:ind w:left="560" w:hanging="10"/>
        <w:spacing w:after="0" w:line="269" w:lineRule="auto"/>
        <w:tabs>
          <w:tab w:leader="none" w:pos="822" w:val="left"/>
        </w:tabs>
        <w:numPr>
          <w:ilvl w:val="1"/>
          <w:numId w:val="186"/>
        </w:numPr>
        <w:rPr>
          <w:rFonts w:ascii="Arial" w:cs="Arial" w:eastAsia="Arial" w:hAnsi="Arial"/>
          <w:sz w:val="19"/>
          <w:szCs w:val="19"/>
          <w:color w:val="auto"/>
        </w:rPr>
      </w:pPr>
      <w:r>
        <w:rPr>
          <w:rFonts w:ascii="Arial" w:cs="Arial" w:eastAsia="Arial" w:hAnsi="Arial"/>
          <w:sz w:val="19"/>
          <w:szCs w:val="19"/>
          <w:color w:val="auto"/>
        </w:rPr>
        <w:t xml:space="preserve">is at the time of disclosure already known to the receiving Party (as clearly established by such Party’s prior written records); (ii) is at the time of disclosure or subsequently becomes part of the public domain through no fault, act or omission of the receiving Party; (iii) is subsequently disclosed to the receiving Party by a third party whose receipt and disclosure of such Confidential Information does not, constitute a violation of any confidentiality obligation; or (iv) is independently developed by the receiving party by employees having no access to or knowledge of Confidential Information received. Further, a receiving Party shall be entitled to disclose the disclosing Party’s Confidential Information that is required by a court or government agency to be disclosed; provided that the receiving Party shall promptly provide the disclosing Party notice in writing of any proposed disclosure under this subsection and an opportunity to object to the disclosure or seek confidential treatment thereof. If so requested, the receiving Party shall provide reasonable assistance in opposing such disclosure or seeking a protective order or other limitations on disclosure. If, after providing such notice and assistance as required herein, the receiving Party remains legally required to disclose any Confidential Information, the receiving Party shall disclose no more than that portion of the Confidential Information which, on the advice of the receiving Party’s legal counsel, is require to be disclosed and, upon the disclosing Party’s request, shall use commercially reasonable efforts to obtain assurances from the applicable court or agency that such Confidential Information will be afforded confidential treatment. Receiving Party may provide disclosing Party’s Confidential Information to its Affiliates, and to its and their directors, employees, consultants, contractors and agents;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any such Affiliates, directors, employees, consultants, contractors and agents are bound by written obligations of confidentiality with respect to the disclosing Party’s Confidential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48" w:name="page249"/>
    <w:bookmarkEnd w:id="248"/>
    <w:p>
      <w:pPr>
        <w:jc w:val="both"/>
        <w:ind w:left="560"/>
        <w:spacing w:after="0" w:line="273" w:lineRule="auto"/>
        <w:rPr>
          <w:sz w:val="20"/>
          <w:szCs w:val="20"/>
          <w:color w:val="auto"/>
        </w:rPr>
      </w:pPr>
      <w:r>
        <w:rPr>
          <w:rFonts w:ascii="Arial" w:cs="Arial" w:eastAsia="Arial" w:hAnsi="Arial"/>
          <w:sz w:val="19"/>
          <w:szCs w:val="19"/>
          <w:color w:val="auto"/>
        </w:rPr>
        <w:t xml:space="preserve">Information that are at least as restrictive as those set forth in this Agreement; (ii) receiving Party remains liable for the compliance of such Affiliates, employees, consultants, contractors and agents with such obligations; and (iii) in the case of BioVectra as the receiving Party, such disclosure is only to the extent necessary for BioVectra to carry out its obligations under this Agreement. Furthermore, Keryx may disclose Confidential Information of BioVectra relating to the development and/or manufacture of Product to entities with whom Keryx a has (or may have) a marketing and/or development collaboration and/or development collaboration (provided that Keryx shall not provide any Confidential Information regarding the BV [**] to potential marketing and/or development collaborators without the prior consent of BioVectra) or to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actual or prospective underwriters, investors, lenders or other financing sources or to potential acquirers of the business to which this Agreement relates, and who in each case have a specific need to know such Confidential Information and who are bound by a like obligation of confidentiality and restrictions on use.</w:t>
      </w:r>
    </w:p>
    <w:p>
      <w:pPr>
        <w:spacing w:after="0" w:line="156" w:lineRule="exact"/>
        <w:rPr>
          <w:sz w:val="20"/>
          <w:szCs w:val="20"/>
          <w:color w:val="auto"/>
        </w:rPr>
      </w:pPr>
    </w:p>
    <w:p>
      <w:pPr>
        <w:jc w:val="both"/>
        <w:ind w:left="560" w:hanging="442"/>
        <w:spacing w:after="0" w:line="279" w:lineRule="auto"/>
        <w:tabs>
          <w:tab w:leader="none" w:pos="560"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Keryx Technology</w:t>
      </w:r>
      <w:r>
        <w:rPr>
          <w:rFonts w:ascii="Arial" w:cs="Arial" w:eastAsia="Arial" w:hAnsi="Arial"/>
          <w:sz w:val="19"/>
          <w:szCs w:val="19"/>
          <w:color w:val="auto"/>
        </w:rPr>
        <w:t>. All rights to and interests in Keryx Technology (including all intellectual property rights therein) will remain solely with Keryx and no right or interest therein is transferred or granted to BioVectra under this Agreement. BioVectra acknowledges and agrees that it does not acquire a license or any other right to Keryx Technology except for the limited purpose of carrying out its duties and obligations under this Agreement and that such limited, non-exclusive, license will expire upon the completion of such duties and obligations or the termination or expiration of this Agreement, whichever is the first to occur.</w:t>
      </w:r>
    </w:p>
    <w:p>
      <w:pPr>
        <w:spacing w:after="0" w:line="150" w:lineRule="exact"/>
        <w:rPr>
          <w:rFonts w:ascii="Arial" w:cs="Arial" w:eastAsia="Arial" w:hAnsi="Arial"/>
          <w:sz w:val="19"/>
          <w:szCs w:val="19"/>
          <w:color w:val="auto"/>
        </w:rPr>
      </w:pPr>
    </w:p>
    <w:p>
      <w:pPr>
        <w:jc w:val="both"/>
        <w:ind w:left="560" w:hanging="442"/>
        <w:spacing w:after="0" w:line="282" w:lineRule="auto"/>
        <w:tabs>
          <w:tab w:leader="none" w:pos="560"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BioVectra Technology</w:t>
      </w:r>
      <w:r>
        <w:rPr>
          <w:rFonts w:ascii="Arial" w:cs="Arial" w:eastAsia="Arial" w:hAnsi="Arial"/>
          <w:sz w:val="19"/>
          <w:szCs w:val="19"/>
          <w:color w:val="auto"/>
        </w:rPr>
        <w:t>. All rights to and interests in BioVectra Technology will remain solely in BioVectra and, except as otherwise set forth in this Agreement, no right or interest therein is transferred or granted to Keryx under this Agreement. Except with respect to the [**], BioVectra hereby grants to Keryx [**] right and license to Keryx and its Affiliates to use and modify BioVectra Technology to research, develop, manufacture, have manufactured, distribute, offer for sale, sell, market, and otherwise dispose of Product.</w:t>
      </w:r>
    </w:p>
    <w:p>
      <w:pPr>
        <w:spacing w:after="0" w:line="147" w:lineRule="exact"/>
        <w:rPr>
          <w:rFonts w:ascii="Arial" w:cs="Arial" w:eastAsia="Arial" w:hAnsi="Arial"/>
          <w:sz w:val="19"/>
          <w:szCs w:val="19"/>
          <w:color w:val="auto"/>
        </w:rPr>
      </w:pPr>
    </w:p>
    <w:p>
      <w:pPr>
        <w:jc w:val="both"/>
        <w:ind w:left="560" w:hanging="442"/>
        <w:spacing w:after="0" w:line="273" w:lineRule="auto"/>
        <w:tabs>
          <w:tab w:leader="none" w:pos="560"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Improvements</w:t>
      </w:r>
      <w:r>
        <w:rPr>
          <w:rFonts w:ascii="Arial" w:cs="Arial" w:eastAsia="Arial" w:hAnsi="Arial"/>
          <w:sz w:val="19"/>
          <w:szCs w:val="19"/>
          <w:color w:val="auto"/>
        </w:rPr>
        <w:t>. BioVectra agrees (i) to promptly disclose to Keryx all Improvements related to Keryx Technology; (ii) that all Improvements related to Keryx Technology (and all intellectual property rights related thereto) will be the sole and exclusive property of Keryx; and (iii) that BioVectra will assign and does assign all Improvements related to Keryx Technology (and all intellectual property rights related thereto) to Keryx (or its designee) without additional compensation to BioVectra. BioVectra will take such steps as Keryx may reasonably request (at Keryx’s expense) to vest in Keryx (or its designee) ownership of the Improvements related to Keryx Technology (and all intellectual property rights related thereto). In furtherance of the foregoing, BioVectra shall, upon request by Keryx, promptly undertake and perform (and/or cause its Affiliates and its and their respective employees and/or contractors to promptly undertake and perform, as applicable) such further actions as are reasonably necessary for Keryx to perfect its right, title and interest in and to any such Improvements (and all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49" w:name="page250"/>
    <w:bookmarkEnd w:id="249"/>
    <w:p>
      <w:pPr>
        <w:jc w:val="both"/>
        <w:ind w:left="560"/>
        <w:spacing w:after="0" w:line="297" w:lineRule="auto"/>
        <w:rPr>
          <w:sz w:val="20"/>
          <w:szCs w:val="20"/>
          <w:color w:val="auto"/>
        </w:rPr>
      </w:pPr>
      <w:r>
        <w:rPr>
          <w:rFonts w:ascii="Arial" w:cs="Arial" w:eastAsia="Arial" w:hAnsi="Arial"/>
          <w:sz w:val="19"/>
          <w:szCs w:val="19"/>
          <w:color w:val="auto"/>
        </w:rPr>
        <w:t>associated therewith), including by causing the execution of any assignments or other legal documentation, and/or providing Keryx or its patent counsel with reasonable access to any employees or contractors who may be inventors of such Improvements (and any intellectual property rights associated therewith).</w:t>
      </w:r>
    </w:p>
    <w:p>
      <w:pPr>
        <w:spacing w:after="0" w:line="134" w:lineRule="exact"/>
        <w:rPr>
          <w:sz w:val="20"/>
          <w:szCs w:val="20"/>
          <w:color w:val="auto"/>
        </w:rPr>
      </w:pPr>
    </w:p>
    <w:p>
      <w:pPr>
        <w:jc w:val="both"/>
        <w:ind w:left="560" w:hanging="442"/>
        <w:spacing w:after="0" w:line="252" w:lineRule="auto"/>
        <w:tabs>
          <w:tab w:leader="none" w:pos="560"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Non-Exclusive License</w:t>
      </w:r>
      <w:r>
        <w:rPr>
          <w:rFonts w:ascii="Arial" w:cs="Arial" w:eastAsia="Arial" w:hAnsi="Arial"/>
          <w:sz w:val="21"/>
          <w:szCs w:val="21"/>
          <w:color w:val="auto"/>
        </w:rPr>
        <w:t>. Except with respect to the [**], BioVectra agrees to grant to Keryx [**] license, to use Improvements made solely by BioVectra personnel and that relate solely to BioVectra Technology or the Confidential Information of BioVectra to research, develop, manufacture, have manufactured, distribute, offer for sale, sell, market, and otherwise dispose of Product.</w:t>
      </w:r>
    </w:p>
    <w:p>
      <w:pPr>
        <w:spacing w:after="0" w:line="174" w:lineRule="exact"/>
        <w:rPr>
          <w:rFonts w:ascii="Arial" w:cs="Arial" w:eastAsia="Arial" w:hAnsi="Arial"/>
          <w:sz w:val="21"/>
          <w:szCs w:val="21"/>
          <w:color w:val="auto"/>
        </w:rPr>
      </w:pPr>
    </w:p>
    <w:p>
      <w:pPr>
        <w:jc w:val="both"/>
        <w:ind w:left="560" w:hanging="442"/>
        <w:spacing w:after="0"/>
        <w:tabs>
          <w:tab w:leader="none" w:pos="56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Patent Filings</w:t>
      </w:r>
      <w:r>
        <w:rPr>
          <w:rFonts w:ascii="Arial" w:cs="Arial" w:eastAsia="Arial" w:hAnsi="Arial"/>
          <w:sz w:val="22"/>
          <w:szCs w:val="22"/>
          <w:color w:val="auto"/>
        </w:rPr>
        <w:t>. Keryx will have the exclusive right and option, but not the obligation, to prepare, file, prosecute, maintain and defend, at its sole expense, any patents that claim or cover the Improvements (and any intellectual property rights associated therewith).</w:t>
      </w:r>
    </w:p>
    <w:p>
      <w:pPr>
        <w:spacing w:after="0" w:line="186" w:lineRule="exact"/>
        <w:rPr>
          <w:rFonts w:ascii="Arial" w:cs="Arial" w:eastAsia="Arial" w:hAnsi="Arial"/>
          <w:sz w:val="22"/>
          <w:szCs w:val="22"/>
          <w:color w:val="auto"/>
        </w:rPr>
      </w:pPr>
    </w:p>
    <w:p>
      <w:pPr>
        <w:jc w:val="both"/>
        <w:ind w:left="560" w:hanging="442"/>
        <w:spacing w:after="0" w:line="236" w:lineRule="auto"/>
        <w:tabs>
          <w:tab w:leader="none" w:pos="56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Technology Transfer</w:t>
      </w:r>
      <w:r>
        <w:rPr>
          <w:rFonts w:ascii="Arial" w:cs="Arial" w:eastAsia="Arial" w:hAnsi="Arial"/>
          <w:sz w:val="22"/>
          <w:szCs w:val="22"/>
          <w:color w:val="auto"/>
        </w:rPr>
        <w:t>. If Keryx elects to manufacture Product, or to have Product manufactured by a third party, then BioVectra will provide to Keryx or its designee, all manufacturing information, including documentation, technical assistance, materials and cooperation, excluding the BV Drying Technology as Keryx or its designee may reasonably require in order to manufacture Product. Keryx will compensate BioVectra for such assistance at the hourly-rate(s) set forth in Appendix 1.</w:t>
      </w:r>
    </w:p>
    <w:p>
      <w:pPr>
        <w:spacing w:after="0" w:line="187" w:lineRule="exact"/>
        <w:rPr>
          <w:rFonts w:ascii="Arial" w:cs="Arial" w:eastAsia="Arial" w:hAnsi="Arial"/>
          <w:sz w:val="22"/>
          <w:szCs w:val="22"/>
          <w:color w:val="auto"/>
        </w:rPr>
      </w:pPr>
    </w:p>
    <w:p>
      <w:pPr>
        <w:jc w:val="both"/>
        <w:ind w:left="560" w:hanging="442"/>
        <w:spacing w:after="0" w:line="234" w:lineRule="auto"/>
        <w:tabs>
          <w:tab w:leader="none" w:pos="56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Trademarks and Trade Names</w:t>
      </w:r>
      <w:r>
        <w:rPr>
          <w:rFonts w:ascii="Arial" w:cs="Arial" w:eastAsia="Arial" w:hAnsi="Arial"/>
          <w:sz w:val="22"/>
          <w:szCs w:val="22"/>
          <w:color w:val="auto"/>
        </w:rPr>
        <w:t xml:space="preserve">. Keryx and BioVectra hereby acknowledge that neither Party has, nor shall either Party acquire by reason of this Agreement, any interest or rights of use in any of the other Party’s trademarks, trade names, designs or logos unless otherwise expressly agreed in writing by the Parties. Notwithstanding the foregoing, Keryx shall have the right to use the BioVectra’s trademarks, trade names, designs or logos, as may be required by Applicable Law (or as may otherwise be reasonably necessary) in connection with obtaining and maintaining Health Registrations for the Products or in connection with marketing and sale of Product </w:t>
      </w:r>
      <w:r>
        <w:rPr>
          <w:rFonts w:ascii="Arial" w:cs="Arial" w:eastAsia="Arial" w:hAnsi="Arial"/>
          <w:sz w:val="22"/>
          <w:szCs w:val="22"/>
          <w:i w:val="1"/>
          <w:iCs w:val="1"/>
          <w:color w:val="auto"/>
        </w:rPr>
        <w:t>(e.g.,</w:t>
      </w:r>
      <w:r>
        <w:rPr>
          <w:rFonts w:ascii="Arial" w:cs="Arial" w:eastAsia="Arial" w:hAnsi="Arial"/>
          <w:sz w:val="22"/>
          <w:szCs w:val="22"/>
          <w:color w:val="auto"/>
        </w:rPr>
        <w:t xml:space="preserve"> listing BioVectra as the manufacturer of product on the packaging, if applicable).</w:t>
      </w:r>
    </w:p>
    <w:p>
      <w:pPr>
        <w:spacing w:after="0" w:line="187" w:lineRule="exact"/>
        <w:rPr>
          <w:rFonts w:ascii="Arial" w:cs="Arial" w:eastAsia="Arial" w:hAnsi="Arial"/>
          <w:sz w:val="22"/>
          <w:szCs w:val="22"/>
          <w:color w:val="auto"/>
        </w:rPr>
      </w:pPr>
    </w:p>
    <w:p>
      <w:pPr>
        <w:jc w:val="both"/>
        <w:ind w:left="560" w:hanging="442"/>
        <w:spacing w:after="0" w:line="274" w:lineRule="auto"/>
        <w:tabs>
          <w:tab w:leader="none" w:pos="560"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No Rights/Remedies</w:t>
      </w:r>
      <w:r>
        <w:rPr>
          <w:rFonts w:ascii="Arial" w:cs="Arial" w:eastAsia="Arial" w:hAnsi="Arial"/>
          <w:sz w:val="19"/>
          <w:szCs w:val="19"/>
          <w:color w:val="auto"/>
        </w:rPr>
        <w:t>. All Keryx Confidential Information which BioVectra or its personnel shall obtain or be given access pursuant to or in connection with this Agreement shall be and remain the sole property of Keryx, and BioVectra shall have no rights or interests (except as expressly provided herein) to or in such Confidential Information. The Parties recognize and agree that an action for damages may be inadequate to enforce the restrictions and rights set forth in this Section 7. BioVectra’s breach or threaten breach of this Section 7 may cause immediate and irreparable harm and unascertainable damages to Keryx. The Parties agree that in the event of any breach or threatened breach of this Section 7, Keryx shall be entitled, in addition to any other right or remedy it may have at law or in equity, to seek and obtain injunctive relief, without the need to post bon or other security or show monetary damages.</w:t>
      </w:r>
    </w:p>
    <w:p>
      <w:pPr>
        <w:spacing w:after="0" w:line="3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50" w:name="page251"/>
    <w:bookmarkEnd w:id="250"/>
    <w:p>
      <w:pPr>
        <w:ind w:left="440" w:hanging="440"/>
        <w:spacing w:after="0"/>
        <w:tabs>
          <w:tab w:leader="none" w:pos="44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and Termination</w:t>
      </w:r>
    </w:p>
    <w:p>
      <w:pPr>
        <w:spacing w:after="0" w:line="212" w:lineRule="exact"/>
        <w:rPr>
          <w:rFonts w:ascii="Arial" w:cs="Arial" w:eastAsia="Arial" w:hAnsi="Arial"/>
          <w:sz w:val="22"/>
          <w:szCs w:val="22"/>
          <w:b w:val="1"/>
          <w:bCs w:val="1"/>
          <w:color w:val="auto"/>
        </w:rPr>
      </w:pPr>
    </w:p>
    <w:p>
      <w:pPr>
        <w:jc w:val="both"/>
        <w:ind w:left="1320" w:hanging="442"/>
        <w:spacing w:after="0" w:line="238" w:lineRule="auto"/>
        <w:tabs>
          <w:tab w:leader="none" w:pos="13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Agreement will commence on the Effective Date and terminate on October 1, 2019, unless terminated earlier as provided herein (“Term”). Notwithstanding the above, the Agreement will not terminate until any remaining outstanding purchase orders or binding commitments are fulfilled. Any extension of the Term must be mutually agreed to in writing.</w:t>
      </w:r>
    </w:p>
    <w:p>
      <w:pPr>
        <w:spacing w:after="0" w:line="185" w:lineRule="exact"/>
        <w:rPr>
          <w:rFonts w:ascii="Arial" w:cs="Arial" w:eastAsia="Arial" w:hAnsi="Arial"/>
          <w:sz w:val="22"/>
          <w:szCs w:val="22"/>
          <w:color w:val="auto"/>
        </w:rPr>
      </w:pPr>
    </w:p>
    <w:p>
      <w:pPr>
        <w:ind w:left="1320" w:hanging="442"/>
        <w:spacing w:after="0"/>
        <w:tabs>
          <w:tab w:leader="none" w:pos="13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This Agreement may be terminated at any time upon the mutual consent of the Parties.</w:t>
      </w:r>
    </w:p>
    <w:p>
      <w:pPr>
        <w:spacing w:after="0" w:line="206" w:lineRule="exact"/>
        <w:rPr>
          <w:rFonts w:ascii="Arial" w:cs="Arial" w:eastAsia="Arial" w:hAnsi="Arial"/>
          <w:sz w:val="22"/>
          <w:szCs w:val="22"/>
          <w:color w:val="auto"/>
        </w:rPr>
      </w:pPr>
    </w:p>
    <w:p>
      <w:pPr>
        <w:jc w:val="both"/>
        <w:ind w:left="1320" w:hanging="442"/>
        <w:spacing w:after="0" w:line="235" w:lineRule="auto"/>
        <w:tabs>
          <w:tab w:leader="none" w:pos="13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Either Party may terminate this Agreement for breach of any of its material provisions upon [**] prior written notice to the other, if during such [**] notice period the default is not corrected to the reasonable satisfaction of the non-defaulting Party. In addition, either Party may terminate this Agreement by giving the other Party at least sixty (60) days written notice if such other Party has entered into or committed any act of liquidation, bankruptcy, insolvency, receivership, or assignment for the benefit of creditors, to the extent such act is permitted by law.</w:t>
      </w:r>
    </w:p>
    <w:p>
      <w:pPr>
        <w:spacing w:after="0" w:line="188" w:lineRule="exact"/>
        <w:rPr>
          <w:rFonts w:ascii="Arial" w:cs="Arial" w:eastAsia="Arial" w:hAnsi="Arial"/>
          <w:sz w:val="22"/>
          <w:szCs w:val="22"/>
          <w:color w:val="auto"/>
        </w:rPr>
      </w:pPr>
    </w:p>
    <w:p>
      <w:pPr>
        <w:ind w:left="1320" w:right="20" w:hanging="442"/>
        <w:spacing w:after="0" w:line="251" w:lineRule="auto"/>
        <w:tabs>
          <w:tab w:leader="none" w:pos="1320"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Effects of Termination or Expiration</w:t>
      </w:r>
      <w:r>
        <w:rPr>
          <w:rFonts w:ascii="Arial" w:cs="Arial" w:eastAsia="Arial" w:hAnsi="Arial"/>
          <w:sz w:val="22"/>
          <w:szCs w:val="22"/>
          <w:color w:val="auto"/>
        </w:rPr>
        <w:t>. Upon expiration or termination of this Agreement the following shall apply:</w:t>
      </w:r>
    </w:p>
    <w:p>
      <w:pPr>
        <w:spacing w:after="0" w:line="173" w:lineRule="exact"/>
        <w:rPr>
          <w:rFonts w:ascii="Arial" w:cs="Arial" w:eastAsia="Arial" w:hAnsi="Arial"/>
          <w:sz w:val="22"/>
          <w:szCs w:val="22"/>
          <w:color w:val="auto"/>
        </w:rPr>
      </w:pPr>
    </w:p>
    <w:p>
      <w:pPr>
        <w:jc w:val="both"/>
        <w:ind w:left="2180" w:hanging="424"/>
        <w:spacing w:after="0" w:line="236" w:lineRule="auto"/>
        <w:tabs>
          <w:tab w:leader="none" w:pos="2180" w:val="left"/>
        </w:tabs>
        <w:numPr>
          <w:ilvl w:val="2"/>
          <w:numId w:val="189"/>
        </w:numPr>
        <w:rPr>
          <w:rFonts w:ascii="Arial" w:cs="Arial" w:eastAsia="Arial" w:hAnsi="Arial"/>
          <w:sz w:val="22"/>
          <w:szCs w:val="22"/>
          <w:color w:val="auto"/>
        </w:rPr>
      </w:pPr>
      <w:r>
        <w:rPr>
          <w:rFonts w:ascii="Arial" w:cs="Arial" w:eastAsia="Arial" w:hAnsi="Arial"/>
          <w:sz w:val="22"/>
          <w:szCs w:val="22"/>
          <w:color w:val="auto"/>
        </w:rPr>
        <w:t>Except where termination is due to the uncured material breach of Keryx, Keryx shall have the option (in its discretion) to either: (A) cancel all outstanding purchase orders; or (B) require BioVectra to continue to supply Product in accordance with purchase orders submitted prior to the termination or expiration of this Agreement (which supply shall be in accordance with the terms and conditions of this Agreement).</w:t>
      </w:r>
    </w:p>
    <w:p>
      <w:pPr>
        <w:spacing w:after="0" w:line="187" w:lineRule="exact"/>
        <w:rPr>
          <w:rFonts w:ascii="Arial" w:cs="Arial" w:eastAsia="Arial" w:hAnsi="Arial"/>
          <w:sz w:val="22"/>
          <w:szCs w:val="22"/>
          <w:color w:val="auto"/>
        </w:rPr>
      </w:pPr>
    </w:p>
    <w:p>
      <w:pPr>
        <w:jc w:val="both"/>
        <w:ind w:left="2180" w:hanging="424"/>
        <w:spacing w:after="0" w:line="236" w:lineRule="auto"/>
        <w:tabs>
          <w:tab w:leader="none" w:pos="2180" w:val="left"/>
        </w:tabs>
        <w:numPr>
          <w:ilvl w:val="2"/>
          <w:numId w:val="189"/>
        </w:numPr>
        <w:rPr>
          <w:rFonts w:ascii="Arial" w:cs="Arial" w:eastAsia="Arial" w:hAnsi="Arial"/>
          <w:sz w:val="22"/>
          <w:szCs w:val="22"/>
          <w:color w:val="auto"/>
        </w:rPr>
      </w:pPr>
      <w:r>
        <w:rPr>
          <w:rFonts w:ascii="Arial" w:cs="Arial" w:eastAsia="Arial" w:hAnsi="Arial"/>
          <w:sz w:val="22"/>
          <w:szCs w:val="22"/>
          <w:color w:val="auto"/>
        </w:rPr>
        <w:t>Except where termination is due to the uncured material breach of Keryx, at the election of Keryx, BioVectra shall continue to supply Product to Keryx on the terms and conditions set forth herein until the earlier of: (i) such time as Keryx notifies BioVectra that Keryx has achieved alternative manufacturing arrangements which are presently capable of manufacturing the applicable Products, or (ii) [**].</w:t>
      </w:r>
    </w:p>
    <w:p>
      <w:pPr>
        <w:spacing w:after="0" w:line="187" w:lineRule="exact"/>
        <w:rPr>
          <w:rFonts w:ascii="Arial" w:cs="Arial" w:eastAsia="Arial" w:hAnsi="Arial"/>
          <w:sz w:val="22"/>
          <w:szCs w:val="22"/>
          <w:color w:val="auto"/>
        </w:rPr>
      </w:pPr>
    </w:p>
    <w:p>
      <w:pPr>
        <w:jc w:val="both"/>
        <w:ind w:left="2180" w:hanging="424"/>
        <w:spacing w:after="0" w:line="274" w:lineRule="auto"/>
        <w:tabs>
          <w:tab w:leader="none" w:pos="2180" w:val="left"/>
        </w:tabs>
        <w:numPr>
          <w:ilvl w:val="2"/>
          <w:numId w:val="189"/>
        </w:numPr>
        <w:rPr>
          <w:rFonts w:ascii="Arial" w:cs="Arial" w:eastAsia="Arial" w:hAnsi="Arial"/>
          <w:sz w:val="19"/>
          <w:szCs w:val="19"/>
          <w:color w:val="auto"/>
        </w:rPr>
      </w:pPr>
      <w:r>
        <w:rPr>
          <w:rFonts w:ascii="Arial" w:cs="Arial" w:eastAsia="Arial" w:hAnsi="Arial"/>
          <w:sz w:val="19"/>
          <w:szCs w:val="19"/>
          <w:color w:val="auto"/>
        </w:rPr>
        <w:t>Upon written request from Keryx to BioVectra, pursuant to Section 7.h. above BioVectra shall transfer to Keryx and/or its designee any and all Keryx Technology and Improvements in BioVectra’s possession and shall provide to Keryx and/or its designee BioVectra Technology (but excluding the [**]) so as to permit Keryx and/or its designee(s) to produce/manufacture Products with such technical assistance being provided in accordance with a plan provided to BioVectra by Keryx. To the extent transferable, BioVectra shall also transfer any license(s) obtained specifically for the production/manufacture of Products under this Agreement. BioVectra hereby grants to Keryx [**] license, [**] any and all BioVectra Technology ([**]) to make, have made, use, offer for sale, sell, and import Products, which license shall survive termination of this Agreement.</w:t>
      </w:r>
    </w:p>
    <w:p>
      <w:pPr>
        <w:spacing w:after="0" w:line="37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55" w:right="239" w:bottom="1440" w:gutter="0" w:footer="0" w:header="0"/>
        </w:sectPr>
      </w:pPr>
    </w:p>
    <w:bookmarkStart w:id="251" w:name="page252"/>
    <w:bookmarkEnd w:id="251"/>
    <w:p>
      <w:pPr>
        <w:jc w:val="both"/>
        <w:ind w:left="1420" w:right="20" w:hanging="424"/>
        <w:spacing w:after="0"/>
        <w:tabs>
          <w:tab w:leader="none" w:pos="14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BioVectra shall thereafter not use in any manner whatsoever any trademarks, service marks, names, logos, designs or trade dress of Keryx or any of its Affiliates, or any other Keryx Technology or any Confidential Information of Keryx.</w:t>
      </w:r>
    </w:p>
    <w:p>
      <w:pPr>
        <w:spacing w:after="0" w:line="186" w:lineRule="exact"/>
        <w:rPr>
          <w:rFonts w:ascii="Arial" w:cs="Arial" w:eastAsia="Arial" w:hAnsi="Arial"/>
          <w:sz w:val="22"/>
          <w:szCs w:val="22"/>
          <w:color w:val="auto"/>
        </w:rPr>
      </w:pPr>
    </w:p>
    <w:p>
      <w:pPr>
        <w:jc w:val="both"/>
        <w:ind w:left="1420" w:hanging="424"/>
        <w:spacing w:after="0" w:line="297" w:lineRule="auto"/>
        <w:tabs>
          <w:tab w:leader="none" w:pos="142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Except in order to fulfill its obligations to manufacture and supply Products to Keryx following expiration or termination of this Agreement as expressly set forth in this Section, BioVectra shall immediately cease the manufacture of any Product(s) as of the date of the notice of termination.</w:t>
      </w:r>
    </w:p>
    <w:p>
      <w:pPr>
        <w:spacing w:after="0" w:line="134" w:lineRule="exact"/>
        <w:rPr>
          <w:rFonts w:ascii="Arial" w:cs="Arial" w:eastAsia="Arial" w:hAnsi="Arial"/>
          <w:sz w:val="19"/>
          <w:szCs w:val="19"/>
          <w:color w:val="auto"/>
        </w:rPr>
      </w:pPr>
    </w:p>
    <w:p>
      <w:pPr>
        <w:jc w:val="both"/>
        <w:ind w:left="1420" w:hanging="424"/>
        <w:spacing w:after="0" w:line="258" w:lineRule="auto"/>
        <w:tabs>
          <w:tab w:leader="none" w:pos="14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Upon the written request of Keryx, BioVectra shall return to Keryx (or its designee), or destroy, all remaining Keryx Supplied Materials, as requested by Keryx. BioVectra shall perform any such destruction (if destruction was requested by Keryx) in compliance with all Applicable Law.</w:t>
      </w:r>
    </w:p>
    <w:p>
      <w:pPr>
        <w:spacing w:after="0" w:line="167" w:lineRule="exact"/>
        <w:rPr>
          <w:sz w:val="20"/>
          <w:szCs w:val="20"/>
          <w:color w:val="auto"/>
        </w:rPr>
      </w:pPr>
    </w:p>
    <w:p>
      <w:pPr>
        <w:jc w:val="both"/>
        <w:ind w:left="560" w:hanging="442"/>
        <w:spacing w:after="0"/>
        <w:tabs>
          <w:tab w:leader="none" w:pos="56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Return of Keryx Supplied Materials and other Information</w:t>
      </w:r>
      <w:r>
        <w:rPr>
          <w:rFonts w:ascii="Arial" w:cs="Arial" w:eastAsia="Arial" w:hAnsi="Arial"/>
          <w:sz w:val="22"/>
          <w:szCs w:val="22"/>
          <w:color w:val="auto"/>
        </w:rPr>
        <w:t>. Upon termination or expiration of this Agreement, or at any time during the Term, in each case upon Keryx’s written, BioVectra shall promptly deliver to Keryx, at Keryx’s expense:</w:t>
      </w:r>
    </w:p>
    <w:p>
      <w:pPr>
        <w:spacing w:after="0" w:line="186" w:lineRule="exact"/>
        <w:rPr>
          <w:sz w:val="20"/>
          <w:szCs w:val="20"/>
          <w:color w:val="auto"/>
        </w:rPr>
      </w:pPr>
    </w:p>
    <w:p>
      <w:pPr>
        <w:jc w:val="both"/>
        <w:ind w:left="560" w:hanging="442"/>
        <w:spacing w:after="0" w:line="273" w:lineRule="auto"/>
        <w:tabs>
          <w:tab w:leader="none" w:pos="5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all unused Keryx Supplied Materials in BioVectra’s (or any of its Affiliate’s) possession or control; (b) all documentation and all copies thereof in whatever form or medium in BioVectra’s (or any of its Affiliate’s) possession or control relating to the Product, CMCs, Specifications, or Keryx Technology or Improvements other than any documentation which BioVectra must retain for such period of time as required by Applicable Law; and (c) all other Confidential Information of Keryx and any and all other Records, documents and materials (and all copies thereof) in BioVectra’s (or any of its Affiliate’s) possession or control relating to Product and/or containing any Confidential Information of Keryx other than any Confidential Information which BioVectra must retain for such period of time as required by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provisions of this Agreement relating to such Confidential Information shall apply to such Confidential Information for so long as it is so retained notwithstanding the expiration or termination of this Agreement.</w:t>
      </w:r>
    </w:p>
    <w:p>
      <w:pPr>
        <w:spacing w:after="0" w:line="148" w:lineRule="exact"/>
        <w:rPr>
          <w:sz w:val="20"/>
          <w:szCs w:val="20"/>
          <w:color w:val="auto"/>
        </w:rPr>
      </w:pPr>
    </w:p>
    <w:p>
      <w:pPr>
        <w:jc w:val="both"/>
        <w:ind w:left="560" w:hanging="442"/>
        <w:spacing w:after="0" w:line="277" w:lineRule="auto"/>
        <w:tabs>
          <w:tab w:leader="none" w:pos="56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Inventories</w:t>
      </w:r>
      <w:r>
        <w:rPr>
          <w:rFonts w:ascii="Arial" w:cs="Arial" w:eastAsia="Arial" w:hAnsi="Arial"/>
          <w:sz w:val="19"/>
          <w:szCs w:val="19"/>
          <w:color w:val="auto"/>
        </w:rPr>
        <w:t>. Upon expiration or termination of this Agreement, Keryx at its discretion (i) may obtain from BioVectra any existing inventories of Product ordered under this Agreement that conforms to the Specifications and the other Manufacturing Requirements, at the price for such Product set forth in the Agreement; and (ii) may either (A) purchase any such Product in process held by BioVectra as of the date of the termination, at a price to be mutually agreed (it being understood that such price will reflect, on a pro rata basis, work performed and non-cancelable out-of-pocket expenses actually incurred by BioVectra with respect to the manufacture of such in-process Product); or (B) direct BioVectra to dispose of such material at Keryx’s cost.</w:t>
      </w:r>
    </w:p>
    <w:p>
      <w:pPr>
        <w:spacing w:after="0" w:line="36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52" w:name="page253"/>
    <w:bookmarkEnd w:id="252"/>
    <w:p>
      <w:pPr>
        <w:ind w:left="440" w:hanging="440"/>
        <w:spacing w:after="0"/>
        <w:tabs>
          <w:tab w:leader="none" w:pos="440"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p>
    <w:p>
      <w:pPr>
        <w:spacing w:after="0" w:line="212" w:lineRule="exact"/>
        <w:rPr>
          <w:rFonts w:ascii="Arial" w:cs="Arial" w:eastAsia="Arial" w:hAnsi="Arial"/>
          <w:sz w:val="22"/>
          <w:szCs w:val="22"/>
          <w:b w:val="1"/>
          <w:bCs w:val="1"/>
          <w:color w:val="auto"/>
        </w:rPr>
      </w:pPr>
    </w:p>
    <w:p>
      <w:pPr>
        <w:jc w:val="both"/>
        <w:ind w:left="1320" w:hanging="442"/>
        <w:spacing w:after="0" w:line="273" w:lineRule="auto"/>
        <w:tabs>
          <w:tab w:leader="none" w:pos="1320" w:val="left"/>
        </w:tabs>
        <w:numPr>
          <w:ilvl w:val="1"/>
          <w:numId w:val="194"/>
        </w:numPr>
        <w:rPr>
          <w:rFonts w:ascii="Arial" w:cs="Arial" w:eastAsia="Arial" w:hAnsi="Arial"/>
          <w:sz w:val="19"/>
          <w:szCs w:val="19"/>
          <w:color w:val="auto"/>
        </w:rPr>
      </w:pPr>
      <w:r>
        <w:rPr>
          <w:rFonts w:ascii="Arial" w:cs="Arial" w:eastAsia="Arial" w:hAnsi="Arial"/>
          <w:sz w:val="19"/>
          <w:szCs w:val="19"/>
          <w:u w:val="single" w:color="auto"/>
          <w:color w:val="auto"/>
        </w:rPr>
        <w:t>Governing Law; Exclusive Jurisdiction/Venue</w:t>
      </w:r>
      <w:r>
        <w:rPr>
          <w:rFonts w:ascii="Arial" w:cs="Arial" w:eastAsia="Arial" w:hAnsi="Arial"/>
          <w:sz w:val="19"/>
          <w:szCs w:val="19"/>
          <w:color w:val="auto"/>
        </w:rPr>
        <w:t>. The rights and obligations of the Parties under this Agreement, and any disputes arising out of or relating to this Agreement, shall be governed by and interpreted in accordance with the laws of the [**], without regard to application of any conflicts of laws provisions that would otherwise apply the substantive law of any other jurisdiction. The Parties expressly reject any application to this Agreement of (a) the United Nations Convention on Contracts for the International Sale of Goods; and (b) the 1974 Convention on the Limitation Period in the International Sale of Goods, as amended by that certain Protocol, done at Vienna on April 11, 1980. Any legal action or proceeding concerning the validity, interpretation and enforcement of this Agreement, matters arising out of or related to this Agreement or its making, performance or breach, or related matters will be brought exclusively in the state and federal courts located in the [**]. The Parties consent to the exclusive jurisdiction of those courts and waive any objection to the propriety or convenience of such venues.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1320" w:hanging="442"/>
        <w:spacing w:after="0" w:line="277" w:lineRule="auto"/>
        <w:tabs>
          <w:tab w:leader="none" w:pos="1320" w:val="left"/>
        </w:tabs>
        <w:numPr>
          <w:ilvl w:val="1"/>
          <w:numId w:val="194"/>
        </w:numPr>
        <w:rPr>
          <w:rFonts w:ascii="Arial" w:cs="Arial" w:eastAsia="Arial" w:hAnsi="Arial"/>
          <w:sz w:val="19"/>
          <w:szCs w:val="19"/>
          <w:color w:val="auto"/>
        </w:rPr>
      </w:pPr>
      <w:r>
        <w:rPr>
          <w:rFonts w:ascii="Arial" w:cs="Arial" w:eastAsia="Arial" w:hAnsi="Arial"/>
          <w:sz w:val="19"/>
          <w:szCs w:val="19"/>
          <w:u w:val="single" w:color="auto"/>
          <w:color w:val="auto"/>
        </w:rPr>
        <w:t>Relationship of Parties</w:t>
      </w:r>
      <w:r>
        <w:rPr>
          <w:rFonts w:ascii="Arial" w:cs="Arial" w:eastAsia="Arial" w:hAnsi="Arial"/>
          <w:sz w:val="19"/>
          <w:szCs w:val="19"/>
          <w:color w:val="auto"/>
        </w:rPr>
        <w:t>. The relationship of BioVectra to Keryx under this Agreement is intended to be that of independent contractor. Nothing contained in this Agreement is intended or is to be construed so as to constitute BioVectra and Keryx as employer/employee or principal/agent, or the employees or the agents of any Party hereto as employees or agents of any other Party hereto. Neither Party hereto has any express or implied right or authority under this Agreement to assume or create any obligations on behalf of or in the name of the other Party or to bind the other party to any contract, agreement, or undertaking with any third party, other than the successors and permitted assigns of the respective Parties hereto.</w:t>
      </w:r>
    </w:p>
    <w:p>
      <w:pPr>
        <w:spacing w:after="0" w:line="152" w:lineRule="exact"/>
        <w:rPr>
          <w:rFonts w:ascii="Arial" w:cs="Arial" w:eastAsia="Arial" w:hAnsi="Arial"/>
          <w:sz w:val="19"/>
          <w:szCs w:val="19"/>
          <w:color w:val="auto"/>
        </w:rPr>
      </w:pPr>
    </w:p>
    <w:p>
      <w:pPr>
        <w:jc w:val="both"/>
        <w:ind w:left="1320" w:hanging="442"/>
        <w:spacing w:after="0" w:line="243" w:lineRule="auto"/>
        <w:tabs>
          <w:tab w:leader="none" w:pos="1320" w:val="left"/>
        </w:tabs>
        <w:numPr>
          <w:ilvl w:val="1"/>
          <w:numId w:val="194"/>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This Agreement may not be assigned or otherwise transferred by either Party without the prior written consent of the other Party;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Keryx may, without such consent, but with notice to BioVectra, assign this Agreement, in whole or in part, (i) in connection with the transfer or sale of all or substantially all of its assets or the line of business or Product to which this Agreement relates; (ii) to a successor entity or acquirer in the event of a merger, consolidation or change of control; or (iii) to any Affiliate. Any purported assignment in violation of the preceding sentence will be void. Any permitted assignee will assume the rights and obligations of its assignor under this Agreement. This Agreement shall be binding upon and inure to the benefit of the Parties hereto and their respective permitted successors and assigns. No transfer or assignment will relieve the transferor or assignor of any liability or obligations hereunder. BioVectra may not subcontract with any third party, including any Affiliate of BioVectra, to perform any of its obligations under this Agreement or the Quality Agreement without the prior written consent of Keryx. BioVectra will be solely responsible for the performance of any permitted subcontractor, and for costs, expenses, damages, or losses of any nature arising out of such performance as if such performance had been provided by BioVectra itself under this Agreement. BioVectra will cause any such permitted subcontractor to be bound by, and to comply with, the terms of this Agreement, as applicable, including all confidentiality, quality assurance, regulatory and other obligations and requirements of BioVectra set forth in this Agreement.</w:t>
      </w: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55" w:right="239" w:bottom="1440" w:gutter="0" w:footer="0" w:header="0"/>
        </w:sectPr>
      </w:pPr>
    </w:p>
    <w:bookmarkStart w:id="253" w:name="page254"/>
    <w:bookmarkEnd w:id="253"/>
    <w:p>
      <w:pPr>
        <w:jc w:val="both"/>
        <w:ind w:left="560" w:hanging="442"/>
        <w:spacing w:after="0" w:line="246" w:lineRule="auto"/>
        <w:tabs>
          <w:tab w:leader="none" w:pos="560"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any provision of this Agreement shall be invalid, void, illegal, or unenforceable, the remaining provisions hereof nevertheless will continue in full force and effect without being impaired or invalidated in any way. Each provision in this Agreement is independent and severable from the others, and no provision will be rendered unenforceable because any other provision is found by a proper authority to be invalid or unenforceable in whole or in part. If any provision of this Agreement is found by such an authority to be invalid or unenforceable in whole or in part, such provision will be changed and interpreted so as to best accomplish the objectives of such unenforceable or invalid provision and the intent of the parties, within the limits of Applicable Law.</w:t>
      </w:r>
    </w:p>
    <w:p>
      <w:pPr>
        <w:spacing w:after="0" w:line="180" w:lineRule="exact"/>
        <w:rPr>
          <w:rFonts w:ascii="Arial" w:cs="Arial" w:eastAsia="Arial" w:hAnsi="Arial"/>
          <w:sz w:val="21"/>
          <w:szCs w:val="21"/>
          <w:color w:val="auto"/>
        </w:rPr>
      </w:pPr>
    </w:p>
    <w:p>
      <w:pPr>
        <w:jc w:val="both"/>
        <w:ind w:left="560" w:hanging="442"/>
        <w:spacing w:after="0" w:line="246" w:lineRule="auto"/>
        <w:tabs>
          <w:tab w:leader="none" w:pos="560"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Expiration or termination of this Agreement for any reason will not relieve either party of any obligation accruing prior to such expiration or termination. Unless expressly specified to the contrary in this Agreement, no remedy referred to in this Agreement is intended to be exclusive, but each shall be cumulative and in addition to any other remedy referred to in this Agreement or otherwise available under law or at equity. The rights and obligations of the Parties set forth herein which, either explicitly state they survive or by their nature should survive termination or expiration of this Agreement, will survive any such termination or expiration, including without limitation those respecting confidentiality, intellectual property, indemnification, warranties, governing law and jurisdiction and notices.</w:t>
      </w:r>
    </w:p>
    <w:p>
      <w:pPr>
        <w:spacing w:after="0" w:line="180" w:lineRule="exact"/>
        <w:rPr>
          <w:rFonts w:ascii="Arial" w:cs="Arial" w:eastAsia="Arial" w:hAnsi="Arial"/>
          <w:sz w:val="21"/>
          <w:szCs w:val="21"/>
          <w:color w:val="auto"/>
        </w:rPr>
      </w:pPr>
    </w:p>
    <w:p>
      <w:pPr>
        <w:jc w:val="both"/>
        <w:ind w:left="560" w:hanging="442"/>
        <w:spacing w:after="0" w:line="282" w:lineRule="auto"/>
        <w:tabs>
          <w:tab w:leader="none" w:pos="560"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under this Agreement shall be in writing and, other than purchase orders and invoices, which may be sent by email, shall be deemed given if sent by certified or registered first class mail, postage prepaid, or commercial express courier (return receipt or confirmation of delivery requested), or by personal delivery to the Party to receive such notices or other communications called for by this Agreement at the following addresses for a Party as shall be specified by such Party by like notice:</w:t>
      </w:r>
    </w:p>
    <w:p>
      <w:pPr>
        <w:spacing w:after="0" w:line="147" w:lineRule="exact"/>
        <w:rPr>
          <w:rFonts w:ascii="Arial" w:cs="Arial" w:eastAsia="Arial" w:hAnsi="Arial"/>
          <w:sz w:val="19"/>
          <w:szCs w:val="19"/>
          <w:color w:val="auto"/>
        </w:rPr>
      </w:pPr>
    </w:p>
    <w:p>
      <w:pPr>
        <w:ind w:left="1440" w:right="7520" w:hanging="879"/>
        <w:spacing w:after="0" w:line="276" w:lineRule="auto"/>
        <w:rPr>
          <w:rFonts w:ascii="Arial" w:cs="Arial" w:eastAsia="Arial" w:hAnsi="Arial"/>
          <w:sz w:val="19"/>
          <w:szCs w:val="19"/>
          <w:color w:val="auto"/>
        </w:rPr>
      </w:pPr>
      <w:r>
        <w:rPr>
          <w:rFonts w:ascii="Arial" w:cs="Arial" w:eastAsia="Arial" w:hAnsi="Arial"/>
          <w:sz w:val="19"/>
          <w:szCs w:val="19"/>
          <w:color w:val="auto"/>
        </w:rPr>
        <w:t>If to BioVectra: BioVectra Inc.</w:t>
      </w:r>
    </w:p>
    <w:p>
      <w:pPr>
        <w:spacing w:after="0" w:line="1" w:lineRule="exact"/>
        <w:rPr>
          <w:rFonts w:ascii="Arial" w:cs="Arial" w:eastAsia="Arial" w:hAnsi="Arial"/>
          <w:sz w:val="19"/>
          <w:szCs w:val="19"/>
          <w:color w:val="auto"/>
        </w:rPr>
      </w:pPr>
    </w:p>
    <w:p>
      <w:pPr>
        <w:ind w:left="1440" w:right="6320"/>
        <w:spacing w:after="0" w:line="230" w:lineRule="auto"/>
        <w:rPr>
          <w:rFonts w:ascii="Arial" w:cs="Arial" w:eastAsia="Arial" w:hAnsi="Arial"/>
          <w:sz w:val="19"/>
          <w:szCs w:val="19"/>
          <w:color w:val="auto"/>
        </w:rPr>
      </w:pPr>
      <w:r>
        <w:rPr>
          <w:rFonts w:ascii="Arial" w:cs="Arial" w:eastAsia="Arial" w:hAnsi="Arial"/>
          <w:sz w:val="22"/>
          <w:szCs w:val="22"/>
          <w:color w:val="auto"/>
        </w:rPr>
        <w:t>11 Aviation Avenue Charlottetown, PE C1E 0A1 Canada</w:t>
      </w:r>
    </w:p>
    <w:p>
      <w:pPr>
        <w:spacing w:after="0" w:line="2" w:lineRule="exact"/>
        <w:rPr>
          <w:rFonts w:ascii="Arial" w:cs="Arial" w:eastAsia="Arial" w:hAnsi="Arial"/>
          <w:sz w:val="19"/>
          <w:szCs w:val="19"/>
          <w:color w:val="auto"/>
        </w:rPr>
      </w:pPr>
    </w:p>
    <w:p>
      <w:pPr>
        <w:ind w:left="1440"/>
        <w:spacing w:after="0" w:line="230" w:lineRule="auto"/>
        <w:rPr>
          <w:rFonts w:ascii="Arial" w:cs="Arial" w:eastAsia="Arial" w:hAnsi="Arial"/>
          <w:sz w:val="19"/>
          <w:szCs w:val="19"/>
          <w:color w:val="auto"/>
        </w:rPr>
      </w:pPr>
      <w:r>
        <w:rPr>
          <w:rFonts w:ascii="Arial" w:cs="Arial" w:eastAsia="Arial" w:hAnsi="Arial"/>
          <w:sz w:val="22"/>
          <w:szCs w:val="22"/>
          <w:color w:val="auto"/>
        </w:rPr>
        <w:t>Email: orders@biovectra.com (for purchase orders and invoices only)</w:t>
      </w:r>
    </w:p>
    <w:p>
      <w:pPr>
        <w:ind w:left="1440"/>
        <w:spacing w:after="0"/>
        <w:rPr>
          <w:rFonts w:ascii="Arial" w:cs="Arial" w:eastAsia="Arial" w:hAnsi="Arial"/>
          <w:sz w:val="19"/>
          <w:szCs w:val="19"/>
          <w:color w:val="auto"/>
        </w:rPr>
      </w:pPr>
      <w:r>
        <w:rPr>
          <w:rFonts w:ascii="Arial" w:cs="Arial" w:eastAsia="Arial" w:hAnsi="Arial"/>
          <w:sz w:val="22"/>
          <w:szCs w:val="22"/>
          <w:color w:val="auto"/>
        </w:rPr>
        <w:t>Attention: Legal Department</w:t>
      </w:r>
    </w:p>
    <w:p>
      <w:pPr>
        <w:spacing w:after="0" w:line="188"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2"/>
          <w:szCs w:val="22"/>
          <w:color w:val="auto"/>
        </w:rPr>
        <w:t>If to Keryx:</w:t>
      </w:r>
    </w:p>
    <w:p>
      <w:pPr>
        <w:spacing w:after="0" w:line="8" w:lineRule="exact"/>
        <w:rPr>
          <w:rFonts w:ascii="Arial" w:cs="Arial" w:eastAsia="Arial" w:hAnsi="Arial"/>
          <w:sz w:val="19"/>
          <w:szCs w:val="19"/>
          <w:color w:val="auto"/>
        </w:rPr>
      </w:pPr>
    </w:p>
    <w:p>
      <w:pPr>
        <w:ind w:left="1440" w:right="6020"/>
        <w:spacing w:after="0" w:line="230" w:lineRule="auto"/>
        <w:rPr>
          <w:rFonts w:ascii="Arial" w:cs="Arial" w:eastAsia="Arial" w:hAnsi="Arial"/>
          <w:sz w:val="19"/>
          <w:szCs w:val="19"/>
          <w:color w:val="auto"/>
        </w:rPr>
      </w:pPr>
      <w:r>
        <w:rPr>
          <w:rFonts w:ascii="Arial" w:cs="Arial" w:eastAsia="Arial" w:hAnsi="Arial"/>
          <w:sz w:val="22"/>
          <w:szCs w:val="22"/>
          <w:color w:val="auto"/>
        </w:rPr>
        <w:t>Keryx Biopharmaceuticals, Inc. Attention: CEO</w:t>
      </w:r>
    </w:p>
    <w:p>
      <w:pPr>
        <w:spacing w:after="0" w:line="1" w:lineRule="exact"/>
        <w:rPr>
          <w:rFonts w:ascii="Arial" w:cs="Arial" w:eastAsia="Arial" w:hAnsi="Arial"/>
          <w:sz w:val="19"/>
          <w:szCs w:val="19"/>
          <w:color w:val="auto"/>
        </w:rPr>
      </w:pPr>
    </w:p>
    <w:p>
      <w:pPr>
        <w:ind w:left="1440" w:right="4940"/>
        <w:spacing w:after="0" w:line="230" w:lineRule="auto"/>
        <w:rPr>
          <w:rFonts w:ascii="Arial" w:cs="Arial" w:eastAsia="Arial" w:hAnsi="Arial"/>
          <w:sz w:val="19"/>
          <w:szCs w:val="19"/>
          <w:color w:val="auto"/>
        </w:rPr>
      </w:pPr>
      <w:r>
        <w:rPr>
          <w:rFonts w:ascii="Arial" w:cs="Arial" w:eastAsia="Arial" w:hAnsi="Arial"/>
          <w:sz w:val="22"/>
          <w:szCs w:val="22"/>
          <w:color w:val="auto"/>
        </w:rPr>
        <w:t>Address: One Marina Park Drive, 12</w:t>
      </w:r>
      <w:r>
        <w:rPr>
          <w:rFonts w:ascii="Arial" w:cs="Arial" w:eastAsia="Arial" w:hAnsi="Arial"/>
          <w:sz w:val="18"/>
          <w:szCs w:val="18"/>
          <w:color w:val="auto"/>
        </w:rPr>
        <w:t>th</w:t>
      </w:r>
      <w:r>
        <w:rPr>
          <w:rFonts w:ascii="Arial" w:cs="Arial" w:eastAsia="Arial" w:hAnsi="Arial"/>
          <w:sz w:val="22"/>
          <w:szCs w:val="22"/>
          <w:color w:val="auto"/>
        </w:rPr>
        <w:t xml:space="preserve"> Floor Boston, MA 02210 USA</w:t>
      </w:r>
    </w:p>
    <w:p>
      <w:pPr>
        <w:spacing w:after="0" w:line="1" w:lineRule="exact"/>
        <w:rPr>
          <w:rFonts w:ascii="Arial" w:cs="Arial" w:eastAsia="Arial" w:hAnsi="Arial"/>
          <w:sz w:val="19"/>
          <w:szCs w:val="19"/>
          <w:color w:val="auto"/>
        </w:rPr>
      </w:pPr>
    </w:p>
    <w:p>
      <w:pPr>
        <w:ind w:left="1440"/>
        <w:spacing w:after="0" w:line="230" w:lineRule="auto"/>
        <w:rPr>
          <w:rFonts w:ascii="Arial" w:cs="Arial" w:eastAsia="Arial" w:hAnsi="Arial"/>
          <w:sz w:val="19"/>
          <w:szCs w:val="19"/>
          <w:color w:val="auto"/>
        </w:rPr>
      </w:pPr>
      <w:r>
        <w:rPr>
          <w:rFonts w:ascii="Arial" w:cs="Arial" w:eastAsia="Arial" w:hAnsi="Arial"/>
          <w:sz w:val="22"/>
          <w:szCs w:val="22"/>
          <w:color w:val="auto"/>
        </w:rPr>
        <w:t>One Marina Park Drive, 12</w:t>
      </w:r>
      <w:r>
        <w:rPr>
          <w:rFonts w:ascii="Arial" w:cs="Arial" w:eastAsia="Arial" w:hAnsi="Arial"/>
          <w:sz w:val="18"/>
          <w:szCs w:val="18"/>
          <w:color w:val="auto"/>
        </w:rPr>
        <w:t>th</w:t>
      </w:r>
      <w:r>
        <w:rPr>
          <w:rFonts w:ascii="Arial" w:cs="Arial" w:eastAsia="Arial" w:hAnsi="Arial"/>
          <w:sz w:val="22"/>
          <w:szCs w:val="22"/>
          <w:color w:val="auto"/>
        </w:rPr>
        <w:t xml:space="preserve"> Floor, Boston, MA 02210</w:t>
      </w:r>
    </w:p>
    <w:p>
      <w:pPr>
        <w:ind w:left="1440"/>
        <w:spacing w:after="0"/>
        <w:rPr>
          <w:rFonts w:ascii="Arial" w:cs="Arial" w:eastAsia="Arial" w:hAnsi="Arial"/>
          <w:sz w:val="19"/>
          <w:szCs w:val="19"/>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purchasing@keryx.com</w:t>
      </w:r>
      <w:r>
        <w:rPr>
          <w:rFonts w:ascii="Arial" w:cs="Arial" w:eastAsia="Arial" w:hAnsi="Arial"/>
          <w:sz w:val="22"/>
          <w:szCs w:val="22"/>
          <w:color w:val="auto"/>
        </w:rPr>
        <w:t>(for purchase orders) and [**] (for invoices only)</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With a cc. at the above address to attention General Counsel</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54" w:name="page255"/>
    <w:bookmarkEnd w:id="254"/>
    <w:p>
      <w:pPr>
        <w:jc w:val="both"/>
        <w:ind w:left="560" w:hanging="442"/>
        <w:spacing w:after="0" w:line="272" w:lineRule="auto"/>
        <w:tabs>
          <w:tab w:leader="none" w:pos="560"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Either Party shall be excused from the performance of its obligations hereunder, or such performance may be delayed, by force majeure causes beyond its reasonable control, including without limitation, acts of God, war, riot, epidemic, fire, flood, insurrection, military authorities, or failure of transportation or communication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provided that if such nonperformance continues for more than [**], the other Party may terminate the Agreement upon written notice. The Party affected by any </w:t>
      </w:r>
      <w:r>
        <w:rPr>
          <w:rFonts w:ascii="Arial" w:cs="Arial" w:eastAsia="Arial" w:hAnsi="Arial"/>
          <w:sz w:val="19"/>
          <w:szCs w:val="19"/>
          <w:i w:val="1"/>
          <w:iCs w:val="1"/>
          <w:color w:val="auto"/>
        </w:rPr>
        <w:t>force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majeure </w:t>
      </w:r>
      <w:r>
        <w:rPr>
          <w:rFonts w:ascii="Arial" w:cs="Arial" w:eastAsia="Arial" w:hAnsi="Arial"/>
          <w:sz w:val="19"/>
          <w:szCs w:val="19"/>
          <w:color w:val="auto"/>
        </w:rPr>
        <w:t>will promptly notify the other Party, explaining the nature, details and expected duration of the</w:t>
      </w:r>
      <w:r>
        <w:rPr>
          <w:rFonts w:ascii="Arial" w:cs="Arial" w:eastAsia="Arial" w:hAnsi="Arial"/>
          <w:sz w:val="19"/>
          <w:szCs w:val="19"/>
          <w:i w:val="1"/>
          <w:iCs w:val="1"/>
          <w:color w:val="auto"/>
        </w:rPr>
        <w:t xml:space="preserve"> force majeure. </w:t>
      </w:r>
      <w:r>
        <w:rPr>
          <w:rFonts w:ascii="Arial" w:cs="Arial" w:eastAsia="Arial" w:hAnsi="Arial"/>
          <w:sz w:val="19"/>
          <w:szCs w:val="19"/>
          <w:color w:val="auto"/>
        </w:rPr>
        <w:t>Such Party will also notify the other Party from time to time as to when the affected Party reasonably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expects to resume performance in whole or in part of its obligations under this Agreement, and to notify the other Party of the cessation of any such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A Party affected by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will use its reasonable efforts to remedy, remove, or mitigate such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and the effects of it with all reasonable dispatch. If a Party anticipates that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may occur, such Party will notify the other Party of the nature, details and expected duration of the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Upon termination of the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the performance of any suspended obligation or duty will promptly recommence.</w:t>
      </w:r>
    </w:p>
    <w:p>
      <w:pPr>
        <w:spacing w:after="0" w:line="157" w:lineRule="exact"/>
        <w:rPr>
          <w:rFonts w:ascii="Arial" w:cs="Arial" w:eastAsia="Arial" w:hAnsi="Arial"/>
          <w:sz w:val="19"/>
          <w:szCs w:val="19"/>
          <w:color w:val="auto"/>
        </w:rPr>
      </w:pPr>
    </w:p>
    <w:p>
      <w:pPr>
        <w:jc w:val="both"/>
        <w:ind w:left="560" w:hanging="442"/>
        <w:spacing w:after="0" w:line="279" w:lineRule="auto"/>
        <w:tabs>
          <w:tab w:leader="none" w:pos="560"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Limited Liability</w:t>
      </w:r>
      <w:r>
        <w:rPr>
          <w:rFonts w:ascii="Arial" w:cs="Arial" w:eastAsia="Arial" w:hAnsi="Arial"/>
          <w:sz w:val="19"/>
          <w:szCs w:val="19"/>
          <w:color w:val="auto"/>
        </w:rPr>
        <w:t>. Except in the case of a Party’s indemnification obligations hereunder, breach of the confidentiality or intellectual property provisions of this Agreement, or gross negligence or willful misconduct, in no event shall either Party be liable to the other Party for lost profits, loss of goodwill, or any special, indirect, consequential or incidental damages, however caused and on any theory of liability, arising in any way out of the Agreement. This limitation shall apply even if a Party has been advised of the possibility of such damages, and notwithstanding any failure of essential purpose of any limited remedy.</w:t>
      </w:r>
    </w:p>
    <w:p>
      <w:pPr>
        <w:spacing w:after="0" w:line="150" w:lineRule="exact"/>
        <w:rPr>
          <w:rFonts w:ascii="Arial" w:cs="Arial" w:eastAsia="Arial" w:hAnsi="Arial"/>
          <w:sz w:val="19"/>
          <w:szCs w:val="19"/>
          <w:color w:val="auto"/>
        </w:rPr>
      </w:pPr>
    </w:p>
    <w:p>
      <w:pPr>
        <w:jc w:val="both"/>
        <w:ind w:left="560" w:hanging="442"/>
        <w:spacing w:after="0"/>
        <w:tabs>
          <w:tab w:leader="none" w:pos="56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Other than Indemnitees with regard to indemnification under Section 5.c., nothing in this Agreement, express or implied, is intended to confer upon any third party any rights, remedies, obligations or liabilities.</w:t>
      </w:r>
    </w:p>
    <w:p>
      <w:pPr>
        <w:spacing w:after="0" w:line="186" w:lineRule="exact"/>
        <w:rPr>
          <w:rFonts w:ascii="Arial" w:cs="Arial" w:eastAsia="Arial" w:hAnsi="Arial"/>
          <w:sz w:val="22"/>
          <w:szCs w:val="22"/>
          <w:color w:val="auto"/>
        </w:rPr>
      </w:pPr>
    </w:p>
    <w:p>
      <w:pPr>
        <w:jc w:val="both"/>
        <w:ind w:left="560" w:hanging="442"/>
        <w:spacing w:after="0"/>
        <w:tabs>
          <w:tab w:leader="none" w:pos="56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Further Actions</w:t>
      </w:r>
      <w:r>
        <w:rPr>
          <w:rFonts w:ascii="Arial" w:cs="Arial" w:eastAsia="Arial" w:hAnsi="Arial"/>
          <w:sz w:val="22"/>
          <w:szCs w:val="22"/>
          <w:color w:val="auto"/>
        </w:rPr>
        <w:t>. BioVectra agrees to execute, acknowledge and deliver such further instruments, and to do all such other acts, requested by Keryx as may be necessary or appropriate in order to carry out the purposes and intent of this Agreement.</w:t>
      </w:r>
    </w:p>
    <w:p>
      <w:pPr>
        <w:spacing w:after="0" w:line="186" w:lineRule="exact"/>
        <w:rPr>
          <w:rFonts w:ascii="Arial" w:cs="Arial" w:eastAsia="Arial" w:hAnsi="Arial"/>
          <w:sz w:val="22"/>
          <w:szCs w:val="22"/>
          <w:color w:val="auto"/>
        </w:rPr>
      </w:pPr>
    </w:p>
    <w:p>
      <w:pPr>
        <w:jc w:val="both"/>
        <w:ind w:left="560" w:hanging="442"/>
        <w:spacing w:after="0" w:line="287" w:lineRule="auto"/>
        <w:tabs>
          <w:tab w:leader="none" w:pos="560"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Public Statements</w:t>
      </w:r>
      <w:r>
        <w:rPr>
          <w:rFonts w:ascii="Arial" w:cs="Arial" w:eastAsia="Arial" w:hAnsi="Arial"/>
          <w:sz w:val="19"/>
          <w:szCs w:val="19"/>
          <w:color w:val="auto"/>
        </w:rPr>
        <w:t>. Except to the extent required by applicable law or regulation or the rules of any stock exchange or listing agency, BioVectra will not make any public statement or release concerning this Agreement or the transactions contemplated by this Agreement, or use Keryx’s name or the name of any Affiliate of Keryx in any form of advertising, promotion or publicity, without obtaining the prior written consent of Keryx.</w:t>
      </w:r>
    </w:p>
    <w:p>
      <w:pPr>
        <w:spacing w:after="0" w:line="3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55" w:name="page256"/>
    <w:bookmarkEnd w:id="255"/>
    <w:p>
      <w:pPr>
        <w:jc w:val="both"/>
        <w:ind w:left="1760" w:hanging="442"/>
        <w:spacing w:after="0" w:line="244" w:lineRule="auto"/>
        <w:tabs>
          <w:tab w:leader="none" w:pos="1760"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Entire Agreement, Modification, Waivers</w:t>
      </w:r>
      <w:r>
        <w:rPr>
          <w:rFonts w:ascii="Arial" w:cs="Arial" w:eastAsia="Arial" w:hAnsi="Arial"/>
          <w:sz w:val="21"/>
          <w:szCs w:val="21"/>
          <w:color w:val="auto"/>
        </w:rPr>
        <w:t>. This Agreement, which includes the Appendices and Exhibits attached hereto (including the Quality Agreement) that are incorporated herein by reference, and any purchase orders issued by Keryx and accepted by BioVectra constitute the full and entire understanding and agreement of the Parties hereto with regard to the subject matter hereof, and supersede all prior agreements and understandings, written or oral, between the Parties with respect to the such subject matter. This Agreement may not be amended except by a written instrument signed by the Parties hereto. Any delay in enforcing a Party’s rights under this Agreement, or any waiver as to a particular default or other matter, will not constitute a waiver of such Party’s rights to the future enforcement of its rights under this Agreement, except with respect to an express written waiver relating to a particular matter for a particular period of time signed by an authorized representative of the waiving Party, as applicable. The section headings are included solely for convenience of reference and will not control or affect the meaning or interpretation of any of the provisions of this Agreement.</w:t>
      </w:r>
    </w:p>
    <w:p>
      <w:pPr>
        <w:spacing w:after="0" w:line="187" w:lineRule="exact"/>
        <w:rPr>
          <w:rFonts w:ascii="Arial" w:cs="Arial" w:eastAsia="Arial" w:hAnsi="Arial"/>
          <w:sz w:val="21"/>
          <w:szCs w:val="21"/>
          <w:color w:val="auto"/>
        </w:rPr>
      </w:pPr>
    </w:p>
    <w:p>
      <w:pPr>
        <w:jc w:val="both"/>
        <w:ind w:left="1760" w:hanging="442"/>
        <w:spacing w:after="0" w:line="287" w:lineRule="auto"/>
        <w:tabs>
          <w:tab w:leader="none" w:pos="1760"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Counterparts; Facsimile Signatures</w:t>
      </w:r>
      <w:r>
        <w:rPr>
          <w:rFonts w:ascii="Arial" w:cs="Arial" w:eastAsia="Arial" w:hAnsi="Arial"/>
          <w:sz w:val="19"/>
          <w:szCs w:val="19"/>
          <w:color w:val="auto"/>
        </w:rPr>
        <w:t>. This Agreement may be executed in counterparts, each of which shall be an original and all of which shall constitute one and the same instrument. Executed signatures pages to this Agreement may be delivered by facsimile or a portable document format (PDF) copy sent by e-mail and such facsimiles or PDFs shall be deemed as if actual signature pages had been delivered.</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executed by their duly authorized representatives</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date first above written.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gridSpan w:val="2"/>
          </w:tcPr>
          <w:p>
            <w:pPr>
              <w:spacing w:after="0"/>
              <w:rPr>
                <w:sz w:val="20"/>
                <w:szCs w:val="20"/>
                <w:color w:val="auto"/>
              </w:rPr>
            </w:pPr>
            <w:r>
              <w:rPr>
                <w:rFonts w:ascii="Arial" w:cs="Arial" w:eastAsia="Arial" w:hAnsi="Arial"/>
                <w:sz w:val="22"/>
                <w:szCs w:val="22"/>
                <w:color w:val="auto"/>
              </w:rPr>
              <w:t>Signed on behalf of</w:t>
            </w:r>
          </w:p>
        </w:tc>
        <w:tc>
          <w:tcPr>
            <w:tcW w:w="5840" w:type="dxa"/>
            <w:vAlign w:val="bottom"/>
            <w:gridSpan w:val="2"/>
          </w:tcPr>
          <w:p>
            <w:pPr>
              <w:ind w:left="160"/>
              <w:spacing w:after="0"/>
              <w:rPr>
                <w:sz w:val="20"/>
                <w:szCs w:val="20"/>
                <w:color w:val="auto"/>
              </w:rPr>
            </w:pPr>
            <w:r>
              <w:rPr>
                <w:rFonts w:ascii="Arial" w:cs="Arial" w:eastAsia="Arial" w:hAnsi="Arial"/>
                <w:sz w:val="22"/>
                <w:szCs w:val="22"/>
                <w:color w:val="auto"/>
              </w:rPr>
              <w:t>Signed on behalf of</w:t>
            </w:r>
          </w:p>
        </w:tc>
      </w:tr>
      <w:tr>
        <w:trPr>
          <w:trHeight w:val="275"/>
        </w:trPr>
        <w:tc>
          <w:tcPr>
            <w:tcW w:w="5580" w:type="dxa"/>
            <w:vAlign w:val="bottom"/>
            <w:gridSpan w:val="2"/>
          </w:tcPr>
          <w:p>
            <w:pPr>
              <w:spacing w:after="0"/>
              <w:rPr>
                <w:sz w:val="20"/>
                <w:szCs w:val="20"/>
                <w:color w:val="auto"/>
              </w:rPr>
            </w:pPr>
            <w:r>
              <w:rPr>
                <w:rFonts w:ascii="Arial" w:cs="Arial" w:eastAsia="Arial" w:hAnsi="Arial"/>
                <w:sz w:val="22"/>
                <w:szCs w:val="22"/>
                <w:color w:val="auto"/>
              </w:rPr>
              <w:t>BioVectra Inc.</w:t>
            </w:r>
          </w:p>
        </w:tc>
        <w:tc>
          <w:tcPr>
            <w:tcW w:w="5840" w:type="dxa"/>
            <w:vAlign w:val="bottom"/>
            <w:gridSpan w:val="2"/>
          </w:tcPr>
          <w:p>
            <w:pPr>
              <w:ind w:left="160"/>
              <w:spacing w:after="0"/>
              <w:rPr>
                <w:sz w:val="20"/>
                <w:szCs w:val="20"/>
                <w:color w:val="auto"/>
              </w:rPr>
            </w:pPr>
            <w:r>
              <w:rPr>
                <w:rFonts w:ascii="Arial" w:cs="Arial" w:eastAsia="Arial" w:hAnsi="Arial"/>
                <w:sz w:val="22"/>
                <w:szCs w:val="22"/>
                <w:color w:val="auto"/>
              </w:rPr>
              <w:t>Keryx Biopharmaceuticals, Inc.</w:t>
            </w:r>
          </w:p>
        </w:tc>
      </w:tr>
      <w:tr>
        <w:trPr>
          <w:trHeight w:val="665"/>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Heather DeLage</w:t>
            </w:r>
          </w:p>
        </w:tc>
        <w:tc>
          <w:tcPr>
            <w:tcW w:w="1160" w:type="dxa"/>
            <w:vAlign w:val="bottom"/>
          </w:tcPr>
          <w:p>
            <w:pPr>
              <w:ind w:left="160"/>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 Madison</w:t>
            </w:r>
          </w:p>
        </w:tc>
      </w:tr>
      <w:tr>
        <w:trPr>
          <w:trHeight w:val="453"/>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Heather DeLage</w:t>
            </w:r>
          </w:p>
        </w:tc>
        <w:tc>
          <w:tcPr>
            <w:tcW w:w="1160" w:type="dxa"/>
            <w:vAlign w:val="bottom"/>
          </w:tcPr>
          <w:p>
            <w:pPr>
              <w:ind w:left="160"/>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Greg Madison</w:t>
            </w:r>
          </w:p>
        </w:tc>
      </w:tr>
      <w:tr>
        <w:trPr>
          <w:trHeight w:val="453"/>
        </w:trPr>
        <w:tc>
          <w:tcPr>
            <w:tcW w:w="1040" w:type="dxa"/>
            <w:vAlign w:val="bottom"/>
          </w:tcPr>
          <w:p>
            <w:pPr>
              <w:spacing w:after="0"/>
              <w:rPr>
                <w:sz w:val="20"/>
                <w:szCs w:val="20"/>
                <w:color w:val="auto"/>
              </w:rPr>
            </w:pPr>
            <w:r>
              <w:rPr>
                <w:rFonts w:ascii="Arial" w:cs="Arial" w:eastAsia="Arial" w:hAnsi="Arial"/>
                <w:sz w:val="22"/>
                <w:szCs w:val="22"/>
                <w:color w:val="auto"/>
              </w:rPr>
              <w:t>Date: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5/26/17</w:t>
            </w:r>
          </w:p>
        </w:tc>
        <w:tc>
          <w:tcPr>
            <w:tcW w:w="1160" w:type="dxa"/>
            <w:vAlign w:val="bottom"/>
          </w:tcPr>
          <w:p>
            <w:pPr>
              <w:ind w:left="160"/>
              <w:spacing w:after="0"/>
              <w:rPr>
                <w:sz w:val="20"/>
                <w:szCs w:val="20"/>
                <w:color w:val="auto"/>
              </w:rPr>
            </w:pPr>
            <w:r>
              <w:rPr>
                <w:rFonts w:ascii="Arial" w:cs="Arial" w:eastAsia="Arial" w:hAnsi="Arial"/>
                <w:sz w:val="22"/>
                <w:szCs w:val="22"/>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5/26/17</w:t>
            </w:r>
          </w:p>
        </w:tc>
      </w:tr>
      <w:tr>
        <w:trPr>
          <w:trHeight w:val="453"/>
        </w:trPr>
        <w:tc>
          <w:tcPr>
            <w:tcW w:w="1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Scott A. Holmes</w:t>
            </w:r>
          </w:p>
        </w:tc>
      </w:tr>
      <w:tr>
        <w:trPr>
          <w:trHeight w:val="453"/>
        </w:trPr>
        <w:tc>
          <w:tcPr>
            <w:tcW w:w="1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Scott A. Holmes</w:t>
            </w:r>
          </w:p>
        </w:tc>
      </w:tr>
      <w:tr>
        <w:trPr>
          <w:trHeight w:val="453"/>
        </w:trPr>
        <w:tc>
          <w:tcPr>
            <w:tcW w:w="1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22"/>
                <w:szCs w:val="22"/>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6/13/17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6" w:name="page257"/>
    <w:bookmarkEnd w:id="256"/>
    <w:p>
      <w:pPr>
        <w:jc w:val="center"/>
        <w:ind w:right="20"/>
        <w:spacing w:after="0"/>
        <w:rPr>
          <w:sz w:val="20"/>
          <w:szCs w:val="20"/>
          <w:color w:val="auto"/>
        </w:rPr>
      </w:pPr>
      <w:r>
        <w:rPr>
          <w:rFonts w:ascii="Arial" w:cs="Arial" w:eastAsia="Arial" w:hAnsi="Arial"/>
          <w:sz w:val="22"/>
          <w:szCs w:val="22"/>
          <w:b w:val="1"/>
          <w:bCs w:val="1"/>
          <w:color w:val="auto"/>
        </w:rPr>
        <w:t>APPENDIX 1</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Product and Price Schedule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Product 7011</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Supply Year</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Order Date</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Price (USD) per Kg</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Delivery Timing</w:t>
            </w:r>
          </w:p>
        </w:tc>
        <w:tc>
          <w:tcPr>
            <w:tcW w:w="0" w:type="dxa"/>
            <w:vAlign w:val="bottom"/>
          </w:tcPr>
          <w:p>
            <w:pPr>
              <w:spacing w:after="0"/>
              <w:rPr>
                <w:sz w:val="1"/>
                <w:szCs w:val="1"/>
                <w:color w:val="auto"/>
              </w:rPr>
            </w:pPr>
          </w:p>
        </w:tc>
      </w:tr>
      <w:tr>
        <w:trPr>
          <w:trHeight w:val="237"/>
        </w:trPr>
        <w:tc>
          <w:tcPr>
            <w:tcW w:w="2140" w:type="dxa"/>
            <w:vAlign w:val="bottom"/>
            <w:tcBorders>
              <w:left w:val="single" w:sz="8" w:color="auto"/>
              <w:right w:val="single" w:sz="8" w:color="auto"/>
            </w:tcBorders>
            <w:vMerge w:val="restart"/>
          </w:tcPr>
          <w:p>
            <w:pPr>
              <w:jc w:val="right"/>
              <w:ind w:right="792"/>
              <w:spacing w:after="0"/>
              <w:rPr>
                <w:sz w:val="20"/>
                <w:szCs w:val="20"/>
                <w:color w:val="auto"/>
              </w:rPr>
            </w:pPr>
            <w:r>
              <w:rPr>
                <w:rFonts w:ascii="Arial" w:cs="Arial" w:eastAsia="Arial" w:hAnsi="Arial"/>
                <w:sz w:val="22"/>
                <w:szCs w:val="22"/>
                <w:color w:val="auto"/>
              </w:rPr>
              <w:t>[**]</w:t>
            </w:r>
          </w:p>
        </w:tc>
        <w:tc>
          <w:tcPr>
            <w:tcW w:w="2120" w:type="dxa"/>
            <w:vAlign w:val="bottom"/>
            <w:tcBorders>
              <w:right w:val="single" w:sz="8" w:color="auto"/>
            </w:tcBorders>
            <w:vMerge w:val="restart"/>
          </w:tcPr>
          <w:p>
            <w:pPr>
              <w:jc w:val="right"/>
              <w:ind w:right="792"/>
              <w:spacing w:after="0"/>
              <w:rPr>
                <w:sz w:val="20"/>
                <w:szCs w:val="20"/>
                <w:color w:val="auto"/>
              </w:rPr>
            </w:pPr>
            <w:r>
              <w:rPr>
                <w:rFonts w:ascii="Arial" w:cs="Arial" w:eastAsia="Arial" w:hAnsi="Arial"/>
                <w:sz w:val="22"/>
                <w:szCs w:val="22"/>
                <w:color w:val="auto"/>
              </w:rPr>
              <w:t>[**]</w:t>
            </w:r>
          </w:p>
        </w:tc>
        <w:tc>
          <w:tcPr>
            <w:tcW w:w="4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2380" w:type="dxa"/>
            <w:vAlign w:val="bottom"/>
            <w:tcBorders>
              <w:right w:val="single" w:sz="8" w:color="auto"/>
            </w:tcBorders>
            <w:vMerge w:val="restart"/>
          </w:tcPr>
          <w:p>
            <w:pPr>
              <w:jc w:val="right"/>
              <w:ind w:right="9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2140" w:type="dxa"/>
            <w:vAlign w:val="bottom"/>
            <w:tcBorders>
              <w:left w:val="single" w:sz="8" w:color="auto"/>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4780" w:type="dxa"/>
            <w:vAlign w:val="bottom"/>
            <w:tcBorders>
              <w:right w:val="single" w:sz="8" w:color="auto"/>
            </w:tcBorders>
            <w:vMerge w:val="restart"/>
          </w:tcPr>
          <w:p>
            <w:pPr>
              <w:jc w:val="center"/>
              <w:spacing w:after="0" w:line="237" w:lineRule="exact"/>
              <w:rPr>
                <w:sz w:val="20"/>
                <w:szCs w:val="20"/>
                <w:color w:val="auto"/>
              </w:rPr>
            </w:pPr>
            <w:r>
              <w:rPr>
                <w:rFonts w:ascii="Arial" w:cs="Arial" w:eastAsia="Arial" w:hAnsi="Arial"/>
                <w:sz w:val="22"/>
                <w:szCs w:val="22"/>
                <w:color w:val="auto"/>
              </w:rPr>
              <w:t>[**]</w:t>
            </w: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140" w:type="dxa"/>
            <w:vAlign w:val="bottom"/>
            <w:tcBorders>
              <w:left w:val="single" w:sz="8" w:color="auto"/>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Price and delivery schedule for Product 7011 in Supply Terms 2 and 3 will be quoted separately in response to inquiries from Keryx.</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Product 7067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Tiered Pricing:</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Supply</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Order</w:t>
            </w:r>
          </w:p>
        </w:tc>
        <w:tc>
          <w:tcPr>
            <w:tcW w:w="252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Order Qty.</w:t>
            </w:r>
          </w:p>
        </w:tc>
        <w:tc>
          <w:tcPr>
            <w:tcW w:w="2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Price (USD) per Kg</w:t>
            </w:r>
          </w:p>
        </w:tc>
        <w:tc>
          <w:tcPr>
            <w:tcW w:w="2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Delivery Timing</w:t>
            </w:r>
          </w:p>
        </w:tc>
        <w:tc>
          <w:tcPr>
            <w:tcW w:w="0" w:type="dxa"/>
            <w:vAlign w:val="bottom"/>
          </w:tcPr>
          <w:p>
            <w:pPr>
              <w:spacing w:after="0"/>
              <w:rPr>
                <w:sz w:val="1"/>
                <w:szCs w:val="1"/>
                <w:color w:val="auto"/>
              </w:rPr>
            </w:pPr>
          </w:p>
        </w:tc>
      </w:tr>
      <w:tr>
        <w:trPr>
          <w:trHeight w:val="55"/>
        </w:trPr>
        <w:tc>
          <w:tcPr>
            <w:tcW w:w="1860" w:type="dxa"/>
            <w:vAlign w:val="bottom"/>
            <w:tcBorders>
              <w:left w:val="single" w:sz="8" w:color="auto"/>
              <w:right w:val="single" w:sz="8" w:color="auto"/>
            </w:tcBorders>
            <w:vMerge w:val="continue"/>
          </w:tcPr>
          <w:p>
            <w:pPr>
              <w:spacing w:after="0"/>
              <w:rPr>
                <w:sz w:val="4"/>
                <w:szCs w:val="4"/>
                <w:color w:val="auto"/>
              </w:rPr>
            </w:pPr>
          </w:p>
        </w:tc>
        <w:tc>
          <w:tcPr>
            <w:tcW w:w="1660" w:type="dxa"/>
            <w:vAlign w:val="bottom"/>
            <w:tcBorders>
              <w:right w:val="single" w:sz="8" w:color="auto"/>
            </w:tcBorders>
            <w:vMerge w:val="continue"/>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2840" w:type="dxa"/>
            <w:vAlign w:val="bottom"/>
            <w:tcBorders>
              <w:right w:val="single" w:sz="8" w:color="auto"/>
            </w:tcBorders>
            <w:vMerge w:val="continue"/>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Term</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5"/>
              </w:rPr>
              <w:t>Date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(x1000)</w:t>
            </w:r>
          </w:p>
        </w:tc>
        <w:tc>
          <w:tcPr>
            <w:tcW w:w="2840" w:type="dxa"/>
            <w:vAlign w:val="bottom"/>
            <w:tcBorders>
              <w:right w:val="single" w:sz="8" w:color="auto"/>
            </w:tcBorders>
            <w:vMerge w:val="continue"/>
          </w:tcPr>
          <w:p>
            <w:pPr>
              <w:spacing w:after="0"/>
              <w:rPr>
                <w:sz w:val="13"/>
                <w:szCs w:val="13"/>
                <w:color w:val="auto"/>
              </w:rPr>
            </w:pPr>
          </w:p>
        </w:tc>
        <w:tc>
          <w:tcPr>
            <w:tcW w:w="2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vMerge w:val="continue"/>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25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2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25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186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2840" w:type="dxa"/>
            <w:vAlign w:val="bottom"/>
            <w:tcBorders>
              <w:right w:val="single" w:sz="8" w:color="auto"/>
            </w:tcBorders>
            <w:vMerge w:val="restart"/>
          </w:tcPr>
          <w:p>
            <w:pPr>
              <w:jc w:val="center"/>
              <w:spacing w:after="0" w:line="237" w:lineRule="exact"/>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2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186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2840" w:type="dxa"/>
            <w:vAlign w:val="bottom"/>
            <w:tcBorders>
              <w:right w:val="single" w:sz="8" w:color="auto"/>
            </w:tcBorders>
            <w:vMerge w:val="restart"/>
          </w:tcPr>
          <w:p>
            <w:pPr>
              <w:jc w:val="center"/>
              <w:spacing w:after="0" w:line="237" w:lineRule="exact"/>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*BioVectra may increase price annually, commencing in Supply Term 3, by up to [**] to account for cost increases to raw materials, utilities etc. BioVectra will provide Keryx with justification for any such cost increases.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Service Requests FTE Rates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20" w:type="dxa"/>
            <w:vAlign w:val="bottom"/>
            <w:tcBorders>
              <w:top w:val="single" w:sz="8" w:color="auto"/>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Resource Level</w:t>
            </w:r>
          </w:p>
        </w:tc>
        <w:tc>
          <w:tcPr>
            <w:tcW w:w="2280" w:type="dxa"/>
            <w:vAlign w:val="bottom"/>
            <w:tcBorders>
              <w:top w:val="single" w:sz="8" w:color="auto"/>
              <w:bottom w:val="single" w:sz="8" w:color="auto"/>
              <w:right w:val="single" w:sz="8" w:color="auto"/>
            </w:tcBorders>
          </w:tcPr>
          <w:p>
            <w:pPr>
              <w:spacing w:after="0"/>
              <w:rPr>
                <w:sz w:val="22"/>
                <w:szCs w:val="22"/>
                <w:color w:val="auto"/>
              </w:rPr>
            </w:pP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Hourly Rate (USD) per Hour</w:t>
            </w:r>
          </w:p>
        </w:tc>
        <w:tc>
          <w:tcPr>
            <w:tcW w:w="20" w:type="dxa"/>
            <w:vAlign w:val="bottom"/>
          </w:tcPr>
          <w:p>
            <w:pPr>
              <w:spacing w:after="0"/>
              <w:rPr>
                <w:sz w:val="22"/>
                <w:szCs w:val="22"/>
                <w:color w:val="auto"/>
              </w:rPr>
            </w:pP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r>
      <w:tr>
        <w:trPr>
          <w:trHeight w:val="949"/>
        </w:trPr>
        <w:tc>
          <w:tcPr>
            <w:tcW w:w="3520" w:type="dxa"/>
            <w:vAlign w:val="bottom"/>
          </w:tcPr>
          <w:p>
            <w:pPr>
              <w:spacing w:after="0"/>
              <w:rPr>
                <w:sz w:val="24"/>
                <w:szCs w:val="24"/>
                <w:color w:val="auto"/>
              </w:rPr>
            </w:pPr>
          </w:p>
        </w:tc>
        <w:tc>
          <w:tcPr>
            <w:tcW w:w="7900" w:type="dxa"/>
            <w:vAlign w:val="bottom"/>
            <w:gridSpan w:val="2"/>
          </w:tcPr>
          <w:p>
            <w:pPr>
              <w:jc w:val="right"/>
              <w:ind w:right="5492"/>
              <w:spacing w:after="0"/>
              <w:rPr>
                <w:sz w:val="20"/>
                <w:szCs w:val="20"/>
                <w:color w:val="auto"/>
              </w:rPr>
            </w:pPr>
            <w:r>
              <w:rPr>
                <w:rFonts w:ascii="Arial" w:cs="Arial" w:eastAsia="Arial" w:hAnsi="Arial"/>
                <w:sz w:val="22"/>
                <w:szCs w:val="22"/>
                <w:color w:val="auto"/>
              </w:rPr>
              <w:t>24</w:t>
            </w:r>
          </w:p>
        </w:tc>
        <w:tc>
          <w:tcPr>
            <w:tcW w:w="20" w:type="dxa"/>
            <w:vAlign w:val="bottom"/>
          </w:tcPr>
          <w:p>
            <w:pPr>
              <w:spacing w:after="0"/>
              <w:rPr>
                <w:sz w:val="24"/>
                <w:szCs w:val="24"/>
                <w:color w:val="auto"/>
              </w:rPr>
            </w:pPr>
          </w:p>
        </w:tc>
      </w:tr>
      <w:tr>
        <w:trPr>
          <w:trHeight w:val="105"/>
        </w:trPr>
        <w:tc>
          <w:tcPr>
            <w:tcW w:w="35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57" w:name="page258"/>
    <w:bookmarkEnd w:id="257"/>
    <w:p>
      <w:pPr>
        <w:jc w:val="center"/>
        <w:ind w:right="-20"/>
        <w:spacing w:after="0"/>
        <w:rPr>
          <w:sz w:val="20"/>
          <w:szCs w:val="20"/>
          <w:color w:val="auto"/>
        </w:rPr>
      </w:pPr>
      <w:r>
        <w:rPr>
          <w:rFonts w:ascii="Arial" w:cs="Arial" w:eastAsia="Arial" w:hAnsi="Arial"/>
          <w:sz w:val="21"/>
          <w:szCs w:val="21"/>
          <w:b w:val="1"/>
          <w:bCs w:val="1"/>
          <w:color w:val="auto"/>
        </w:rPr>
        <w:t>APPENDIX 2 - FORECAST PLANNING SCHEDULE</w:t>
      </w:r>
    </w:p>
    <w:p>
      <w:pPr>
        <w:sectPr>
          <w:pgSz w:w="11900" w:h="16838" w:orient="portrait"/>
          <w:cols w:equalWidth="0" w:num="1">
            <w:col w:w="9019"/>
          </w:cols>
          <w:pgMar w:left="1440" w:top="3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258" w:name="page259"/>
    <w:bookmarkEnd w:id="258"/>
    <w:p>
      <w:pPr>
        <w:jc w:val="center"/>
        <w:ind w:right="-39"/>
        <w:spacing w:after="0"/>
        <w:rPr>
          <w:sz w:val="20"/>
          <w:szCs w:val="20"/>
          <w:color w:val="auto"/>
        </w:rPr>
      </w:pPr>
      <w:r>
        <w:rPr>
          <w:rFonts w:ascii="Arial" w:cs="Arial" w:eastAsia="Arial" w:hAnsi="Arial"/>
          <w:sz w:val="22"/>
          <w:szCs w:val="22"/>
          <w:b w:val="1"/>
          <w:bCs w:val="1"/>
          <w:color w:val="auto"/>
        </w:rPr>
        <w:t xml:space="preserve">APPENDIX 3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SPECIFICATIONS FOR PRODUCT 7067</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2 pages were omitted. [**]</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259" w:name="page260"/>
    <w:bookmarkEnd w:id="259"/>
    <w:p>
      <w:pPr>
        <w:jc w:val="center"/>
        <w:ind w:right="-39"/>
        <w:spacing w:after="0"/>
        <w:rPr>
          <w:sz w:val="20"/>
          <w:szCs w:val="20"/>
          <w:color w:val="auto"/>
        </w:rPr>
      </w:pPr>
      <w:r>
        <w:rPr>
          <w:rFonts w:ascii="Arial" w:cs="Arial" w:eastAsia="Arial" w:hAnsi="Arial"/>
          <w:sz w:val="22"/>
          <w:szCs w:val="22"/>
          <w:b w:val="1"/>
          <w:bCs w:val="1"/>
          <w:color w:val="auto"/>
        </w:rPr>
        <w:t>APPENDIX 4 - SPECIFICATIONS FOR PRODUCT 7011</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2 pages were omitted.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260" w:name="page261"/>
    <w:bookmarkEnd w:id="260"/>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MANUFACTURE AND SUPPLY AGREEMENT</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This First Amendment to Manufacture and Supply Agreement (“First Amendment”) is made effective and entered into on the date of last signature by:</w:t>
      </w:r>
    </w:p>
    <w:p>
      <w:pPr>
        <w:spacing w:after="0" w:line="173"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BioVectra Inc., of 11 Aviation Avenue, Charlottetown, PEI, C1E 0A1, Canada (“BioVectra”); and Keryx Biopharmaceuticals, Inc., with its offices at One Marina Park Drive, 12</w:t>
      </w:r>
      <w:r>
        <w:rPr>
          <w:rFonts w:ascii="Arial" w:cs="Arial" w:eastAsia="Arial" w:hAnsi="Arial"/>
          <w:sz w:val="17"/>
          <w:szCs w:val="17"/>
          <w:color w:val="auto"/>
        </w:rPr>
        <w:t>th</w:t>
      </w:r>
      <w:r>
        <w:rPr>
          <w:rFonts w:ascii="Arial" w:cs="Arial" w:eastAsia="Arial" w:hAnsi="Arial"/>
          <w:sz w:val="21"/>
          <w:szCs w:val="21"/>
          <w:color w:val="auto"/>
        </w:rPr>
        <w:t xml:space="preserve"> floor, Boston, Massachusetts, USA, 02210 (“Keryx”).</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WHEREAS, BioVectra and Keryx entered into a Manufacture and Supply Agreement dated May 26, 2017 (“Agreement”) under which BioVectra manufactures Product for purchase by Keryx; and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parties wish to amend the Agreement as herein provided;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mutual covenants hereafter set forth, the parties hereto mutually agree as follows:</w:t>
      </w:r>
    </w:p>
    <w:p>
      <w:pPr>
        <w:spacing w:after="0" w:line="241" w:lineRule="exact"/>
        <w:rPr>
          <w:sz w:val="20"/>
          <w:szCs w:val="20"/>
          <w:color w:val="auto"/>
        </w:rPr>
      </w:pPr>
    </w:p>
    <w:p>
      <w:pPr>
        <w:ind w:left="1080" w:hanging="640"/>
        <w:spacing w:after="0" w:line="251" w:lineRule="auto"/>
        <w:tabs>
          <w:tab w:leader="none" w:pos="1080" w:val="left"/>
        </w:tabs>
        <w:numPr>
          <w:ilvl w:val="0"/>
          <w:numId w:val="198"/>
        </w:numPr>
        <w:rPr>
          <w:rFonts w:ascii="Arial" w:cs="Arial" w:eastAsia="Arial" w:hAnsi="Arial"/>
          <w:sz w:val="22"/>
          <w:szCs w:val="22"/>
          <w:b w:val="1"/>
          <w:bCs w:val="1"/>
          <w:color w:val="auto"/>
        </w:rPr>
      </w:pPr>
      <w:r>
        <w:rPr>
          <w:rFonts w:ascii="Arial" w:cs="Arial" w:eastAsia="Arial" w:hAnsi="Arial"/>
          <w:sz w:val="22"/>
          <w:szCs w:val="22"/>
          <w:color w:val="auto"/>
        </w:rPr>
        <w:t>For the purpose of this First Amendment, the terms contained in the Agreement shall have the same meanings in this First Amendment, unless otherwise identified in this First Amendment.</w:t>
      </w:r>
    </w:p>
    <w:p>
      <w:pPr>
        <w:spacing w:after="0" w:line="173" w:lineRule="exact"/>
        <w:rPr>
          <w:rFonts w:ascii="Arial" w:cs="Arial" w:eastAsia="Arial" w:hAnsi="Arial"/>
          <w:sz w:val="22"/>
          <w:szCs w:val="22"/>
          <w:b w:val="1"/>
          <w:bCs w:val="1"/>
          <w:color w:val="auto"/>
        </w:rPr>
      </w:pPr>
    </w:p>
    <w:p>
      <w:pPr>
        <w:ind w:left="1080" w:hanging="640"/>
        <w:spacing w:after="0"/>
        <w:tabs>
          <w:tab w:leader="none" w:pos="1080" w:val="left"/>
        </w:tabs>
        <w:numPr>
          <w:ilvl w:val="0"/>
          <w:numId w:val="198"/>
        </w:numPr>
        <w:rPr>
          <w:rFonts w:ascii="Arial" w:cs="Arial" w:eastAsia="Arial" w:hAnsi="Arial"/>
          <w:sz w:val="22"/>
          <w:szCs w:val="22"/>
          <w:b w:val="1"/>
          <w:bCs w:val="1"/>
          <w:color w:val="auto"/>
        </w:rPr>
      </w:pPr>
      <w:r>
        <w:rPr>
          <w:rFonts w:ascii="Arial" w:cs="Arial" w:eastAsia="Arial" w:hAnsi="Arial"/>
          <w:sz w:val="22"/>
          <w:szCs w:val="22"/>
          <w:color w:val="auto"/>
        </w:rPr>
        <w:t>The following definitions are hereby added to Section 1 (definitions):</w:t>
      </w:r>
    </w:p>
    <w:p>
      <w:pPr>
        <w:spacing w:after="0" w:line="206" w:lineRule="exact"/>
        <w:rPr>
          <w:rFonts w:ascii="Arial" w:cs="Arial" w:eastAsia="Arial" w:hAnsi="Arial"/>
          <w:sz w:val="22"/>
          <w:szCs w:val="22"/>
          <w:b w:val="1"/>
          <w:bCs w:val="1"/>
          <w:color w:val="auto"/>
        </w:rPr>
      </w:pPr>
    </w:p>
    <w:p>
      <w:pPr>
        <w:ind w:left="2080" w:hanging="317"/>
        <w:spacing w:after="0"/>
        <w:tabs>
          <w:tab w:leader="none" w:pos="2080" w:val="left"/>
        </w:tabs>
        <w:numPr>
          <w:ilvl w:val="3"/>
          <w:numId w:val="198"/>
        </w:numPr>
        <w:rPr>
          <w:rFonts w:ascii="Arial" w:cs="Arial" w:eastAsia="Arial" w:hAnsi="Arial"/>
          <w:sz w:val="22"/>
          <w:szCs w:val="22"/>
          <w:color w:val="auto"/>
        </w:rPr>
      </w:pPr>
      <w:r>
        <w:rPr>
          <w:rFonts w:ascii="Arial" w:cs="Arial" w:eastAsia="Arial" w:hAnsi="Arial"/>
          <w:sz w:val="22"/>
          <w:szCs w:val="22"/>
          <w:color w:val="auto"/>
        </w:rPr>
        <w:t>Supply Term 4 is from [**] to [**].</w:t>
      </w:r>
    </w:p>
    <w:p>
      <w:pPr>
        <w:spacing w:after="0" w:line="8" w:lineRule="exact"/>
        <w:rPr>
          <w:rFonts w:ascii="Arial" w:cs="Arial" w:eastAsia="Arial" w:hAnsi="Arial"/>
          <w:sz w:val="22"/>
          <w:szCs w:val="22"/>
          <w:color w:val="auto"/>
        </w:rPr>
      </w:pPr>
    </w:p>
    <w:p>
      <w:pPr>
        <w:ind w:left="2000" w:hanging="237"/>
        <w:spacing w:after="0" w:line="230" w:lineRule="auto"/>
        <w:tabs>
          <w:tab w:leader="none" w:pos="2000" w:val="left"/>
        </w:tabs>
        <w:numPr>
          <w:ilvl w:val="3"/>
          <w:numId w:val="198"/>
        </w:numPr>
        <w:rPr>
          <w:rFonts w:ascii="Arial" w:cs="Arial" w:eastAsia="Arial" w:hAnsi="Arial"/>
          <w:sz w:val="22"/>
          <w:szCs w:val="22"/>
          <w:color w:val="auto"/>
        </w:rPr>
      </w:pPr>
      <w:r>
        <w:rPr>
          <w:rFonts w:ascii="Arial" w:cs="Arial" w:eastAsia="Arial" w:hAnsi="Arial"/>
          <w:sz w:val="22"/>
          <w:szCs w:val="22"/>
          <w:color w:val="auto"/>
        </w:rPr>
        <w:t>Supply Term 5 is from [**] to [**].</w:t>
      </w:r>
    </w:p>
    <w:p>
      <w:pPr>
        <w:ind w:left="2000" w:hanging="237"/>
        <w:spacing w:after="0"/>
        <w:tabs>
          <w:tab w:leader="none" w:pos="2000" w:val="left"/>
        </w:tabs>
        <w:numPr>
          <w:ilvl w:val="3"/>
          <w:numId w:val="198"/>
        </w:numPr>
        <w:rPr>
          <w:rFonts w:ascii="Arial" w:cs="Arial" w:eastAsia="Arial" w:hAnsi="Arial"/>
          <w:sz w:val="22"/>
          <w:szCs w:val="22"/>
          <w:color w:val="auto"/>
        </w:rPr>
      </w:pPr>
      <w:r>
        <w:rPr>
          <w:rFonts w:ascii="Arial" w:cs="Arial" w:eastAsia="Arial" w:hAnsi="Arial"/>
          <w:sz w:val="22"/>
          <w:szCs w:val="22"/>
          <w:color w:val="auto"/>
        </w:rPr>
        <w:t>Supply Term 6 is from [**] to [**].</w:t>
      </w:r>
    </w:p>
    <w:p>
      <w:pPr>
        <w:spacing w:after="0" w:line="188" w:lineRule="exact"/>
        <w:rPr>
          <w:rFonts w:ascii="Arial" w:cs="Arial" w:eastAsia="Arial" w:hAnsi="Arial"/>
          <w:sz w:val="22"/>
          <w:szCs w:val="22"/>
          <w:color w:val="auto"/>
        </w:rPr>
      </w:pPr>
    </w:p>
    <w:p>
      <w:pPr>
        <w:ind w:left="1080" w:hanging="640"/>
        <w:spacing w:after="0"/>
        <w:tabs>
          <w:tab w:leader="none" w:pos="1080" w:val="left"/>
        </w:tabs>
        <w:numPr>
          <w:ilvl w:val="0"/>
          <w:numId w:val="198"/>
        </w:numPr>
        <w:rPr>
          <w:rFonts w:ascii="Arial" w:cs="Arial" w:eastAsia="Arial" w:hAnsi="Arial"/>
          <w:sz w:val="22"/>
          <w:szCs w:val="22"/>
          <w:b w:val="1"/>
          <w:bCs w:val="1"/>
          <w:color w:val="auto"/>
        </w:rPr>
      </w:pPr>
      <w:r>
        <w:rPr>
          <w:rFonts w:ascii="Arial" w:cs="Arial" w:eastAsia="Arial" w:hAnsi="Arial"/>
          <w:sz w:val="22"/>
          <w:szCs w:val="22"/>
          <w:color w:val="auto"/>
        </w:rPr>
        <w:t>Section 2 of the Agreement is hereby deleted and placed with the following:</w:t>
      </w:r>
    </w:p>
    <w:p>
      <w:pPr>
        <w:spacing w:after="0" w:line="200" w:lineRule="exact"/>
        <w:rPr>
          <w:rFonts w:ascii="Arial" w:cs="Arial" w:eastAsia="Arial" w:hAnsi="Arial"/>
          <w:sz w:val="22"/>
          <w:szCs w:val="22"/>
          <w:b w:val="1"/>
          <w:bCs w:val="1"/>
          <w:color w:val="auto"/>
        </w:rPr>
      </w:pPr>
    </w:p>
    <w:p>
      <w:pPr>
        <w:ind w:left="1760" w:hanging="658"/>
        <w:spacing w:after="0"/>
        <w:tabs>
          <w:tab w:leader="none" w:pos="1760" w:val="left"/>
        </w:tabs>
        <w:numPr>
          <w:ilvl w:val="1"/>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Product Supply, Purchase Order Placement</w:t>
      </w:r>
    </w:p>
    <w:p>
      <w:pPr>
        <w:spacing w:after="0" w:line="212" w:lineRule="exact"/>
        <w:rPr>
          <w:rFonts w:ascii="Arial" w:cs="Arial" w:eastAsia="Arial" w:hAnsi="Arial"/>
          <w:sz w:val="22"/>
          <w:szCs w:val="22"/>
          <w:b w:val="1"/>
          <w:bCs w:val="1"/>
          <w:color w:val="auto"/>
        </w:rPr>
      </w:pPr>
    </w:p>
    <w:p>
      <w:pPr>
        <w:jc w:val="both"/>
        <w:ind w:left="2400" w:hanging="650"/>
        <w:spacing w:after="0" w:line="252" w:lineRule="auto"/>
        <w:tabs>
          <w:tab w:leader="none" w:pos="2400" w:val="left"/>
        </w:tabs>
        <w:numPr>
          <w:ilvl w:val="2"/>
          <w:numId w:val="198"/>
        </w:numPr>
        <w:rPr>
          <w:rFonts w:ascii="Arial" w:cs="Arial" w:eastAsia="Arial" w:hAnsi="Arial"/>
          <w:sz w:val="21"/>
          <w:szCs w:val="21"/>
          <w:color w:val="auto"/>
        </w:rPr>
      </w:pPr>
      <w:r>
        <w:rPr>
          <w:rFonts w:ascii="Arial" w:cs="Arial" w:eastAsia="Arial" w:hAnsi="Arial"/>
          <w:sz w:val="21"/>
          <w:szCs w:val="21"/>
          <w:color w:val="auto"/>
        </w:rPr>
        <w:t>During the Term of this Agreement, BioVectra will manufacture Product, utilizing [**] BioVectra considers proprietary (the “BV [**]”), [**] for Keryx for the US, Europe and any other market in which Keryx has license to sell. Without limiting Keryx’s purchase obligations below, nothing herein shall limit or prohibit Keryx from purchasing Product from any third party.</w:t>
      </w:r>
    </w:p>
    <w:p>
      <w:pPr>
        <w:spacing w:after="0" w:line="174" w:lineRule="exact"/>
        <w:rPr>
          <w:rFonts w:ascii="Arial" w:cs="Arial" w:eastAsia="Arial" w:hAnsi="Arial"/>
          <w:sz w:val="21"/>
          <w:szCs w:val="21"/>
          <w:color w:val="auto"/>
        </w:rPr>
      </w:pPr>
    </w:p>
    <w:p>
      <w:pPr>
        <w:ind w:left="2400" w:hanging="650"/>
        <w:spacing w:after="0"/>
        <w:tabs>
          <w:tab w:leader="none" w:pos="2400" w:val="left"/>
        </w:tabs>
        <w:numPr>
          <w:ilvl w:val="2"/>
          <w:numId w:val="198"/>
        </w:numPr>
        <w:rPr>
          <w:rFonts w:ascii="Arial" w:cs="Arial" w:eastAsia="Arial" w:hAnsi="Arial"/>
          <w:sz w:val="22"/>
          <w:szCs w:val="22"/>
          <w:color w:val="auto"/>
        </w:rPr>
      </w:pPr>
      <w:r>
        <w:rPr>
          <w:rFonts w:ascii="Arial" w:cs="Arial" w:eastAsia="Arial" w:hAnsi="Arial"/>
          <w:sz w:val="22"/>
          <w:szCs w:val="22"/>
          <w:color w:val="auto"/>
        </w:rPr>
        <w:t>Product 7067;</w:t>
      </w:r>
    </w:p>
    <w:p>
      <w:pPr>
        <w:spacing w:after="0" w:line="206" w:lineRule="exact"/>
        <w:rPr>
          <w:rFonts w:ascii="Arial" w:cs="Arial" w:eastAsia="Arial" w:hAnsi="Arial"/>
          <w:sz w:val="22"/>
          <w:szCs w:val="22"/>
          <w:color w:val="auto"/>
        </w:rPr>
      </w:pPr>
    </w:p>
    <w:p>
      <w:pPr>
        <w:ind w:left="3060" w:hanging="648"/>
        <w:spacing w:after="0" w:line="251" w:lineRule="auto"/>
        <w:tabs>
          <w:tab w:leader="none" w:pos="3060" w:val="left"/>
        </w:tabs>
        <w:numPr>
          <w:ilvl w:val="4"/>
          <w:numId w:val="198"/>
        </w:numPr>
        <w:rPr>
          <w:rFonts w:ascii="Arial" w:cs="Arial" w:eastAsia="Arial" w:hAnsi="Arial"/>
          <w:sz w:val="22"/>
          <w:szCs w:val="22"/>
          <w:color w:val="auto"/>
        </w:rPr>
      </w:pPr>
      <w:r>
        <w:rPr>
          <w:rFonts w:ascii="Arial" w:cs="Arial" w:eastAsia="Arial" w:hAnsi="Arial"/>
          <w:sz w:val="22"/>
          <w:szCs w:val="22"/>
          <w:color w:val="auto"/>
        </w:rPr>
        <w:t>For Supply Term 1, Keryx may, at its election, purchase up to a minimum of [**] of Product 7067.</w:t>
      </w:r>
    </w:p>
    <w:p>
      <w:pPr>
        <w:spacing w:after="0" w:line="173" w:lineRule="exact"/>
        <w:rPr>
          <w:rFonts w:ascii="Arial" w:cs="Arial" w:eastAsia="Arial" w:hAnsi="Arial"/>
          <w:sz w:val="22"/>
          <w:szCs w:val="22"/>
          <w:color w:val="auto"/>
        </w:rPr>
      </w:pPr>
    </w:p>
    <w:p>
      <w:pPr>
        <w:ind w:left="3060" w:hanging="648"/>
        <w:spacing w:after="0" w:line="251" w:lineRule="auto"/>
        <w:tabs>
          <w:tab w:leader="none" w:pos="3060" w:val="left"/>
        </w:tabs>
        <w:numPr>
          <w:ilvl w:val="4"/>
          <w:numId w:val="198"/>
        </w:numPr>
        <w:rPr>
          <w:rFonts w:ascii="Arial" w:cs="Arial" w:eastAsia="Arial" w:hAnsi="Arial"/>
          <w:sz w:val="22"/>
          <w:szCs w:val="22"/>
          <w:color w:val="auto"/>
        </w:rPr>
      </w:pPr>
      <w:r>
        <w:rPr>
          <w:rFonts w:ascii="Arial" w:cs="Arial" w:eastAsia="Arial" w:hAnsi="Arial"/>
          <w:sz w:val="22"/>
          <w:szCs w:val="22"/>
          <w:color w:val="auto"/>
        </w:rPr>
        <w:t>For Supply Term 2, Keryx will purchase a minimum of [**] of Product 7067 (subject to BioVectra’s performance of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1" w:name="page262"/>
    <w:bookmarkEnd w:id="261"/>
    <w:p>
      <w:pPr>
        <w:ind w:left="1860" w:hanging="648"/>
        <w:spacing w:after="0" w:line="251" w:lineRule="auto"/>
        <w:tabs>
          <w:tab w:leader="none" w:pos="186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For Supply Term 3, Keryx will purchase a minimum of [**] of Product 7067 (subject to BioVectra’s performance of its obligations under this Agreement).</w:t>
      </w:r>
    </w:p>
    <w:p>
      <w:pPr>
        <w:spacing w:after="0" w:line="173" w:lineRule="exact"/>
        <w:rPr>
          <w:rFonts w:ascii="Arial" w:cs="Arial" w:eastAsia="Arial" w:hAnsi="Arial"/>
          <w:sz w:val="22"/>
          <w:szCs w:val="22"/>
          <w:color w:val="auto"/>
        </w:rPr>
      </w:pPr>
    </w:p>
    <w:p>
      <w:pPr>
        <w:ind w:left="1860" w:right="20" w:hanging="648"/>
        <w:spacing w:after="0" w:line="251" w:lineRule="auto"/>
        <w:tabs>
          <w:tab w:leader="none" w:pos="186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For Supply Terms 4, 5 and 6, Keryx will purchase a minimum of [**] of Product 7067 (subject to BioVectra’s performance of its obligations under this Agreement).</w:t>
      </w:r>
    </w:p>
    <w:p>
      <w:pPr>
        <w:spacing w:after="0" w:line="173" w:lineRule="exact"/>
        <w:rPr>
          <w:rFonts w:ascii="Arial" w:cs="Arial" w:eastAsia="Arial" w:hAnsi="Arial"/>
          <w:sz w:val="22"/>
          <w:szCs w:val="22"/>
          <w:color w:val="auto"/>
        </w:rPr>
      </w:pPr>
    </w:p>
    <w:p>
      <w:pPr>
        <w:jc w:val="both"/>
        <w:ind w:left="1860" w:hanging="648"/>
        <w:spacing w:after="0" w:line="236" w:lineRule="auto"/>
        <w:tabs>
          <w:tab w:leader="none" w:pos="186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If Keryx fails to purchase its minimum purchase requirements of Product 7067 as set out in above in Section 2(b)(i-iv) in any Supply Term, BioVectra will invoice Keryx, within [**] of the end of the Supply Term, for the difference between the minimum requirement for the specific Supply Term and the number of Metric Tons of Product actually purchased over the given Supply Term.</w:t>
      </w:r>
    </w:p>
    <w:p>
      <w:pPr>
        <w:spacing w:after="0" w:line="187" w:lineRule="exact"/>
        <w:rPr>
          <w:rFonts w:ascii="Arial" w:cs="Arial" w:eastAsia="Arial" w:hAnsi="Arial"/>
          <w:sz w:val="22"/>
          <w:szCs w:val="22"/>
          <w:color w:val="auto"/>
        </w:rPr>
      </w:pPr>
    </w:p>
    <w:p>
      <w:pPr>
        <w:jc w:val="both"/>
        <w:ind w:left="1860" w:hanging="648"/>
        <w:spacing w:after="0" w:line="235" w:lineRule="auto"/>
        <w:tabs>
          <w:tab w:leader="none" w:pos="186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Subject to the Forecast Planning Schedule negotiated between [**] and Keryx (as such may be amended by [**] and Keryx from time to time hereafter and provided to BioVectra, the “Production Forecast”), set out herein as Appendix 2, BioVectra has sufficient capacity to meet Keryx’s minimum purchase requirements of Product Number 7067 as set out in above in Section 2(b)(i-iv). BioVectra will make Keryx aware of additional capacity over the annual minimum purchase requirements.</w:t>
      </w:r>
    </w:p>
    <w:p>
      <w:pPr>
        <w:spacing w:after="0" w:line="188" w:lineRule="exact"/>
        <w:rPr>
          <w:rFonts w:ascii="Arial" w:cs="Arial" w:eastAsia="Arial" w:hAnsi="Arial"/>
          <w:sz w:val="22"/>
          <w:szCs w:val="22"/>
          <w:color w:val="auto"/>
        </w:rPr>
      </w:pPr>
    </w:p>
    <w:p>
      <w:pPr>
        <w:ind w:left="1200" w:hanging="650"/>
        <w:spacing w:after="0"/>
        <w:tabs>
          <w:tab w:leader="none" w:pos="12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Product 7011:</w:t>
      </w:r>
    </w:p>
    <w:p>
      <w:pPr>
        <w:spacing w:after="0" w:line="206" w:lineRule="exact"/>
        <w:rPr>
          <w:rFonts w:ascii="Arial" w:cs="Arial" w:eastAsia="Arial" w:hAnsi="Arial"/>
          <w:sz w:val="22"/>
          <w:szCs w:val="22"/>
          <w:color w:val="auto"/>
        </w:rPr>
      </w:pPr>
    </w:p>
    <w:p>
      <w:pPr>
        <w:ind w:left="1860" w:hanging="648"/>
        <w:spacing w:after="0"/>
        <w:tabs>
          <w:tab w:leader="none" w:pos="186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For Supply Term 1, Keryx may, at its election, purchase up to a maximum of [**].</w:t>
      </w:r>
    </w:p>
    <w:p>
      <w:pPr>
        <w:spacing w:after="0" w:line="206" w:lineRule="exact"/>
        <w:rPr>
          <w:rFonts w:ascii="Arial" w:cs="Arial" w:eastAsia="Arial" w:hAnsi="Arial"/>
          <w:sz w:val="22"/>
          <w:szCs w:val="22"/>
          <w:color w:val="auto"/>
        </w:rPr>
      </w:pPr>
    </w:p>
    <w:p>
      <w:pPr>
        <w:jc w:val="both"/>
        <w:ind w:left="1860" w:hanging="648"/>
        <w:spacing w:after="0" w:line="252" w:lineRule="auto"/>
        <w:tabs>
          <w:tab w:leader="none" w:pos="1860" w:val="left"/>
        </w:tabs>
        <w:numPr>
          <w:ilvl w:val="1"/>
          <w:numId w:val="200"/>
        </w:numPr>
        <w:rPr>
          <w:rFonts w:ascii="Arial" w:cs="Arial" w:eastAsia="Arial" w:hAnsi="Arial"/>
          <w:sz w:val="21"/>
          <w:szCs w:val="21"/>
          <w:color w:val="auto"/>
        </w:rPr>
      </w:pPr>
      <w:r>
        <w:rPr>
          <w:rFonts w:ascii="Arial" w:cs="Arial" w:eastAsia="Arial" w:hAnsi="Arial"/>
          <w:sz w:val="21"/>
          <w:szCs w:val="21"/>
          <w:color w:val="auto"/>
        </w:rPr>
        <w:t>Keryx may purchase Product 7011, in certain quantities to be agreed to between the Parties, in Supply Term 2 or Supply Term 3, however BioVectra will only manufacture Product 7011 after BioVectra has received a purchase order(s) for Keryx’s minimum requirements of Product 7067 pursuant to Section 2.b. above for the given Supply Term.</w:t>
      </w:r>
    </w:p>
    <w:p>
      <w:pPr>
        <w:spacing w:after="0" w:line="174" w:lineRule="exact"/>
        <w:rPr>
          <w:rFonts w:ascii="Arial" w:cs="Arial" w:eastAsia="Arial" w:hAnsi="Arial"/>
          <w:sz w:val="21"/>
          <w:szCs w:val="21"/>
          <w:color w:val="auto"/>
        </w:rPr>
      </w:pPr>
    </w:p>
    <w:p>
      <w:pPr>
        <w:ind w:left="1200" w:hanging="650"/>
        <w:spacing w:after="0"/>
        <w:tabs>
          <w:tab w:leader="none" w:pos="12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price of Product 7067 and Product 7011 is set out in Appendix</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1:</w:t>
      </w:r>
    </w:p>
    <w:p>
      <w:pPr>
        <w:spacing w:after="0" w:line="212" w:lineRule="exact"/>
        <w:rPr>
          <w:sz w:val="20"/>
          <w:szCs w:val="20"/>
          <w:color w:val="auto"/>
        </w:rPr>
      </w:pPr>
    </w:p>
    <w:p>
      <w:pPr>
        <w:ind w:left="1860" w:hanging="648"/>
        <w:spacing w:after="0" w:line="251" w:lineRule="auto"/>
        <w:tabs>
          <w:tab w:leader="none" w:pos="18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 addition to the Price of Product 7067, Keryx shall pay a per Kg surcharge for Product 7067 as set out in Appendix 1.</w:t>
      </w:r>
    </w:p>
    <w:p>
      <w:pPr>
        <w:spacing w:after="0" w:line="173" w:lineRule="exact"/>
        <w:rPr>
          <w:rFonts w:ascii="Arial" w:cs="Arial" w:eastAsia="Arial" w:hAnsi="Arial"/>
          <w:sz w:val="22"/>
          <w:szCs w:val="22"/>
          <w:color w:val="auto"/>
        </w:rPr>
      </w:pPr>
    </w:p>
    <w:p>
      <w:pPr>
        <w:jc w:val="both"/>
        <w:ind w:left="1860" w:hanging="648"/>
        <w:spacing w:after="0" w:line="252" w:lineRule="auto"/>
        <w:tabs>
          <w:tab w:leader="none" w:pos="186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The per Kg surcharge amounts paid from Keryx to BioVectra shall be credited against an amount agreed by the Parties (the “Project Payment”) that serves as one mechanism for BioVectra to recoup its costs in funding a capital facility project (the “Expansion Project”) currently estimated to cost [**] (the “Estimated Total Project Cost”).</w:t>
      </w:r>
    </w:p>
    <w:p>
      <w:pPr>
        <w:spacing w:after="0" w:line="39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62" w:name="page263"/>
    <w:bookmarkEnd w:id="262"/>
    <w:p>
      <w:pPr>
        <w:jc w:val="both"/>
        <w:ind w:left="1860" w:right="20" w:hanging="648"/>
        <w:spacing w:after="0" w:line="328" w:lineRule="auto"/>
        <w:tabs>
          <w:tab w:leader="none" w:pos="1860" w:val="left"/>
        </w:tabs>
        <w:numPr>
          <w:ilvl w:val="1"/>
          <w:numId w:val="202"/>
        </w:numPr>
        <w:rPr>
          <w:rFonts w:ascii="Arial" w:cs="Arial" w:eastAsia="Arial" w:hAnsi="Arial"/>
          <w:sz w:val="19"/>
          <w:szCs w:val="19"/>
          <w:color w:val="auto"/>
        </w:rPr>
      </w:pPr>
      <w:r>
        <w:rPr>
          <w:rFonts w:ascii="Arial" w:cs="Arial" w:eastAsia="Arial" w:hAnsi="Arial"/>
          <w:sz w:val="19"/>
          <w:szCs w:val="19"/>
          <w:color w:val="auto"/>
        </w:rPr>
        <w:t>The Project Payment is comprised of the total sum of the annual per Kg surcharge amounts due from Keryx to BioVectra (each, an “Annual Amount”) for Supply Terms 1 through 6 as follows:</w:t>
      </w:r>
    </w:p>
    <w:p>
      <w:pPr>
        <w:spacing w:after="0" w:line="105" w:lineRule="exact"/>
        <w:rPr>
          <w:rFonts w:ascii="Arial" w:cs="Arial" w:eastAsia="Arial" w:hAnsi="Arial"/>
          <w:sz w:val="19"/>
          <w:szCs w:val="19"/>
          <w:color w:val="auto"/>
        </w:rPr>
      </w:pPr>
    </w:p>
    <w:p>
      <w:pPr>
        <w:ind w:left="3180" w:hanging="861"/>
        <w:spacing w:after="0"/>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1;</w:t>
      </w:r>
    </w:p>
    <w:p>
      <w:pPr>
        <w:spacing w:after="0" w:line="8" w:lineRule="exact"/>
        <w:rPr>
          <w:rFonts w:ascii="Arial" w:cs="Arial" w:eastAsia="Arial" w:hAnsi="Arial"/>
          <w:sz w:val="22"/>
          <w:szCs w:val="22"/>
          <w:color w:val="auto"/>
        </w:rPr>
      </w:pP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2;</w:t>
      </w: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3;</w:t>
      </w: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4;</w:t>
      </w: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5; and</w:t>
      </w: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6.</w:t>
      </w:r>
    </w:p>
    <w:p>
      <w:pPr>
        <w:ind w:left="1860" w:hanging="648"/>
        <w:spacing w:after="0" w:line="237" w:lineRule="auto"/>
        <w:tabs>
          <w:tab w:leader="none" w:pos="186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Project Payment will be a minimum of [**], however may fluctuate to compensate for any additional volumes of Product purchased by Keryx hereunder.</w:t>
      </w:r>
    </w:p>
    <w:p>
      <w:pPr>
        <w:spacing w:after="0" w:line="184" w:lineRule="exact"/>
        <w:rPr>
          <w:rFonts w:ascii="Arial" w:cs="Arial" w:eastAsia="Arial" w:hAnsi="Arial"/>
          <w:sz w:val="22"/>
          <w:szCs w:val="22"/>
          <w:color w:val="auto"/>
        </w:rPr>
      </w:pPr>
    </w:p>
    <w:p>
      <w:pPr>
        <w:jc w:val="both"/>
        <w:ind w:left="1880" w:hanging="655"/>
        <w:spacing w:after="0" w:line="246" w:lineRule="auto"/>
        <w:tabs>
          <w:tab w:leader="none" w:pos="1880" w:val="left"/>
        </w:tabs>
        <w:numPr>
          <w:ilvl w:val="2"/>
          <w:numId w:val="202"/>
        </w:numPr>
        <w:rPr>
          <w:rFonts w:ascii="Arial" w:cs="Arial" w:eastAsia="Arial" w:hAnsi="Arial"/>
          <w:sz w:val="21"/>
          <w:szCs w:val="21"/>
          <w:color w:val="auto"/>
        </w:rPr>
      </w:pPr>
      <w:r>
        <w:rPr>
          <w:rFonts w:ascii="Arial" w:cs="Arial" w:eastAsia="Arial" w:hAnsi="Arial"/>
          <w:sz w:val="21"/>
          <w:szCs w:val="21"/>
          <w:color w:val="auto"/>
        </w:rPr>
        <w:t>BioVectra will true-up, within [**] of December 31 following each Supply Term (“True-up Date”) for any underpayment or overpayment due to the difference between the Annual Amount for the Supply Term and the sum total of the per Kg surcharge actually paid by Keryx to BioVectra during the given Supply Term. BioVectra shall perform such true-up by either (i) for underpayments, sending to Keryx at [**] an associated invoice, (ii) for overpayments, crediting Keryx against the Project Payment and adjusting the amount owed by Keryx against the Estimated Total Project Cost accordingly. For the avoidance of doubt, the True-up Date for each Supply Term is as follows:</w:t>
      </w:r>
    </w:p>
    <w:p>
      <w:pPr>
        <w:spacing w:after="0" w:line="180" w:lineRule="exact"/>
        <w:rPr>
          <w:rFonts w:ascii="Arial" w:cs="Arial" w:eastAsia="Arial" w:hAnsi="Arial"/>
          <w:sz w:val="21"/>
          <w:szCs w:val="21"/>
          <w:color w:val="auto"/>
        </w:rPr>
      </w:pPr>
    </w:p>
    <w:p>
      <w:pPr>
        <w:ind w:left="3180" w:hanging="861"/>
        <w:spacing w:after="0"/>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1;</w:t>
      </w:r>
    </w:p>
    <w:p>
      <w:pPr>
        <w:spacing w:after="0" w:line="8" w:lineRule="exact"/>
        <w:rPr>
          <w:rFonts w:ascii="Arial" w:cs="Arial" w:eastAsia="Arial" w:hAnsi="Arial"/>
          <w:sz w:val="22"/>
          <w:szCs w:val="22"/>
          <w:color w:val="auto"/>
        </w:rPr>
      </w:pP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2;</w:t>
      </w: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3;</w:t>
      </w: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4;</w:t>
      </w:r>
    </w:p>
    <w:p>
      <w:pPr>
        <w:ind w:left="3180" w:hanging="861"/>
        <w:spacing w:after="0" w:line="230" w:lineRule="auto"/>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5; and</w:t>
      </w:r>
    </w:p>
    <w:p>
      <w:pPr>
        <w:ind w:left="3180" w:hanging="861"/>
        <w:spacing w:after="0"/>
        <w:tabs>
          <w:tab w:leader="none" w:pos="3180" w:val="left"/>
        </w:tabs>
        <w:numPr>
          <w:ilvl w:val="3"/>
          <w:numId w:val="202"/>
        </w:numPr>
        <w:rPr>
          <w:rFonts w:ascii="Arial" w:cs="Arial" w:eastAsia="Arial" w:hAnsi="Arial"/>
          <w:sz w:val="22"/>
          <w:szCs w:val="22"/>
          <w:color w:val="auto"/>
        </w:rPr>
      </w:pPr>
      <w:r>
        <w:rPr>
          <w:rFonts w:ascii="Arial" w:cs="Arial" w:eastAsia="Arial" w:hAnsi="Arial"/>
          <w:sz w:val="22"/>
          <w:szCs w:val="22"/>
          <w:color w:val="auto"/>
        </w:rPr>
        <w:t>[**] for Supply Term 6.</w:t>
      </w:r>
    </w:p>
    <w:p>
      <w:pPr>
        <w:spacing w:after="0" w:line="188" w:lineRule="exact"/>
        <w:rPr>
          <w:rFonts w:ascii="Arial" w:cs="Arial" w:eastAsia="Arial" w:hAnsi="Arial"/>
          <w:sz w:val="22"/>
          <w:szCs w:val="22"/>
          <w:color w:val="auto"/>
        </w:rPr>
      </w:pPr>
    </w:p>
    <w:p>
      <w:pPr>
        <w:jc w:val="both"/>
        <w:ind w:left="1200" w:hanging="650"/>
        <w:spacing w:after="0" w:line="236" w:lineRule="auto"/>
        <w:tabs>
          <w:tab w:leader="none" w:pos="12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Purchase and shipment of Product 7067 will be in response to written purchase orders submitted by Keryx according to process set out herein. Keryx will place binding purchase orders for its requirements for Product 7067 for Supply Term 1 by [**] and [**]. Thereafter for Supply Terms 2, 3, 4, 5 and 6, Keryx will place a binding purchase order for all its requirements of Product 7067 by [**] of each year, for the following Supply Term.</w:t>
      </w:r>
    </w:p>
    <w:p>
      <w:pPr>
        <w:spacing w:after="0" w:line="187" w:lineRule="exact"/>
        <w:rPr>
          <w:rFonts w:ascii="Arial" w:cs="Arial" w:eastAsia="Arial" w:hAnsi="Arial"/>
          <w:sz w:val="22"/>
          <w:szCs w:val="22"/>
          <w:color w:val="auto"/>
        </w:rPr>
      </w:pPr>
    </w:p>
    <w:p>
      <w:pPr>
        <w:jc w:val="both"/>
        <w:ind w:left="1200" w:hanging="650"/>
        <w:spacing w:after="0"/>
        <w:tabs>
          <w:tab w:leader="none" w:pos="12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Purchase and shipment of Product 7011 will be in response to written purchase orders submitted by Keryx. For Supply Term 1, Keryx may submit a binding purchase order for a maximum of [**], to be delivered by [**].</w:t>
      </w:r>
    </w:p>
    <w:p>
      <w:pPr>
        <w:spacing w:after="0" w:line="186" w:lineRule="exact"/>
        <w:rPr>
          <w:rFonts w:ascii="Arial" w:cs="Arial" w:eastAsia="Arial" w:hAnsi="Arial"/>
          <w:sz w:val="22"/>
          <w:szCs w:val="22"/>
          <w:color w:val="auto"/>
        </w:rPr>
      </w:pPr>
    </w:p>
    <w:p>
      <w:pPr>
        <w:jc w:val="both"/>
        <w:ind w:left="1200" w:hanging="650"/>
        <w:spacing w:after="0"/>
        <w:tabs>
          <w:tab w:leader="none" w:pos="12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Purchase orders will be confirmed by BioVectra for acceptance and delivery timing and BioVectra shall not reject any Keryx purchase orders for Product that fall within the capacity requirements of this Agreement.</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63" w:name="page264"/>
    <w:bookmarkEnd w:id="263"/>
    <w:p>
      <w:pPr>
        <w:jc w:val="both"/>
        <w:ind w:left="1200" w:hanging="650"/>
        <w:spacing w:after="0" w:line="271" w:lineRule="auto"/>
        <w:tabs>
          <w:tab w:leader="none" w:pos="12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Keryx shall submit to BioVectra a purchase order for each delivery of a given Product, and BioVectra shall fulfill such purchase order in accordance with this Agreement. Each purchase order shall be on such form of purchase order or document as agreed between the Parties from time-to-time in writing and shall include (a) the quantities and types of Product and (b) shipping instructions and destination(s) (and for clarity, Keryx may designate a designee to receive shipments (e.g., a distributor)). BioVectra shall be obligated to manufacture and supply such quantities of Product as are set forth in each purchase order and deliver such quantities in accordance with the mutually agreed upon delivery schedule. For the purposes of this Agreement, “delivery” of Product means release of Product and provision of documentation by BioVectra pursuant to Section 3.b. BioVectra shall, within [**] of receipt of a purchase order, confirm in writing: (i) that the purchase order has been accepted and (ii) the scheduled manufacturing campaign months. BioVectra shall be required to accept the purchase orders (or portions thereof, as applicable) which are provided to BioVectra in accordance with the terms and conditions of this Agreement. In the event that the terms of any purchase order or purchase order acceptance are not consistent with this Agreement, the terms of this Agreement shall prevail.</w:t>
      </w:r>
    </w:p>
    <w:p>
      <w:pPr>
        <w:spacing w:after="0" w:line="165" w:lineRule="exact"/>
        <w:rPr>
          <w:rFonts w:ascii="Arial" w:cs="Arial" w:eastAsia="Arial" w:hAnsi="Arial"/>
          <w:sz w:val="19"/>
          <w:szCs w:val="19"/>
          <w:color w:val="auto"/>
        </w:rPr>
      </w:pPr>
    </w:p>
    <w:p>
      <w:pPr>
        <w:jc w:val="both"/>
        <w:ind w:left="1200" w:hanging="650"/>
        <w:spacing w:after="0" w:line="273" w:lineRule="auto"/>
        <w:tabs>
          <w:tab w:leader="none" w:pos="12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Non-Compete and Non-Use. Other than its pre-existing commitments to [**], during the Term and for [**] after expiry of Term (unless terminated by Keryx pursuant to Section 8.c.iii. and for termination by BioVectra under Section 8.c.) BioVectra agrees that it will not, directly or with or on behalf of a third party, develop, market, advertise, promote, manufacture, supply, distribute, [**] (as reasonably determined by Keryx) for any other person or entity (other than for Keryx pursuant to this Agreement) without Keryx’s prior written consent. In all cases, under no circumstances will BioVectra (or any of its Affiliates) use any Keryx Technology, Improvements or Confidential Information of Keryx to manufacture, for itself or for any other person or entity other than for Keryx pursuant to this Agreement any product at any time, or for any other purpose other than for the manufacture of Product for Keryx hereunder, and such obligation not to use any Keryx Technology, Improvements or Confidential Information of Keryx shall survive the expiration or termination of this Agreement.</w:t>
      </w:r>
    </w:p>
    <w:p>
      <w:pPr>
        <w:spacing w:after="0" w:line="156" w:lineRule="exact"/>
        <w:rPr>
          <w:rFonts w:ascii="Arial" w:cs="Arial" w:eastAsia="Arial" w:hAnsi="Arial"/>
          <w:sz w:val="19"/>
          <w:szCs w:val="19"/>
          <w:color w:val="auto"/>
        </w:rPr>
      </w:pPr>
    </w:p>
    <w:p>
      <w:pPr>
        <w:jc w:val="both"/>
        <w:ind w:left="1200" w:hanging="650"/>
        <w:spacing w:after="0" w:line="234" w:lineRule="auto"/>
        <w:tabs>
          <w:tab w:leader="none" w:pos="12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Once a purchase order has been received, the Parties, in consultation with [**]will coordinate the planning schedule for the API Facility for the corresponding Supply Term. Thereafter, BioVectra will develop a manufacturing schedule for the AFI Facility and, after providing initial confirmation of the manufacturing campaign months pursuant to Section 2.h., will provide Keryx, [**] prior to commencement of manufacture, the expected delivery dates for Product. BioVectra will credit Keryx, [**]percent ([**]%) of the purchase order price any quantity of Product delivered outside [**] of the expected delivery date. If there is a dispute related to Product late delivery, the Parties will work in good faith towards prompt resolution.</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64" w:name="page265"/>
    <w:bookmarkEnd w:id="264"/>
    <w:p>
      <w:pPr>
        <w:jc w:val="both"/>
        <w:ind w:left="1960" w:hanging="650"/>
        <w:spacing w:after="0"/>
        <w:tabs>
          <w:tab w:leader="none" w:pos="1960" w:val="left"/>
        </w:tabs>
        <w:numPr>
          <w:ilvl w:val="2"/>
          <w:numId w:val="205"/>
        </w:numPr>
        <w:rPr>
          <w:rFonts w:ascii="Arial" w:cs="Arial" w:eastAsia="Arial" w:hAnsi="Arial"/>
          <w:sz w:val="22"/>
          <w:szCs w:val="22"/>
          <w:color w:val="auto"/>
        </w:rPr>
      </w:pPr>
      <w:r>
        <w:rPr>
          <w:rFonts w:ascii="Arial" w:cs="Arial" w:eastAsia="Arial" w:hAnsi="Arial"/>
          <w:sz w:val="22"/>
          <w:szCs w:val="22"/>
          <w:color w:val="auto"/>
        </w:rPr>
        <w:t>The Parties will enter into good faith negotiations of the agreement governing the Expansion Project (the “Expansion Agreement”). The Expansion Agreement will account for a credit equal to the Project Payment to be applied against the actual cost of the Expansion Project.</w:t>
      </w:r>
    </w:p>
    <w:p>
      <w:pPr>
        <w:spacing w:after="0" w:line="186" w:lineRule="exact"/>
        <w:rPr>
          <w:rFonts w:ascii="Arial" w:cs="Arial" w:eastAsia="Arial" w:hAnsi="Arial"/>
          <w:sz w:val="22"/>
          <w:szCs w:val="22"/>
          <w:color w:val="auto"/>
        </w:rPr>
      </w:pPr>
    </w:p>
    <w:p>
      <w:pPr>
        <w:ind w:left="640" w:hanging="640"/>
        <w:spacing w:after="0"/>
        <w:tabs>
          <w:tab w:leader="none" w:pos="640" w:val="left"/>
        </w:tabs>
        <w:numPr>
          <w:ilvl w:val="0"/>
          <w:numId w:val="206"/>
        </w:numPr>
        <w:rPr>
          <w:rFonts w:ascii="Arial" w:cs="Arial" w:eastAsia="Arial" w:hAnsi="Arial"/>
          <w:sz w:val="21"/>
          <w:szCs w:val="21"/>
          <w:b w:val="1"/>
          <w:bCs w:val="1"/>
          <w:color w:val="auto"/>
        </w:rPr>
      </w:pPr>
      <w:r>
        <w:rPr>
          <w:rFonts w:ascii="Arial" w:cs="Arial" w:eastAsia="Arial" w:hAnsi="Arial"/>
          <w:sz w:val="21"/>
          <w:szCs w:val="21"/>
          <w:color w:val="auto"/>
        </w:rPr>
        <w:t>Sections 4(a) and 4(b) of the Agreement are hereby deleted in their entirety and replaced with the following:</w:t>
      </w:r>
    </w:p>
    <w:p>
      <w:pPr>
        <w:spacing w:after="0" w:line="217" w:lineRule="exact"/>
        <w:rPr>
          <w:rFonts w:ascii="Arial" w:cs="Arial" w:eastAsia="Arial" w:hAnsi="Arial"/>
          <w:sz w:val="21"/>
          <w:szCs w:val="21"/>
          <w:b w:val="1"/>
          <w:bCs w:val="1"/>
          <w:color w:val="auto"/>
        </w:rPr>
      </w:pPr>
    </w:p>
    <w:p>
      <w:pPr>
        <w:jc w:val="both"/>
        <w:ind w:left="1960" w:hanging="650"/>
        <w:spacing w:after="0" w:line="235" w:lineRule="auto"/>
        <w:tabs>
          <w:tab w:leader="none" w:pos="1960" w:val="left"/>
        </w:tabs>
        <w:numPr>
          <w:ilvl w:val="2"/>
          <w:numId w:val="206"/>
        </w:numPr>
        <w:rPr>
          <w:rFonts w:ascii="Arial" w:cs="Arial" w:eastAsia="Arial" w:hAnsi="Arial"/>
          <w:sz w:val="22"/>
          <w:szCs w:val="22"/>
          <w:color w:val="auto"/>
        </w:rPr>
      </w:pPr>
      <w:r>
        <w:rPr>
          <w:rFonts w:ascii="Arial" w:cs="Arial" w:eastAsia="Arial" w:hAnsi="Arial"/>
          <w:sz w:val="22"/>
          <w:szCs w:val="22"/>
          <w:color w:val="auto"/>
        </w:rPr>
        <w:t>BioVectra will invoice Keryx for Product upon Product delivery by BioVectra. Keryx will pay for invoices less any holdback for disputed amounts, within [**] of the invoice receipt. Transfer of ownership and, for the purposes of this Agreement “delivery” of Product, shall occur upon completion of the following: [**]. All invoices shall be submitted electronically to [**] and addressed to Keryx Biopharmaceuticals, Inc., Attn: Accounts Payable, One Marina Park Drive, 12</w:t>
      </w:r>
      <w:r>
        <w:rPr>
          <w:rFonts w:ascii="Arial" w:cs="Arial" w:eastAsia="Arial" w:hAnsi="Arial"/>
          <w:sz w:val="18"/>
          <w:szCs w:val="18"/>
          <w:color w:val="auto"/>
        </w:rPr>
        <w:t>th</w:t>
      </w:r>
      <w:r>
        <w:rPr>
          <w:rFonts w:ascii="Arial" w:cs="Arial" w:eastAsia="Arial" w:hAnsi="Arial"/>
          <w:sz w:val="22"/>
          <w:szCs w:val="22"/>
          <w:color w:val="auto"/>
        </w:rPr>
        <w:t xml:space="preserve"> Floor, Boston, MA 02210 USA.</w:t>
      </w:r>
    </w:p>
    <w:p>
      <w:pPr>
        <w:spacing w:after="0" w:line="188" w:lineRule="exact"/>
        <w:rPr>
          <w:rFonts w:ascii="Arial" w:cs="Arial" w:eastAsia="Arial" w:hAnsi="Arial"/>
          <w:sz w:val="22"/>
          <w:szCs w:val="22"/>
          <w:color w:val="auto"/>
        </w:rPr>
      </w:pPr>
    </w:p>
    <w:p>
      <w:pPr>
        <w:jc w:val="both"/>
        <w:ind w:left="1960" w:hanging="650"/>
        <w:spacing w:after="0" w:line="271" w:lineRule="auto"/>
        <w:tabs>
          <w:tab w:leader="none" w:pos="1960" w:val="left"/>
        </w:tabs>
        <w:numPr>
          <w:ilvl w:val="2"/>
          <w:numId w:val="206"/>
        </w:numPr>
        <w:rPr>
          <w:rFonts w:ascii="Arial" w:cs="Arial" w:eastAsia="Arial" w:hAnsi="Arial"/>
          <w:sz w:val="19"/>
          <w:szCs w:val="19"/>
          <w:color w:val="auto"/>
        </w:rPr>
      </w:pPr>
      <w:r>
        <w:rPr>
          <w:rFonts w:ascii="Arial" w:cs="Arial" w:eastAsia="Arial" w:hAnsi="Arial"/>
          <w:sz w:val="19"/>
          <w:szCs w:val="19"/>
          <w:color w:val="auto"/>
        </w:rPr>
        <w:t>BioVectra will ship and be responsible for the shipping costs for shipment of Product from the API Facility to LSU, or if so requested by Keryx, BioVectra will ship Product directly to Keryx’s designated storage site. Keryx will be responsible for the shipping costs, customs, duties, clearances and fees for the shipment of Product from LSU or the API Facility to Keryx’s assigned destination. Keryx will also be responsible for the costs to insure Product while in storage at LSU after Product delivery. After Product delivery, Keryx will review the documentation received pursuant to Section 3.b. and, within [**] calendar days, either (i) provide a written authorization to ship, or (ii) reject Product in accordance with Section 4.d. Once BioVectra has received a written authorization to ship from Keryx, BioVectra shall promptly comply with Keryx’s shipping instructions. For the avoidance of doubt, BioVectra shall not ship Product from LSU or the API Facility to Keryx’s assigned designation until either it has received Keryx’s written authorization to ship or more than [**] calendar days have passed since Product delivery. Whether or not Product has shipped from the LSU or the API Facility, Keryx does not Waive its right to reject the Product under Section 6.d. by not providing such rejection within the aforementioned [**] day period.</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640" w:hanging="640"/>
        <w:spacing w:after="0" w:line="251" w:lineRule="auto"/>
        <w:tabs>
          <w:tab w:leader="none" w:pos="640" w:val="left"/>
        </w:tabs>
        <w:numPr>
          <w:ilvl w:val="0"/>
          <w:numId w:val="206"/>
        </w:numPr>
        <w:rPr>
          <w:rFonts w:ascii="Arial" w:cs="Arial" w:eastAsia="Arial" w:hAnsi="Arial"/>
          <w:sz w:val="22"/>
          <w:szCs w:val="22"/>
          <w:b w:val="1"/>
          <w:bCs w:val="1"/>
          <w:color w:val="auto"/>
        </w:rPr>
      </w:pPr>
      <w:r>
        <w:rPr>
          <w:rFonts w:ascii="Arial" w:cs="Arial" w:eastAsia="Arial" w:hAnsi="Arial"/>
          <w:sz w:val="22"/>
          <w:szCs w:val="22"/>
          <w:color w:val="auto"/>
        </w:rPr>
        <w:t>Appendix 1 of the Agreement, is hereby deleted in its entirety, and replaced by Appendix 1 attached hereto and made a part hereof</w:t>
      </w:r>
    </w:p>
    <w:p>
      <w:pPr>
        <w:spacing w:after="0" w:line="173" w:lineRule="exact"/>
        <w:rPr>
          <w:rFonts w:ascii="Arial" w:cs="Arial" w:eastAsia="Arial" w:hAnsi="Arial"/>
          <w:sz w:val="22"/>
          <w:szCs w:val="22"/>
          <w:b w:val="1"/>
          <w:bCs w:val="1"/>
          <w:color w:val="auto"/>
        </w:rPr>
      </w:pPr>
    </w:p>
    <w:p>
      <w:pPr>
        <w:ind w:left="640" w:hanging="640"/>
        <w:spacing w:after="0"/>
        <w:tabs>
          <w:tab w:leader="none" w:pos="640" w:val="left"/>
        </w:tabs>
        <w:numPr>
          <w:ilvl w:val="0"/>
          <w:numId w:val="206"/>
        </w:numPr>
        <w:rPr>
          <w:rFonts w:ascii="Arial" w:cs="Arial" w:eastAsia="Arial" w:hAnsi="Arial"/>
          <w:sz w:val="22"/>
          <w:szCs w:val="22"/>
          <w:b w:val="1"/>
          <w:bCs w:val="1"/>
          <w:color w:val="auto"/>
        </w:rPr>
      </w:pPr>
      <w:r>
        <w:rPr>
          <w:rFonts w:ascii="Arial" w:cs="Arial" w:eastAsia="Arial" w:hAnsi="Arial"/>
          <w:sz w:val="22"/>
          <w:szCs w:val="22"/>
          <w:color w:val="auto"/>
        </w:rPr>
        <w:t>Section 8(a) of the Agreement is hereby deleted and replaced with the following:</w:t>
      </w:r>
    </w:p>
    <w:p>
      <w:pPr>
        <w:spacing w:after="0" w:line="200" w:lineRule="exact"/>
        <w:rPr>
          <w:rFonts w:ascii="Arial" w:cs="Arial" w:eastAsia="Arial" w:hAnsi="Arial"/>
          <w:sz w:val="22"/>
          <w:szCs w:val="22"/>
          <w:b w:val="1"/>
          <w:bCs w:val="1"/>
          <w:color w:val="auto"/>
        </w:rPr>
      </w:pPr>
    </w:p>
    <w:p>
      <w:pPr>
        <w:ind w:left="1480" w:hanging="814"/>
        <w:spacing w:after="0"/>
        <w:tabs>
          <w:tab w:leader="none" w:pos="1480" w:val="left"/>
        </w:tabs>
        <w:numPr>
          <w:ilvl w:val="1"/>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12" w:lineRule="exact"/>
        <w:rPr>
          <w:rFonts w:ascii="Arial" w:cs="Arial" w:eastAsia="Arial" w:hAnsi="Arial"/>
          <w:sz w:val="22"/>
          <w:szCs w:val="22"/>
          <w:b w:val="1"/>
          <w:bCs w:val="1"/>
          <w:color w:val="auto"/>
        </w:rPr>
      </w:pPr>
    </w:p>
    <w:p>
      <w:pPr>
        <w:jc w:val="both"/>
        <w:ind w:left="1960" w:hanging="650"/>
        <w:spacing w:after="0" w:line="238" w:lineRule="auto"/>
        <w:tabs>
          <w:tab w:leader="none" w:pos="1960" w:val="left"/>
        </w:tabs>
        <w:numPr>
          <w:ilvl w:val="2"/>
          <w:numId w:val="206"/>
        </w:numPr>
        <w:rPr>
          <w:rFonts w:ascii="Arial" w:cs="Arial" w:eastAsia="Arial" w:hAnsi="Arial"/>
          <w:sz w:val="22"/>
          <w:szCs w:val="22"/>
          <w:color w:val="auto"/>
        </w:rPr>
      </w:pPr>
      <w:r>
        <w:rPr>
          <w:rFonts w:ascii="Arial" w:cs="Arial" w:eastAsia="Arial" w:hAnsi="Arial"/>
          <w:sz w:val="22"/>
          <w:szCs w:val="22"/>
          <w:color w:val="auto"/>
        </w:rPr>
        <w:t>The Agreement will commence on the Effective Date and terminate on December 31, 2022, unless terminated earlier as provided herein (“Term”). Notwithstanding the above, the Agreement will not terminate until any remaining outstanding purchase orders or binding commitments are fulfilled. Any extension of the Term must be mutually agreed to in writing.</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265" w:name="page266"/>
    <w:bookmarkEnd w:id="265"/>
    <w:p>
      <w:pPr>
        <w:ind w:left="640" w:hanging="640"/>
        <w:spacing w:after="0"/>
        <w:tabs>
          <w:tab w:leader="none" w:pos="640" w:val="left"/>
        </w:tabs>
        <w:numPr>
          <w:ilvl w:val="0"/>
          <w:numId w:val="207"/>
        </w:numPr>
        <w:rPr>
          <w:rFonts w:ascii="Arial" w:cs="Arial" w:eastAsia="Arial" w:hAnsi="Arial"/>
          <w:sz w:val="22"/>
          <w:szCs w:val="22"/>
          <w:b w:val="1"/>
          <w:bCs w:val="1"/>
          <w:color w:val="auto"/>
        </w:rPr>
      </w:pPr>
      <w:r>
        <w:rPr>
          <w:rFonts w:ascii="Arial" w:cs="Arial" w:eastAsia="Arial" w:hAnsi="Arial"/>
          <w:sz w:val="22"/>
          <w:szCs w:val="22"/>
          <w:color w:val="auto"/>
        </w:rPr>
        <w:t>Section 8(c) of the Agreement is hereby deleted in its entirety and replaced with the following:</w:t>
      </w:r>
    </w:p>
    <w:p>
      <w:pPr>
        <w:spacing w:after="0" w:line="200" w:lineRule="exact"/>
        <w:rPr>
          <w:rFonts w:ascii="Arial" w:cs="Arial" w:eastAsia="Arial" w:hAnsi="Arial"/>
          <w:sz w:val="22"/>
          <w:szCs w:val="22"/>
          <w:b w:val="1"/>
          <w:bCs w:val="1"/>
          <w:color w:val="auto"/>
        </w:rPr>
      </w:pPr>
    </w:p>
    <w:p>
      <w:pPr>
        <w:ind w:left="1480" w:hanging="814"/>
        <w:spacing w:after="0"/>
        <w:tabs>
          <w:tab w:leader="none" w:pos="1480" w:val="left"/>
        </w:tabs>
        <w:numPr>
          <w:ilvl w:val="1"/>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12"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a.</w:t>
      </w:r>
      <w:r>
        <w:rPr>
          <w:rFonts w:ascii="Arial" w:cs="Arial" w:eastAsia="Arial" w:hAnsi="Arial"/>
          <w:sz w:val="19"/>
          <w:szCs w:val="19"/>
          <w:color w:val="auto"/>
        </w:rPr>
        <w:t>The Parties agree the following termination provisions:</w:t>
      </w:r>
    </w:p>
    <w:p>
      <w:pPr>
        <w:spacing w:after="0" w:line="206" w:lineRule="exact"/>
        <w:rPr>
          <w:rFonts w:ascii="Arial" w:cs="Arial" w:eastAsia="Arial" w:hAnsi="Arial"/>
          <w:sz w:val="22"/>
          <w:szCs w:val="22"/>
          <w:b w:val="1"/>
          <w:bCs w:val="1"/>
          <w:color w:val="auto"/>
        </w:rPr>
      </w:pPr>
    </w:p>
    <w:p>
      <w:pPr>
        <w:jc w:val="both"/>
        <w:ind w:left="2620" w:hanging="648"/>
        <w:spacing w:after="0" w:line="233" w:lineRule="auto"/>
        <w:tabs>
          <w:tab w:leader="none" w:pos="2620" w:val="left"/>
        </w:tabs>
        <w:numPr>
          <w:ilvl w:val="3"/>
          <w:numId w:val="207"/>
        </w:numPr>
        <w:rPr>
          <w:rFonts w:ascii="Arial" w:cs="Arial" w:eastAsia="Arial" w:hAnsi="Arial"/>
          <w:sz w:val="22"/>
          <w:szCs w:val="22"/>
          <w:color w:val="auto"/>
        </w:rPr>
      </w:pPr>
      <w:r>
        <w:rPr>
          <w:rFonts w:ascii="Arial" w:cs="Arial" w:eastAsia="Arial" w:hAnsi="Arial"/>
          <w:sz w:val="22"/>
          <w:szCs w:val="22"/>
          <w:color w:val="auto"/>
        </w:rPr>
        <w:t>Either Party may terminate this Agreement for breach by the other Party of any of its material obligations hereunder upon [**] prior written notice to the other, if during such [**] notice period the default is not corrected to the reasonable satisfaction of the non-defaulting Party. In addition, either Party may terminate this Agreement by giving the other Party at least sixty (60) days’ written notice if such other Party has entered into or committed any act of liquidation, bankruptcy, insolvency, receivership, or assignment for the benefit of creditors, to the extent such act is permitted by law.</w:t>
      </w:r>
    </w:p>
    <w:p>
      <w:pPr>
        <w:jc w:val="both"/>
        <w:ind w:left="2620" w:hanging="648"/>
        <w:spacing w:after="0" w:line="267" w:lineRule="auto"/>
        <w:tabs>
          <w:tab w:leader="none" w:pos="2620" w:val="left"/>
        </w:tabs>
        <w:numPr>
          <w:ilvl w:val="3"/>
          <w:numId w:val="207"/>
        </w:numPr>
        <w:rPr>
          <w:rFonts w:ascii="Arial" w:cs="Arial" w:eastAsia="Arial" w:hAnsi="Arial"/>
          <w:sz w:val="19"/>
          <w:szCs w:val="19"/>
          <w:color w:val="auto"/>
        </w:rPr>
      </w:pPr>
      <w:r>
        <w:rPr>
          <w:rFonts w:ascii="Arial" w:cs="Arial" w:eastAsia="Arial" w:hAnsi="Arial"/>
          <w:sz w:val="19"/>
          <w:szCs w:val="19"/>
          <w:color w:val="auto"/>
        </w:rPr>
        <w:t>Keryx may terminate the Agreement due to loss of, or inability of Keryx to obtain, Health Registrations to market the Product in the United States by giving BioVectra sixty (60) days’ prior written notice (or such shorter period if required pursuant to the related Authority action).</w:t>
      </w:r>
    </w:p>
    <w:p>
      <w:pPr>
        <w:jc w:val="both"/>
        <w:ind w:left="2620" w:hanging="648"/>
        <w:spacing w:after="0" w:line="277" w:lineRule="auto"/>
        <w:tabs>
          <w:tab w:leader="none" w:pos="2620" w:val="left"/>
        </w:tabs>
        <w:numPr>
          <w:ilvl w:val="3"/>
          <w:numId w:val="207"/>
        </w:numPr>
        <w:rPr>
          <w:rFonts w:ascii="Arial" w:cs="Arial" w:eastAsia="Arial" w:hAnsi="Arial"/>
          <w:sz w:val="19"/>
          <w:szCs w:val="19"/>
          <w:color w:val="auto"/>
        </w:rPr>
      </w:pPr>
      <w:r>
        <w:rPr>
          <w:rFonts w:ascii="Arial" w:cs="Arial" w:eastAsia="Arial" w:hAnsi="Arial"/>
          <w:sz w:val="19"/>
          <w:szCs w:val="19"/>
          <w:color w:val="auto"/>
        </w:rPr>
        <w:t>Keryx may terminate the Agreement at any time by giving BioVectra sixty (60) days’ prior written notice (or such shorter period if required pursuant to the following Authority action) in the event that any Authority causes the permanent withdrawal of the Product from the United States or takes any action or raises any objection, that prevents Keryx from developing, importing, exporting, purchasing, selling or otherwise commercializing the Product.</w:t>
      </w:r>
    </w:p>
    <w:p>
      <w:pPr>
        <w:spacing w:after="0" w:line="152" w:lineRule="exact"/>
        <w:rPr>
          <w:rFonts w:ascii="Arial" w:cs="Arial" w:eastAsia="Arial" w:hAnsi="Arial"/>
          <w:sz w:val="19"/>
          <w:szCs w:val="19"/>
          <w:color w:val="auto"/>
        </w:rPr>
      </w:pPr>
    </w:p>
    <w:p>
      <w:pPr>
        <w:ind w:left="640" w:hanging="640"/>
        <w:spacing w:after="0"/>
        <w:tabs>
          <w:tab w:leader="none" w:pos="640" w:val="left"/>
        </w:tabs>
        <w:numPr>
          <w:ilvl w:val="0"/>
          <w:numId w:val="207"/>
        </w:numPr>
        <w:rPr>
          <w:rFonts w:ascii="Arial" w:cs="Arial" w:eastAsia="Arial" w:hAnsi="Arial"/>
          <w:sz w:val="22"/>
          <w:szCs w:val="22"/>
          <w:b w:val="1"/>
          <w:bCs w:val="1"/>
          <w:color w:val="auto"/>
        </w:rPr>
      </w:pPr>
      <w:r>
        <w:rPr>
          <w:rFonts w:ascii="Arial" w:cs="Arial" w:eastAsia="Arial" w:hAnsi="Arial"/>
          <w:sz w:val="22"/>
          <w:szCs w:val="22"/>
          <w:color w:val="auto"/>
        </w:rPr>
        <w:t>A new Section 8(d)(vii) shall be added to the Agreement as follows:</w:t>
      </w:r>
    </w:p>
    <w:p>
      <w:pPr>
        <w:spacing w:after="0" w:line="206" w:lineRule="exact"/>
        <w:rPr>
          <w:rFonts w:ascii="Arial" w:cs="Arial" w:eastAsia="Arial" w:hAnsi="Arial"/>
          <w:sz w:val="22"/>
          <w:szCs w:val="22"/>
          <w:b w:val="1"/>
          <w:bCs w:val="1"/>
          <w:color w:val="auto"/>
        </w:rPr>
      </w:pPr>
    </w:p>
    <w:p>
      <w:pPr>
        <w:jc w:val="both"/>
        <w:ind w:left="660"/>
        <w:spacing w:after="0"/>
        <w:rPr>
          <w:rFonts w:ascii="Arial" w:cs="Arial" w:eastAsia="Arial" w:hAnsi="Arial"/>
          <w:sz w:val="22"/>
          <w:szCs w:val="22"/>
          <w:b w:val="1"/>
          <w:bCs w:val="1"/>
          <w:color w:val="auto"/>
        </w:rPr>
      </w:pPr>
      <w:r>
        <w:rPr>
          <w:rFonts w:ascii="Arial" w:cs="Arial" w:eastAsia="Arial" w:hAnsi="Arial"/>
          <w:sz w:val="22"/>
          <w:szCs w:val="22"/>
          <w:color w:val="auto"/>
        </w:rPr>
        <w:t>8(d)(vii) For termination by Keryx under Sections 8.c. or 9.g, Keryx will, as promptly as practicable, pay to BioVectra a portion of the Project Payment equivalent to the [**] for Product 7067 multiplied by [**] up to the effective termination date, at the current per [**] as of the termination notification date.</w:t>
      </w:r>
    </w:p>
    <w:p>
      <w:pPr>
        <w:spacing w:after="0" w:line="186" w:lineRule="exact"/>
        <w:rPr>
          <w:rFonts w:ascii="Arial" w:cs="Arial" w:eastAsia="Arial" w:hAnsi="Arial"/>
          <w:sz w:val="22"/>
          <w:szCs w:val="22"/>
          <w:b w:val="1"/>
          <w:bCs w:val="1"/>
          <w:color w:val="auto"/>
        </w:rPr>
      </w:pPr>
    </w:p>
    <w:p>
      <w:pPr>
        <w:jc w:val="both"/>
        <w:ind w:left="640" w:hanging="640"/>
        <w:spacing w:after="0" w:line="236" w:lineRule="auto"/>
        <w:tabs>
          <w:tab w:leader="none" w:pos="640" w:val="left"/>
        </w:tabs>
        <w:numPr>
          <w:ilvl w:val="0"/>
          <w:numId w:val="207"/>
        </w:numPr>
        <w:rPr>
          <w:rFonts w:ascii="Arial" w:cs="Arial" w:eastAsia="Arial" w:hAnsi="Arial"/>
          <w:sz w:val="22"/>
          <w:szCs w:val="22"/>
          <w:b w:val="1"/>
          <w:bCs w:val="1"/>
          <w:color w:val="auto"/>
        </w:rPr>
      </w:pPr>
      <w:r>
        <w:rPr>
          <w:rFonts w:ascii="Arial" w:cs="Arial" w:eastAsia="Arial" w:hAnsi="Arial"/>
          <w:sz w:val="22"/>
          <w:szCs w:val="22"/>
          <w:color w:val="auto"/>
        </w:rPr>
        <w:t>From and after the execution of this First Amendment, all references in the Agreement to “this Agreement,” “hereof,” “herein,” and similar words or phrases shall mean and refer to the Agreement as amended by this First Amendment. This First Amendment shall not be modified, supplemented, amended, or terminated in any manner whatsoever, except by a written instrument signed the party against which such modification, supplement, amendment, or termination is sought to be enforced.</w:t>
      </w:r>
    </w:p>
    <w:p>
      <w:pPr>
        <w:spacing w:after="0" w:line="187" w:lineRule="exact"/>
        <w:rPr>
          <w:rFonts w:ascii="Arial" w:cs="Arial" w:eastAsia="Arial" w:hAnsi="Arial"/>
          <w:sz w:val="22"/>
          <w:szCs w:val="22"/>
          <w:b w:val="1"/>
          <w:bCs w:val="1"/>
          <w:color w:val="auto"/>
        </w:rPr>
      </w:pPr>
    </w:p>
    <w:p>
      <w:pPr>
        <w:ind w:left="640" w:hanging="640"/>
        <w:spacing w:after="0"/>
        <w:tabs>
          <w:tab w:leader="none" w:pos="640"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Except as provided for in this First Amendment, no other changes in the Agreement are agreed to between the parties.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SIGNATURES ON FOLLOWING PAGE</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266" w:name="page267"/>
    <w:bookmarkEnd w:id="266"/>
    <w:p>
      <w:pPr>
        <w:ind w:right="20"/>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First Amendment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as of the date first above written.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gridSpan w:val="2"/>
          </w:tcPr>
          <w:p>
            <w:pPr>
              <w:spacing w:after="0"/>
              <w:rPr>
                <w:sz w:val="20"/>
                <w:szCs w:val="20"/>
                <w:color w:val="auto"/>
              </w:rPr>
            </w:pPr>
            <w:r>
              <w:rPr>
                <w:rFonts w:ascii="Arial" w:cs="Arial" w:eastAsia="Arial" w:hAnsi="Arial"/>
                <w:sz w:val="22"/>
                <w:szCs w:val="22"/>
                <w:color w:val="auto"/>
              </w:rPr>
              <w:t>Signed on behalf of</w:t>
            </w:r>
          </w:p>
        </w:tc>
        <w:tc>
          <w:tcPr>
            <w:tcW w:w="5840" w:type="dxa"/>
            <w:vAlign w:val="bottom"/>
            <w:gridSpan w:val="2"/>
          </w:tcPr>
          <w:p>
            <w:pPr>
              <w:ind w:left="160"/>
              <w:spacing w:after="0"/>
              <w:rPr>
                <w:sz w:val="20"/>
                <w:szCs w:val="20"/>
                <w:color w:val="auto"/>
              </w:rPr>
            </w:pPr>
            <w:r>
              <w:rPr>
                <w:rFonts w:ascii="Arial" w:cs="Arial" w:eastAsia="Arial" w:hAnsi="Arial"/>
                <w:sz w:val="22"/>
                <w:szCs w:val="22"/>
                <w:color w:val="auto"/>
              </w:rPr>
              <w:t>Signed on behalf of</w:t>
            </w:r>
          </w:p>
        </w:tc>
        <w:tc>
          <w:tcPr>
            <w:tcW w:w="20" w:type="dxa"/>
            <w:vAlign w:val="bottom"/>
          </w:tcPr>
          <w:p>
            <w:pPr>
              <w:spacing w:after="0"/>
              <w:rPr>
                <w:sz w:val="21"/>
                <w:szCs w:val="21"/>
                <w:color w:val="auto"/>
              </w:rPr>
            </w:pPr>
          </w:p>
        </w:tc>
      </w:tr>
      <w:tr>
        <w:trPr>
          <w:trHeight w:val="275"/>
        </w:trPr>
        <w:tc>
          <w:tcPr>
            <w:tcW w:w="5580" w:type="dxa"/>
            <w:vAlign w:val="bottom"/>
            <w:gridSpan w:val="2"/>
          </w:tcPr>
          <w:p>
            <w:pPr>
              <w:spacing w:after="0"/>
              <w:rPr>
                <w:sz w:val="20"/>
                <w:szCs w:val="20"/>
                <w:color w:val="auto"/>
              </w:rPr>
            </w:pPr>
            <w:r>
              <w:rPr>
                <w:rFonts w:ascii="Arial" w:cs="Arial" w:eastAsia="Arial" w:hAnsi="Arial"/>
                <w:sz w:val="22"/>
                <w:szCs w:val="22"/>
                <w:color w:val="auto"/>
              </w:rPr>
              <w:t>BioVectra Inc.</w:t>
            </w:r>
          </w:p>
        </w:tc>
        <w:tc>
          <w:tcPr>
            <w:tcW w:w="5840" w:type="dxa"/>
            <w:vAlign w:val="bottom"/>
            <w:gridSpan w:val="2"/>
          </w:tcPr>
          <w:p>
            <w:pPr>
              <w:ind w:left="160"/>
              <w:spacing w:after="0"/>
              <w:rPr>
                <w:sz w:val="20"/>
                <w:szCs w:val="20"/>
                <w:color w:val="auto"/>
              </w:rPr>
            </w:pPr>
            <w:r>
              <w:rPr>
                <w:rFonts w:ascii="Arial" w:cs="Arial" w:eastAsia="Arial" w:hAnsi="Arial"/>
                <w:sz w:val="22"/>
                <w:szCs w:val="22"/>
                <w:color w:val="auto"/>
              </w:rPr>
              <w:t>Keryx Biopharmaceuticals, Inc.</w:t>
            </w:r>
          </w:p>
        </w:tc>
        <w:tc>
          <w:tcPr>
            <w:tcW w:w="20" w:type="dxa"/>
            <w:vAlign w:val="bottom"/>
          </w:tcPr>
          <w:p>
            <w:pPr>
              <w:spacing w:after="0"/>
              <w:rPr>
                <w:sz w:val="23"/>
                <w:szCs w:val="23"/>
                <w:color w:val="auto"/>
              </w:rPr>
            </w:pPr>
          </w:p>
        </w:tc>
      </w:tr>
      <w:tr>
        <w:trPr>
          <w:trHeight w:val="665"/>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Oliver Technow</w:t>
            </w:r>
          </w:p>
        </w:tc>
        <w:tc>
          <w:tcPr>
            <w:tcW w:w="1160" w:type="dxa"/>
            <w:vAlign w:val="bottom"/>
          </w:tcPr>
          <w:p>
            <w:pPr>
              <w:ind w:left="160"/>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Scott A. Holmes</w:t>
            </w:r>
          </w:p>
        </w:tc>
        <w:tc>
          <w:tcPr>
            <w:tcW w:w="20" w:type="dxa"/>
            <w:vAlign w:val="bottom"/>
          </w:tcPr>
          <w:p>
            <w:pPr>
              <w:spacing w:after="0"/>
              <w:rPr>
                <w:sz w:val="24"/>
                <w:szCs w:val="24"/>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Oliver Technow</w:t>
            </w:r>
          </w:p>
        </w:tc>
        <w:tc>
          <w:tcPr>
            <w:tcW w:w="1160" w:type="dxa"/>
            <w:vAlign w:val="bottom"/>
          </w:tcPr>
          <w:p>
            <w:pPr>
              <w:ind w:left="160"/>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Scott A. Holmes</w:t>
            </w:r>
          </w:p>
        </w:tc>
        <w:tc>
          <w:tcPr>
            <w:tcW w:w="20" w:type="dxa"/>
            <w:vAlign w:val="bottom"/>
          </w:tcPr>
          <w:p>
            <w:pPr>
              <w:spacing w:after="0"/>
              <w:rPr>
                <w:sz w:val="24"/>
                <w:szCs w:val="24"/>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22"/>
                <w:szCs w:val="22"/>
                <w:color w:val="auto"/>
              </w:rPr>
              <w:t>Date: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Dec. 8, 2017</w:t>
            </w:r>
          </w:p>
        </w:tc>
        <w:tc>
          <w:tcPr>
            <w:tcW w:w="1160" w:type="dxa"/>
            <w:vAlign w:val="bottom"/>
          </w:tcPr>
          <w:p>
            <w:pPr>
              <w:ind w:left="160"/>
              <w:spacing w:after="0"/>
              <w:rPr>
                <w:sz w:val="20"/>
                <w:szCs w:val="20"/>
                <w:color w:val="auto"/>
              </w:rPr>
            </w:pPr>
            <w:r>
              <w:rPr>
                <w:rFonts w:ascii="Arial" w:cs="Arial" w:eastAsia="Arial" w:hAnsi="Arial"/>
                <w:sz w:val="22"/>
                <w:szCs w:val="22"/>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12/11/2017</w:t>
            </w:r>
          </w:p>
        </w:tc>
        <w:tc>
          <w:tcPr>
            <w:tcW w:w="20" w:type="dxa"/>
            <w:vAlign w:val="bottom"/>
          </w:tcPr>
          <w:p>
            <w:pPr>
              <w:spacing w:after="0"/>
              <w:rPr>
                <w:sz w:val="24"/>
                <w:szCs w:val="24"/>
                <w:color w:val="auto"/>
              </w:rPr>
            </w:pPr>
          </w:p>
        </w:tc>
      </w:tr>
      <w:tr>
        <w:trPr>
          <w:trHeight w:val="949"/>
        </w:trPr>
        <w:tc>
          <w:tcPr>
            <w:tcW w:w="1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Arial" w:cs="Arial" w:eastAsia="Arial" w:hAnsi="Arial"/>
                <w:sz w:val="22"/>
                <w:szCs w:val="22"/>
                <w:color w:val="auto"/>
              </w:rPr>
              <w:t>7</w:t>
            </w: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04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67" w:name="page268"/>
    <w:bookmarkEnd w:id="267"/>
    <w:p>
      <w:pPr>
        <w:jc w:val="center"/>
        <w:spacing w:after="0"/>
        <w:rPr>
          <w:sz w:val="20"/>
          <w:szCs w:val="20"/>
          <w:color w:val="auto"/>
        </w:rPr>
      </w:pPr>
      <w:r>
        <w:rPr>
          <w:rFonts w:ascii="Arial" w:cs="Arial" w:eastAsia="Arial" w:hAnsi="Arial"/>
          <w:sz w:val="22"/>
          <w:szCs w:val="22"/>
          <w:b w:val="1"/>
          <w:bCs w:val="1"/>
          <w:color w:val="auto"/>
        </w:rPr>
        <w:t>APPENDIX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and Price Schedule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Product 7011</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40" w:type="dxa"/>
            <w:vAlign w:val="bottom"/>
            <w:tcBorders>
              <w:top w:val="single" w:sz="8" w:color="auto"/>
              <w:left w:val="single" w:sz="8" w:color="auto"/>
              <w:bottom w:val="single" w:sz="8" w:color="auto"/>
              <w:right w:val="single" w:sz="8" w:color="auto"/>
            </w:tcBorders>
          </w:tcPr>
          <w:p>
            <w:pPr>
              <w:jc w:val="right"/>
              <w:ind w:right="952"/>
              <w:spacing w:after="0"/>
              <w:rPr>
                <w:sz w:val="20"/>
                <w:szCs w:val="20"/>
                <w:color w:val="auto"/>
              </w:rPr>
            </w:pPr>
            <w:r>
              <w:rPr>
                <w:rFonts w:ascii="Arial" w:cs="Arial" w:eastAsia="Arial" w:hAnsi="Arial"/>
                <w:sz w:val="22"/>
                <w:szCs w:val="22"/>
                <w:color w:val="auto"/>
                <w:w w:val="88"/>
              </w:rPr>
              <w:t>Supply Year</w:t>
            </w:r>
          </w:p>
        </w:tc>
        <w:tc>
          <w:tcPr>
            <w:tcW w:w="2120" w:type="dxa"/>
            <w:vAlign w:val="bottom"/>
            <w:tcBorders>
              <w:top w:val="single" w:sz="8" w:color="auto"/>
              <w:bottom w:val="single" w:sz="8" w:color="auto"/>
              <w:right w:val="single" w:sz="8" w:color="auto"/>
            </w:tcBorders>
          </w:tcPr>
          <w:p>
            <w:pPr>
              <w:jc w:val="right"/>
              <w:ind w:right="1052"/>
              <w:spacing w:after="0"/>
              <w:rPr>
                <w:sz w:val="20"/>
                <w:szCs w:val="20"/>
                <w:color w:val="auto"/>
              </w:rPr>
            </w:pPr>
            <w:r>
              <w:rPr>
                <w:rFonts w:ascii="Arial" w:cs="Arial" w:eastAsia="Arial" w:hAnsi="Arial"/>
                <w:sz w:val="22"/>
                <w:szCs w:val="22"/>
                <w:color w:val="auto"/>
                <w:w w:val="86"/>
              </w:rPr>
              <w:t>Order Date</w:t>
            </w:r>
          </w:p>
        </w:tc>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rPr>
              <w:t>Price (USD) per Kg</w:t>
            </w:r>
          </w:p>
        </w:tc>
        <w:tc>
          <w:tcPr>
            <w:tcW w:w="2820" w:type="dxa"/>
            <w:vAlign w:val="bottom"/>
            <w:tcBorders>
              <w:top w:val="single" w:sz="8" w:color="auto"/>
              <w:bottom w:val="single" w:sz="8" w:color="auto"/>
              <w:right w:val="single" w:sz="8" w:color="auto"/>
            </w:tcBorders>
          </w:tcPr>
          <w:p>
            <w:pPr>
              <w:spacing w:after="0"/>
              <w:rPr>
                <w:sz w:val="22"/>
                <w:szCs w:val="22"/>
                <w:color w:val="auto"/>
              </w:rPr>
            </w:pPr>
          </w:p>
        </w:tc>
        <w:tc>
          <w:tcPr>
            <w:tcW w:w="2380" w:type="dxa"/>
            <w:vAlign w:val="bottom"/>
            <w:tcBorders>
              <w:top w:val="single" w:sz="8" w:color="auto"/>
              <w:bottom w:val="single" w:sz="8" w:color="auto"/>
              <w:right w:val="single" w:sz="8" w:color="auto"/>
            </w:tcBorders>
          </w:tcPr>
          <w:p>
            <w:pPr>
              <w:jc w:val="right"/>
              <w:ind w:right="852"/>
              <w:spacing w:after="0"/>
              <w:rPr>
                <w:sz w:val="20"/>
                <w:szCs w:val="20"/>
                <w:color w:val="auto"/>
              </w:rPr>
            </w:pPr>
            <w:r>
              <w:rPr>
                <w:rFonts w:ascii="Arial" w:cs="Arial" w:eastAsia="Arial" w:hAnsi="Arial"/>
                <w:sz w:val="22"/>
                <w:szCs w:val="22"/>
                <w:color w:val="auto"/>
                <w:w w:val="92"/>
              </w:rPr>
              <w:t>Delivery Timing</w:t>
            </w:r>
          </w:p>
        </w:tc>
        <w:tc>
          <w:tcPr>
            <w:tcW w:w="0" w:type="dxa"/>
            <w:vAlign w:val="bottom"/>
          </w:tcPr>
          <w:p>
            <w:pPr>
              <w:spacing w:after="0"/>
              <w:rPr>
                <w:sz w:val="1"/>
                <w:szCs w:val="1"/>
                <w:color w:val="auto"/>
              </w:rPr>
            </w:pPr>
          </w:p>
        </w:tc>
      </w:tr>
      <w:tr>
        <w:trPr>
          <w:trHeight w:val="237"/>
        </w:trPr>
        <w:tc>
          <w:tcPr>
            <w:tcW w:w="2140" w:type="dxa"/>
            <w:vAlign w:val="bottom"/>
            <w:tcBorders>
              <w:left w:val="single" w:sz="8" w:color="auto"/>
              <w:right w:val="single" w:sz="8" w:color="auto"/>
            </w:tcBorders>
            <w:vMerge w:val="restart"/>
          </w:tcPr>
          <w:p>
            <w:pPr>
              <w:jc w:val="right"/>
              <w:ind w:right="792"/>
              <w:spacing w:after="0"/>
              <w:rPr>
                <w:sz w:val="20"/>
                <w:szCs w:val="20"/>
                <w:color w:val="auto"/>
              </w:rPr>
            </w:pPr>
            <w:r>
              <w:rPr>
                <w:rFonts w:ascii="Arial" w:cs="Arial" w:eastAsia="Arial" w:hAnsi="Arial"/>
                <w:sz w:val="22"/>
                <w:szCs w:val="22"/>
                <w:color w:val="auto"/>
              </w:rPr>
              <w:t>[**]</w:t>
            </w:r>
          </w:p>
        </w:tc>
        <w:tc>
          <w:tcPr>
            <w:tcW w:w="2120" w:type="dxa"/>
            <w:vAlign w:val="bottom"/>
            <w:tcBorders>
              <w:right w:val="single" w:sz="8" w:color="auto"/>
            </w:tcBorders>
            <w:vMerge w:val="restart"/>
          </w:tcPr>
          <w:p>
            <w:pPr>
              <w:jc w:val="right"/>
              <w:ind w:right="792"/>
              <w:spacing w:after="0"/>
              <w:rPr>
                <w:sz w:val="20"/>
                <w:szCs w:val="20"/>
                <w:color w:val="auto"/>
              </w:rPr>
            </w:pPr>
            <w:r>
              <w:rPr>
                <w:rFonts w:ascii="Arial" w:cs="Arial" w:eastAsia="Arial" w:hAnsi="Arial"/>
                <w:sz w:val="22"/>
                <w:szCs w:val="22"/>
                <w:color w:val="auto"/>
              </w:rPr>
              <w:t>[**]</w:t>
            </w:r>
          </w:p>
        </w:tc>
        <w:tc>
          <w:tcPr>
            <w:tcW w:w="1960" w:type="dxa"/>
            <w:vAlign w:val="bottom"/>
            <w:tcBorders>
              <w:bottom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jc w:val="right"/>
              <w:ind w:right="2112"/>
              <w:spacing w:after="0" w:line="237" w:lineRule="exact"/>
              <w:rPr>
                <w:sz w:val="20"/>
                <w:szCs w:val="20"/>
                <w:color w:val="auto"/>
              </w:rPr>
            </w:pPr>
            <w:r>
              <w:rPr>
                <w:rFonts w:ascii="Arial" w:cs="Arial" w:eastAsia="Arial" w:hAnsi="Arial"/>
                <w:sz w:val="22"/>
                <w:szCs w:val="22"/>
                <w:color w:val="auto"/>
              </w:rPr>
              <w:t>[**]</w:t>
            </w:r>
          </w:p>
        </w:tc>
        <w:tc>
          <w:tcPr>
            <w:tcW w:w="2380" w:type="dxa"/>
            <w:vAlign w:val="bottom"/>
            <w:tcBorders>
              <w:right w:val="single" w:sz="8" w:color="auto"/>
            </w:tcBorders>
            <w:vMerge w:val="restart"/>
          </w:tcPr>
          <w:p>
            <w:pPr>
              <w:jc w:val="right"/>
              <w:ind w:right="9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2140" w:type="dxa"/>
            <w:vAlign w:val="bottom"/>
            <w:tcBorders>
              <w:left w:val="single" w:sz="8" w:color="auto"/>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1960" w:type="dxa"/>
            <w:vAlign w:val="bottom"/>
          </w:tcPr>
          <w:p>
            <w:pPr>
              <w:spacing w:after="0"/>
              <w:rPr>
                <w:sz w:val="9"/>
                <w:szCs w:val="9"/>
                <w:color w:val="auto"/>
              </w:rPr>
            </w:pPr>
          </w:p>
        </w:tc>
        <w:tc>
          <w:tcPr>
            <w:tcW w:w="2820" w:type="dxa"/>
            <w:vAlign w:val="bottom"/>
            <w:tcBorders>
              <w:right w:val="single" w:sz="8" w:color="auto"/>
            </w:tcBorders>
            <w:vMerge w:val="restart"/>
          </w:tcPr>
          <w:p>
            <w:pPr>
              <w:jc w:val="right"/>
              <w:ind w:right="2112"/>
              <w:spacing w:after="0" w:line="237" w:lineRule="exact"/>
              <w:rPr>
                <w:sz w:val="20"/>
                <w:szCs w:val="20"/>
                <w:color w:val="auto"/>
              </w:rPr>
            </w:pPr>
            <w:r>
              <w:rPr>
                <w:rFonts w:ascii="Arial" w:cs="Arial" w:eastAsia="Arial" w:hAnsi="Arial"/>
                <w:sz w:val="22"/>
                <w:szCs w:val="22"/>
                <w:color w:val="auto"/>
              </w:rPr>
              <w:t>[**]</w:t>
            </w: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140" w:type="dxa"/>
            <w:vAlign w:val="bottom"/>
            <w:tcBorders>
              <w:left w:val="single" w:sz="8" w:color="auto"/>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Price and delivery schedule for Product 7011 in Supply Terms 2 and 3 will be quoted separately in response to inquiries from Keryx.</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Product 7067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Tiered Pricing for Product 7067:</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440" w:type="dxa"/>
            <w:vAlign w:val="bottom"/>
            <w:tcBorders>
              <w:top w:val="single" w:sz="8" w:color="auto"/>
              <w:left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9"/>
              </w:rPr>
              <w:t>Supply</w:t>
            </w:r>
          </w:p>
        </w:tc>
        <w:tc>
          <w:tcPr>
            <w:tcW w:w="160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9"/>
              </w:rPr>
              <w:t>Supply</w:t>
            </w:r>
          </w:p>
        </w:tc>
        <w:tc>
          <w:tcPr>
            <w:tcW w:w="306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3"/>
              </w:rPr>
              <w:t>Purchase</w:t>
            </w:r>
          </w:p>
        </w:tc>
        <w:tc>
          <w:tcPr>
            <w:tcW w:w="1820" w:type="dxa"/>
            <w:vAlign w:val="bottom"/>
            <w:tcBorders>
              <w:top w:val="single" w:sz="8" w:color="auto"/>
              <w:right w:val="single" w:sz="8" w:color="auto"/>
            </w:tcBorders>
          </w:tcPr>
          <w:p>
            <w:pPr>
              <w:ind w:left="440"/>
              <w:spacing w:after="0" w:line="236" w:lineRule="exact"/>
              <w:rPr>
                <w:sz w:val="20"/>
                <w:szCs w:val="20"/>
                <w:color w:val="auto"/>
              </w:rPr>
            </w:pPr>
            <w:r>
              <w:rPr>
                <w:rFonts w:ascii="Arial" w:cs="Arial" w:eastAsia="Arial" w:hAnsi="Arial"/>
                <w:sz w:val="22"/>
                <w:szCs w:val="22"/>
                <w:color w:val="auto"/>
              </w:rPr>
              <w:t>Order Qty.</w:t>
            </w:r>
          </w:p>
        </w:tc>
        <w:tc>
          <w:tcPr>
            <w:tcW w:w="350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1"/>
              </w:rPr>
              <w:t>Price (USD) per Kg</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5"/>
              </w:rPr>
              <w:t>Term</w:t>
            </w:r>
          </w:p>
        </w:tc>
        <w:tc>
          <w:tcPr>
            <w:tcW w:w="16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5"/>
              </w:rPr>
              <w:t>Year</w:t>
            </w:r>
          </w:p>
        </w:tc>
        <w:tc>
          <w:tcPr>
            <w:tcW w:w="30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Order Placement</w:t>
            </w:r>
          </w:p>
        </w:tc>
        <w:tc>
          <w:tcPr>
            <w:tcW w:w="18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(x1000)</w:t>
            </w:r>
          </w:p>
        </w:tc>
        <w:tc>
          <w:tcPr>
            <w:tcW w:w="3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Date</w:t>
            </w:r>
          </w:p>
        </w:tc>
        <w:tc>
          <w:tcPr>
            <w:tcW w:w="1820" w:type="dxa"/>
            <w:vAlign w:val="bottom"/>
            <w:tcBorders>
              <w:bottom w:val="single" w:sz="8" w:color="auto"/>
              <w:right w:val="single" w:sz="8" w:color="auto"/>
            </w:tcBorders>
          </w:tcPr>
          <w:p>
            <w:pPr>
              <w:spacing w:after="0"/>
              <w:rPr>
                <w:sz w:val="23"/>
                <w:szCs w:val="23"/>
                <w:color w:val="auto"/>
              </w:rPr>
            </w:pPr>
          </w:p>
        </w:tc>
        <w:tc>
          <w:tcPr>
            <w:tcW w:w="35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1</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3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14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3060" w:type="dxa"/>
            <w:vAlign w:val="bottom"/>
            <w:tcBorders>
              <w:right w:val="single" w:sz="8" w:color="auto"/>
            </w:tcBorders>
            <w:vMerge w:val="restart"/>
          </w:tcPr>
          <w:p>
            <w:pPr>
              <w:jc w:val="center"/>
              <w:spacing w:after="0" w:line="237" w:lineRule="exact"/>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4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3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2</w:t>
            </w:r>
          </w:p>
        </w:tc>
        <w:tc>
          <w:tcPr>
            <w:tcW w:w="16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3</w:t>
            </w:r>
          </w:p>
        </w:tc>
        <w:tc>
          <w:tcPr>
            <w:tcW w:w="16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4</w:t>
            </w:r>
          </w:p>
        </w:tc>
        <w:tc>
          <w:tcPr>
            <w:tcW w:w="16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5</w:t>
            </w:r>
          </w:p>
        </w:tc>
        <w:tc>
          <w:tcPr>
            <w:tcW w:w="16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6</w:t>
            </w:r>
          </w:p>
        </w:tc>
        <w:tc>
          <w:tcPr>
            <w:tcW w:w="16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0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*Cumulative Kg’s purchased over Supply Terms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**BioVectra may increase price in Supply Term 3, by up to [**] to account for cost increases to raw materials, utilities etc. BioVectra will provide Keryx with justification for any such cost increase.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b w:val="1"/>
          <w:bCs w:val="1"/>
          <w:u w:val="single" w:color="auto"/>
          <w:color w:val="auto"/>
        </w:rPr>
        <w:t>Surcharges for Product 7067:</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3800" w:type="dxa"/>
            <w:vAlign w:val="bottom"/>
            <w:tcBorders>
              <w:top w:val="single" w:sz="8" w:color="auto"/>
              <w:left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9"/>
              </w:rPr>
              <w:t>Supply</w:t>
            </w:r>
          </w:p>
        </w:tc>
        <w:tc>
          <w:tcPr>
            <w:tcW w:w="376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2"/>
              </w:rPr>
              <w:t>Supply</w:t>
            </w:r>
          </w:p>
        </w:tc>
        <w:tc>
          <w:tcPr>
            <w:tcW w:w="386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1"/>
              </w:rPr>
              <w:t>Price (USD) per Kg</w:t>
            </w:r>
          </w:p>
        </w:tc>
        <w:tc>
          <w:tcPr>
            <w:tcW w:w="20" w:type="dxa"/>
            <w:vAlign w:val="bottom"/>
          </w:tcPr>
          <w:p>
            <w:pPr>
              <w:spacing w:after="0"/>
              <w:rPr>
                <w:sz w:val="20"/>
                <w:szCs w:val="20"/>
                <w:color w:val="auto"/>
              </w:rPr>
            </w:pPr>
          </w:p>
        </w:tc>
      </w:tr>
      <w:tr>
        <w:trPr>
          <w:trHeight w:val="265"/>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Term</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Year</w:t>
            </w:r>
          </w:p>
        </w:tc>
        <w:tc>
          <w:tcPr>
            <w:tcW w:w="386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68"/>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1</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r>
      <w:tr>
        <w:trPr>
          <w:trHeight w:val="185"/>
        </w:trPr>
        <w:tc>
          <w:tcPr>
            <w:tcW w:w="3800" w:type="dxa"/>
            <w:vAlign w:val="bottom"/>
            <w:tcBorders>
              <w:left w:val="single" w:sz="8" w:color="auto"/>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2</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r>
      <w:tr>
        <w:trPr>
          <w:trHeight w:val="185"/>
        </w:trPr>
        <w:tc>
          <w:tcPr>
            <w:tcW w:w="3800" w:type="dxa"/>
            <w:vAlign w:val="bottom"/>
            <w:tcBorders>
              <w:left w:val="single" w:sz="8" w:color="auto"/>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3</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r>
      <w:tr>
        <w:trPr>
          <w:trHeight w:val="185"/>
        </w:trPr>
        <w:tc>
          <w:tcPr>
            <w:tcW w:w="3800" w:type="dxa"/>
            <w:vAlign w:val="bottom"/>
            <w:tcBorders>
              <w:left w:val="single" w:sz="8" w:color="auto"/>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4</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r>
      <w:tr>
        <w:trPr>
          <w:trHeight w:val="185"/>
        </w:trPr>
        <w:tc>
          <w:tcPr>
            <w:tcW w:w="3800" w:type="dxa"/>
            <w:vAlign w:val="bottom"/>
            <w:tcBorders>
              <w:left w:val="single" w:sz="8" w:color="auto"/>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5</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r>
      <w:tr>
        <w:trPr>
          <w:trHeight w:val="185"/>
        </w:trPr>
        <w:tc>
          <w:tcPr>
            <w:tcW w:w="3800" w:type="dxa"/>
            <w:vAlign w:val="bottom"/>
            <w:tcBorders>
              <w:left w:val="single" w:sz="8" w:color="auto"/>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8"/>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6</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r>
      <w:tr>
        <w:trPr>
          <w:trHeight w:val="185"/>
        </w:trPr>
        <w:tc>
          <w:tcPr>
            <w:tcW w:w="3800" w:type="dxa"/>
            <w:vAlign w:val="bottom"/>
            <w:tcBorders>
              <w:left w:val="single" w:sz="8" w:color="auto"/>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706"/>
        </w:trPr>
        <w:tc>
          <w:tcPr>
            <w:tcW w:w="3800" w:type="dxa"/>
            <w:vAlign w:val="bottom"/>
          </w:tcPr>
          <w:p>
            <w:pPr>
              <w:spacing w:after="0"/>
              <w:rPr>
                <w:sz w:val="24"/>
                <w:szCs w:val="24"/>
                <w:color w:val="auto"/>
              </w:rPr>
            </w:pPr>
          </w:p>
        </w:tc>
        <w:tc>
          <w:tcPr>
            <w:tcW w:w="3760" w:type="dxa"/>
            <w:vAlign w:val="bottom"/>
          </w:tcPr>
          <w:p>
            <w:pPr>
              <w:jc w:val="right"/>
              <w:ind w:right="1692"/>
              <w:spacing w:after="0"/>
              <w:rPr>
                <w:sz w:val="20"/>
                <w:szCs w:val="20"/>
                <w:color w:val="auto"/>
              </w:rPr>
            </w:pPr>
            <w:r>
              <w:rPr>
                <w:rFonts w:ascii="Arial" w:cs="Arial" w:eastAsia="Arial" w:hAnsi="Arial"/>
                <w:sz w:val="22"/>
                <w:szCs w:val="22"/>
                <w:color w:val="auto"/>
              </w:rPr>
              <w:t>9</w:t>
            </w: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80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b w:val="1"/>
          <w:bCs w:val="1"/>
          <w:u w:val="single" w:color="auto"/>
          <w:color w:val="auto"/>
        </w:rPr>
        <w:t>Additional Service Requests FTE Rates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20" w:type="dxa"/>
            <w:vAlign w:val="bottom"/>
            <w:tcBorders>
              <w:top w:val="single" w:sz="8" w:color="auto"/>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Resource Level</w:t>
            </w:r>
          </w:p>
        </w:tc>
        <w:tc>
          <w:tcPr>
            <w:tcW w:w="2280" w:type="dxa"/>
            <w:vAlign w:val="bottom"/>
            <w:tcBorders>
              <w:top w:val="single" w:sz="8" w:color="auto"/>
              <w:bottom w:val="single" w:sz="8" w:color="auto"/>
              <w:right w:val="single" w:sz="8" w:color="auto"/>
            </w:tcBorders>
          </w:tcPr>
          <w:p>
            <w:pPr>
              <w:spacing w:after="0"/>
              <w:rPr>
                <w:sz w:val="22"/>
                <w:szCs w:val="22"/>
                <w:color w:val="auto"/>
              </w:rPr>
            </w:pP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Hourly Rate (USD) per Hour</w:t>
            </w: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r>
      <w:tr>
        <w:trPr>
          <w:trHeight w:val="237"/>
        </w:trPr>
        <w:tc>
          <w:tcPr>
            <w:tcW w:w="3520" w:type="dxa"/>
            <w:vAlign w:val="bottom"/>
            <w:tcBorders>
              <w:left w:val="single" w:sz="8" w:color="auto"/>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w:t>
            </w:r>
          </w:p>
        </w:tc>
      </w:tr>
      <w:tr>
        <w:trPr>
          <w:trHeight w:val="706"/>
        </w:trPr>
        <w:tc>
          <w:tcPr>
            <w:tcW w:w="3520" w:type="dxa"/>
            <w:vAlign w:val="bottom"/>
          </w:tcPr>
          <w:p>
            <w:pPr>
              <w:spacing w:after="0"/>
              <w:rPr>
                <w:sz w:val="24"/>
                <w:szCs w:val="24"/>
                <w:color w:val="auto"/>
              </w:rPr>
            </w:pPr>
          </w:p>
        </w:tc>
        <w:tc>
          <w:tcPr>
            <w:tcW w:w="7900" w:type="dxa"/>
            <w:vAlign w:val="bottom"/>
            <w:gridSpan w:val="2"/>
          </w:tcPr>
          <w:p>
            <w:pPr>
              <w:jc w:val="right"/>
              <w:ind w:right="5492"/>
              <w:spacing w:after="0"/>
              <w:rPr>
                <w:sz w:val="20"/>
                <w:szCs w:val="20"/>
                <w:color w:val="auto"/>
              </w:rPr>
            </w:pPr>
            <w:r>
              <w:rPr>
                <w:rFonts w:ascii="Arial" w:cs="Arial" w:eastAsia="Arial" w:hAnsi="Arial"/>
                <w:sz w:val="22"/>
                <w:szCs w:val="22"/>
                <w:color w:val="auto"/>
              </w:rPr>
              <w:t>10</w:t>
            </w:r>
          </w:p>
        </w:tc>
      </w:tr>
    </w:tbl>
    <w:p>
      <w:pPr>
        <w:sectPr>
          <w:pgSz w:w="11900" w:h="16838" w:orient="portrait"/>
          <w:cols w:equalWidth="0" w:num="1">
            <w:col w:w="11420"/>
          </w:cols>
          <w:pgMar w:left="240" w:top="355"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640" w:type="dxa"/>
            <w:vAlign w:val="bottom"/>
            <w:gridSpan w:val="3"/>
          </w:tcPr>
          <w:p>
            <w:pPr>
              <w:ind w:left="320"/>
              <w:spacing w:after="0"/>
              <w:rPr>
                <w:sz w:val="20"/>
                <w:szCs w:val="20"/>
                <w:color w:val="auto"/>
              </w:rPr>
            </w:pPr>
            <w:r>
              <w:rPr>
                <w:rFonts w:ascii="Arial" w:cs="Arial" w:eastAsia="Arial" w:hAnsi="Arial"/>
                <w:sz w:val="18"/>
                <w:szCs w:val="18"/>
                <w:b w:val="1"/>
                <w:bCs w:val="1"/>
                <w:color w:val="auto"/>
              </w:rPr>
              <w:t>SUBSIDIARIES OF THE REGISTRANT</w:t>
            </w:r>
          </w:p>
        </w:tc>
      </w:tr>
      <w:tr>
        <w:trPr>
          <w:trHeight w:val="473"/>
        </w:trPr>
        <w:tc>
          <w:tcPr>
            <w:tcW w:w="3780" w:type="dxa"/>
            <w:vAlign w:val="bottom"/>
            <w:gridSpan w:val="2"/>
          </w:tcPr>
          <w:p>
            <w:pPr>
              <w:spacing w:after="0"/>
              <w:rPr>
                <w:sz w:val="20"/>
                <w:szCs w:val="20"/>
                <w:color w:val="auto"/>
              </w:rPr>
            </w:pPr>
            <w:r>
              <w:rPr>
                <w:rFonts w:ascii="Arial" w:cs="Arial" w:eastAsia="Arial" w:hAnsi="Arial"/>
                <w:sz w:val="18"/>
                <w:szCs w:val="18"/>
                <w:color w:val="auto"/>
              </w:rPr>
              <w:t>Name</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Jurisdiction of Organization</w:t>
            </w:r>
          </w:p>
        </w:tc>
      </w:tr>
      <w:tr>
        <w:trPr>
          <w:trHeight w:val="222"/>
        </w:trPr>
        <w:tc>
          <w:tcPr>
            <w:tcW w:w="20" w:type="dxa"/>
            <w:vAlign w:val="bottom"/>
          </w:tcPr>
          <w:p>
            <w:pPr>
              <w:spacing w:after="0"/>
              <w:rPr>
                <w:sz w:val="19"/>
                <w:szCs w:val="19"/>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Akebia Therapeutics Securities Corporation</w:t>
            </w:r>
          </w:p>
        </w:tc>
        <w:tc>
          <w:tcPr>
            <w:tcW w:w="1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Massachusetts</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Akebia Europe Limited</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Ireland</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Keryx Biopharmaceuticals, Inc.</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ACCESS Oncology, Inc.</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Accumin Diagnostics, Inc.</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AOI Pharma, Inc.</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AOI Pharmaceuticals, Inc.</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Neryx Biopharmaceuticals, Inc.</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Online Collaborative Oncology Group, Inc.</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Keryx Biopharma UK Ltd.</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2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Keryx Israel, Ltd.</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Israel</w:t>
            </w:r>
          </w:p>
        </w:tc>
      </w:tr>
      <w:tr>
        <w:trPr>
          <w:trHeight w:val="230"/>
        </w:trPr>
        <w:tc>
          <w:tcPr>
            <w:tcW w:w="20" w:type="dxa"/>
            <w:vAlign w:val="bottom"/>
          </w:tcPr>
          <w:p>
            <w:pPr>
              <w:spacing w:after="0"/>
              <w:rPr>
                <w:sz w:val="20"/>
                <w:szCs w:val="20"/>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Keryx Biomedical Technologies, Ltd.</w:t>
            </w: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1420"/>
          </w:cols>
          <w:pgMar w:left="240" w:top="121"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560" w:firstLine="2561"/>
        <w:spacing w:after="0" w:line="440"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760" w:hanging="374"/>
        <w:spacing w:after="0"/>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S-3 No. 333-211175) of Akebia Therapeutics, Inc.,</w:t>
      </w:r>
    </w:p>
    <w:p>
      <w:pPr>
        <w:spacing w:after="0" w:line="171" w:lineRule="exact"/>
        <w:rPr>
          <w:rFonts w:ascii="Arial" w:cs="Arial" w:eastAsia="Arial" w:hAnsi="Arial"/>
          <w:sz w:val="18"/>
          <w:szCs w:val="18"/>
          <w:color w:val="auto"/>
        </w:rPr>
      </w:pPr>
    </w:p>
    <w:p>
      <w:pPr>
        <w:ind w:left="760" w:hanging="374"/>
        <w:spacing w:after="0"/>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S-3 No. 333-223585) of Akebia Therapeutics, Inc.,</w:t>
      </w:r>
    </w:p>
    <w:p>
      <w:pPr>
        <w:spacing w:after="0" w:line="171"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S-8 No. 333-196748) pertaining to the Amended and Restated 2008 Equity Incentive Plan, the 2014 Incentive Plan, and the 2014 Employee Stock Purchase Plan of Akebia Therapeutics, Inc.,</w:t>
      </w:r>
    </w:p>
    <w:p>
      <w:pPr>
        <w:spacing w:after="0" w:line="116"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S-8 No. 333-209469) pertaining to the 2014 Incentive Plan and the 2014 Employee Stock Purchase Plan of Akebia Therapeutics, Inc.,</w:t>
      </w:r>
    </w:p>
    <w:p>
      <w:pPr>
        <w:spacing w:after="0" w:line="116"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S-8 No. 333-216475) pertaining to the 2014 Incentive Plan and the 2016 Inducement Award Program of Akebia Therapeutics, Inc.,</w:t>
      </w:r>
    </w:p>
    <w:p>
      <w:pPr>
        <w:spacing w:after="0" w:line="116"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S-8 No. 333-222728) pertaining to the 2014 Incentive Plan and the 2016 Inducement Award Program of Akebia Therapeutics, Inc.,</w:t>
      </w:r>
    </w:p>
    <w:p>
      <w:pPr>
        <w:spacing w:after="0" w:line="116" w:lineRule="exact"/>
        <w:rPr>
          <w:rFonts w:ascii="Arial" w:cs="Arial" w:eastAsia="Arial" w:hAnsi="Arial"/>
          <w:sz w:val="18"/>
          <w:szCs w:val="18"/>
          <w:color w:val="auto"/>
        </w:rPr>
      </w:pPr>
    </w:p>
    <w:p>
      <w:pPr>
        <w:ind w:left="760" w:hanging="374"/>
        <w:spacing w:after="0"/>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S-4 No. 333-227622) of Akebia Therapeutics, Inc.,</w:t>
      </w:r>
    </w:p>
    <w:p>
      <w:pPr>
        <w:spacing w:after="0" w:line="17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S-8 No. 333-228772) pertaining to the 2014 Incentive Plan of Akebia Therapeutics, Inc. and the 1999 Share Option Plan, 2004 Long-Term Incentive Plan, 2007 Incentive Plan, Amended and Restated 2013 Incentive Plan, and 2018 Equity Incentive Plan of Keryx Biopharmaceuticals, Inc., and</w:t>
      </w:r>
    </w:p>
    <w:p>
      <w:pPr>
        <w:spacing w:after="0" w:line="127"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Registration Statement (Form S-8 No. 333-229366) pertaining to the 2014 Incentive Plan, the 2014 Employee Stock Purchase Plan, and the Inducement Grants (January 2018 – December 2018) of Akebia Therapeutics, Inc.</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March 26, 2019, with respect to the consolidated financial statements of Akebia Therapeutics, Inc. included in this Annual Report (Form 10-K) for the year ended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ectPr>
          <w:pgSz w:w="11900" w:h="16838" w:orient="portrait"/>
          <w:cols w:equalWidth="0" w:num="1">
            <w:col w:w="11420"/>
          </w:cols>
          <w:pgMar w:left="240" w:top="337"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23.2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hereby consent to the incorporation by reference in registration statements on Form S-3 (File Nos. 333-211175, 333-223585), Form S-4 (File No. 333-227622) and Form S-8 (File Nos. 333-196748, 333-209469, 333-216475, 333-222728, 333-228772, 333-229366) of Akebia Therapeutics, Inc., of our report dated February 21, 2018, with respect to the consolidated balance sheets of Keryx Biopharmaceuticals, Inc. and Subsidiaries (the “Company”), as of December 31, 2017 and 2016, and the related consolidated statements of operations, stockholders’ (deficit) equity, and cash flows for each year in the three-year period ended December 31, 2017 included in Akebia Therapeutics, Inc.’s annual report on Form 10-K as of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ectPr>
          <w:pgSz w:w="11900" w:h="16838" w:orient="portrait"/>
          <w:cols w:equalWidth="0" w:num="1">
            <w:col w:w="11420"/>
          </w:cols>
          <w:pgMar w:left="240" w:top="351"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John P. Butler, certify that:</w:t>
      </w:r>
    </w:p>
    <w:p>
      <w:pPr>
        <w:spacing w:after="0" w:line="117" w:lineRule="exact"/>
        <w:rPr>
          <w:sz w:val="20"/>
          <w:szCs w:val="20"/>
          <w:color w:val="auto"/>
        </w:rPr>
      </w:pPr>
    </w:p>
    <w:p>
      <w:pPr>
        <w:ind w:left="520" w:hanging="512"/>
        <w:spacing w:after="0"/>
        <w:tabs>
          <w:tab w:leader="none" w:pos="5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Akebia Therapeutics,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March 26, 2019</w:t>
            </w:r>
          </w:p>
        </w:tc>
        <w:tc>
          <w:tcPr>
            <w:tcW w:w="7700" w:type="dxa"/>
            <w:vAlign w:val="bottom"/>
            <w:gridSpan w:val="2"/>
          </w:tcPr>
          <w:p>
            <w:pPr>
              <w:ind w:left="2120"/>
              <w:spacing w:after="0"/>
              <w:rPr>
                <w:sz w:val="20"/>
                <w:szCs w:val="20"/>
                <w:color w:val="auto"/>
              </w:rPr>
            </w:pPr>
            <w:r>
              <w:rPr>
                <w:rFonts w:ascii="Arial" w:cs="Arial" w:eastAsia="Arial" w:hAnsi="Arial"/>
                <w:sz w:val="18"/>
                <w:szCs w:val="18"/>
                <w:color w:val="auto"/>
              </w:rPr>
              <w:t>By:  /s/ John P. Butler</w:t>
            </w:r>
          </w:p>
        </w:tc>
      </w:tr>
      <w:tr>
        <w:trPr>
          <w:trHeight w:val="195"/>
        </w:trPr>
        <w:tc>
          <w:tcPr>
            <w:tcW w:w="3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P. Butler</w:t>
            </w:r>
          </w:p>
        </w:tc>
      </w:tr>
      <w:tr>
        <w:trPr>
          <w:trHeight w:val="216"/>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Jason A. Amello, certify that:</w:t>
      </w:r>
    </w:p>
    <w:p>
      <w:pPr>
        <w:spacing w:after="0" w:line="117" w:lineRule="exact"/>
        <w:rPr>
          <w:sz w:val="20"/>
          <w:szCs w:val="20"/>
          <w:color w:val="auto"/>
        </w:rPr>
      </w:pPr>
    </w:p>
    <w:p>
      <w:pPr>
        <w:ind w:left="520" w:hanging="512"/>
        <w:spacing w:after="0"/>
        <w:tabs>
          <w:tab w:leader="none" w:pos="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Akebia Therapeutics,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March 26, 2019</w:t>
            </w:r>
          </w:p>
        </w:tc>
        <w:tc>
          <w:tcPr>
            <w:tcW w:w="7700" w:type="dxa"/>
            <w:vAlign w:val="bottom"/>
            <w:gridSpan w:val="2"/>
          </w:tcPr>
          <w:p>
            <w:pPr>
              <w:ind w:left="2120"/>
              <w:spacing w:after="0"/>
              <w:rPr>
                <w:sz w:val="20"/>
                <w:szCs w:val="20"/>
                <w:color w:val="auto"/>
              </w:rPr>
            </w:pPr>
            <w:r>
              <w:rPr>
                <w:rFonts w:ascii="Arial" w:cs="Arial" w:eastAsia="Arial" w:hAnsi="Arial"/>
                <w:sz w:val="18"/>
                <w:szCs w:val="18"/>
                <w:color w:val="auto"/>
              </w:rPr>
              <w:t>By:  /s/ Jason A. Amello</w:t>
            </w:r>
          </w:p>
        </w:tc>
      </w:tr>
      <w:tr>
        <w:trPr>
          <w:trHeight w:val="195"/>
        </w:trPr>
        <w:tc>
          <w:tcPr>
            <w:tcW w:w="3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Jason A. Amello</w:t>
            </w:r>
          </w:p>
        </w:tc>
      </w:tr>
      <w:tr>
        <w:trPr>
          <w:trHeight w:val="216"/>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30"/>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37"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accompanying Annual Report of Akebia Therapeutics, Inc. (the Company) on Form 10-K for the fiscal year ended December 31, 2018 (the Report), I, John P. Butler, as Chief Executive Officer and President of the Company, and I, Jason A. Amello, as Senior Vice President, Chief Financial Officer and Treasurer of the Company,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March 26, 2019</w:t>
            </w:r>
          </w:p>
        </w:tc>
        <w:tc>
          <w:tcPr>
            <w:tcW w:w="3080" w:type="dxa"/>
            <w:vAlign w:val="bottom"/>
          </w:tcPr>
          <w:p>
            <w:pPr>
              <w:ind w:left="25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Butler</w:t>
            </w:r>
          </w:p>
        </w:tc>
      </w:tr>
      <w:tr>
        <w:trPr>
          <w:trHeight w:val="195"/>
        </w:trPr>
        <w:tc>
          <w:tcPr>
            <w:tcW w:w="41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John P. Butler</w:t>
            </w:r>
          </w:p>
        </w:tc>
      </w:tr>
      <w:tr>
        <w:trPr>
          <w:trHeight w:val="216"/>
        </w:trPr>
        <w:tc>
          <w:tcPr>
            <w:tcW w:w="4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4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Date: March 26, 2019</w:t>
            </w:r>
          </w:p>
        </w:tc>
        <w:tc>
          <w:tcPr>
            <w:tcW w:w="3080" w:type="dxa"/>
            <w:vAlign w:val="bottom"/>
          </w:tcPr>
          <w:p>
            <w:pPr>
              <w:ind w:left="25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A. Amello</w:t>
            </w:r>
          </w:p>
        </w:tc>
      </w:tr>
      <w:tr>
        <w:trPr>
          <w:trHeight w:val="195"/>
        </w:trPr>
        <w:tc>
          <w:tcPr>
            <w:tcW w:w="41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Jason A. Amello</w:t>
            </w:r>
          </w:p>
        </w:tc>
      </w:tr>
      <w:tr>
        <w:trPr>
          <w:trHeight w:val="216"/>
        </w:trPr>
        <w:tc>
          <w:tcPr>
            <w:tcW w:w="4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16"/>
        </w:trPr>
        <w:tc>
          <w:tcPr>
            <w:tcW w:w="4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and Treasurer</w:t>
            </w:r>
          </w:p>
        </w:tc>
      </w:tr>
      <w:tr>
        <w:trPr>
          <w:trHeight w:val="230"/>
        </w:trPr>
        <w:tc>
          <w:tcPr>
            <w:tcW w:w="4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37"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AND KERYX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211" w:lineRule="exact"/>
        <w:rPr>
          <w:sz w:val="20"/>
          <w:szCs w:val="20"/>
          <w:color w:val="auto"/>
        </w:rPr>
      </w:pPr>
    </w:p>
    <w:p>
      <w:pPr>
        <w:ind w:right="140" w:firstLine="815"/>
        <w:spacing w:after="0" w:line="302" w:lineRule="auto"/>
        <w:rPr>
          <w:sz w:val="20"/>
          <w:szCs w:val="20"/>
          <w:color w:val="auto"/>
        </w:rPr>
      </w:pPr>
      <w:r>
        <w:rPr>
          <w:rFonts w:ascii="Arial" w:cs="Arial" w:eastAsia="Arial" w:hAnsi="Arial"/>
          <w:sz w:val="16"/>
          <w:szCs w:val="16"/>
          <w:color w:val="auto"/>
        </w:rPr>
        <w:t>On June 28, 2018, Keryx Biopharmaceuticals, Inc. (“Keryx”), Akebia Therapeutics, Inc. (“Akebia”), and Alpha Therapeutics Merger Sub, Inc., a wholly owned subsidiary of Akebia (“Merger Sub”), entered into an Agreement and Plan of Merger, dated as of June 28, 2018, as amended on October 1, 2018 (and as amended from time to time, the “Merger Agreement”). On December 12, 2018, the merger contemplated by the Merger Agreement (the “Merger”) was completed through a merger of Merger Sub with and into Keryx, with Keryx becoming a wholly owned subsidiary of Akebia.</w:t>
      </w:r>
    </w:p>
    <w:p>
      <w:pPr>
        <w:spacing w:after="0" w:line="154" w:lineRule="exact"/>
        <w:rPr>
          <w:sz w:val="20"/>
          <w:szCs w:val="20"/>
          <w:color w:val="auto"/>
        </w:rPr>
      </w:pPr>
    </w:p>
    <w:p>
      <w:pPr>
        <w:ind w:right="20" w:firstLine="815"/>
        <w:spacing w:after="0" w:line="291" w:lineRule="auto"/>
        <w:rPr>
          <w:sz w:val="20"/>
          <w:szCs w:val="20"/>
          <w:color w:val="auto"/>
        </w:rPr>
      </w:pPr>
      <w:r>
        <w:rPr>
          <w:rFonts w:ascii="Arial" w:cs="Arial" w:eastAsia="Arial" w:hAnsi="Arial"/>
          <w:sz w:val="16"/>
          <w:szCs w:val="16"/>
          <w:color w:val="auto"/>
        </w:rPr>
        <w:t>The following unaudited pro forma condensed combined financial statements were prepared in connection with the preparation of the joint proxy statement and prospectus with respect to the Merger on behalf of Akebia and Keryx prior to the completion of the Merger to illustrate the estimated effects of the Merger at the time of preparation. The following unaudited pro forma condensed combined financial statements and the related notes hereto have not been updated to reflect any financial or other results that have occurred since the date of preparation, including the completion of the Merger. The unaudited pro forma condensed combined balance sheet as of June 30, 2018 reflects pro forma adjustments to the financial position of Akebia to give effect to the Merger as if it had occurred on June 30, 2018. The unaudited pro forma condensed combined statements of operations for the year ended December 31, 2017 and the six months ended June 30, 2018, reflect pro forma adjustments to the results of operations of Akebia to give effect to the Merger as if it had occurred on January 1, 2017.</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unaudited pro forma condensed combined financial statements are based on, and should be read in conjunction with:</w:t>
      </w:r>
    </w:p>
    <w:p>
      <w:pPr>
        <w:spacing w:after="0" w:line="117" w:lineRule="exact"/>
        <w:rPr>
          <w:sz w:val="20"/>
          <w:szCs w:val="20"/>
          <w:color w:val="auto"/>
        </w:rPr>
      </w:pPr>
    </w:p>
    <w:p>
      <w:pPr>
        <w:ind w:left="960" w:hanging="398"/>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Akebia as of and for the year ended December 31, 2017;</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Keryx as of and for the year ended December 31, 2017;</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historical unaudited condensed consolidated financial statements of Akebia as of and for the six months ended June 30, 2018; and</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Keryx as of and for the six months ended June 30, 2018.</w:t>
      </w:r>
    </w:p>
    <w:p>
      <w:pPr>
        <w:spacing w:after="0" w:line="225" w:lineRule="exact"/>
        <w:rPr>
          <w:sz w:val="20"/>
          <w:szCs w:val="20"/>
          <w:color w:val="auto"/>
        </w:rPr>
      </w:pPr>
    </w:p>
    <w:p>
      <w:pPr>
        <w:ind w:right="20" w:firstLine="815"/>
        <w:spacing w:after="0" w:line="289" w:lineRule="auto"/>
        <w:rPr>
          <w:sz w:val="20"/>
          <w:szCs w:val="20"/>
          <w:color w:val="auto"/>
        </w:rPr>
      </w:pPr>
      <w:r>
        <w:rPr>
          <w:rFonts w:ascii="Arial" w:cs="Arial" w:eastAsia="Arial" w:hAnsi="Arial"/>
          <w:sz w:val="16"/>
          <w:szCs w:val="16"/>
          <w:color w:val="auto"/>
        </w:rPr>
        <w:t>The unaudited pro forma condensed combined financial statements have been prepared by Akebia management for illustrative purposes only and are not necessarily indicative of the consolidated financial position or results of operations that would have been realized had the Merger occurred as of the dates indicated, nor is it meant to be indicative of the consolidated financial position or future results of operations of the combined company for any period following the Merger. The historical consolidated financial information has been adjusted in the accompanying unaudited pro forma condensed combined financial statements to give pro forma effect to events that are (1) directly attributable to the Merger, (2) factually supportable and (3) with respect to the unaudited pro forma condensed combined statements of operations, expected to have a continuing impact on the combined results. The pro forma adjustments included in the accompanying unaudited pro forma condensed combined financial statements are based on currently available data and assumptions that Akebia believes are reasonable. However, the unaudited pro forma condensed combined statements of operations do not include the impacts of any revenue, cost or other operating synergies that may result or have resulted from the Merger or any non-recurring activity and one-time transaction-related costs.</w:t>
      </w:r>
    </w:p>
    <w:p>
      <w:pPr>
        <w:spacing w:after="0" w:line="167" w:lineRule="exact"/>
        <w:rPr>
          <w:sz w:val="20"/>
          <w:szCs w:val="20"/>
          <w:color w:val="auto"/>
        </w:rPr>
      </w:pPr>
    </w:p>
    <w:p>
      <w:pPr>
        <w:ind w:firstLine="815"/>
        <w:spacing w:after="0" w:line="312" w:lineRule="auto"/>
        <w:rPr>
          <w:sz w:val="20"/>
          <w:szCs w:val="20"/>
          <w:color w:val="auto"/>
        </w:rPr>
      </w:pPr>
      <w:r>
        <w:rPr>
          <w:rFonts w:ascii="Arial" w:cs="Arial" w:eastAsia="Arial" w:hAnsi="Arial"/>
          <w:sz w:val="15"/>
          <w:szCs w:val="15"/>
          <w:color w:val="auto"/>
        </w:rPr>
        <w:t>In the accompanying unaudited pro forma condensed combined financial statements, the Merger has been accounted for as a business combination using the acquisition method of accounting under the provisions of Accounting Standards Codification 805 (“ASC 805”). Under ASC 805, Akebia, as the accounting acquirer, records assets acquired and liabilities assumed in a business combination at their fair values as of the acquisition date. Fair value measurements can be highly subjective and the reasonable application of measurement principles may result in a range of alternative estimates using the same facts and circumstances. Under ASC 805, transaction costs are not included as a component of consideration transferred and are expensed as incurred. The excess of the purchase price (consideration transferred) over the aggregate estimated fair value of identifiable assets and liabilities as of the acquisition date is allocated to goodwill in accordance with ASC 805. The final valuation of assets acquired and liabilities assumed related to the Merger is expected to be completed as soon as practicable, but no later than one year after the consummation of the Merger. The allocation of purchase consideration reflected in the unaudited pro forma condensed combined financial statements is preliminary and was subsequently adjusted based on the fair value of purchase consideration on the date of the Merger and upon completion of Akebia’s final valuations of the fair value of the assets acquired and liabilities assumed of Keryx as of the date of the Merger, which requires extensive use of accounting estimates and management judgment and these preliminary adjustments may be materially different from actual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72891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4"/>
                <w:szCs w:val="14"/>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Merger</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Akebia</w:t>
            </w:r>
          </w:p>
        </w:tc>
        <w:tc>
          <w:tcPr>
            <w:tcW w:w="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Keryx</w:t>
            </w: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5" w:lineRule="exact"/>
              <w:rPr>
                <w:sz w:val="20"/>
                <w:szCs w:val="20"/>
                <w:color w:val="auto"/>
              </w:rPr>
            </w:pPr>
            <w:r>
              <w:rPr>
                <w:rFonts w:ascii="Arial" w:cs="Arial" w:eastAsia="Arial" w:hAnsi="Arial"/>
                <w:sz w:val="14"/>
                <w:szCs w:val="14"/>
                <w:color w:val="auto"/>
                <w:w w:val="94"/>
              </w:rPr>
              <w:t>(Note 4)</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163,526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(4,925)</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(6a)</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Available for sale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238,597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116,055</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(6b)</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407,417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125,614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111,130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13,981</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(6c)</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263,370</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(6d)</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413,781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388,481</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4,795</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17,583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81,012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21,643</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(6e)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Short-term deferred revenue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(402)</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(6f, g)</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164,420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21,241</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(1,706)</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(6f, g)</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(130,088)</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(6h)</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247,857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(110,553)</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(6h, i, j)</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594,676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1,000,381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(490,223)</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(6h, i, j, k)</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(6j)</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(428,294)</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(1,041,336)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989,019</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(6e, h, j, k)</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(480,611)</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(41,192)</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499,034</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413,781</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145,651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388,481</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947,913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4"/>
                <w:szCs w:val="14"/>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Merger</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Akebia</w:t>
            </w:r>
          </w:p>
        </w:tc>
        <w:tc>
          <w:tcPr>
            <w:tcW w:w="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Keryx</w:t>
            </w: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3"/>
              <w:spacing w:after="0" w:line="155" w:lineRule="exact"/>
              <w:rPr>
                <w:sz w:val="20"/>
                <w:szCs w:val="20"/>
                <w:color w:val="auto"/>
              </w:rPr>
            </w:pPr>
            <w:r>
              <w:rPr>
                <w:rFonts w:ascii="Arial" w:cs="Arial" w:eastAsia="Arial" w:hAnsi="Arial"/>
                <w:sz w:val="14"/>
                <w:szCs w:val="14"/>
                <w:color w:val="auto"/>
                <w:w w:val="94"/>
              </w:rPr>
              <w:t>(Note 4)</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55,514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License, collaboration and other revenue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177,984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58,060</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(7a, b, c)</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230,893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(7a, b)</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(7a, b)</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License expense</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 and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257,901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89,968</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(79,917)</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(101,691)</w:t>
            </w: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(88,468)</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(270,076)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(7f)</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(62,965)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62,965</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(7f)</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(76,914)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(163,675)</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(25,728)</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(266,317)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(163,440)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(25,728)</w:t>
            </w:r>
          </w:p>
        </w:tc>
        <w:tc>
          <w:tcPr>
            <w:tcW w:w="1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(266,082)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(7g)</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common shares outstanding, basic and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43,500,795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114,507,668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59,898,637</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(7h)</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103,399,432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Merger</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Pro Forma</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Notes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Akebia</w:t>
            </w: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Keryx</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Adjustments</w:t>
            </w:r>
          </w:p>
        </w:tc>
        <w:tc>
          <w:tcPr>
            <w:tcW w:w="1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3"/>
              <w:spacing w:after="0" w:line="155" w:lineRule="exact"/>
              <w:rPr>
                <w:sz w:val="20"/>
                <w:szCs w:val="20"/>
                <w:color w:val="auto"/>
              </w:rPr>
            </w:pPr>
            <w:r>
              <w:rPr>
                <w:rFonts w:ascii="Arial" w:cs="Arial" w:eastAsia="Arial" w:hAnsi="Arial"/>
                <w:sz w:val="14"/>
                <w:szCs w:val="14"/>
                <w:color w:val="auto"/>
                <w:w w:val="94"/>
              </w:rPr>
              <w:t>(Note 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44,727</w:t>
            </w:r>
          </w:p>
        </w:tc>
        <w:tc>
          <w:tcPr>
            <w:tcW w:w="24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License, collaboration and other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29,023</w:t>
            </w:r>
          </w:p>
        </w:tc>
        <w:tc>
          <w:tcPr>
            <w:tcW w:w="4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(7b, c)</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(7d)</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133,321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(7b)</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(8,274)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(7b, e)</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License expense</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 and expenses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35,463</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(60,160)</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(42,903)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(35,463)</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(138,526)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(7f)</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1,316</w:t>
            </w:r>
          </w:p>
        </w:tc>
        <w:tc>
          <w:tcPr>
            <w:tcW w:w="4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(7f)</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(57,487)</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(44,048)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(34,147)</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(135,682)</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(43,414)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(34,147)</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(135,048)</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(7g)</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5"/>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52,774,794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120,149,604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59,898,637</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(7h)</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112,673,431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0" w:name="page281"/>
    <w:bookmarkEnd w:id="280"/>
    <w:p>
      <w:pPr>
        <w:jc w:val="center"/>
        <w:ind w:right="-59"/>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Transaction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17" w:lineRule="exact"/>
        <w:rPr>
          <w:sz w:val="20"/>
          <w:szCs w:val="20"/>
          <w:color w:val="auto"/>
        </w:rPr>
      </w:pPr>
    </w:p>
    <w:p>
      <w:pPr>
        <w:ind w:right="100" w:firstLine="815"/>
        <w:spacing w:after="0" w:line="308" w:lineRule="auto"/>
        <w:rPr>
          <w:sz w:val="20"/>
          <w:szCs w:val="20"/>
          <w:color w:val="auto"/>
        </w:rPr>
      </w:pPr>
      <w:r>
        <w:rPr>
          <w:rFonts w:ascii="Arial" w:cs="Arial" w:eastAsia="Arial" w:hAnsi="Arial"/>
          <w:sz w:val="17"/>
          <w:szCs w:val="17"/>
          <w:color w:val="auto"/>
        </w:rPr>
        <w:t>On June 28, 2018, Keryx, Akebia, and Merger Sub, entered into the Merger Agreement. The merger contemplated by the Merger Agreement will be implemented through a merger of Merger Sub with and into Keryx, with Keryx becoming a wholly owned subsidiary of Akebia.</w:t>
      </w:r>
    </w:p>
    <w:p>
      <w:pPr>
        <w:spacing w:after="0" w:line="147" w:lineRule="exact"/>
        <w:rPr>
          <w:sz w:val="20"/>
          <w:szCs w:val="20"/>
          <w:color w:val="auto"/>
        </w:rPr>
      </w:pPr>
    </w:p>
    <w:p>
      <w:pPr>
        <w:ind w:right="40" w:firstLine="815"/>
        <w:spacing w:after="0" w:line="269" w:lineRule="auto"/>
        <w:rPr>
          <w:sz w:val="20"/>
          <w:szCs w:val="20"/>
          <w:color w:val="auto"/>
        </w:rPr>
      </w:pPr>
      <w:r>
        <w:rPr>
          <w:rFonts w:ascii="Arial" w:cs="Arial" w:eastAsia="Arial" w:hAnsi="Arial"/>
          <w:sz w:val="17"/>
          <w:szCs w:val="17"/>
          <w:color w:val="auto"/>
        </w:rPr>
        <w:t>Simultaneously with the execution of the Merger Agreement, Akebia entered into the Keryx Voting Agreement with Baupost, a beneficial owner of approximately 21% of the outstanding Keryx Shares as of the record date for the Keryx Special Meeting, and the Notes Conversion Agreement, defined below. Pursuant to the Voting Agreement, Baupost agreed, among other things, to vote its shares in favor of the adoption of the Merger Agreement and against any alternative proposal and against approval of any proposal made in opposition to, in competition with, or inconsistent with, the Merger Agreement or the Merger or any other transactions contemplated by the Merger Agreement. Pursuant to the Notes Conversion Agreement, Baupost agreed to convert the Convertible Notes into 35,582,335 Keryx Shares in accordance with the terms of the governing Indenture immediately prior to the Effective Time, conditioned upon the issuance to Baupost of an additional 4,000,000 Keryx Shares which such additional shares will become Akebia Shares upon consummation of the Merger. The Notes Conversion Agreement provides that Akebia will execute a registration rights agreement with Baupost, to provide customary registration rights for any Akebia Shares held by Baupost following the consummation of the Merger. Akebia’s obligation to consummate the Merger is subject to the conversion of the Convertible Notes into Keryx Shares in accordance with the terms of the Notes Conversion Agreement among Akebia, Keryx and Baupost.</w:t>
      </w:r>
    </w:p>
    <w:p>
      <w:pPr>
        <w:spacing w:after="0" w:line="183" w:lineRule="exact"/>
        <w:rPr>
          <w:sz w:val="20"/>
          <w:szCs w:val="20"/>
          <w:color w:val="auto"/>
        </w:rPr>
      </w:pPr>
    </w:p>
    <w:p>
      <w:pPr>
        <w:ind w:right="80" w:firstLine="815"/>
        <w:spacing w:after="0" w:line="288" w:lineRule="auto"/>
        <w:rPr>
          <w:sz w:val="20"/>
          <w:szCs w:val="20"/>
          <w:color w:val="auto"/>
        </w:rPr>
      </w:pPr>
      <w:r>
        <w:rPr>
          <w:rFonts w:ascii="Arial" w:cs="Arial" w:eastAsia="Arial" w:hAnsi="Arial"/>
          <w:sz w:val="16"/>
          <w:szCs w:val="16"/>
          <w:color w:val="auto"/>
        </w:rPr>
        <w:t>At the Effective Time of the Merger, each Keryx Share issued and outstanding immediately prior to the Effective Time of the Merger will be cancelled and become the right to receive 0.37433, fully paid and non-assessable Akebia Shares. The Merger Agreement also provides that at the Effective Time, each Keryx Share that is subject to a Keryx Restricted Share, other than those Keryx Restricted Shares that accelerate or lapse as a result of the completion of the Merger, will convert into restricted stock unit awards of Akebia, the number of which will be adjusted in accordance with the Exchange Multiplier, and in accordance with the terms of the Merger Agreement. In addition, each outstanding and unexercised option to acquire Keryx Shares granted under the Keryx equity plan will become an option to acquire Akebia Shares, with the number of shares and exercise price adjusted by the Exchange Multiplier, in accordance with the terms of the Merger Agreement. Immediately following the Effective Time, Keryx shareholders and Akebia shareholders are expected to own approximately 50.6% and 49.4%, respectively, of the Akebia Shares, calculated based on the companies’ fully diluted market capitalizations as of the signing of the Merger Agreement and also taking into account the Additional Shares expected to be issued to Baupost in connection with the conversion of the Convertible Notes under the Notes Conversion Agreement prior to the Effective 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815"/>
        <w:spacing w:after="0" w:line="297" w:lineRule="auto"/>
        <w:rPr>
          <w:sz w:val="20"/>
          <w:szCs w:val="20"/>
          <w:color w:val="auto"/>
        </w:rPr>
      </w:pPr>
      <w:r>
        <w:rPr>
          <w:rFonts w:ascii="Arial" w:cs="Arial" w:eastAsia="Arial" w:hAnsi="Arial"/>
          <w:sz w:val="16"/>
          <w:szCs w:val="16"/>
          <w:color w:val="auto"/>
        </w:rPr>
        <w:t>The unaudited pro forma condensed combined financial statements were prepared using the historical financial statements of Akebia and Keryx, which are prepared in accordance with GAAP, and include pro forma adjustments to present the pro forma financial position and results of operations of the combined company pursuant to the rules and regulations of Article 11 of Regulation S-X of the SEC. The historical financial statements of Akebia and Keryx have only been adjusted to show pro forma effects that are (i) directly attributable to the Merger, (ii) factually supportable, and (iii) with respect to the unaudited pro forma condensed combined statements of operations, expected to have a continuing impact on the combined results.</w:t>
      </w:r>
    </w:p>
    <w:p>
      <w:pPr>
        <w:spacing w:after="0" w:line="158" w:lineRule="exact"/>
        <w:rPr>
          <w:sz w:val="20"/>
          <w:szCs w:val="20"/>
          <w:color w:val="auto"/>
        </w:rPr>
      </w:pPr>
    </w:p>
    <w:p>
      <w:pPr>
        <w:ind w:right="340" w:firstLine="815"/>
        <w:spacing w:after="0" w:line="259" w:lineRule="auto"/>
        <w:rPr>
          <w:sz w:val="20"/>
          <w:szCs w:val="20"/>
          <w:color w:val="auto"/>
        </w:rPr>
      </w:pPr>
      <w:r>
        <w:rPr>
          <w:rFonts w:ascii="Arial" w:cs="Arial" w:eastAsia="Arial" w:hAnsi="Arial"/>
          <w:sz w:val="18"/>
          <w:szCs w:val="18"/>
          <w:color w:val="auto"/>
        </w:rPr>
        <w:t>The unaudited pro forma condensed combined balance sheet as of June 30, 2018 was prepared using the historical unaudited condensed consolidated balance sheets of Akebia and Keryx as of June 30, 2018 and gives effect to the Merger as if it occurred on June 30, 2018. The unaudited pro forma condensed combined statements of operations for the year ended December 31, 2017 and the six months ended June 30, 2018 give effect to the Merger as if it occurred on January 1, 2017 and were prepared using:</w:t>
      </w:r>
    </w:p>
    <w:p>
      <w:pPr>
        <w:spacing w:after="0" w:line="79" w:lineRule="exact"/>
        <w:rPr>
          <w:sz w:val="20"/>
          <w:szCs w:val="20"/>
          <w:color w:val="auto"/>
        </w:rPr>
      </w:pPr>
    </w:p>
    <w:p>
      <w:pPr>
        <w:ind w:left="960" w:hanging="398"/>
        <w:spacing w:after="0"/>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Akebia as of and for the year ended December 31, 2017;</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Keryx as of and for the year ended December 31, 2017;</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historical unaudited condensed consolidated financial statements of Akebia as of and for the six months ended June 30, 2018; and</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Keryx as of and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1" w:name="page282"/>
    <w:bookmarkEnd w:id="281"/>
    <w:p>
      <w:pPr>
        <w:ind w:firstLine="815"/>
        <w:spacing w:after="0" w:line="257" w:lineRule="auto"/>
        <w:rPr>
          <w:sz w:val="20"/>
          <w:szCs w:val="20"/>
          <w:color w:val="auto"/>
        </w:rPr>
      </w:pPr>
      <w:r>
        <w:rPr>
          <w:rFonts w:ascii="Arial" w:cs="Arial" w:eastAsia="Arial" w:hAnsi="Arial"/>
          <w:sz w:val="18"/>
          <w:szCs w:val="18"/>
          <w:color w:val="auto"/>
        </w:rPr>
        <w:t>The unaudited pro forma condensed combined financial statements do not include the impacts of any revenue, cost or other operating synergies that may result from the Merger or the impact of any non-recurring activity and one-time transaction-related costs. Akebia and Keryx have just recently begun collecting information in order to formulate detailed integration plans to deliver planned synergies. However, during the preparation of the accompanying unaudited pro forma condensed combined financial statements, the status of the integration plans was too uncertain to include any financial impact in the unaudited pro forma combined financial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Policies</w:t>
      </w:r>
    </w:p>
    <w:p>
      <w:pPr>
        <w:spacing w:after="0" w:line="121" w:lineRule="exact"/>
        <w:rPr>
          <w:sz w:val="20"/>
          <w:szCs w:val="20"/>
          <w:color w:val="auto"/>
        </w:rPr>
      </w:pPr>
    </w:p>
    <w:p>
      <w:pPr>
        <w:ind w:right="80" w:firstLine="815"/>
        <w:spacing w:after="0" w:line="285" w:lineRule="auto"/>
        <w:rPr>
          <w:sz w:val="20"/>
          <w:szCs w:val="20"/>
          <w:color w:val="auto"/>
        </w:rPr>
      </w:pPr>
      <w:r>
        <w:rPr>
          <w:rFonts w:ascii="Arial" w:cs="Arial" w:eastAsia="Arial" w:hAnsi="Arial"/>
          <w:sz w:val="16"/>
          <w:szCs w:val="16"/>
          <w:color w:val="auto"/>
        </w:rPr>
        <w:t xml:space="preserve">During the preparation of the accompanying unaudited pro forma condensed combined financial statements, Akebia was aware of one material difference between Akebia’s accounting policies and the accounting policies of Keryx. Akebia and Keryx both adopted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(“ASC 606”), on January 1, 2018. Akebia adopted ASC 606 using the full retrospective transition method, which resulted in $3.2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of additional revenue for the year ended December 31, 2017. Akebia’s historical financial information presented in the unaudited pro forma condensed combined statements of operations for the year ended December 31, 2017, have been accounted for under the provisions of ASC 605 and will not be recast to reflect the provisions of ASC 606 until the filing of Akebia’s 2018 annual report on Form 10-K as the adoption of ASC 606 does not represent a fundamental change to Akebia’s historical financial statements. Akebia’s historical financial information presented in the unaudited pro forma condensed combined statements of operations for the six months ended June 30, 2018, have been accounted for under the provisions of ASC 606. Keryx adopted ASC 606 using the modified retrospective transition method. Keryx’s historical financial information presented in the unaudited pro forma condensed combined statement of operations for the year ended December 31, 2017 were accounted for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for the six months ended June 30, 2018, have been accounted for under the provisions of ASC 606. As a result, as of January 1, 2018, Keryx began recognizing license royalty revenue based on its estimate of license royalties in the quarter in which the underlying sale occurs. This differs from its historical practice of recognizing license royalty revenue one quarter in arrears once a net sales report was received from its customer. As a result of this change in timing of revenue recognition for license royalty revenue, Keryx recorded a net adjustment of $0.6 million to retained earnings (accumulated deficit) as of the adoption date, representing the net impact to its statement of operations based on net sales during the fourth quarter of 2017. This pro forma adjustment reflects the net change of a $1.5 million increase to license, collaboration and other revenue and a $0.9 million increase to license expense that would have been recorded in the year ended December 31, 2017 had Keryx adopted ASC 606 under the full retrospective transition method.</w:t>
      </w:r>
    </w:p>
    <w:p>
      <w:pPr>
        <w:spacing w:after="0" w:line="175" w:lineRule="exact"/>
        <w:rPr>
          <w:sz w:val="20"/>
          <w:szCs w:val="20"/>
          <w:color w:val="auto"/>
        </w:rPr>
      </w:pPr>
    </w:p>
    <w:p>
      <w:pPr>
        <w:ind w:right="140" w:firstLine="815"/>
        <w:spacing w:after="0" w:line="264" w:lineRule="auto"/>
        <w:rPr>
          <w:sz w:val="20"/>
          <w:szCs w:val="20"/>
          <w:color w:val="auto"/>
        </w:rPr>
      </w:pPr>
      <w:r>
        <w:rPr>
          <w:rFonts w:ascii="Arial" w:cs="Arial" w:eastAsia="Arial" w:hAnsi="Arial"/>
          <w:sz w:val="18"/>
          <w:szCs w:val="18"/>
          <w:color w:val="auto"/>
        </w:rPr>
        <w:t>Following the consummation of the Merger, Akebia will conduct a more detailed review of Keryx’s accounting policies. As a result, Akebia may identify other differences between the accounting policies of the two companies that, when conformed, could have had a material impact on the accompanying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color w:val="auto"/>
        </w:rPr>
        <w:t>4. Reclassifications</w:t>
      </w:r>
    </w:p>
    <w:p>
      <w:pPr>
        <w:spacing w:after="0" w:line="121" w:lineRule="exact"/>
        <w:rPr>
          <w:sz w:val="20"/>
          <w:szCs w:val="20"/>
          <w:color w:val="auto"/>
        </w:rPr>
      </w:pPr>
    </w:p>
    <w:p>
      <w:pPr>
        <w:ind w:right="300" w:firstLine="815"/>
        <w:spacing w:after="0" w:line="264" w:lineRule="auto"/>
        <w:rPr>
          <w:sz w:val="20"/>
          <w:szCs w:val="20"/>
          <w:color w:val="auto"/>
        </w:rPr>
      </w:pPr>
      <w:r>
        <w:rPr>
          <w:rFonts w:ascii="Arial" w:cs="Arial" w:eastAsia="Arial" w:hAnsi="Arial"/>
          <w:sz w:val="18"/>
          <w:szCs w:val="18"/>
          <w:color w:val="auto"/>
        </w:rPr>
        <w:t>Financial information presented in the “Historical Keryx” columns in the unaudited pro forma condensed combined balance sheet and the unaudited pro forma condensed combined statements of operations has been reclassified to conform to the presentation in Akebia’s historical consolidated financial statements,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As of June 30, 2018</w:t>
            </w:r>
          </w:p>
        </w:tc>
        <w:tc>
          <w:tcPr>
            <w:tcW w:w="4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Reclassification</w:t>
            </w:r>
          </w:p>
        </w:tc>
        <w:tc>
          <w:tcPr>
            <w:tcW w:w="600" w:type="dxa"/>
            <w:vAlign w:val="bottom"/>
            <w:vMerge w:val="restart"/>
          </w:tcPr>
          <w:p>
            <w:pPr>
              <w:spacing w:after="0"/>
              <w:rPr>
                <w:sz w:val="14"/>
                <w:szCs w:val="14"/>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Notes</w:t>
            </w:r>
          </w:p>
        </w:tc>
        <w:tc>
          <w:tcPr>
            <w:tcW w:w="6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Reclassification</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Reclassification</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(37,064)</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37,064</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37,064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lease incentive, current portion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(244)</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244</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811</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(811)</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44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Reclassification</w:t>
            </w:r>
          </w:p>
        </w:tc>
        <w:tc>
          <w:tcPr>
            <w:tcW w:w="600" w:type="dxa"/>
            <w:vAlign w:val="bottom"/>
            <w:vMerge w:val="restart"/>
          </w:tcPr>
          <w:p>
            <w:pPr>
              <w:spacing w:after="0"/>
              <w:rPr>
                <w:sz w:val="24"/>
                <w:szCs w:val="24"/>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Notes</w:t>
            </w:r>
          </w:p>
        </w:tc>
        <w:tc>
          <w:tcPr>
            <w:tcW w:w="6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Reclassification</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Reclassification</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License, collaboration and other revenue</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5,127</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2018</w:t>
            </w:r>
          </w:p>
        </w:tc>
        <w:tc>
          <w:tcPr>
            <w:tcW w:w="44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Reclassification</w:t>
            </w:r>
          </w:p>
        </w:tc>
        <w:tc>
          <w:tcPr>
            <w:tcW w:w="600" w:type="dxa"/>
            <w:vAlign w:val="bottom"/>
            <w:vMerge w:val="restart"/>
          </w:tcPr>
          <w:p>
            <w:pPr>
              <w:spacing w:after="0"/>
              <w:rPr>
                <w:sz w:val="24"/>
                <w:szCs w:val="24"/>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Notes</w:t>
            </w:r>
          </w:p>
        </w:tc>
        <w:tc>
          <w:tcPr>
            <w:tcW w:w="6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Reclassification</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Reclassification</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License, collaboration and other revenue</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2,773</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right="320" w:hanging="412"/>
        <w:spacing w:after="0" w:line="258"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$37.1 million has been reclassified from “Accounts payable and accrued expenses” to “Accrued expenses” in order to conform to the presentation in Akebia’s historical unaudited condensed consolidated balance sheet.</w:t>
      </w:r>
    </w:p>
    <w:p>
      <w:pPr>
        <w:spacing w:after="0" w:line="1"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$0.2 million has been reclassified from “Deferred lease incentive, current portion” to “Other current liabilities” in order to conform to the presentation in Akebia’s historical unaudited condensed consolidated balance sheet.</w:t>
      </w:r>
    </w:p>
    <w:p>
      <w:pPr>
        <w:ind w:left="420" w:right="120" w:hanging="412"/>
        <w:spacing w:after="0" w:line="250"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$0.8 million has been reclassified from “Other long-term liabilities” to “Deferred rent, net of current portion” in order to conform to the presentation in Akebia’s historical unaudited condensed consolidated balance sheet.</w:t>
      </w:r>
    </w:p>
    <w:p>
      <w:pPr>
        <w:ind w:left="420" w:right="260" w:hanging="412"/>
        <w:spacing w:after="0" w:line="261"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“License revenue” has been reclassified to “License, collaboration and other revenue” to conform to the presentation in Akebia’s historical unaudited condensed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the Merger</w:t>
      </w:r>
    </w:p>
    <w:p>
      <w:pPr>
        <w:spacing w:after="0" w:line="108" w:lineRule="exact"/>
        <w:rPr>
          <w:sz w:val="20"/>
          <w:szCs w:val="20"/>
          <w:color w:val="auto"/>
        </w:rPr>
      </w:pPr>
    </w:p>
    <w:p>
      <w:pPr>
        <w:ind w:right="20" w:firstLine="815"/>
        <w:spacing w:after="0" w:line="239" w:lineRule="auto"/>
        <w:rPr>
          <w:sz w:val="20"/>
          <w:szCs w:val="20"/>
          <w:color w:val="auto"/>
        </w:rPr>
      </w:pPr>
      <w:r>
        <w:rPr>
          <w:rFonts w:ascii="Arial" w:cs="Arial" w:eastAsia="Arial" w:hAnsi="Arial"/>
          <w:sz w:val="17"/>
          <w:szCs w:val="17"/>
          <w:color w:val="auto"/>
        </w:rPr>
        <w:t>Immediately following the Effective Time, Keryx shareholders and Akebia shareholders are expected to own approximately 50.6% and 49.4%, respectively, of the Akebia Shares, calculated based on the companies’ fully diluted market capitalizations as of the signing of the Merger Agreement and also taking into account the Additional Shares expected to be issued to Baupost in connection with the conversion of the Convertible Notes under that certain Notes Conversion Agreement prior to the Effective Time. The fair value of the Additional Shares expected to be issued to Baupost as converted to Akebia Shares of approximately $12.2 million has been excluded from the preliminary estimated purchase price below and has been treated as a separate transaction in accordance with ASC 805, which states that a transaction entered into by or on behalf of the acquirer or primarily for the benefit of the acquirer or the combined entity should be treated as a separate transaction.</w:t>
      </w:r>
    </w:p>
    <w:p>
      <w:pPr>
        <w:spacing w:after="0" w:line="177" w:lineRule="exact"/>
        <w:rPr>
          <w:sz w:val="20"/>
          <w:szCs w:val="20"/>
          <w:color w:val="auto"/>
        </w:rPr>
      </w:pPr>
    </w:p>
    <w:p>
      <w:pPr>
        <w:ind w:right="60" w:firstLine="815"/>
        <w:spacing w:after="0" w:line="253" w:lineRule="auto"/>
        <w:rPr>
          <w:sz w:val="20"/>
          <w:szCs w:val="20"/>
          <w:color w:val="auto"/>
        </w:rPr>
      </w:pPr>
      <w:r>
        <w:rPr>
          <w:rFonts w:ascii="Arial" w:cs="Arial" w:eastAsia="Arial" w:hAnsi="Arial"/>
          <w:sz w:val="17"/>
          <w:szCs w:val="17"/>
          <w:color w:val="auto"/>
        </w:rPr>
        <w:t>Akebia expects that Keryx shareholders will be entitled to receive approximately 59,898,637 Akebia Shares upon consummation of the Merger. In addition, pursuant to the terms of the Merger Agreement, Akebia will substitute all outstanding Keryx Restricted Shares with Akebia RSU awards. Akebia will also substitute all outstanding and unexercised Keryx Options granted under the Keryx equity plan with Akebia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3" w:name="page284"/>
    <w:bookmarkEnd w:id="283"/>
    <w:p>
      <w:pPr>
        <w:ind w:right="140" w:firstLine="815"/>
        <w:spacing w:after="0" w:line="246" w:lineRule="auto"/>
        <w:rPr>
          <w:sz w:val="20"/>
          <w:szCs w:val="20"/>
          <w:color w:val="auto"/>
        </w:rPr>
      </w:pPr>
      <w:r>
        <w:rPr>
          <w:rFonts w:ascii="Arial" w:cs="Arial" w:eastAsia="Arial" w:hAnsi="Arial"/>
          <w:sz w:val="17"/>
          <w:szCs w:val="17"/>
          <w:color w:val="auto"/>
        </w:rPr>
        <w:t>The preliminary estimated purchase price, which represents the consideration paid in the Merger, is calculated based on (i) the number of Akebia Shares that Keryx shareholders will own as of the Effective Time, excluding the Additional Shares expected to be issued to Baupost, and (ii) Keryx equity awards that will be exchanged for Akebia equity awards. The accompanying unaudited pro forma condensed combined financial statements reflect a preliminary estimated purchase price of approximately $480.9 million, which consists of the following (in thousands):</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21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Fair value of Akebia Shares to be issued to shareholders of Keryx </w:t>
            </w:r>
            <w:r>
              <w:rPr>
                <w:rFonts w:ascii="Arial" w:cs="Arial" w:eastAsia="Arial" w:hAnsi="Arial"/>
                <w:sz w:val="15"/>
                <w:szCs w:val="15"/>
                <w:color w:val="auto"/>
              </w:rPr>
              <w:t>(1)</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474,803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 xml:space="preserve">Fair value of Akebia RSUs to be issued as replacement awards </w:t>
            </w:r>
            <w:r>
              <w:rPr>
                <w:rFonts w:ascii="Arial" w:cs="Arial" w:eastAsia="Arial" w:hAnsi="Arial"/>
                <w:sz w:val="15"/>
                <w:szCs w:val="15"/>
                <w:color w:val="auto"/>
              </w:rPr>
              <w:t>(2)</w:t>
            </w:r>
          </w:p>
        </w:tc>
        <w:tc>
          <w:tcPr>
            <w:tcW w:w="12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Fair value of Akebia stock options to be issued as replacement awards </w:t>
            </w:r>
            <w:r>
              <w:rPr>
                <w:rFonts w:ascii="Arial" w:cs="Arial" w:eastAsia="Arial" w:hAnsi="Arial"/>
                <w:sz w:val="15"/>
                <w:szCs w:val="15"/>
                <w:color w:val="auto"/>
              </w:rPr>
              <w:t>(3)</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6,081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Estimated purchase price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480,885</w:t>
            </w:r>
          </w:p>
        </w:tc>
      </w:tr>
    </w:tbl>
    <w:p>
      <w:pPr>
        <w:spacing w:after="0" w:line="187" w:lineRule="exact"/>
        <w:rPr>
          <w:sz w:val="20"/>
          <w:szCs w:val="20"/>
          <w:color w:val="auto"/>
        </w:rPr>
      </w:pPr>
    </w:p>
    <w:p>
      <w:pPr>
        <w:ind w:left="420" w:right="60" w:hanging="412"/>
        <w:spacing w:after="0" w:line="268" w:lineRule="auto"/>
        <w:tabs>
          <w:tab w:leader="none" w:pos="4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Akebia expects that Keryx shareholders will be entitled to receive 59,898,637 Akebia Shares upon consummation of the Merger. The aggregate fair value of those shares has been estimated using $8.13 per share, which was the last reported sale price of Akebia Shares on The Nasdaq Global Market on October 25, 2018. Of the 59,898,637 Akebia Shares to be issued upon the consummation of the Merger, 1,497,320 Akebia Shares will be converted from the Additional Shares and have been excluded from the above calculation of purchase price as these shares were issued as part of a separate transaction (see Note 6h). The value of the purchase price consideration will change based on fluctuations in the price of Akebia Shares and the number of Keryx Shares outstanding at the Effective Time.</w:t>
      </w:r>
    </w:p>
    <w:p>
      <w:pPr>
        <w:spacing w:after="0" w:line="1" w:lineRule="exact"/>
        <w:rPr>
          <w:rFonts w:ascii="Arial" w:cs="Arial" w:eastAsia="Arial" w:hAnsi="Arial"/>
          <w:sz w:val="17"/>
          <w:szCs w:val="17"/>
          <w:color w:val="auto"/>
        </w:rPr>
      </w:pPr>
    </w:p>
    <w:p>
      <w:pPr>
        <w:ind w:left="420" w:right="80" w:hanging="412"/>
        <w:spacing w:after="0" w:line="250" w:lineRule="auto"/>
        <w:tabs>
          <w:tab w:leader="none" w:pos="4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Akebia expects that it will issue Akebia RSU awards to receive approximately 862,612 Akebia Shares as replacement awards to the outstanding Keryx Restricted Shares in connection with the Merger. The aggregate fair value of those awards of $7.0 million has been estimated using $8.13 per share, which was the last reported sale price of Akebia Shares on The Nasdaq Global Market on October 25, 2018. Of that amount, $1,220 was allocated to purchase consideration, based on the portion of the replacement awards’ fair value attributable to precombination employee services, and $7.0 million was allocated to future employee services and will be expensed as stock-based compensation on a straight-line basis over the remaining service periods of those awards.</w:t>
      </w:r>
    </w:p>
    <w:p>
      <w:pPr>
        <w:spacing w:after="0" w:line="2" w:lineRule="exact"/>
        <w:rPr>
          <w:rFonts w:ascii="Arial" w:cs="Arial" w:eastAsia="Arial" w:hAnsi="Arial"/>
          <w:sz w:val="18"/>
          <w:szCs w:val="18"/>
          <w:color w:val="auto"/>
        </w:rPr>
      </w:pPr>
    </w:p>
    <w:p>
      <w:pPr>
        <w:ind w:left="420" w:hanging="412"/>
        <w:spacing w:after="0" w:line="252" w:lineRule="auto"/>
        <w:tabs>
          <w:tab w:leader="none" w:pos="4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Akebia expects that it will issue approximately 4,129,129 Akebia Options as replacement awards to outstanding and unexercised Keryx Options. The aggregate fair value of those replacement awards of $14.2 million has been estimated using the Black Scholes option pricing model and $8.13 per share, which was the last reported sale price of Akebia Shares on The Nasdaq Global Market on October 25, 2018. Of that amount, $6.1 million was allocated to purchase consideration, based on the portion of the replacement awards’ fair value attributable to precombination employee services, and $8.1 million was allocated to future employee services and will be expensed as stock-based compensation on a straight-line basis over the remaining service periods of those awards.</w:t>
      </w:r>
    </w:p>
    <w:p>
      <w:pPr>
        <w:spacing w:after="0" w:line="194" w:lineRule="exact"/>
        <w:rPr>
          <w:sz w:val="20"/>
          <w:szCs w:val="20"/>
          <w:color w:val="auto"/>
        </w:rPr>
      </w:pPr>
    </w:p>
    <w:p>
      <w:pPr>
        <w:ind w:right="60" w:firstLine="815"/>
        <w:spacing w:after="0" w:line="290" w:lineRule="auto"/>
        <w:rPr>
          <w:sz w:val="20"/>
          <w:szCs w:val="20"/>
          <w:color w:val="auto"/>
        </w:rPr>
      </w:pPr>
      <w:r>
        <w:rPr>
          <w:rFonts w:ascii="Arial" w:cs="Arial" w:eastAsia="Arial" w:hAnsi="Arial"/>
          <w:sz w:val="16"/>
          <w:szCs w:val="16"/>
          <w:color w:val="auto"/>
        </w:rPr>
        <w:t>The preliminary estimated purchase price reflected in the unaudited pro forma condensed combined financial statements do not purport to represent what the actual purchase consideration will be when the Merger closes. In accordance with ASC 805, the fair value of equity securities issued as part of the consideration paid will be measured on the Closing Date of the Merger at the then-current market price. This requirement will likely result in an actual per share fair value upon closing of the Merger that differs from the $8.13 per Akebia Share assumed in the unaudited pro forma combined financial information, which was the last reported sale price of Akebia Shares on The Nasdaq Global Market on October 25, 2018, and the difference may be significant. The market price of Akebia Shares when Keryx shareholders receive those shares after the Merger is completed could be greater than, less than or the same as the market price of Akebia Shares on the date of this joint proxy statement/prospectus. A change in the market price of Akebia Shares would increase or decrease the purchase consideration, which would result in a corresponding increase or decrease to goodwill in the unaudited pro forma condensed combined financial information.</w:t>
      </w:r>
    </w:p>
    <w:p>
      <w:pPr>
        <w:spacing w:after="0" w:line="166" w:lineRule="exact"/>
        <w:rPr>
          <w:sz w:val="20"/>
          <w:szCs w:val="20"/>
          <w:color w:val="auto"/>
        </w:rPr>
      </w:pPr>
    </w:p>
    <w:p>
      <w:pPr>
        <w:ind w:right="100" w:firstLine="815"/>
        <w:spacing w:after="0" w:line="277" w:lineRule="auto"/>
        <w:rPr>
          <w:sz w:val="20"/>
          <w:szCs w:val="20"/>
          <w:color w:val="auto"/>
        </w:rPr>
      </w:pPr>
      <w:r>
        <w:rPr>
          <w:rFonts w:ascii="Arial" w:cs="Arial" w:eastAsia="Arial" w:hAnsi="Arial"/>
          <w:sz w:val="18"/>
          <w:szCs w:val="18"/>
          <w:color w:val="auto"/>
        </w:rPr>
        <w:t>The following summarizes the preliminary allocation of the estimated purchase price to be paid in the Merger as if it had been completed on June 30, 2018 (in thousands):</w:t>
      </w:r>
    </w:p>
    <w:p>
      <w:pPr>
        <w:spacing w:after="0" w:line="144"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44,533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Inventory </w:t>
            </w:r>
            <w:r>
              <w:rPr>
                <w:rFonts w:ascii="Arial" w:cs="Arial" w:eastAsia="Arial" w:hAnsi="Arial"/>
                <w:sz w:val="15"/>
                <w:szCs w:val="15"/>
                <w:color w:val="auto"/>
              </w:rPr>
              <w:t>(1)</w:t>
            </w:r>
          </w:p>
        </w:tc>
        <w:tc>
          <w:tcPr>
            <w:tcW w:w="2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164,639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15,430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12,142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(1)</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17,189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263,370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4,097</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2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12,732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(17,583)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Accrued expenses</w:t>
            </w:r>
          </w:p>
        </w:tc>
        <w:tc>
          <w:tcPr>
            <w:tcW w:w="2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(35,664)</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estimated purchase price</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480,885</w:t>
            </w:r>
          </w:p>
        </w:tc>
      </w:tr>
    </w:tbl>
    <w:p>
      <w:pPr>
        <w:spacing w:after="0" w:line="188" w:lineRule="exact"/>
        <w:rPr>
          <w:sz w:val="20"/>
          <w:szCs w:val="20"/>
          <w:color w:val="auto"/>
        </w:rPr>
      </w:pPr>
    </w:p>
    <w:p>
      <w:pPr>
        <w:ind w:left="420" w:right="280" w:hanging="412"/>
        <w:spacing w:after="0" w:line="253" w:lineRule="auto"/>
        <w:tabs>
          <w:tab w:leader="none" w:pos="42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deferred tax liability associated with the preliminary fair value adjustments for the acquired inventory and identifiable intangible asset would be fully offset with pre-existing deferred tax assets of Akebia and Keryx. Accordingly, no deferred tax liability was recorded. The final fair value determination of deferred tax liability may differ from this preliminary determination, and such differences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284" w:name="page285"/>
    <w:bookmarkEnd w:id="284"/>
    <w:p>
      <w:pPr>
        <w:ind w:left="172" w:hanging="172"/>
        <w:spacing w:after="0"/>
        <w:tabs>
          <w:tab w:leader="none" w:pos="172"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Balance Sheet as of June 30, 2018</w:t>
      </w:r>
    </w:p>
    <w:p>
      <w:pPr>
        <w:spacing w:after="0" w:line="121" w:lineRule="exact"/>
        <w:rPr>
          <w:rFonts w:ascii="Arial" w:cs="Arial" w:eastAsia="Arial" w:hAnsi="Arial"/>
          <w:sz w:val="18"/>
          <w:szCs w:val="18"/>
          <w:b w:val="1"/>
          <w:bCs w:val="1"/>
          <w:color w:val="auto"/>
        </w:rPr>
      </w:pPr>
    </w:p>
    <w:p>
      <w:pPr>
        <w:ind w:left="812" w:hanging="407"/>
        <w:spacing w:after="0" w:line="291" w:lineRule="auto"/>
        <w:tabs>
          <w:tab w:leader="none" w:pos="812" w:val="left"/>
        </w:tabs>
        <w:numPr>
          <w:ilvl w:val="1"/>
          <w:numId w:val="217"/>
        </w:numPr>
        <w:rPr>
          <w:rFonts w:ascii="Arial" w:cs="Arial" w:eastAsia="Arial" w:hAnsi="Arial"/>
          <w:sz w:val="16"/>
          <w:szCs w:val="16"/>
          <w:color w:val="auto"/>
        </w:rPr>
      </w:pPr>
      <w:r>
        <w:rPr>
          <w:rFonts w:ascii="Arial" w:cs="Arial" w:eastAsia="Arial" w:hAnsi="Arial"/>
          <w:sz w:val="16"/>
          <w:szCs w:val="16"/>
          <w:color w:val="auto"/>
        </w:rPr>
        <w:t>Represents a decrease of cash and cash equivalents as a result of (i) $0.7 million of retention bonus payments to certain employees of Keryx, and (ii) $3.7 million of payments related to Keryx’s transaction costs, of which $1.4 million was incurred and accrued as of June 30, 2018. These payments are expected to be made by Keryx immediately prior to the consummation of the Merger. Separately, this pro forma adjustment reflects a $0.5 million payment made to third party Panion &amp; BF Biotech, Inc. (“Panion”) based on the Panion letter agreement executed on October 24, 2018. This amount has been excluded from the unaudited pro forma condensed combined statements of operations because the charge is directly attributable to the Merger and will not have a continuing impact on the combined company’s operations; however, the amount is reflected as an increase to goodwill in the unaudited pro forma condensed combined balance sheet as of June 30, 2018.</w:t>
      </w:r>
    </w:p>
    <w:p>
      <w:pPr>
        <w:spacing w:after="0" w:line="59" w:lineRule="exact"/>
        <w:rPr>
          <w:rFonts w:ascii="Arial" w:cs="Arial" w:eastAsia="Arial" w:hAnsi="Arial"/>
          <w:sz w:val="16"/>
          <w:szCs w:val="16"/>
          <w:color w:val="auto"/>
        </w:rPr>
      </w:pPr>
    </w:p>
    <w:p>
      <w:pPr>
        <w:jc w:val="both"/>
        <w:ind w:left="812" w:right="40" w:hanging="407"/>
        <w:spacing w:after="0" w:line="302" w:lineRule="auto"/>
        <w:tabs>
          <w:tab w:leader="none" w:pos="812" w:val="left"/>
        </w:tabs>
        <w:numPr>
          <w:ilvl w:val="1"/>
          <w:numId w:val="217"/>
        </w:numPr>
        <w:rPr>
          <w:rFonts w:ascii="Arial" w:cs="Arial" w:eastAsia="Arial" w:hAnsi="Arial"/>
          <w:sz w:val="16"/>
          <w:szCs w:val="16"/>
          <w:color w:val="auto"/>
        </w:rPr>
      </w:pPr>
      <w:r>
        <w:rPr>
          <w:rFonts w:ascii="Arial" w:cs="Arial" w:eastAsia="Arial" w:hAnsi="Arial"/>
          <w:sz w:val="16"/>
          <w:szCs w:val="16"/>
          <w:color w:val="auto"/>
        </w:rPr>
        <w:t>Represents an adjustment to record the acquired inventory of Keryx, including raw materials, work in process, and finished goods, at its estimated fair value of $164.6 million. The fair value estimate of inventory is preliminary and is determined based on the estimated selling price less the sum of (i) cost to complete (for the work in process), (ii) costs of disposal, and (iii) a profit allowance for the completion and selling effort of the buyer. The final fair value determination of inventory may differ from this preliminary determination, and such differences could be material.</w:t>
      </w:r>
    </w:p>
    <w:p>
      <w:pPr>
        <w:spacing w:after="0" w:line="46" w:lineRule="exact"/>
        <w:rPr>
          <w:rFonts w:ascii="Arial" w:cs="Arial" w:eastAsia="Arial" w:hAnsi="Arial"/>
          <w:sz w:val="16"/>
          <w:szCs w:val="16"/>
          <w:color w:val="auto"/>
        </w:rPr>
      </w:pPr>
    </w:p>
    <w:p>
      <w:pPr>
        <w:ind w:left="812" w:hanging="407"/>
        <w:spacing w:after="0" w:line="255" w:lineRule="auto"/>
        <w:tabs>
          <w:tab w:leader="none" w:pos="81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Reflects the adjustment to record goodwill of $17.2 million associated with the acquisition of Keryx, based on the preliminary purchase price allocation, less a reversal of $3.2 million of historical Keryx goodwill associated with its prior acquisition. Goodwill represents the excess of the preliminary estimated purchase price over the estimated fair values of net assets acquired. Goodwill will not be amortized and is not expected to be deductible for income tax purposes. The fair value estimate for goodwill is preliminary. The final fair value determination of goodwill may differ from this preliminary determination once Akebia’s valuation of the fair value of tangible and intangible assets acquired and liabilities assumed has been completed, and such differences could be material.</w:t>
      </w:r>
    </w:p>
    <w:p>
      <w:pPr>
        <w:spacing w:after="0" w:line="85" w:lineRule="exact"/>
        <w:rPr>
          <w:rFonts w:ascii="Arial" w:cs="Arial" w:eastAsia="Arial" w:hAnsi="Arial"/>
          <w:sz w:val="18"/>
          <w:szCs w:val="18"/>
          <w:color w:val="auto"/>
        </w:rPr>
      </w:pPr>
    </w:p>
    <w:p>
      <w:pPr>
        <w:ind w:left="812" w:right="100" w:hanging="407"/>
        <w:spacing w:after="0" w:line="259" w:lineRule="auto"/>
        <w:tabs>
          <w:tab w:leader="none" w:pos="81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Represents an adjustment to record the estimated acquired intangible asset of Keryx at its fair value. An identifiable intangible asset is required to be measured at fair value which is determined based on assumptions that market participants would use in pricing an asset, based on the most advantageous market for that asset (i.e. its highest and best use). The identifiable intangible asset acquired consists of the currently marketed product:</w:t>
      </w:r>
    </w:p>
    <w:p>
      <w:pPr>
        <w:spacing w:after="0" w:line="166"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Estimated</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r>
      <w:tr>
        <w:trPr>
          <w:trHeight w:val="149"/>
        </w:trPr>
        <w:tc>
          <w:tcPr>
            <w:tcW w:w="7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Fair</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Useful Life</w:t>
            </w:r>
          </w:p>
        </w:tc>
      </w:tr>
      <w:tr>
        <w:trPr>
          <w:trHeight w:val="17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Auryxia currently marketed product</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42" w:lineRule="exact"/>
        <w:rPr>
          <w:sz w:val="20"/>
          <w:szCs w:val="20"/>
          <w:color w:val="auto"/>
        </w:rPr>
      </w:pPr>
    </w:p>
    <w:p>
      <w:pPr>
        <w:ind w:left="812" w:right="220"/>
        <w:spacing w:after="0" w:line="290" w:lineRule="auto"/>
        <w:rPr>
          <w:sz w:val="20"/>
          <w:szCs w:val="20"/>
          <w:color w:val="auto"/>
        </w:rPr>
      </w:pPr>
      <w:r>
        <w:rPr>
          <w:rFonts w:ascii="Arial" w:cs="Arial" w:eastAsia="Arial" w:hAnsi="Arial"/>
          <w:sz w:val="16"/>
          <w:szCs w:val="16"/>
          <w:color w:val="auto"/>
        </w:rPr>
        <w:t>The estimated fair value of the acquired intangible asset is based on a preliminary valuation and is determined using the multi-period excess earnings method which is a variation of the income approach, which is a valuation technique that provides an estimate of the fair value of an asset based on the principle that the value of an intangible asset is equal to the present value of the incremental after-tax cash flows attributable to the asset, after taking charges for the use of other assets employed by the business. Key estimates and assumptions used in this model are projected revenues and expenses related to the asset, estimated contributory asset charges, and a risk-adjusted discount rate used to calculate the present value of the future expected cash inflows from the asset. The estimated useful life of Auryxia is 9 years for purposes of recognizing amortization expense. The fair value estimate for identified intangible asset is preliminary. The final fair value determination of the identified intangible asset may differ from this preliminary determination, and such differences could be material.</w:t>
      </w:r>
    </w:p>
    <w:p>
      <w:pPr>
        <w:spacing w:after="0" w:line="58" w:lineRule="exact"/>
        <w:rPr>
          <w:sz w:val="20"/>
          <w:szCs w:val="20"/>
          <w:color w:val="auto"/>
        </w:rPr>
      </w:pPr>
    </w:p>
    <w:p>
      <w:pPr>
        <w:ind w:left="812" w:right="80" w:hanging="407"/>
        <w:spacing w:after="0" w:line="254" w:lineRule="auto"/>
        <w:tabs>
          <w:tab w:leader="none" w:pos="81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Represents an increase in accrued expenses, as well as a corresponding decrease to retained earnings, as a result of (i) $19.8 million of transaction costs incurred by Akebia for the Merger after June 30, 2018, and (ii) $3.2 million of severance and bonus payments payable to certain Keryx employees in connection with the Merger. The severance and bonus payments were determined to be for the benefit of Akebia and will be recorded as expenses post-Merger in Akebia’s consolidated statement of operations. These amounts are excluded from the unaudited pro forma condensed combined statements of operations because they are charges directly attributable to the Merger that will not have a continuing effect on the combined company’s continuing operation. The increase in accrued expenses is partially offset by $1.4 million of Keryx transaction costs, which was incurred and accrued as of June 30, 2018 and is expected to be paid by Keryx immediately prior to the consummation of the Merger as described in Note (6a).</w:t>
      </w:r>
    </w:p>
    <w:p>
      <w:pPr>
        <w:spacing w:after="0" w:line="84" w:lineRule="exact"/>
        <w:rPr>
          <w:rFonts w:ascii="Arial" w:cs="Arial" w:eastAsia="Arial" w:hAnsi="Arial"/>
          <w:sz w:val="18"/>
          <w:szCs w:val="18"/>
          <w:color w:val="auto"/>
        </w:rPr>
      </w:pPr>
    </w:p>
    <w:p>
      <w:pPr>
        <w:ind w:left="812" w:right="100" w:hanging="407"/>
        <w:spacing w:after="0" w:line="264" w:lineRule="auto"/>
        <w:tabs>
          <w:tab w:leader="none" w:pos="81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Represents an adjustment of $0.2 million to other current liabilities and an adjustment of $0.8 million to deferred rent, net of current portion to eliminate the deferred rent recorded in the Keryx historical unaudited condensed consolidated balance sheet as of June 30, 2018, as a result of the application of the acquisition method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891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446" w:right="239" w:bottom="1440" w:gutter="0" w:footer="0" w:header="0"/>
        </w:sectPr>
      </w:pPr>
    </w:p>
    <w:bookmarkStart w:id="285" w:name="page286"/>
    <w:bookmarkEnd w:id="285"/>
    <w:p>
      <w:pPr>
        <w:ind w:left="820" w:right="580" w:hanging="407"/>
        <w:spacing w:after="0" w:line="264" w:lineRule="auto"/>
        <w:tabs>
          <w:tab w:leader="none" w:pos="8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Represents the adjustment of $0.2 million to other current liabilities and an adjustment of $0.9 million to other long-term liabilities to eliminate the deferred lease incentives recorded in the Keryx historical unaudited condensed consolidated balance sheet as of June 30, 2018, as a result of the application of the acquisition method of accounting.</w:t>
      </w:r>
    </w:p>
    <w:p>
      <w:pPr>
        <w:spacing w:after="0" w:line="73" w:lineRule="exact"/>
        <w:rPr>
          <w:rFonts w:ascii="Arial" w:cs="Arial" w:eastAsia="Arial" w:hAnsi="Arial"/>
          <w:sz w:val="18"/>
          <w:szCs w:val="18"/>
          <w:color w:val="auto"/>
        </w:rPr>
      </w:pPr>
    </w:p>
    <w:p>
      <w:pPr>
        <w:ind w:left="820" w:right="240" w:hanging="407"/>
        <w:spacing w:after="0" w:line="342" w:lineRule="auto"/>
        <w:tabs>
          <w:tab w:leader="none" w:pos="82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Represents the adjustment to record the settlement of Keryx’s outstanding principal and debt discount in connection with the outstanding Convertible Notes, held by Baupost, that will be converted into 35,582,335 Keryx Shares immediately prior to the consummation of the Merger.</w:t>
      </w:r>
    </w:p>
    <w:p>
      <w:pPr>
        <w:spacing w:after="0" w:line="15" w:lineRule="exact"/>
        <w:rPr>
          <w:rFonts w:ascii="Arial" w:cs="Arial" w:eastAsia="Arial" w:hAnsi="Arial"/>
          <w:sz w:val="16"/>
          <w:szCs w:val="16"/>
          <w:color w:val="auto"/>
        </w:rPr>
      </w:pPr>
    </w:p>
    <w:p>
      <w:pPr>
        <w:ind w:left="820" w:right="40"/>
        <w:spacing w:after="0" w:line="272" w:lineRule="auto"/>
        <w:rPr>
          <w:rFonts w:ascii="Arial" w:cs="Arial" w:eastAsia="Arial" w:hAnsi="Arial"/>
          <w:sz w:val="16"/>
          <w:szCs w:val="16"/>
          <w:color w:val="auto"/>
        </w:rPr>
      </w:pPr>
      <w:r>
        <w:rPr>
          <w:rFonts w:ascii="Arial" w:cs="Arial" w:eastAsia="Arial" w:hAnsi="Arial"/>
          <w:sz w:val="17"/>
          <w:szCs w:val="17"/>
          <w:color w:val="auto"/>
        </w:rPr>
        <w:t>Separately, the pro forma adjustment reflects the Additional Shares that will be issued prior to the consummation of the Merger pursuant to the Notes Conversion Agreement, which was entered into by Akebia, Keryx and Baupost simultaneously with the execution of the Merger Agreement. The Note Conversion Agreement was entered into for the benefit of Akebia because Akebia’s obligation to consummate the Merger is contingent upon the completion of the note conversion. Therefore, the Company has recorded $12.2 million of expense associated with the Additional Shares as a separate transaction from the business combination by increasing additional paid-in capital and the accumulated deficit. The net 39,582,335 Keryx Shares issued to Baupost prior to the consummation of the Merger will be converted into Akebia Shares upon consummation of the Merger, with the number of shares adjusted by the Exchange Multiplier.</w:t>
      </w:r>
    </w:p>
    <w:p>
      <w:pPr>
        <w:spacing w:after="0" w:line="69" w:lineRule="exact"/>
        <w:rPr>
          <w:rFonts w:ascii="Arial" w:cs="Arial" w:eastAsia="Arial" w:hAnsi="Arial"/>
          <w:sz w:val="16"/>
          <w:szCs w:val="16"/>
          <w:color w:val="auto"/>
        </w:rPr>
      </w:pPr>
    </w:p>
    <w:p>
      <w:pPr>
        <w:ind w:left="820" w:right="40" w:hanging="407"/>
        <w:spacing w:after="0" w:line="255" w:lineRule="auto"/>
        <w:tabs>
          <w:tab w:leader="none" w:pos="8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Represents an aggregate adjustment to record an increase to common stock (at par value) of approximately $599 and an increase to additional paid-in capital of $480.9 million resulting from (i) the issuance of 59,898,637 Akebia Shares, par value of $0.00001 per share, to Keryx shareholders in connection with the Merger, including shares issued to Baupost in connection with the conversion of the Convertible Notes and the Notes Conversion Agreement described in Note (6h); (ii) the additional paid-in capital of $1,220 related to the portion of the fair value of the Keryx Restricted Shares expected to convert into Akebia RSU awards; and (iii) the additional paid-in capital of $6.1 million related to the portion of the fair value of the Keryx Options expected to convert into Akebia Options, in connection with the Merger that have been allocated to the purchase price (see Note 5).</w:t>
      </w:r>
    </w:p>
    <w:p>
      <w:pPr>
        <w:spacing w:after="0" w:line="81" w:lineRule="exact"/>
        <w:rPr>
          <w:rFonts w:ascii="Arial" w:cs="Arial" w:eastAsia="Arial" w:hAnsi="Arial"/>
          <w:sz w:val="18"/>
          <w:szCs w:val="18"/>
          <w:color w:val="auto"/>
        </w:rPr>
      </w:pPr>
    </w:p>
    <w:p>
      <w:pPr>
        <w:ind w:left="820" w:right="280" w:hanging="407"/>
        <w:spacing w:after="0" w:line="277" w:lineRule="auto"/>
        <w:tabs>
          <w:tab w:leader="none" w:pos="8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Represents an adjustment to eliminate Keryx’s historical equity of $41.2 million, which represents the historical book value of Keryx’s net assets as of June 30, 2018, as a result of the application of the acquisition method of accounting.</w:t>
      </w:r>
    </w:p>
    <w:p>
      <w:pPr>
        <w:spacing w:after="0" w:line="62" w:lineRule="exact"/>
        <w:rPr>
          <w:rFonts w:ascii="Arial" w:cs="Arial" w:eastAsia="Arial" w:hAnsi="Arial"/>
          <w:sz w:val="18"/>
          <w:szCs w:val="18"/>
          <w:color w:val="auto"/>
        </w:rPr>
      </w:pPr>
    </w:p>
    <w:p>
      <w:pPr>
        <w:ind w:left="820" w:right="120" w:hanging="407"/>
        <w:spacing w:after="0" w:line="273" w:lineRule="auto"/>
        <w:tabs>
          <w:tab w:leader="none" w:pos="82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Represents an adjustment to (i) record a post-combination compensation expense of $11.5 million related to the automatic acceleration of vesting of certain Akebia share-based awards; and (ii) record post-combination compensation expense of $5.6 million related to the decision to accelerate certain unvested share-based awards of Keryx upon consummation of the Merger. These amounts are excluded from the unaudited pro forma condensed combined statements of operations because they are charges directly attributable to the Merger that will not have a continuing impact on the combined company’s operations, however, the amounts are reflected as a reduction to retained earnings in the unaudited pro forma condensed combined balance sheet as of June 30, 2018.</w:t>
      </w:r>
    </w:p>
    <w:p>
      <w:pPr>
        <w:spacing w:after="0" w:line="282" w:lineRule="exact"/>
        <w:rPr>
          <w:rFonts w:ascii="Arial" w:cs="Arial" w:eastAsia="Arial" w:hAnsi="Arial"/>
          <w:sz w:val="17"/>
          <w:szCs w:val="17"/>
          <w:color w:val="auto"/>
        </w:rPr>
      </w:pPr>
    </w:p>
    <w:p>
      <w:pPr>
        <w:ind w:right="60" w:firstLine="8"/>
        <w:spacing w:after="0" w:line="282" w:lineRule="auto"/>
        <w:tabs>
          <w:tab w:leader="none" w:pos="1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Year Ended December 31, 2017 and the Six Months Ended June 30, 2018</w:t>
      </w:r>
    </w:p>
    <w:p>
      <w:pPr>
        <w:spacing w:after="0" w:line="57" w:lineRule="exact"/>
        <w:rPr>
          <w:rFonts w:ascii="Arial" w:cs="Arial" w:eastAsia="Arial" w:hAnsi="Arial"/>
          <w:sz w:val="18"/>
          <w:szCs w:val="18"/>
          <w:b w:val="1"/>
          <w:bCs w:val="1"/>
          <w:color w:val="auto"/>
        </w:rPr>
      </w:pPr>
    </w:p>
    <w:p>
      <w:pPr>
        <w:ind w:left="820" w:right="40" w:hanging="407"/>
        <w:spacing w:after="0" w:line="289" w:lineRule="auto"/>
        <w:tabs>
          <w:tab w:leader="none" w:pos="82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Represents incremental stock-based compensation expense related to approximately 862,612 Akebia RSU awards and approximately 4,129,129 Akebia Options that Akebia expects to be issued as replacement awards to Keryx Restricted Shares and Keryx Options, respectively, in connection with the Merger (see Note 5). The aggregate fair value of those awards of $21.2 million has been estimated using $8.13 per share, which was the last reported sale price of Akebia Shares on The Nasdaq Global Market on October 25, 2018. Of that amount, $6.1 million was allocated to the purchase price and $15.1 million was allocated to future employee services. $5.6 million of the $15.1 million is related to the accelerated vesting of certain share-based awards of Keryx in contemplation of the Merger, and are excluded from the unaudited pro forma condensed combined statements of operations because they will not have a continuing impact on the combined company’s operations. The remaining $9.5 million will be expensed as stock-based compensation on a straight-line basis over the remaining service periods of those awards. The adjustment to record the incremental stock-based compensation expense for the year ended December 31, 2017 is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74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1,147</w:t>
            </w: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1,346</w:t>
            </w:r>
          </w:p>
        </w:tc>
        <w:tc>
          <w:tcPr>
            <w:tcW w:w="1740" w:type="dxa"/>
            <w:vAlign w:val="bottom"/>
          </w:tcPr>
          <w:p>
            <w:pPr>
              <w:spacing w:after="0"/>
              <w:rPr>
                <w:sz w:val="20"/>
                <w:szCs w:val="20"/>
                <w:color w:val="auto"/>
              </w:rPr>
            </w:pPr>
          </w:p>
        </w:tc>
      </w:tr>
      <w:tr>
        <w:trPr>
          <w:trHeight w:val="317"/>
        </w:trPr>
        <w:tc>
          <w:tcPr>
            <w:tcW w:w="172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6" w:name="page287"/>
    <w:bookmarkEnd w:id="286"/>
    <w:p>
      <w:pPr>
        <w:ind w:left="820"/>
        <w:spacing w:after="0"/>
        <w:rPr>
          <w:sz w:val="20"/>
          <w:szCs w:val="20"/>
          <w:color w:val="auto"/>
        </w:rPr>
      </w:pPr>
      <w:r>
        <w:rPr>
          <w:rFonts w:ascii="Arial" w:cs="Arial" w:eastAsia="Arial" w:hAnsi="Arial"/>
          <w:sz w:val="18"/>
          <w:szCs w:val="18"/>
          <w:color w:val="auto"/>
        </w:rPr>
        <w:t>There is no incremental stock-based compensation expense for the six months ended June 30, 2018.</w:t>
      </w:r>
    </w:p>
    <w:p>
      <w:pPr>
        <w:spacing w:after="0" w:line="117" w:lineRule="exact"/>
        <w:rPr>
          <w:sz w:val="20"/>
          <w:szCs w:val="20"/>
          <w:color w:val="auto"/>
        </w:rPr>
      </w:pPr>
    </w:p>
    <w:p>
      <w:pPr>
        <w:ind w:left="820" w:hanging="407"/>
        <w:spacing w:after="0" w:line="277" w:lineRule="auto"/>
        <w:tabs>
          <w:tab w:leader="none" w:pos="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Represents incremental rent expense associated with Keryx’s operating lease as a result of the acquisition method of accounting. The adjustment to record the incremental rent expense is as follows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396"/>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December 31, 2017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2018</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431</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820" w:right="440" w:hanging="407"/>
        <w:spacing w:after="0" w:line="342" w:lineRule="auto"/>
        <w:tabs>
          <w:tab w:leader="none" w:pos="8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Represents the adjustment to cost of goods sold of $58.0 million and $29.0 million for the year ended December 31, 2017 and the six months ended June 30, 2018, respectively, based on the preliminary fair value inventory adjustment and the anticipated inventory turnover.</w:t>
      </w:r>
    </w:p>
    <w:p>
      <w:pPr>
        <w:spacing w:after="0" w:line="15" w:lineRule="exact"/>
        <w:rPr>
          <w:rFonts w:ascii="Arial" w:cs="Arial" w:eastAsia="Arial" w:hAnsi="Arial"/>
          <w:sz w:val="16"/>
          <w:szCs w:val="16"/>
          <w:color w:val="auto"/>
        </w:rPr>
      </w:pPr>
    </w:p>
    <w:p>
      <w:pPr>
        <w:jc w:val="both"/>
        <w:ind w:left="820" w:right="180" w:hanging="407"/>
        <w:spacing w:after="0" w:line="342" w:lineRule="auto"/>
        <w:tabs>
          <w:tab w:leader="none" w:pos="8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Represents the amortization expense related to the fair value of the acquired intangible associated with the Auryxia</w:t>
      </w:r>
      <w:r>
        <w:rPr>
          <w:rFonts w:ascii="Arial" w:cs="Arial" w:eastAsia="Arial" w:hAnsi="Arial"/>
          <w:sz w:val="13"/>
          <w:szCs w:val="13"/>
          <w:color w:val="auto"/>
        </w:rPr>
        <w:t>®</w:t>
      </w:r>
      <w:r>
        <w:rPr>
          <w:rFonts w:ascii="Arial" w:cs="Arial" w:eastAsia="Arial" w:hAnsi="Arial"/>
          <w:sz w:val="16"/>
          <w:szCs w:val="16"/>
          <w:color w:val="auto"/>
        </w:rPr>
        <w:t xml:space="preserve"> currently marketed product with a preliminary estimated useful life of 9 years, assuming the acquisition of Keryx has occurred on January 1, 2017 as follows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2018</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14,632</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Amortization of Auryxia will be recognized using a straight-line method over the estimated useful life, which represents the period over which Akebia expects the related cash flows to be realized.</w:t>
      </w:r>
    </w:p>
    <w:p>
      <w:pPr>
        <w:spacing w:after="0" w:line="170" w:lineRule="exact"/>
        <w:rPr>
          <w:sz w:val="20"/>
          <w:szCs w:val="20"/>
          <w:color w:val="auto"/>
        </w:rPr>
      </w:pPr>
    </w:p>
    <w:p>
      <w:pPr>
        <w:ind w:left="820" w:right="20" w:hanging="407"/>
        <w:spacing w:after="0" w:line="302" w:lineRule="auto"/>
        <w:tabs>
          <w:tab w:leader="none" w:pos="8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Represents the elimination of transaction costs of $5.2 million and $3.2 million incurred by Akebia and Keryx, respectively, in connection with the Merger and recorded as general and administrative expense in Akebia’s historical unaudited condensed consolidated statement of operations for the six months ended June 30, 2018, because the expenses are not expected to have a continuing impact on the operations of the combined business. No transaction costs were incurred by Akebia or Keryx in connection with the Merger during the year ended December 31, 2017.</w:t>
      </w:r>
    </w:p>
    <w:p>
      <w:pPr>
        <w:spacing w:after="0" w:line="46" w:lineRule="exact"/>
        <w:rPr>
          <w:rFonts w:ascii="Arial" w:cs="Arial" w:eastAsia="Arial" w:hAnsi="Arial"/>
          <w:sz w:val="16"/>
          <w:szCs w:val="16"/>
          <w:color w:val="auto"/>
        </w:rPr>
      </w:pPr>
    </w:p>
    <w:p>
      <w:pPr>
        <w:jc w:val="both"/>
        <w:ind w:left="820" w:right="40" w:hanging="407"/>
        <w:spacing w:after="0" w:line="286" w:lineRule="auto"/>
        <w:tabs>
          <w:tab w:leader="none" w:pos="8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Represents the elimination of (1) Keryx’s historical amortization of debt discount of $63.0 million for the year ended December 31, 2017 and $1.3 million for the six months ended June 30, 2018; and (2) Keryx’s historical other income of $0.2 million for the year ended December 31, 2017 and zero for the six months ended June 30, 2018, in connection with the conversion of the Convertible Notes.</w:t>
      </w:r>
    </w:p>
    <w:p>
      <w:pPr>
        <w:spacing w:after="0" w:line="57" w:lineRule="exact"/>
        <w:rPr>
          <w:rFonts w:ascii="Arial" w:cs="Arial" w:eastAsia="Arial" w:hAnsi="Arial"/>
          <w:sz w:val="17"/>
          <w:szCs w:val="17"/>
          <w:color w:val="auto"/>
        </w:rPr>
      </w:pPr>
    </w:p>
    <w:p>
      <w:pPr>
        <w:ind w:left="820" w:right="360" w:hanging="407"/>
        <w:spacing w:after="0" w:line="264" w:lineRule="auto"/>
        <w:tabs>
          <w:tab w:leader="none" w:pos="8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Net loss per share, or EPS, basic and diluted for the combined company has been adjusted for the year ended December 31, 2017 and the six months ended June 30, 2018 to give effect to the net loss for the combined company and the weighted average shares outstanding described in Note (7h).</w:t>
      </w:r>
    </w:p>
    <w:p>
      <w:pPr>
        <w:spacing w:after="0" w:line="73" w:lineRule="exact"/>
        <w:rPr>
          <w:rFonts w:ascii="Arial" w:cs="Arial" w:eastAsia="Arial" w:hAnsi="Arial"/>
          <w:sz w:val="18"/>
          <w:szCs w:val="18"/>
          <w:color w:val="auto"/>
        </w:rPr>
      </w:pPr>
    </w:p>
    <w:p>
      <w:pPr>
        <w:ind w:left="820" w:right="440" w:hanging="407"/>
        <w:spacing w:after="0" w:line="264" w:lineRule="auto"/>
        <w:tabs>
          <w:tab w:leader="none" w:pos="8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Represents the adjustment to the weighted average shares outstanding used to compute basic and diluted net loss per share for the year ended December 31, 2017 and the six months ended June 30, 2018 to give effect to the expected issuance of 59,898,637 Akebia Shares upon consummation of the Merger, as if such issuances had occurred on January 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Items Not Included in the Unaudited Pro Forma Condensed Combined Financial Statements</w:t>
      </w:r>
    </w:p>
    <w:p>
      <w:pPr>
        <w:spacing w:after="0" w:line="121" w:lineRule="exact"/>
        <w:rPr>
          <w:sz w:val="20"/>
          <w:szCs w:val="20"/>
          <w:color w:val="auto"/>
        </w:rPr>
      </w:pPr>
    </w:p>
    <w:p>
      <w:pPr>
        <w:ind w:right="340" w:firstLine="815"/>
        <w:spacing w:after="0" w:line="277" w:lineRule="auto"/>
        <w:rPr>
          <w:sz w:val="20"/>
          <w:szCs w:val="20"/>
          <w:color w:val="auto"/>
        </w:rPr>
      </w:pPr>
      <w:r>
        <w:rPr>
          <w:rFonts w:ascii="Arial" w:cs="Arial" w:eastAsia="Arial" w:hAnsi="Arial"/>
          <w:sz w:val="18"/>
          <w:szCs w:val="18"/>
          <w:color w:val="auto"/>
        </w:rPr>
        <w:t>The unaudited pro forma condensed combined statements of operations do not include any transaction costs incurred by Akebia or Keryx after June 30, 2018 as those costs are not expected to have a continuing impact on the operations of the combined business.</w:t>
      </w:r>
    </w:p>
    <w:p>
      <w:pPr>
        <w:spacing w:after="0" w:line="170" w:lineRule="exact"/>
        <w:rPr>
          <w:sz w:val="20"/>
          <w:szCs w:val="20"/>
          <w:color w:val="auto"/>
        </w:rPr>
      </w:pPr>
    </w:p>
    <w:p>
      <w:pPr>
        <w:ind w:right="680" w:firstLine="815"/>
        <w:spacing w:after="0" w:line="308" w:lineRule="auto"/>
        <w:rPr>
          <w:sz w:val="20"/>
          <w:szCs w:val="20"/>
          <w:color w:val="auto"/>
        </w:rPr>
      </w:pPr>
      <w:r>
        <w:rPr>
          <w:rFonts w:ascii="Arial" w:cs="Arial" w:eastAsia="Arial" w:hAnsi="Arial"/>
          <w:sz w:val="17"/>
          <w:szCs w:val="17"/>
          <w:color w:val="auto"/>
        </w:rPr>
        <w:t>The unaudited pro forma condensed combined statements of operations do not include the impacts of any revenue, cost or other operating synergies that may result from the Merger or the impact of any non-recurring activity and one-time transaction-related costs.</w:t>
      </w:r>
    </w:p>
    <w:p>
      <w:pPr>
        <w:spacing w:after="0" w:line="147" w:lineRule="exact"/>
        <w:rPr>
          <w:sz w:val="20"/>
          <w:szCs w:val="20"/>
          <w:color w:val="auto"/>
        </w:rPr>
      </w:pPr>
    </w:p>
    <w:p>
      <w:pPr>
        <w:jc w:val="both"/>
        <w:ind w:right="300" w:firstLine="815"/>
        <w:spacing w:after="0" w:line="312" w:lineRule="auto"/>
        <w:rPr>
          <w:sz w:val="20"/>
          <w:szCs w:val="20"/>
          <w:color w:val="auto"/>
        </w:rPr>
      </w:pPr>
      <w:r>
        <w:rPr>
          <w:rFonts w:ascii="Arial" w:cs="Arial" w:eastAsia="Arial" w:hAnsi="Arial"/>
          <w:sz w:val="16"/>
          <w:szCs w:val="16"/>
          <w:color w:val="auto"/>
        </w:rPr>
        <w:t>The unaudited pro forma condensed combined statements of operations do not include an adjustment of $11.5 million related to the automatic acceleration of vesting of certain Akebia share-based awards and $5.6 million related to the acceleration of vesting of certain Keryx share-based awards in contemplation of the Merger as those expenses are not expected to have a continuing impact on the operations of the combined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87" w:name="page288"/>
    <w:bookmarkEnd w:id="287"/>
    <w:p>
      <w:pPr>
        <w:ind w:right="100" w:firstLine="815"/>
        <w:spacing w:after="0" w:line="312" w:lineRule="auto"/>
        <w:rPr>
          <w:sz w:val="20"/>
          <w:szCs w:val="20"/>
          <w:color w:val="auto"/>
        </w:rPr>
      </w:pPr>
      <w:r>
        <w:rPr>
          <w:rFonts w:ascii="Arial" w:cs="Arial" w:eastAsia="Arial" w:hAnsi="Arial"/>
          <w:sz w:val="16"/>
          <w:szCs w:val="16"/>
          <w:color w:val="auto"/>
        </w:rPr>
        <w:t>The unaudited pro forma condensed combined statements of operations do not include an adjustment of $12.2 million to selling, general and administrative expenses related to the Additional Shares expected to be issued to Baupost as converted to Akebia Shares as those expenses are specific to the Note Conversion Agreement, a separate transaction, and are not expected to have a continuing impact on the operations of the combined business.</w:t>
      </w:r>
    </w:p>
    <w:p>
      <w:pPr>
        <w:spacing w:after="0" w:line="147" w:lineRule="exact"/>
        <w:rPr>
          <w:sz w:val="20"/>
          <w:szCs w:val="20"/>
          <w:color w:val="auto"/>
        </w:rPr>
      </w:pPr>
    </w:p>
    <w:p>
      <w:pPr>
        <w:ind w:right="20" w:firstLine="815"/>
        <w:spacing w:after="0" w:line="257" w:lineRule="auto"/>
        <w:rPr>
          <w:sz w:val="20"/>
          <w:szCs w:val="20"/>
          <w:color w:val="auto"/>
        </w:rPr>
      </w:pPr>
      <w:r>
        <w:rPr>
          <w:rFonts w:ascii="Arial" w:cs="Arial" w:eastAsia="Arial" w:hAnsi="Arial"/>
          <w:sz w:val="18"/>
          <w:szCs w:val="18"/>
          <w:color w:val="auto"/>
        </w:rPr>
        <w:t>The unaudited pro forma condensed combined financial statements do not reflect possible limitations to the combined company’s NOLs as a result of an “ownership change” under Section 382 of the Internal Revenue Code of 1986. As a result of the Merger, the combined company may be subject to annual limitations on its ability to utilize pre-change NOLs to offset future taxable income. The amount of the annual limitation is determined based on the value of Akebia immediately prior to the ownership change. As of June 30, 2018, the preliminary estimate of unlimited NOLs available to the combined company to offset taxable income in future years is approximately $216.0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Unadjusted Pro Forma Balances</w:t>
      </w:r>
    </w:p>
    <w:p>
      <w:pPr>
        <w:spacing w:after="0" w:line="121" w:lineRule="exact"/>
        <w:rPr>
          <w:sz w:val="20"/>
          <w:szCs w:val="20"/>
          <w:color w:val="auto"/>
        </w:rPr>
      </w:pPr>
    </w:p>
    <w:p>
      <w:pPr>
        <w:ind w:firstLine="815"/>
        <w:spacing w:after="0" w:line="259" w:lineRule="auto"/>
        <w:rPr>
          <w:sz w:val="20"/>
          <w:szCs w:val="20"/>
          <w:color w:val="auto"/>
        </w:rPr>
      </w:pPr>
      <w:r>
        <w:rPr>
          <w:rFonts w:ascii="Arial" w:cs="Arial" w:eastAsia="Arial" w:hAnsi="Arial"/>
          <w:sz w:val="18"/>
          <w:szCs w:val="18"/>
          <w:color w:val="auto"/>
        </w:rPr>
        <w:t>At this time, Akebia does not have sufficient information necessary to make a reasonable estimate of the balance sheet and/or income statement effects related to certain aspects of specific supply agreements which may give rise to a lease commitment. Therefore, no adjustment has been presented. As further information becomes available, such adjustments could be material to the amounts presented in the unaudited pro forma condensed combined financial statements.</w:t>
      </w:r>
    </w:p>
    <w:p>
      <w:pPr>
        <w:sectPr>
          <w:pgSz w:w="11900" w:h="16838" w:orient="portrait"/>
          <w:cols w:equalWidth="0" w:num="1">
            <w:col w:w="11420"/>
          </w:cols>
          <w:pgMar w:left="240" w:top="341" w:right="2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4"/>
        </w:trPr>
        <w:tc>
          <w:tcPr>
            <w:tcW w:w="9520" w:type="dxa"/>
            <w:vAlign w:val="bottom"/>
          </w:tcPr>
          <w:p>
            <w:pPr>
              <w:spacing w:after="0"/>
              <w:rPr>
                <w:sz w:val="20"/>
                <w:szCs w:val="20"/>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Exhibit 99.2</w:t>
            </w:r>
          </w:p>
        </w:tc>
      </w:tr>
      <w:tr>
        <w:trPr>
          <w:trHeight w:val="373"/>
        </w:trPr>
        <w:tc>
          <w:tcPr>
            <w:tcW w:w="9520" w:type="dxa"/>
            <w:vAlign w:val="bottom"/>
          </w:tcPr>
          <w:p>
            <w:pPr>
              <w:ind w:left="4500"/>
              <w:spacing w:after="0"/>
              <w:rPr>
                <w:sz w:val="20"/>
                <w:szCs w:val="20"/>
                <w:color w:val="auto"/>
              </w:rPr>
            </w:pPr>
            <w:r>
              <w:rPr>
                <w:rFonts w:ascii="Arial" w:cs="Arial" w:eastAsia="Arial" w:hAnsi="Arial"/>
                <w:sz w:val="18"/>
                <w:szCs w:val="18"/>
                <w:b w:val="1"/>
                <w:bCs w:val="1"/>
                <w:color w:val="auto"/>
              </w:rPr>
              <w:t>Keryx Biopharmaceuticals, Inc.</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520" w:type="dxa"/>
            <w:vAlign w:val="bottom"/>
          </w:tcPr>
          <w:p>
            <w:pPr>
              <w:ind w:left="2900"/>
              <w:spacing w:after="0"/>
              <w:rPr>
                <w:sz w:val="20"/>
                <w:szCs w:val="20"/>
                <w:color w:val="auto"/>
              </w:rPr>
            </w:pPr>
            <w:r>
              <w:rPr>
                <w:rFonts w:ascii="Arial" w:cs="Arial" w:eastAsia="Arial" w:hAnsi="Arial"/>
                <w:sz w:val="18"/>
                <w:szCs w:val="18"/>
                <w:b w:val="1"/>
                <w:bCs w:val="1"/>
                <w:color w:val="auto"/>
              </w:rPr>
              <w:t>Index to Consolidated and Condensed Consolidated Financial Statements</w:t>
            </w: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52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118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Page</w:t>
            </w:r>
          </w:p>
        </w:tc>
      </w:tr>
      <w:tr>
        <w:trPr>
          <w:trHeight w:val="195"/>
        </w:trPr>
        <w:tc>
          <w:tcPr>
            <w:tcW w:w="9520" w:type="dxa"/>
            <w:vAlign w:val="bottom"/>
          </w:tcPr>
          <w:p>
            <w:pPr>
              <w:spacing w:after="0" w:line="195" w:lineRule="exact"/>
              <w:rPr>
                <w:sz w:val="20"/>
                <w:szCs w:val="20"/>
                <w:color w:val="auto"/>
              </w:rPr>
            </w:pPr>
            <w:r>
              <w:rPr>
                <w:rFonts w:ascii="Arial" w:cs="Arial" w:eastAsia="Arial" w:hAnsi="Arial"/>
                <w:sz w:val="18"/>
                <w:szCs w:val="18"/>
                <w:color w:val="auto"/>
              </w:rPr>
              <w:t>Report of Independent Registered Public Accounting Firm</w:t>
            </w:r>
          </w:p>
        </w:tc>
        <w:tc>
          <w:tcPr>
            <w:tcW w:w="118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Consolidated Balance Sheets as of December 31, 2017 and 2016</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Consolidated Statements of Stockholders’ (Deficit) Equity for the Years Ended December 31, 2017, 2016 and 2015</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Condensed Consolidated Balance Sheets as of June 30, 2018 and December 31, 2017</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Condensed Consolidated Statements of Operations for the three and six months ended June 30, 2018 and 2017</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Condensed Consolidated Statements of Cash Flows for the six months ended June 30, 2018 and 2017</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547"/>
        </w:trPr>
        <w:tc>
          <w:tcPr>
            <w:tcW w:w="95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89" w:name="page290"/>
    <w:bookmarkEnd w:id="289"/>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Keryx Biopharmaceuticals,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Keryx Biopharmaceuticals, Inc. (the “Company”) as of December 31, 2017 and 2016, and the related consolidated statements of operations, stockholders’ equity (deficit), and cash flows for each of the years in the three-year period ended December 31, 2017, and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accounting principles generally accepted in the United States of America.</w:t>
      </w:r>
    </w:p>
    <w:p>
      <w:pPr>
        <w:spacing w:after="0" w:line="1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(2013) issued by the Committee of Sponsoring Organizations of the Treadway Commission (COSO), and our report dated February 21, 2018,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ind w:left="3880"/>
              <w:spacing w:after="0"/>
              <w:rPr>
                <w:sz w:val="20"/>
                <w:szCs w:val="20"/>
                <w:color w:val="auto"/>
              </w:rPr>
            </w:pPr>
            <w:r>
              <w:rPr>
                <w:rFonts w:ascii="Arial" w:cs="Arial" w:eastAsia="Arial" w:hAnsi="Arial"/>
                <w:sz w:val="18"/>
                <w:szCs w:val="18"/>
                <w:color w:val="auto"/>
                <w:w w:val="87"/>
              </w:rPr>
              <w:t>(in thousands, except share and per share amounts)</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75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3"/>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93,526</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111,810</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28,695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12,681</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8,146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5,236</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11,199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3,170</w:t>
            </w: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141,566</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132,897</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4,521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4,211</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3,208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3,208</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Other assets, net</w:t>
            </w:r>
          </w:p>
        </w:tc>
        <w:tc>
          <w:tcPr>
            <w:tcW w:w="4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9,577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1,111</w:t>
            </w:r>
          </w:p>
        </w:tc>
      </w:tr>
      <w:tr>
        <w:trPr>
          <w:trHeight w:val="257"/>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158,872</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141,427</w:t>
            </w: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75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45,031</w:t>
            </w:r>
          </w:p>
        </w:tc>
        <w:tc>
          <w:tcPr>
            <w:tcW w:w="26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21,190</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lease incentive, current portion</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244</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117</w:t>
            </w: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45,420</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21,551</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Convertible senior notes</w:t>
            </w:r>
          </w:p>
        </w:tc>
        <w:tc>
          <w:tcPr>
            <w:tcW w:w="4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125,000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125,000</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lease incentive, net of current portion</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1,262</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4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870</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1,040</w:t>
            </w:r>
          </w:p>
        </w:tc>
      </w:tr>
      <w:tr>
        <w:trPr>
          <w:trHeight w:val="210"/>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172,967</w:t>
            </w:r>
          </w:p>
        </w:tc>
        <w:tc>
          <w:tcPr>
            <w:tcW w:w="2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149,723</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2"/>
        </w:trPr>
        <w:tc>
          <w:tcPr>
            <w:tcW w:w="7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Preferred stock, $0.001 par value per share (5,000,000 shares authorized, no shares issued and</w:t>
            </w: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02"/>
        </w:trPr>
        <w:tc>
          <w:tcPr>
            <w:tcW w:w="756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$0.001 par value per share (230,000,000 and 180,000,000 shares authorized,</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w w:val="96"/>
              </w:rPr>
              <w:t>119,272,304 and 105,921,052 shares issued, 119,192,356 and 105,841,104 shares outstanding at</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December 31, 2017 and 2016, respectively)</w:t>
            </w:r>
          </w:p>
        </w:tc>
        <w:tc>
          <w:tcPr>
            <w:tcW w:w="4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106</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984,681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827,053</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Treasury stock, at cost, 79,948 shares at December 31, 2017 and 2016</w:t>
            </w:r>
          </w:p>
        </w:tc>
        <w:tc>
          <w:tcPr>
            <w:tcW w:w="4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(357 )</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(357 )</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(998,538 )</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(835,098 )</w:t>
            </w:r>
          </w:p>
        </w:tc>
      </w:tr>
      <w:tr>
        <w:trPr>
          <w:trHeight w:val="210"/>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deficit</w:t>
            </w: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(14,095 )</w:t>
            </w:r>
          </w:p>
        </w:tc>
        <w:tc>
          <w:tcPr>
            <w:tcW w:w="2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(8,296 )</w:t>
            </w:r>
          </w:p>
        </w:tc>
      </w:tr>
      <w:tr>
        <w:trPr>
          <w:trHeight w:val="257"/>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158,872</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141,427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Net U.S. Auryxia product sales License revenue</w:t>
      </w:r>
    </w:p>
    <w:p>
      <w:pPr>
        <w:spacing w:after="0"/>
        <w:rPr>
          <w:sz w:val="20"/>
          <w:szCs w:val="20"/>
          <w:color w:val="auto"/>
        </w:rPr>
      </w:pPr>
      <w:r>
        <w:rPr>
          <w:rFonts w:ascii="Arial" w:cs="Arial" w:eastAsia="Arial" w:hAnsi="Arial"/>
          <w:sz w:val="18"/>
          <w:szCs w:val="18"/>
          <w:color w:val="auto"/>
        </w:rPr>
        <w:t>Total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costs and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other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jc w:val="center"/>
        <w:ind w:right="2860"/>
        <w:spacing w:after="0"/>
        <w:rPr>
          <w:sz w:val="20"/>
          <w:szCs w:val="20"/>
          <w:color w:val="auto"/>
        </w:rPr>
      </w:pPr>
      <w:r>
        <w:rPr>
          <w:rFonts w:ascii="Arial" w:cs="Arial" w:eastAsia="Arial" w:hAnsi="Arial"/>
          <w:sz w:val="16"/>
          <w:szCs w:val="16"/>
          <w:b w:val="1"/>
          <w:bCs w:val="1"/>
          <w:color w:val="auto"/>
        </w:rPr>
        <w:t>Consolidated Statements of Operations for the Years Ended December 31,</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thousands, except share and per share amounts)</w:t>
      </w:r>
    </w:p>
    <w:p>
      <w:pPr>
        <w:spacing w:after="0" w:line="221" w:lineRule="exact"/>
        <w:rPr>
          <w:sz w:val="20"/>
          <w:szCs w:val="20"/>
          <w:color w:val="auto"/>
        </w:rPr>
      </w:pPr>
    </w:p>
    <w:tbl>
      <w:tblPr>
        <w:tblLayout w:type="fixed"/>
        <w:tblInd w:w="2560" w:type="dxa"/>
        <w:tblCellMar>
          <w:top w:w="0" w:type="dxa"/>
          <w:left w:w="0" w:type="dxa"/>
          <w:bottom w:w="0" w:type="dxa"/>
          <w:right w:w="0" w:type="dxa"/>
        </w:tblCellMar>
      </w:tblPr>
      <w:tr>
        <w:trPr>
          <w:trHeight w:val="234"/>
        </w:trPr>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43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55,514</w:t>
            </w:r>
          </w:p>
        </w:tc>
        <w:tc>
          <w:tcPr>
            <w:tcW w:w="2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27,173</w:t>
            </w:r>
          </w:p>
        </w:tc>
        <w:tc>
          <w:tcPr>
            <w:tcW w:w="26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10,141</w:t>
            </w:r>
          </w:p>
        </w:tc>
      </w:tr>
      <w:tr>
        <w:trPr>
          <w:trHeight w:val="230"/>
        </w:trPr>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5,127</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4,810</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3,539</w:t>
            </w:r>
          </w:p>
        </w:tc>
      </w:tr>
      <w:tr>
        <w:trPr>
          <w:trHeight w:val="224"/>
        </w:trPr>
        <w:tc>
          <w:tcPr>
            <w:tcW w:w="42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60,641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31,983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13,680</w:t>
            </w:r>
          </w:p>
        </w:tc>
      </w:tr>
      <w:tr>
        <w:trPr>
          <w:trHeight w:val="404"/>
        </w:trPr>
        <w:tc>
          <w:tcPr>
            <w:tcW w:w="42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21,955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37,803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4,520</w:t>
            </w:r>
          </w:p>
        </w:tc>
      </w:tr>
      <w:tr>
        <w:trPr>
          <w:trHeight w:val="216"/>
        </w:trPr>
        <w:tc>
          <w:tcPr>
            <w:tcW w:w="42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3,076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2,886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2,124</w:t>
            </w:r>
          </w:p>
        </w:tc>
      </w:tr>
      <w:tr>
        <w:trPr>
          <w:trHeight w:val="216"/>
        </w:trPr>
        <w:tc>
          <w:tcPr>
            <w:tcW w:w="42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37,679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29,504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36,694</w:t>
            </w:r>
          </w:p>
        </w:tc>
      </w:tr>
      <w:tr>
        <w:trPr>
          <w:trHeight w:val="230"/>
        </w:trPr>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99,622</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84,553</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81,410</w:t>
            </w:r>
          </w:p>
        </w:tc>
      </w:tr>
      <w:tr>
        <w:trPr>
          <w:trHeight w:val="195"/>
        </w:trPr>
        <w:tc>
          <w:tcPr>
            <w:tcW w:w="420" w:type="dxa"/>
            <w:vAlign w:val="bottom"/>
          </w:tcPr>
          <w:p>
            <w:pPr>
              <w:spacing w:after="0"/>
              <w:rPr>
                <w:sz w:val="16"/>
                <w:szCs w:val="16"/>
                <w:color w:val="auto"/>
              </w:rPr>
            </w:pPr>
          </w:p>
        </w:tc>
        <w:tc>
          <w:tcPr>
            <w:tcW w:w="14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162,332</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154,746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124,748</w:t>
            </w:r>
          </w:p>
        </w:tc>
      </w:tr>
      <w:tr>
        <w:trPr>
          <w:trHeight w:val="230"/>
        </w:trPr>
        <w:tc>
          <w:tcPr>
            <w:tcW w:w="4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(101,691 )</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(122,763 )</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(111,068 )</w:t>
            </w:r>
          </w:p>
        </w:tc>
      </w:tr>
      <w:tr>
        <w:trPr>
          <w:trHeight w:val="418"/>
        </w:trPr>
        <w:tc>
          <w:tcPr>
            <w:tcW w:w="42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(62,965 )</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(34,227 )</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(11,357 )</w:t>
            </w:r>
          </w:p>
        </w:tc>
      </w:tr>
      <w:tr>
        <w:trPr>
          <w:trHeight w:val="230"/>
        </w:trPr>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981</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(4,025 )</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(630 )</w:t>
            </w:r>
          </w:p>
        </w:tc>
      </w:tr>
      <w:tr>
        <w:trPr>
          <w:trHeight w:val="195"/>
        </w:trPr>
        <w:tc>
          <w:tcPr>
            <w:tcW w:w="420" w:type="dxa"/>
            <w:vAlign w:val="bottom"/>
          </w:tcPr>
          <w:p>
            <w:pPr>
              <w:spacing w:after="0"/>
              <w:rPr>
                <w:sz w:val="16"/>
                <w:szCs w:val="16"/>
                <w:color w:val="auto"/>
              </w:rPr>
            </w:pPr>
          </w:p>
        </w:tc>
        <w:tc>
          <w:tcPr>
            <w:tcW w:w="14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(61,984 )</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(38,252 )</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(11,987 )</w:t>
            </w:r>
          </w:p>
        </w:tc>
      </w:tr>
      <w:tr>
        <w:trPr>
          <w:trHeight w:val="216"/>
        </w:trPr>
        <w:tc>
          <w:tcPr>
            <w:tcW w:w="4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(163,675 )</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(161,015 )</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(123,055 )</w:t>
            </w:r>
          </w:p>
        </w:tc>
      </w:tr>
      <w:tr>
        <w:trPr>
          <w:trHeight w:val="230"/>
        </w:trPr>
        <w:tc>
          <w:tcPr>
            <w:tcW w:w="4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(235 )</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-2383155</wp:posOffset>
            </wp:positionV>
            <wp:extent cx="7246620" cy="146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-2083435</wp:posOffset>
            </wp:positionV>
            <wp:extent cx="72466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-1800225</wp:posOffset>
            </wp:positionV>
            <wp:extent cx="72466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-1525905</wp:posOffset>
            </wp:positionV>
            <wp:extent cx="72466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-1251585</wp:posOffset>
            </wp:positionV>
            <wp:extent cx="72466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-968375</wp:posOffset>
            </wp:positionV>
            <wp:extent cx="72466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-694055</wp:posOffset>
            </wp:positionV>
            <wp:extent cx="72466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-419735</wp:posOffset>
            </wp:positionV>
            <wp:extent cx="7246620" cy="146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-136525</wp:posOffset>
            </wp:positionV>
            <wp:extent cx="72466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20" w:space="360"/>
            <w:col w:w="854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57"/>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(163,440)</w:t>
            </w:r>
          </w:p>
        </w:tc>
        <w:tc>
          <w:tcPr>
            <w:tcW w:w="2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(161,095)</w:t>
            </w:r>
          </w:p>
        </w:tc>
        <w:tc>
          <w:tcPr>
            <w:tcW w:w="2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(123,145)</w:t>
            </w:r>
          </w:p>
        </w:tc>
      </w:tr>
      <w:tr>
        <w:trPr>
          <w:trHeight w:val="264"/>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w w:val="91"/>
              </w:rPr>
              <w:t>Weighted average shares used in computing basic and diluted net loss per</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1"/>
        </w:trPr>
        <w:tc>
          <w:tcPr>
            <w:tcW w:w="5440" w:type="dxa"/>
            <w:vAlign w:val="bottom"/>
          </w:tcPr>
          <w:p>
            <w:pPr>
              <w:spacing w:after="0"/>
              <w:rPr>
                <w:sz w:val="20"/>
                <w:szCs w:val="20"/>
                <w:color w:val="auto"/>
              </w:rPr>
            </w:pPr>
            <w:r>
              <w:rPr>
                <w:rFonts w:ascii="Arial" w:cs="Arial" w:eastAsia="Arial" w:hAnsi="Arial"/>
                <w:sz w:val="18"/>
                <w:szCs w:val="18"/>
                <w:color w:val="auto"/>
              </w:rPr>
              <w:t>common share</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114,507,668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105,845,121</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103,898,399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4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480" w:type="dxa"/>
            <w:vAlign w:val="bottom"/>
            <w:gridSpan w:val="5"/>
          </w:tcPr>
          <w:p>
            <w:pPr>
              <w:ind w:left="2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paid-in</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capital</w:t>
            </w:r>
          </w:p>
        </w:tc>
        <w:tc>
          <w:tcPr>
            <w:tcW w:w="72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January 1, 2015</w:t>
            </w:r>
          </w:p>
        </w:tc>
        <w:tc>
          <w:tcPr>
            <w:tcW w:w="104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92,758,789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624,606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79,948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(550,858)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73,484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Issuance of common stock in public offering (net of offering costs of $8,216)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10,541,667</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118,274</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118,284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Issuance of restricted stock</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1,247,250</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Forfeiture of restricted stock</w:t>
            </w:r>
          </w:p>
        </w:tc>
        <w:tc>
          <w:tcPr>
            <w:tcW w:w="1040" w:type="dxa"/>
            <w:vAlign w:val="bottom"/>
          </w:tcPr>
          <w:p>
            <w:pPr>
              <w:jc w:val="right"/>
              <w:spacing w:after="0"/>
              <w:rPr>
                <w:sz w:val="20"/>
                <w:szCs w:val="20"/>
                <w:color w:val="auto"/>
              </w:rPr>
            </w:pPr>
            <w:r>
              <w:rPr>
                <w:rFonts w:ascii="Arial" w:cs="Arial" w:eastAsia="Arial" w:hAnsi="Arial"/>
                <w:sz w:val="14"/>
                <w:szCs w:val="14"/>
                <w:color w:val="auto"/>
              </w:rPr>
              <w:t>(330,102)</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Surrender of common stock for tax withholding</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Issuance of common stock in connection with the exercise of 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1,005,576</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1,462</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16,862</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(123,145)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(123,145)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2015</w:t>
            </w:r>
          </w:p>
        </w:tc>
        <w:tc>
          <w:tcPr>
            <w:tcW w:w="10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105,221,555</w:t>
            </w: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761,189</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79,948</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(357)</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(674,003)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86,934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974,325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Forfeiture of restricted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(341,603)</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Issuance of common stock in connection with the exercise of 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66,775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Reclassification of derivative liability to equity</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51,404</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14,262</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14,262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Balance at December 31, 2016</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105,921,052</w:t>
            </w: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827,053</w:t>
            </w: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79,948</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(835,098)</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Issuance of restricted stock, net of tax withholdings</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1,231,825</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Forfeiture of restricted stock</w:t>
            </w:r>
          </w:p>
        </w:tc>
        <w:tc>
          <w:tcPr>
            <w:tcW w:w="1040" w:type="dxa"/>
            <w:vAlign w:val="bottom"/>
          </w:tcPr>
          <w:p>
            <w:pPr>
              <w:jc w:val="right"/>
              <w:spacing w:after="0"/>
              <w:rPr>
                <w:sz w:val="20"/>
                <w:szCs w:val="20"/>
                <w:color w:val="auto"/>
              </w:rPr>
            </w:pPr>
            <w:r>
              <w:rPr>
                <w:rFonts w:ascii="Arial" w:cs="Arial" w:eastAsia="Arial" w:hAnsi="Arial"/>
                <w:sz w:val="14"/>
                <w:szCs w:val="14"/>
                <w:color w:val="auto"/>
              </w:rPr>
              <w:t>(142,251)</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Retirement of restricted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(59,071)</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Issuance of common stock in connection with exercise of 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383,575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1,146</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At-the-market issuance of common stock, net of $1,928 of issuance costs</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11,937,174</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75,607</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20" w:type="dxa"/>
            <w:vAlign w:val="bottom"/>
          </w:tcPr>
          <w:p>
            <w:pPr>
              <w:spacing w:after="0" w:line="143" w:lineRule="exact"/>
              <w:rPr>
                <w:sz w:val="20"/>
                <w:szCs w:val="20"/>
                <w:color w:val="auto"/>
              </w:rPr>
            </w:pPr>
            <w:r>
              <w:rPr>
                <w:rFonts w:ascii="Arial" w:cs="Arial" w:eastAsia="Arial" w:hAnsi="Arial"/>
                <w:sz w:val="14"/>
                <w:szCs w:val="14"/>
                <w:color w:val="auto"/>
              </w:rPr>
              <w:t>Increase in value of conversion feature in connection with modification of</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convertible notes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Reclassification of derivative liability to equity</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62,735</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18,438</w:t>
            </w:r>
          </w:p>
        </w:tc>
        <w:tc>
          <w:tcPr>
            <w:tcW w:w="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18,438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20" w:type="dxa"/>
            <w:vAlign w:val="bottom"/>
          </w:tcPr>
          <w:p>
            <w:pPr>
              <w:spacing w:after="0" w:line="155" w:lineRule="exact"/>
              <w:rPr>
                <w:sz w:val="20"/>
                <w:szCs w:val="20"/>
                <w:color w:val="auto"/>
              </w:rPr>
            </w:pPr>
            <w:r>
              <w:rPr>
                <w:rFonts w:ascii="Arial" w:cs="Arial" w:eastAsia="Arial" w:hAnsi="Arial"/>
                <w:sz w:val="14"/>
                <w:szCs w:val="14"/>
                <w:color w:val="auto"/>
              </w:rPr>
              <w:t>Balance at December 31, 2017</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119,272,304</w:t>
            </w:r>
          </w:p>
        </w:tc>
        <w:tc>
          <w:tcPr>
            <w:tcW w:w="4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w:t>
            </w: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984,681</w:t>
            </w:r>
          </w:p>
        </w:tc>
        <w:tc>
          <w:tcPr>
            <w:tcW w:w="4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79,948</w:t>
            </w:r>
          </w:p>
        </w:tc>
        <w:tc>
          <w:tcPr>
            <w:tcW w:w="60" w:type="dxa"/>
            <w:vAlign w:val="bottom"/>
          </w:tcPr>
          <w:p>
            <w:pPr>
              <w:spacing w:after="0"/>
              <w:rPr>
                <w:sz w:val="15"/>
                <w:szCs w:val="15"/>
                <w:color w:val="auto"/>
              </w:rPr>
            </w:pPr>
          </w:p>
        </w:tc>
        <w:tc>
          <w:tcPr>
            <w:tcW w:w="2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w:t>
            </w:r>
          </w:p>
        </w:tc>
        <w:tc>
          <w:tcPr>
            <w:tcW w:w="60" w:type="dxa"/>
            <w:vAlign w:val="bottom"/>
          </w:tcPr>
          <w:p>
            <w:pPr>
              <w:spacing w:after="0"/>
              <w:rPr>
                <w:sz w:val="15"/>
                <w:szCs w:val="15"/>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(998,538)</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 Ended December 31,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1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(163,440)</w:t>
            </w:r>
          </w:p>
        </w:tc>
        <w:tc>
          <w:tcPr>
            <w:tcW w:w="3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(161,095)</w:t>
            </w:r>
          </w:p>
        </w:tc>
        <w:tc>
          <w:tcPr>
            <w:tcW w:w="26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(123,145)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loss to cash flows used in operating activities: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18,272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13,989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16,500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62,965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34,227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11,357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(225 )</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4,718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1,102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937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596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Loss on disposal of fixed assets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507</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Write-down of inventory to net realizable value</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3,467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27,968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received from landlord</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637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1,276</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lease incentive</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(244 )</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(244 )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(163 )</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(235 )</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(8,029 )</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(340 )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1,262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(2,910 )</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(1,580 )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(2,822 )</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47</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(19,496 )</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(2,300 )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(29,189 )</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(238 )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(807 )</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(8,466 )</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355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24,023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(8,478 )</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(3,526 )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3,112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(146 )</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(36 )</w:t>
            </w: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943</w:t>
            </w:r>
          </w:p>
        </w:tc>
      </w:tr>
      <w:tr>
        <w:trPr>
          <w:trHeight w:val="210"/>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(93,489 )</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(86,604 )</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(127,457 )</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(1,257 )</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(2,074 )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(2,777 )</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held-to-maturity short-term securities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maturity of held-to-maturity short-term securities</w:t>
            </w:r>
          </w:p>
        </w:tc>
        <w:tc>
          <w:tcPr>
            <w:tcW w:w="4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11,508</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(1,257 )</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(2,074 )</w:t>
            </w: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8,731</w:t>
            </w:r>
          </w:p>
        </w:tc>
      </w:tr>
      <w:tr>
        <w:trPr>
          <w:trHeight w:val="210"/>
        </w:trPr>
        <w:tc>
          <w:tcPr>
            <w:tcW w:w="5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commission</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75,720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118,284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Proceeds from issuance of convertible senior notes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125,000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Payments for common stock issuance costs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(102 )</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Proceeds from exercise of options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1,146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1,463</w:t>
            </w: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Payments for repurchase of common stock for employee tax withholding</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(302 )</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(15 )</w:t>
            </w:r>
          </w:p>
        </w:tc>
      </w:tr>
      <w:tr>
        <w:trPr>
          <w:trHeight w:val="210"/>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76,462</w:t>
            </w:r>
          </w:p>
        </w:tc>
        <w:tc>
          <w:tcPr>
            <w:tcW w:w="3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244,732</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(18,284 )</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(88,480 )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126,006</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4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111,810</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200,290</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74,284</w:t>
            </w: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93,526</w:t>
            </w: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111,810</w:t>
            </w: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200,290</w:t>
            </w:r>
          </w:p>
        </w:tc>
      </w:tr>
      <w:tr>
        <w:trPr>
          <w:trHeight w:val="216"/>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Non-cash investing and financing activities</w:t>
            </w: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liability to equity</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62,735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51,404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w w:val="99"/>
              </w:rPr>
              <w:t>Increase of receivable from landlord and deferred lease incentive</w:t>
            </w: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637</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“Keryx,” “Company,” “we,” “us” and “our” refer to Keryx Biopharmaceuticals,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43"/>
        <w:spacing w:after="0" w:line="269" w:lineRule="auto"/>
        <w:rPr>
          <w:sz w:val="20"/>
          <w:szCs w:val="20"/>
          <w:color w:val="auto"/>
        </w:rPr>
      </w:pPr>
      <w:r>
        <w:rPr>
          <w:rFonts w:ascii="Arial" w:cs="Arial" w:eastAsia="Arial" w:hAnsi="Arial"/>
          <w:sz w:val="17"/>
          <w:szCs w:val="17"/>
          <w:color w:val="auto"/>
        </w:rPr>
        <w:t>We are a commercial stage biopharmaceutical company focused on bringing innovative medicines to people with kidney disease. Our long-term vision is to build a multi-product kidney care company. Our marketed product, Auryxia (ferric citrate) tablets, is an orally available, absorbable, iron-based medicine. Auryxia is approved by the U.S. Food and Drug Administration, or FDA, for two indications. Auryxia was originally approved in September 2014 for the control of serum phosphorus levels in patients with chronic kidney disease, or CKD, on dialysis. Additionally, in November 2017, the FDA approved Auryxia for the treatment of iron deficiency anemia in adults with CKD, not on dialysis. With two FDA-approved indications, we will leverage our U.S. clinical and commercial infrastructure to make Auryxia available to millions of people with CKD and either iron deficiency anemia or elevated levels of serum phosphorus, which is referred to as hyperphosphatemia. Ferric citrate is also approved in Japan under the trade name Riona and marketed by our Japanese partner, Japan Tobacco, Inc., or JT, and its subsidiary, Torii Pharmaceutical Co., Ltd., or Torii, and approved in Europe as Fexeric. We use the brand name Auryxia when we refer to ferric citrate for use in the approved indications in the United States. We refer to the product as ferric citrate when referring to its investigational use. Our vision of building a multi-product kidney care company includes expansion of our product portfolio with other medicines that can help patients with kidney disease.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60" w:firstLine="543"/>
        <w:spacing w:after="0" w:line="308" w:lineRule="auto"/>
        <w:rPr>
          <w:sz w:val="20"/>
          <w:szCs w:val="20"/>
          <w:color w:val="auto"/>
        </w:rPr>
      </w:pPr>
      <w:r>
        <w:rPr>
          <w:rFonts w:ascii="Arial" w:cs="Arial" w:eastAsia="Arial" w:hAnsi="Arial"/>
          <w:sz w:val="17"/>
          <w:szCs w:val="17"/>
          <w:color w:val="auto"/>
        </w:rPr>
        <w:t>Our business is focused on creating long-term stockholder value by bringing differentiated medicines to the market for the treatment of people with kidney disease that provide meaningful benefits to patients and their healthcare providers. The three pathways to our strategy are: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Maximize Auryxia's Potential</w:t>
      </w:r>
    </w:p>
    <w:p>
      <w:pPr>
        <w:spacing w:after="0" w:line="117" w:lineRule="exact"/>
        <w:rPr>
          <w:sz w:val="20"/>
          <w:szCs w:val="20"/>
          <w:color w:val="auto"/>
        </w:rPr>
      </w:pPr>
    </w:p>
    <w:p>
      <w:pPr>
        <w:ind w:right="80" w:firstLine="543"/>
        <w:spacing w:after="0" w:line="268" w:lineRule="auto"/>
        <w:rPr>
          <w:sz w:val="20"/>
          <w:szCs w:val="20"/>
          <w:color w:val="auto"/>
        </w:rPr>
      </w:pPr>
      <w:r>
        <w:rPr>
          <w:rFonts w:ascii="Arial" w:cs="Arial" w:eastAsia="Arial" w:hAnsi="Arial"/>
          <w:sz w:val="17"/>
          <w:szCs w:val="17"/>
          <w:color w:val="auto"/>
        </w:rPr>
        <w:t>Auryxia is approved for two indications in the United States. We developed and subsequently launched Auryxia in the United States in late December 2014 following the FDA's approval of Auryxia for the control of serum phosphorus levels in adult patients with CKD on dialysis. In November 2017, the FDA approved Auryxia for the treatment of iron deficiency anemia in adult patients with CKD, not on dialysis. Auryxia is a non-calcium, non-chewable, orally-administered phosphate binder. Auryxia is the first FDA-approved oral iron medication that was specifically developed to treat iron deficiency anemia in CKD patients, not on dialysis. In the United States, there are approximately 450,000 adult patients with CKD requiring dialysis (referred to as End Stage Renal Disease, or ESRD), including approximately 350,000 adults currently taking a phosphate binder. We estimate that in the United States, approximately 1.7 million adults under the care of a nephrologist for CKD have iron deficiency anemia, not on dialysis, including approximately 650,000 adults currently being treated by nephrologists for iron deficiency anemia. Iron deficiency anemia is common in the non-dialysis population and the prevalence and severity increases as CKD advances. Iron deficiency anemia is symptomatic and can significantly impact quality of life. Auryxia is being marketed in the United States to nephrologists and renal care teams through our specialty salesforce and commercial infrastructure. Our field-based organization is aligned to 95 territories calling on target nephrologists and their associated dialysis centers. These target nephrologists treat CKD patients on dialysis and those not on dialysis. We believe strong fundamentals are in place to drive commercial adoption of Auryxia in the dialysis setting and maximize the potential of Auryxia as a treatment of iron deficiency anemia in adults with CKD, not on dialysis.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Portfolio</w:t>
      </w:r>
    </w:p>
    <w:p>
      <w:pPr>
        <w:spacing w:after="0" w:line="117" w:lineRule="exact"/>
        <w:rPr>
          <w:sz w:val="20"/>
          <w:szCs w:val="20"/>
          <w:color w:val="auto"/>
        </w:rPr>
      </w:pPr>
    </w:p>
    <w:p>
      <w:pPr>
        <w:ind w:right="160" w:firstLine="543"/>
        <w:spacing w:after="0" w:line="257" w:lineRule="auto"/>
        <w:rPr>
          <w:sz w:val="20"/>
          <w:szCs w:val="20"/>
          <w:color w:val="auto"/>
        </w:rPr>
      </w:pPr>
      <w:r>
        <w:rPr>
          <w:rFonts w:ascii="Arial" w:cs="Arial" w:eastAsia="Arial" w:hAnsi="Arial"/>
          <w:sz w:val="18"/>
          <w:szCs w:val="18"/>
          <w:color w:val="auto"/>
        </w:rPr>
        <w:t>We will evaluate opportunities to expand our product portfolio with other medicines that can help patients with kidney disease. Our business development activities include evaluating clinical-stage drug candidates, as well as commercially available medicines to in-license or acquire to add to our portfolio and provide us with new commercial opportunities. We will seek to add assets that leverage the infrastructure we have built to support our foundational medicine, Auryxia, including our clinical development and commercial teams. We believe these efforts have the potential to provide additional revenues to us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 Growth and Talent</w:t>
      </w:r>
    </w:p>
    <w:p>
      <w:pPr>
        <w:spacing w:after="0" w:line="117" w:lineRule="exact"/>
        <w:rPr>
          <w:sz w:val="20"/>
          <w:szCs w:val="20"/>
          <w:color w:val="auto"/>
        </w:rPr>
      </w:pPr>
    </w:p>
    <w:p>
      <w:pPr>
        <w:ind w:right="380" w:firstLine="543"/>
        <w:spacing w:after="0" w:line="277" w:lineRule="auto"/>
        <w:rPr>
          <w:sz w:val="20"/>
          <w:szCs w:val="20"/>
          <w:color w:val="auto"/>
        </w:rPr>
      </w:pPr>
      <w:r>
        <w:rPr>
          <w:rFonts w:ascii="Arial" w:cs="Arial" w:eastAsia="Arial" w:hAnsi="Arial"/>
          <w:sz w:val="18"/>
          <w:szCs w:val="18"/>
          <w:color w:val="auto"/>
        </w:rPr>
        <w:t>We are committed to creating a culture of success and continue to engage a workforce of high-quality and talented people to support our potential growth.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5" w:name="page296"/>
    <w:bookmarkEnd w:id="295"/>
    <w:p>
      <w:pPr>
        <w:ind w:right="3160"/>
        <w:spacing w:after="0" w:line="378" w:lineRule="auto"/>
        <w:rPr>
          <w:sz w:val="20"/>
          <w:szCs w:val="20"/>
          <w:color w:val="auto"/>
        </w:rPr>
      </w:pPr>
      <w:r>
        <w:rPr>
          <w:rFonts w:ascii="Arial" w:cs="Arial" w:eastAsia="Arial" w:hAnsi="Arial"/>
          <w:sz w:val="18"/>
          <w:szCs w:val="18"/>
          <w:b w:val="1"/>
          <w:bCs w:val="1"/>
          <w:color w:val="auto"/>
        </w:rPr>
        <w:t>NOTE 2 - BASIS OF PRESENTATION AND SUMMARY OF SIGNIFICANT ACCOUNTING POLICIES RECENTLY ISSUED ACCOUNTING STANDARDS</w:t>
      </w:r>
    </w:p>
    <w:p>
      <w:pPr>
        <w:ind w:right="100" w:firstLine="543"/>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81" w:lineRule="exact"/>
        <w:rPr>
          <w:sz w:val="20"/>
          <w:szCs w:val="20"/>
          <w:color w:val="auto"/>
        </w:rPr>
      </w:pPr>
    </w:p>
    <w:p>
      <w:pPr>
        <w:ind w:right="20" w:firstLine="543"/>
        <w:spacing w:after="0" w:line="270" w:lineRule="auto"/>
        <w:rPr>
          <w:sz w:val="20"/>
          <w:szCs w:val="20"/>
          <w:color w:val="auto"/>
        </w:rPr>
      </w:pPr>
      <w:r>
        <w:rPr>
          <w:rFonts w:ascii="Arial" w:cs="Arial" w:eastAsia="Arial" w:hAnsi="Arial"/>
          <w:sz w:val="17"/>
          <w:szCs w:val="17"/>
          <w:color w:val="auto"/>
        </w:rPr>
        <w:t xml:space="preserve">In May 2014, the FASB issued Accounting Standards Update, or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 comprehensive new standard which amends revenue recognition principles and provides a single set of criteria for revenue recognition among all industries. The new standard provides a five-step framework whereby revenue is recognized when promised goods or services are transferred to a customer at an amount that reflects the consideration to which the entity expects to be entitled in exchange for those goods or services. The standard also requires enhanced disclosures pertaining to revenue recognition in both interim and annual periods. The FASB issued several amendments to ASU No. 2014-09 which have the same effective date and transition date. These standards became effective for us on January 1, 2018 and will be adopted using the modified retrospective method. As of the date of this report, we have finalized our assessments over the impact that these new standards will have on our consolidated results of operations, financial position and disclosures, and have not identified any accounting changes that would materially impact the amount of reported revenues with respect to our product revenues. As of January 1, 2018, we expect to recognize an immaterial adjustment to retained earnings reflecting the cumulative impact for the accounting changes made upon adoption of these new standards.</w:t>
      </w:r>
    </w:p>
    <w:p>
      <w:pPr>
        <w:spacing w:after="0" w:line="178" w:lineRule="exact"/>
        <w:rPr>
          <w:sz w:val="20"/>
          <w:szCs w:val="20"/>
          <w:color w:val="auto"/>
        </w:rPr>
      </w:pPr>
    </w:p>
    <w:p>
      <w:pPr>
        <w:ind w:right="320" w:firstLine="543"/>
        <w:spacing w:after="0" w:line="276"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Under this standard, the measurement principle for inventory changed from lower of cost or market value to lower of cost and net realizable value. The standard defines net realizable value as the estimated selling price in the ordinary course of business, less reasonably predictable costs of completion, disposal, and transportation. The standard is applicable to inventory that is accounted for under the first-in, first-out or average cost method and became effective for us on January 1, 2017. The adoption of this standard did not have a material impact on our consolidated financial statements.</w:t>
      </w:r>
    </w:p>
    <w:p>
      <w:pPr>
        <w:spacing w:after="0" w:line="173" w:lineRule="exact"/>
        <w:rPr>
          <w:sz w:val="20"/>
          <w:szCs w:val="20"/>
          <w:color w:val="auto"/>
        </w:rPr>
      </w:pPr>
    </w:p>
    <w:p>
      <w:pPr>
        <w:ind w:right="100" w:firstLine="543"/>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new standard requires that all lessees recognize the assets and liabilities that arise from leases on the balance sheet and disclose qualitative and quantitative information about its leasing arrangements. The new standard will be effective for us on January 1, 2019 and must be applied using a modified retrospective transition approach which requires application of the new guidance for all periods presented. The adoption of this standard is expected to have a material impact on our financial position as it will increase the amount of our assets and liabilities. We do not expect this standard to have a material impact on our consolidated statement of operations.</w:t>
      </w:r>
    </w:p>
    <w:p>
      <w:pPr>
        <w:spacing w:after="0" w:line="173" w:lineRule="exact"/>
        <w:rPr>
          <w:sz w:val="20"/>
          <w:szCs w:val="20"/>
          <w:color w:val="auto"/>
        </w:rPr>
      </w:pPr>
    </w:p>
    <w:p>
      <w:pPr>
        <w:ind w:right="20" w:firstLine="543"/>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The new standard involves several aspects of the accounting for share-based payment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and classification on the statement of cash flows. This standard became effective for us on January 1, 2017. The adoptions of this standard did not have a material impact on our financial position, results of operations or statement of cash flows.</w:t>
      </w:r>
    </w:p>
    <w:p>
      <w:pPr>
        <w:spacing w:after="0" w:line="154" w:lineRule="exact"/>
        <w:rPr>
          <w:sz w:val="20"/>
          <w:szCs w:val="20"/>
          <w:color w:val="auto"/>
        </w:rPr>
      </w:pPr>
    </w:p>
    <w:p>
      <w:pPr>
        <w:ind w:right="280" w:firstLine="543"/>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Payments. </w:t>
      </w:r>
      <w:r>
        <w:rPr>
          <w:rFonts w:ascii="Arial" w:cs="Arial" w:eastAsia="Arial" w:hAnsi="Arial"/>
          <w:sz w:val="17"/>
          <w:szCs w:val="17"/>
          <w:color w:val="auto"/>
        </w:rPr>
        <w:t>The new standard addresses eight specific cash flow issues with the objective of reducing the existing diversity in practice in how certain cash</w:t>
      </w:r>
      <w:r>
        <w:rPr>
          <w:rFonts w:ascii="Arial" w:cs="Arial" w:eastAsia="Arial" w:hAnsi="Arial"/>
          <w:sz w:val="17"/>
          <w:szCs w:val="17"/>
          <w:i w:val="1"/>
          <w:iCs w:val="1"/>
          <w:color w:val="auto"/>
        </w:rPr>
        <w:t xml:space="preserve"> </w:t>
      </w:r>
      <w:r>
        <w:rPr>
          <w:rFonts w:ascii="Arial" w:cs="Arial" w:eastAsia="Arial" w:hAnsi="Arial"/>
          <w:sz w:val="17"/>
          <w:szCs w:val="17"/>
          <w:color w:val="auto"/>
        </w:rPr>
        <w:t>receipts and cash payments are presented and classified in the statement of cash flows. The new standard became effective for us on January 1, 2018. This standard is not expected to have a material impact on our statement of cash flows upon adoption.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00" w:firstLine="543"/>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wholly-owned subsidiaries. Intercompany transactions and balances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543"/>
        <w:spacing w:after="0" w:line="297" w:lineRule="auto"/>
        <w:rPr>
          <w:sz w:val="20"/>
          <w:szCs w:val="20"/>
          <w:color w:val="auto"/>
        </w:rPr>
      </w:pPr>
      <w:r>
        <w:rPr>
          <w:rFonts w:ascii="Arial" w:cs="Arial" w:eastAsia="Arial" w:hAnsi="Arial"/>
          <w:sz w:val="16"/>
          <w:szCs w:val="16"/>
          <w:color w:val="auto"/>
        </w:rPr>
        <w:t>The preparation of our consolidated financial statements, which have been prepared in accordance with U.S. generally accepted accounting principles, or GAAP, requires us to make estimates, judgments and assumptions that affect the reported amount of assets, liabilities, equity revenue and expenses and related disclosure of contingent assets and liabilities. On an ongoing basis, we evaluate our estimates, judgments and assumptions. We base our estimates on historical experience, known trends and events and various other factors that we believe to be reasonable under the circumstances. These estimates are subject to an inherent degree of uncertainty, and as a result, actual results may differ from these estimates under different assumptions or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40" w:firstLine="543"/>
        <w:spacing w:after="0" w:line="277" w:lineRule="auto"/>
        <w:rPr>
          <w:sz w:val="20"/>
          <w:szCs w:val="20"/>
          <w:color w:val="auto"/>
        </w:rPr>
      </w:pPr>
      <w:r>
        <w:rPr>
          <w:rFonts w:ascii="Arial" w:cs="Arial" w:eastAsia="Arial" w:hAnsi="Arial"/>
          <w:sz w:val="18"/>
          <w:szCs w:val="18"/>
          <w:color w:val="auto"/>
        </w:rPr>
        <w:t>We consider liquid investments with original maturities of three months or less at the time of purchase to be cash and cash equivalents. At December 31, 2017, all of our cash and cash equivalents were held in commercial bank accounts.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80" w:firstLine="543"/>
        <w:spacing w:after="0" w:line="291" w:lineRule="auto"/>
        <w:rPr>
          <w:sz w:val="20"/>
          <w:szCs w:val="20"/>
          <w:color w:val="auto"/>
        </w:rPr>
      </w:pPr>
      <w:r>
        <w:rPr>
          <w:rFonts w:ascii="Arial" w:cs="Arial" w:eastAsia="Arial" w:hAnsi="Arial"/>
          <w:sz w:val="16"/>
          <w:szCs w:val="16"/>
          <w:color w:val="auto"/>
        </w:rPr>
        <w:t>Inventory is stated at the lower of cost or estimated realizable value. We determine the cost of our inventory, which includes amounts related to materials, third-party contract manufacturing and packaging services, and manufacturing overhead, on a first-in, first-out basis. We capitalize inventory costs at our suppliers when, based on management’s judgment, the realization of future economic benefit is probable at each given supplier. We received FDA approval for Auryxia on September 5, 2014, and on that date began capitalizing inventory purchases of saleable product from certain suppliers. Prior to FDA approval, all saleable product purchased from such suppliers was included in research and development expense. For an approved product that requires additional regulatory approval for a new manufacturing process or at a new contract manufacturing site, we include costs of product purchases from such suppliers in research and development expense until such time that process or contract manufacturing site is approved.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ind w:firstLine="543"/>
        <w:spacing w:after="0" w:line="272" w:lineRule="auto"/>
        <w:rPr>
          <w:sz w:val="20"/>
          <w:szCs w:val="20"/>
          <w:color w:val="auto"/>
        </w:rPr>
      </w:pPr>
      <w:r>
        <w:rPr>
          <w:rFonts w:ascii="Arial" w:cs="Arial" w:eastAsia="Arial" w:hAnsi="Arial"/>
          <w:sz w:val="17"/>
          <w:szCs w:val="17"/>
          <w:color w:val="auto"/>
        </w:rPr>
        <w:t>We extend credit to our customers for product sales resulting in accounts receivable. Customer accounts are monitored for past due amounts. Past due accounts receivable determined to be uncollectible are written off against the allowance for doubtful accounts. Allowances for doubtful accounts, if necessary, are estimated based upon past due amounts, historical losses and existing economic factors, and are adjusted periodically. We offer cash discounts to certain of our customers, generally 2% of the sales price, as an incentive for prompt payment. The estimate of cash discounts is recorded at the time of sale. We account for the cash discounts by reducing revenue and accounts receivable by the amount of the discounts we expect our customers to take. The accounts receivable are reported in the consolidated balance sheets, net of the allowances for doubtful accounts, cash discounts and chargebacks. There was no allowance for doubtful accounts at December 31, 2017 and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60" w:firstLine="543"/>
        <w:spacing w:after="0" w:line="277" w:lineRule="auto"/>
        <w:rPr>
          <w:sz w:val="20"/>
          <w:szCs w:val="20"/>
          <w:color w:val="auto"/>
        </w:rPr>
      </w:pPr>
      <w:r>
        <w:rPr>
          <w:rFonts w:ascii="Arial" w:cs="Arial" w:eastAsia="Arial" w:hAnsi="Arial"/>
          <w:sz w:val="18"/>
          <w:szCs w:val="18"/>
          <w:color w:val="auto"/>
        </w:rPr>
        <w:t>Property, plant and equipment are stated at historical cost. Depreciation is computed using the straight-line method over the estimated useful lives of the assets: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4100" w:type="dxa"/>
            <w:vAlign w:val="bottom"/>
            <w:tcBorders>
              <w:bottom w:val="single" w:sz="8" w:color="CCEEFF"/>
            </w:tcBorders>
          </w:tcPr>
          <w:p>
            <w:pPr>
              <w:spacing w:after="0"/>
              <w:rPr>
                <w:sz w:val="20"/>
                <w:szCs w:val="20"/>
                <w:color w:val="auto"/>
              </w:rPr>
            </w:pPr>
          </w:p>
        </w:tc>
        <w:tc>
          <w:tcPr>
            <w:tcW w:w="28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Estimated useful life (years)</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8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3-7</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Computers, software and related equipment</w:t>
            </w:r>
          </w:p>
        </w:tc>
        <w:tc>
          <w:tcPr>
            <w:tcW w:w="2820" w:type="dxa"/>
            <w:vAlign w:val="bottom"/>
          </w:tcPr>
          <w:p>
            <w:pPr>
              <w:jc w:val="right"/>
              <w:ind w:right="1290"/>
              <w:spacing w:after="0"/>
              <w:rPr>
                <w:sz w:val="20"/>
                <w:szCs w:val="20"/>
                <w:color w:val="auto"/>
              </w:rPr>
            </w:pPr>
            <w:r>
              <w:rPr>
                <w:rFonts w:ascii="Arial" w:cs="Arial" w:eastAsia="Arial" w:hAnsi="Arial"/>
                <w:sz w:val="18"/>
                <w:szCs w:val="18"/>
                <w:color w:val="auto"/>
              </w:rPr>
              <w:t>3</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Leasehold improvements are depreciated over the shorter of their useful life or the remaining term of the lease exclusive of renewal options.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543"/>
        <w:spacing w:after="0" w:line="255" w:lineRule="auto"/>
        <w:rPr>
          <w:sz w:val="20"/>
          <w:szCs w:val="20"/>
          <w:color w:val="auto"/>
        </w:rPr>
      </w:pPr>
      <w:r>
        <w:rPr>
          <w:rFonts w:ascii="Arial" w:cs="Arial" w:eastAsia="Arial" w:hAnsi="Arial"/>
          <w:sz w:val="18"/>
          <w:szCs w:val="18"/>
          <w:color w:val="auto"/>
        </w:rPr>
        <w:t>Our commercial launch of Auryxia occurred in December 2014. We sell product to a limited number of major wholesalers, our Distributors, as well as certain pharmacies, or collectively, our Customers. Our Distributors resell the product to retail pharmacies for purposes of filling patient prescriptions. In accordance with current GAAP, our revenue recognition policy requires that: (i) there is persuasive evidence that an arrangement exists between us and the Customer, (ii) delivery has occurred, (iii) collectibility is reasonably assured, and (iv) the price is fixed or determinable. In the fourth quarter of 2016, we began to recognize revenue under the pull-through (ex-factory) method based on sales to our Customers as a result of our ability to reasonably estimate product returns.</w:t>
      </w:r>
    </w:p>
    <w:p>
      <w:pPr>
        <w:spacing w:after="0" w:line="193" w:lineRule="exact"/>
        <w:rPr>
          <w:sz w:val="20"/>
          <w:szCs w:val="20"/>
          <w:color w:val="auto"/>
        </w:rPr>
      </w:pPr>
    </w:p>
    <w:p>
      <w:pPr>
        <w:ind w:right="100" w:firstLine="543"/>
        <w:spacing w:after="0" w:line="257" w:lineRule="auto"/>
        <w:rPr>
          <w:sz w:val="20"/>
          <w:szCs w:val="20"/>
          <w:color w:val="auto"/>
        </w:rPr>
      </w:pPr>
      <w:r>
        <w:rPr>
          <w:rFonts w:ascii="Arial" w:cs="Arial" w:eastAsia="Arial" w:hAnsi="Arial"/>
          <w:sz w:val="18"/>
          <w:szCs w:val="18"/>
          <w:color w:val="auto"/>
        </w:rPr>
        <w:t>Prior to the fourth quarter of 2016, we recognized revenue based on the resale of Auryxia for the purposes of filling patient prescriptions, and not based on initial sales from us to our Customers as we did not have sufficient history such that we could reliably estimate returns based on sales to our Customers. As a result, prior to the fourth quarter of 2016, we deferred Auryxia revenue recognition until the earlier of the product being resold for purposes of filling patient prescriptions and the expiration of the right of return (twelve months after the expiration date of the product). The deferred revenue was recorded net of discounts, rebates, and chargebacks.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297" w:name="page298"/>
    <w:bookmarkEnd w:id="297"/>
    <w:p>
      <w:pPr>
        <w:ind w:right="20" w:firstLine="543"/>
        <w:spacing w:after="0" w:line="291" w:lineRule="auto"/>
        <w:rPr>
          <w:sz w:val="20"/>
          <w:szCs w:val="20"/>
          <w:color w:val="auto"/>
        </w:rPr>
      </w:pPr>
      <w:r>
        <w:rPr>
          <w:rFonts w:ascii="Arial" w:cs="Arial" w:eastAsia="Arial" w:hAnsi="Arial"/>
          <w:sz w:val="16"/>
          <w:szCs w:val="16"/>
          <w:color w:val="auto"/>
        </w:rPr>
        <w:t>We have written contracts with our Customers and delivery occurs when a Customer receives Auryxia. We evaluate the creditworthiness of each of our Customers to determine whether revenues can be recognized upon delivery, subject to satisfaction of the other requirements, or whether recognition is required to be deferred until receipt of payment. In order to conclude that the price is fixed or determinable, we must be able to (i) calculate our gross product sales from the sales to Customers and (ii) reasonably estimate our related sales allowances. We calculate gross product sales based on the wholesale acquisition cost that we charge our Customers for Auryxia. We estimate our net product sales by deducting reserve estimates from our gross product sales related to (a) trade allowances, such as invoice discounts for prompt payment and distributor fees, (b) government and private payor rebates, chargebacks and discounts, such as Medicaid reimbursements, (c) expected product returns and (d) costs of incentives offered to certain indirect customers, including patients.</w:t>
      </w:r>
    </w:p>
    <w:p>
      <w:pPr>
        <w:spacing w:after="0" w:line="167" w:lineRule="exact"/>
        <w:rPr>
          <w:sz w:val="20"/>
          <w:szCs w:val="20"/>
          <w:color w:val="auto"/>
        </w:rPr>
      </w:pPr>
    </w:p>
    <w:p>
      <w:pPr>
        <w:ind w:right="20" w:firstLine="543"/>
        <w:spacing w:after="0" w:line="255"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We generally provide discounts on Auryxia sales to our Customers in the form of a discount for prompt payment of invoices or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directly off the invoice amount. The prompt-pay discount is generally given for payment made within 35 days. Based on our judgment and industry experience, we expect our Customers to earn these discounts. We deduct the full amount of these discounts from our gross product sales and accounts receivable at the time such revenues are recognized. We also pay fees to our Distributors for distribution services which are generally based on a contractual percentage of total purchases made by each Distributor during the period. These fees are also deducted from our gross product sales at the time such revenues are recognized.</w:t>
      </w:r>
    </w:p>
    <w:p>
      <w:pPr>
        <w:spacing w:after="0" w:line="193" w:lineRule="exact"/>
        <w:rPr>
          <w:sz w:val="20"/>
          <w:szCs w:val="20"/>
          <w:color w:val="auto"/>
        </w:rPr>
      </w:pPr>
    </w:p>
    <w:p>
      <w:pPr>
        <w:ind w:right="60" w:firstLine="543"/>
        <w:spacing w:after="0" w:line="255" w:lineRule="auto"/>
        <w:rPr>
          <w:sz w:val="20"/>
          <w:szCs w:val="20"/>
          <w:color w:val="auto"/>
        </w:rPr>
      </w:pPr>
      <w:r>
        <w:rPr>
          <w:rFonts w:ascii="Arial" w:cs="Arial" w:eastAsia="Arial" w:hAnsi="Arial"/>
          <w:sz w:val="18"/>
          <w:szCs w:val="18"/>
          <w:i w:val="1"/>
          <w:iCs w:val="1"/>
          <w:color w:val="auto"/>
        </w:rPr>
        <w:t xml:space="preserve">Rebates and Chargebacks: </w:t>
      </w:r>
      <w:r>
        <w:rPr>
          <w:rFonts w:ascii="Arial" w:cs="Arial" w:eastAsia="Arial" w:hAnsi="Arial"/>
          <w:sz w:val="18"/>
          <w:szCs w:val="18"/>
          <w:color w:val="auto"/>
        </w:rPr>
        <w:t>We contract with various commercial and Medicare Part D private insurance providers, Medicaid and other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or collectively, our Third-party Payors, so that Auryxia will be eligible for partial or full reimbursement from such Third-party Payors. We estimate the rebates and chargebacks we will provide to Third-party Payors and deduct these estimated amounts from our gross product sales at the time the revenues are recognized. We estimate the rebates and chargebacks that we will provide to Third-Party Payors based upon (i) our contracts with these Third-Party Payors, (ii) the government-mandated discounts applicable to government-funded programs, and (iii) information obtained from our Customers and other third parties regarding the payor mix for Auryxia.</w:t>
      </w:r>
    </w:p>
    <w:p>
      <w:pPr>
        <w:spacing w:after="0" w:line="193" w:lineRule="exact"/>
        <w:rPr>
          <w:sz w:val="20"/>
          <w:szCs w:val="20"/>
          <w:color w:val="auto"/>
        </w:rPr>
      </w:pPr>
    </w:p>
    <w:p>
      <w:pPr>
        <w:ind w:firstLine="543"/>
        <w:spacing w:after="0" w:line="288"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Consistent with industry practice, we generally offer our Customers a limited right to return our Auryxia based on the product’s expiration</w:t>
      </w:r>
      <w:r>
        <w:rPr>
          <w:rFonts w:ascii="Arial" w:cs="Arial" w:eastAsia="Arial" w:hAnsi="Arial"/>
          <w:sz w:val="16"/>
          <w:szCs w:val="16"/>
          <w:i w:val="1"/>
          <w:iCs w:val="1"/>
          <w:color w:val="auto"/>
        </w:rPr>
        <w:t xml:space="preserve"> </w:t>
      </w:r>
      <w:r>
        <w:rPr>
          <w:rFonts w:ascii="Arial" w:cs="Arial" w:eastAsia="Arial" w:hAnsi="Arial"/>
          <w:sz w:val="16"/>
          <w:szCs w:val="16"/>
          <w:color w:val="auto"/>
        </w:rPr>
        <w:t>date. Our Customers have the right to return Auryxia during the 18-month period beginning six months prior to the labeled expiration date and ending twelve months after the labeled expiration date. Currently the expiration date for Auryxia is eighteen months after it has been converted into tablet form, which is the last step in the manufacturing process for Auryxia and generally occurs within a few months before Auryxia is delivered to Customers. We estimate product returns based on the historical return patterns and we track actual returns by individual manufacturing lots. We expect that Distributors and pharmacies will not stock significant inventory due to the cost of the product, the expense to store the product and the fact that the product is readily available for distribution. We record an estimate of returns at the time of sale. If necessary, our estimated rate of returns may be adjusted for actual return experience as it becomes available. As of December 31, 2017, we have experienced a relatively limited number of product returns; however, our returns experience may change over time. As we continue to gain more historical experience with actual returns, we may be required to make a future adjustment to our product returns estimate, which would result in a corresponding change to our net product sales in the period of adjustment and could be significant.</w:t>
      </w:r>
    </w:p>
    <w:p>
      <w:pPr>
        <w:spacing w:after="0" w:line="169" w:lineRule="exact"/>
        <w:rPr>
          <w:sz w:val="20"/>
          <w:szCs w:val="20"/>
          <w:color w:val="auto"/>
        </w:rPr>
      </w:pPr>
    </w:p>
    <w:p>
      <w:pPr>
        <w:ind w:right="160" w:firstLine="543"/>
        <w:spacing w:after="0" w:line="293"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we offer to indirect customers include co-pay assistance rebates provided by us to commercially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who have coverage for Auryxia and who reside in states that permit co-pay assistance programs, and vouchers for a small supply of Auryxia at no patient cost. Our co-pay assistance program is intended to reduce each participating patient’s portion of the financial responsibility for Auryxia’s purchase price to a specified dollar amount. Based upon the terms of the program and data obtained from the third parties which administer the program, we estimate the co-pay assistance amounts and the percentage of patients that we expect to participate in the program in order to establish our accruals for co-pay assistance rebates. We deduct these estimated amounts from our gross product sales at the time the revenues are recognized.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product sales allowances and accruals</w:t>
      </w:r>
    </w:p>
    <w:p>
      <w:pPr>
        <w:spacing w:after="0" w:line="117" w:lineRule="exact"/>
        <w:rPr>
          <w:sz w:val="20"/>
          <w:szCs w:val="20"/>
          <w:color w:val="auto"/>
        </w:rPr>
      </w:pPr>
    </w:p>
    <w:p>
      <w:pPr>
        <w:ind w:right="40" w:firstLine="543"/>
        <w:spacing w:after="0" w:line="259" w:lineRule="auto"/>
        <w:rPr>
          <w:sz w:val="20"/>
          <w:szCs w:val="20"/>
          <w:color w:val="auto"/>
        </w:rPr>
      </w:pPr>
      <w:r>
        <w:rPr>
          <w:rFonts w:ascii="Arial" w:cs="Arial" w:eastAsia="Arial" w:hAnsi="Arial"/>
          <w:sz w:val="18"/>
          <w:szCs w:val="18"/>
          <w:color w:val="auto"/>
        </w:rPr>
        <w:t>Allowances against receivable balances primarily relate to prompt-pay discounts, chargebacks and product returns and are recorded at the time of sale, resulting in a reduction in product sales revenue and the recording of product sales receivables net of allowances. Accruals related to Medicaid, Medicare Part D and other government and commercial rebates, as well as wholesaler fees, are recorded at the time of sale, resulting in a reduction in product sales and the recording of an increase in accrued expenses.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8" w:name="page299"/>
    <w:bookmarkEnd w:id="298"/>
    <w:p>
      <w:pPr>
        <w:ind w:right="220" w:firstLine="543"/>
        <w:spacing w:after="0" w:line="277" w:lineRule="auto"/>
        <w:rPr>
          <w:sz w:val="20"/>
          <w:szCs w:val="20"/>
          <w:color w:val="auto"/>
        </w:rPr>
      </w:pPr>
      <w:r>
        <w:rPr>
          <w:rFonts w:ascii="Arial" w:cs="Arial" w:eastAsia="Arial" w:hAnsi="Arial"/>
          <w:sz w:val="18"/>
          <w:szCs w:val="18"/>
          <w:color w:val="auto"/>
        </w:rPr>
        <w:t>Our U.S. Auryxia product sales for the years ended December 31, 2017, 2016 and 2015 were offset by provisions for allowances and accruals as set forth in the tables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 of</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gross Auryxia</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gross Auryxia</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gross Auryxia</w:t>
            </w:r>
          </w:p>
        </w:tc>
      </w:tr>
      <w:tr>
        <w:trPr>
          <w:trHeight w:val="194"/>
        </w:trPr>
        <w:tc>
          <w:tcPr>
            <w:tcW w:w="2580" w:type="dxa"/>
            <w:vAlign w:val="bottom"/>
            <w:gridSpan w:val="3"/>
          </w:tcPr>
          <w:p>
            <w:pPr>
              <w:spacing w:after="0" w:line="194" w:lineRule="exact"/>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6"/>
                <w:szCs w:val="16"/>
                <w:color w:val="auto"/>
              </w:rPr>
            </w:pPr>
          </w:p>
        </w:tc>
        <w:tc>
          <w:tcPr>
            <w:tcW w:w="17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7"/>
              </w:rPr>
              <w:t>product sales</w:t>
            </w:r>
          </w:p>
        </w:tc>
        <w:tc>
          <w:tcPr>
            <w:tcW w:w="280" w:type="dxa"/>
            <w:vAlign w:val="bottom"/>
          </w:tcPr>
          <w:p>
            <w:pPr>
              <w:spacing w:after="0"/>
              <w:rPr>
                <w:sz w:val="16"/>
                <w:szCs w:val="16"/>
                <w:color w:val="auto"/>
              </w:rPr>
            </w:pPr>
          </w:p>
        </w:tc>
        <w:tc>
          <w:tcPr>
            <w:tcW w:w="9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6"/>
                <w:szCs w:val="16"/>
                <w:color w:val="auto"/>
              </w:rPr>
            </w:pPr>
          </w:p>
        </w:tc>
        <w:tc>
          <w:tcPr>
            <w:tcW w:w="1680" w:type="dxa"/>
            <w:vAlign w:val="bottom"/>
            <w:gridSpan w:val="2"/>
          </w:tcPr>
          <w:p>
            <w:pPr>
              <w:jc w:val="center"/>
              <w:ind w:right="180"/>
              <w:spacing w:after="0" w:line="194" w:lineRule="exact"/>
              <w:rPr>
                <w:sz w:val="20"/>
                <w:szCs w:val="20"/>
                <w:color w:val="auto"/>
              </w:rPr>
            </w:pPr>
            <w:r>
              <w:rPr>
                <w:rFonts w:ascii="Arial" w:cs="Arial" w:eastAsia="Arial" w:hAnsi="Arial"/>
                <w:sz w:val="18"/>
                <w:szCs w:val="18"/>
                <w:b w:val="1"/>
                <w:bCs w:val="1"/>
                <w:color w:val="auto"/>
                <w:w w:val="87"/>
              </w:rPr>
              <w:t>product sales</w:t>
            </w:r>
          </w:p>
        </w:tc>
        <w:tc>
          <w:tcPr>
            <w:tcW w:w="260" w:type="dxa"/>
            <w:vAlign w:val="bottom"/>
          </w:tcPr>
          <w:p>
            <w:pPr>
              <w:spacing w:after="0"/>
              <w:rPr>
                <w:sz w:val="16"/>
                <w:szCs w:val="16"/>
                <w:color w:val="auto"/>
              </w:rPr>
            </w:pPr>
          </w:p>
        </w:tc>
        <w:tc>
          <w:tcPr>
            <w:tcW w:w="90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6"/>
                <w:szCs w:val="16"/>
                <w:color w:val="auto"/>
              </w:rPr>
            </w:pPr>
          </w:p>
        </w:tc>
        <w:tc>
          <w:tcPr>
            <w:tcW w:w="14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5"/>
              </w:rPr>
              <w:t>product sales</w:t>
            </w: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Auryxia product sales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111,845</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44,557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16,295</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Less provision for product sales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2580" w:type="dxa"/>
            <w:vAlign w:val="bottom"/>
            <w:gridSpan w:val="3"/>
          </w:tcPr>
          <w:p>
            <w:pPr>
              <w:spacing w:after="0"/>
              <w:rPr>
                <w:sz w:val="20"/>
                <w:szCs w:val="20"/>
                <w:color w:val="auto"/>
              </w:rPr>
            </w:pPr>
            <w:r>
              <w:rPr>
                <w:rFonts w:ascii="Arial" w:cs="Arial" w:eastAsia="Arial" w:hAnsi="Arial"/>
                <w:sz w:val="18"/>
                <w:szCs w:val="18"/>
                <w:color w:val="auto"/>
              </w:rPr>
              <w:t>allowances and accruals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allowances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13,093</w:t>
            </w:r>
          </w:p>
        </w:tc>
        <w:tc>
          <w:tcPr>
            <w:tcW w:w="16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5,157</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1,897</w:t>
            </w:r>
          </w:p>
        </w:tc>
        <w:tc>
          <w:tcPr>
            <w:tcW w:w="16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12%</w:t>
            </w: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Rebates and chargebacks</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40,482</w:t>
            </w:r>
          </w:p>
        </w:tc>
        <w:tc>
          <w:tcPr>
            <w:tcW w:w="168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10,703</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2,418</w:t>
            </w:r>
          </w:p>
        </w:tc>
        <w:tc>
          <w:tcPr>
            <w:tcW w:w="162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15%</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returns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16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879</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w:t>
            </w: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 xml:space="preserve">Other incentives </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1,394</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645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1,839</w:t>
            </w:r>
          </w:p>
        </w:tc>
        <w:tc>
          <w:tcPr>
            <w:tcW w:w="162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11%</w:t>
            </w: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56,331</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17,384</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6,154</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38%</w:t>
            </w:r>
          </w:p>
        </w:tc>
      </w:tr>
      <w:tr>
        <w:trPr>
          <w:trHeight w:val="257"/>
        </w:trPr>
        <w:tc>
          <w:tcPr>
            <w:tcW w:w="20" w:type="dxa"/>
            <w:vAlign w:val="bottom"/>
          </w:tcPr>
          <w:p>
            <w:pPr>
              <w:spacing w:after="0"/>
              <w:rPr>
                <w:sz w:val="22"/>
                <w:szCs w:val="22"/>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Net U.S. Auryxia product sales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55,514</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27,173</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10,141</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02" w:lineRule="exact"/>
        <w:rPr>
          <w:sz w:val="20"/>
          <w:szCs w:val="20"/>
          <w:color w:val="auto"/>
        </w:rPr>
      </w:pPr>
    </w:p>
    <w:p>
      <w:pPr>
        <w:ind w:left="540" w:hanging="532"/>
        <w:spacing w:after="0"/>
        <w:tabs>
          <w:tab w:leader="none" w:pos="54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Includes co-pay assistance and voucher rebates.</w:t>
      </w:r>
    </w:p>
    <w:p>
      <w:pPr>
        <w:spacing w:after="0" w:line="225" w:lineRule="exact"/>
        <w:rPr>
          <w:sz w:val="20"/>
          <w:szCs w:val="20"/>
          <w:color w:val="auto"/>
        </w:rPr>
      </w:pPr>
    </w:p>
    <w:p>
      <w:pPr>
        <w:ind w:right="60" w:firstLine="543"/>
        <w:spacing w:after="0" w:line="312" w:lineRule="auto"/>
        <w:rPr>
          <w:sz w:val="20"/>
          <w:szCs w:val="20"/>
          <w:color w:val="auto"/>
        </w:rPr>
      </w:pPr>
      <w:r>
        <w:rPr>
          <w:rFonts w:ascii="Arial" w:cs="Arial" w:eastAsia="Arial" w:hAnsi="Arial"/>
          <w:sz w:val="15"/>
          <w:szCs w:val="15"/>
          <w:color w:val="auto"/>
        </w:rPr>
        <w:t xml:space="preserve">We recognize license revenue in accordance with Accounting Standards Codification 605, </w:t>
      </w:r>
      <w:r>
        <w:rPr>
          <w:rFonts w:ascii="Arial" w:cs="Arial" w:eastAsia="Arial" w:hAnsi="Arial"/>
          <w:sz w:val="15"/>
          <w:szCs w:val="15"/>
          <w:i w:val="1"/>
          <w:iCs w:val="1"/>
          <w:color w:val="auto"/>
        </w:rPr>
        <w:t>Revenue Recognition</w:t>
      </w:r>
      <w:r>
        <w:rPr>
          <w:rFonts w:ascii="Arial" w:cs="Arial" w:eastAsia="Arial" w:hAnsi="Arial"/>
          <w:sz w:val="15"/>
          <w:szCs w:val="15"/>
          <w:color w:val="auto"/>
        </w:rPr>
        <w:t>. We analyze each element of our licensing agreement to determine the appropriate revenue recognition. The terms of the license agreement may include payment to us of non-refundable up-front license fees, milestone payments if specified objectives are achieved, and/or royalties on net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51" w:lineRule="exact"/>
        <w:rPr>
          <w:sz w:val="20"/>
          <w:szCs w:val="20"/>
          <w:color w:val="auto"/>
        </w:rPr>
      </w:pPr>
    </w:p>
    <w:p>
      <w:pPr>
        <w:ind w:right="120" w:firstLine="543"/>
        <w:spacing w:after="0" w:line="264" w:lineRule="auto"/>
        <w:rPr>
          <w:sz w:val="20"/>
          <w:szCs w:val="20"/>
          <w:color w:val="auto"/>
        </w:rPr>
      </w:pPr>
      <w:r>
        <w:rPr>
          <w:rFonts w:ascii="Arial" w:cs="Arial" w:eastAsia="Arial" w:hAnsi="Arial"/>
          <w:sz w:val="18"/>
          <w:szCs w:val="18"/>
          <w:color w:val="auto"/>
        </w:rPr>
        <w:t>For arrangements for which royalty revenue information becomes available and collectibility is reasonably assured, we recognize revenue during the applicable period earned. When collectibility is reasonably assured but a reasonable estimate of royalty revenue cannot be made, the royalty revenue is recognized in the quarter that the licensee provides the written report and related information to us.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customers or partners who represented 10% or more of our total revenues for 2017,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40" w:type="dxa"/>
            <w:vAlign w:val="bottom"/>
            <w:gridSpan w:val="2"/>
          </w:tcPr>
          <w:p>
            <w:pPr>
              <w:ind w:left="340"/>
              <w:spacing w:after="0"/>
              <w:rPr>
                <w:sz w:val="20"/>
                <w:szCs w:val="20"/>
                <w:color w:val="auto"/>
              </w:rPr>
            </w:pPr>
            <w:r>
              <w:rPr>
                <w:rFonts w:ascii="Arial" w:cs="Arial" w:eastAsia="Arial" w:hAnsi="Arial"/>
                <w:sz w:val="18"/>
                <w:szCs w:val="18"/>
                <w:b w:val="1"/>
                <w:bCs w:val="1"/>
                <w:color w:val="auto"/>
              </w:rPr>
              <w:t>December 31,</w:t>
            </w:r>
          </w:p>
        </w:tc>
        <w:tc>
          <w:tcPr>
            <w:tcW w:w="17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w:t>
            </w: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Fresenius Medical Care Rx</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29 %</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McKesson Corporation</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DaVita Rx</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Cardinal Health, Inc.</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AmerisourceBergen Drug Corporation</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21" w:lineRule="exact"/>
        <w:rPr>
          <w:sz w:val="20"/>
          <w:szCs w:val="20"/>
          <w:color w:val="auto"/>
        </w:rPr>
      </w:pPr>
    </w:p>
    <w:p>
      <w:pPr>
        <w:ind w:right="80" w:firstLine="543"/>
        <w:spacing w:after="0" w:line="276" w:lineRule="auto"/>
        <w:rPr>
          <w:sz w:val="20"/>
          <w:szCs w:val="20"/>
          <w:color w:val="auto"/>
        </w:rPr>
      </w:pPr>
      <w:r>
        <w:rPr>
          <w:rFonts w:ascii="Arial" w:cs="Arial" w:eastAsia="Arial" w:hAnsi="Arial"/>
          <w:sz w:val="17"/>
          <w:szCs w:val="17"/>
          <w:color w:val="auto"/>
        </w:rPr>
        <w:t>Cost of goods sold includes the cost of active pharmaceutical ingredient, or API, for Auryxia on which product sales were recognized during the period, as well as the associated costs for tableting, packaging, shipment, insurance and quality assurance, as well as any idle capacity charges we may incur at our contract manufacturers and write-offs of inventory that fails to meet specifications or is otherwise no longer suitable for commercial manufacture. Cost of goods sold also includes royalties due to the licensor of Auryxia related to the U.S. product sales recognized during the period, as well as a manufacturing fee related to API manufactured by us in the licensed territory through September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color w:val="auto"/>
        </w:rPr>
        <w:t>LICENSE EXPENSE</w:t>
      </w:r>
    </w:p>
    <w:p>
      <w:pPr>
        <w:spacing w:after="0" w:line="121" w:lineRule="exact"/>
        <w:rPr>
          <w:sz w:val="20"/>
          <w:szCs w:val="20"/>
          <w:color w:val="auto"/>
        </w:rPr>
      </w:pPr>
    </w:p>
    <w:p>
      <w:pPr>
        <w:ind w:right="400" w:firstLine="543"/>
        <w:spacing w:after="0" w:line="264" w:lineRule="auto"/>
        <w:rPr>
          <w:sz w:val="20"/>
          <w:szCs w:val="20"/>
          <w:color w:val="auto"/>
        </w:rPr>
      </w:pPr>
      <w:r>
        <w:rPr>
          <w:rFonts w:ascii="Arial" w:cs="Arial" w:eastAsia="Arial" w:hAnsi="Arial"/>
          <w:sz w:val="18"/>
          <w:szCs w:val="18"/>
          <w:color w:val="auto"/>
        </w:rPr>
        <w:t>License expense include royalty and other expenses due to the licensor of Auryxia related to our sublicense agreement with JT and Torii. Royalty expenses are directly related to the net sales recognized by JT and Torii during the period and is recognized in the same period as the license revenue is recorded. Other expenses are recognized in the period they are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20" w:firstLine="543"/>
        <w:spacing w:after="0" w:line="286" w:lineRule="auto"/>
        <w:rPr>
          <w:sz w:val="20"/>
          <w:szCs w:val="20"/>
          <w:color w:val="auto"/>
        </w:rPr>
      </w:pPr>
      <w:r>
        <w:rPr>
          <w:rFonts w:ascii="Arial" w:cs="Arial" w:eastAsia="Arial" w:hAnsi="Arial"/>
          <w:sz w:val="16"/>
          <w:szCs w:val="16"/>
          <w:color w:val="auto"/>
        </w:rPr>
        <w:t>Research and development costs are expensed as incurred. Inventory expenditures prior to regulatory approval of the product candidate or prior to regulatory approval of the contract manufacturing site, if required, are recorded as research and development expense as incurred. The capitalization of inventory for our product candidates commences when management determines that the realization of future economic benefit is probable.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expenses based on work performed and rely upon estimates of those costs applicable to the stage of completion of a trial.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and the completion of portions of the clinical trial or similar conditions. The objective of our policy is to match the recording of expenses in our consolidated financial statements to the actual services received and efforts expended. As such, expenses related to clinical site costs are recognized based on our estimate of the degree of completion of the event or events specified in the specific clinical trial contract.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43"/>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A valuation allowance is recorded against deferred tax assets if it is more likely than not that some or all of our deferred tax assets will not be realized.</w:t>
      </w:r>
    </w:p>
    <w:p>
      <w:pPr>
        <w:spacing w:after="0" w:line="193" w:lineRule="exact"/>
        <w:rPr>
          <w:sz w:val="20"/>
          <w:szCs w:val="20"/>
          <w:color w:val="auto"/>
        </w:rPr>
      </w:pPr>
    </w:p>
    <w:p>
      <w:pPr>
        <w:jc w:val="both"/>
        <w:ind w:right="180" w:firstLine="543"/>
        <w:spacing w:after="0" w:line="259" w:lineRule="auto"/>
        <w:rPr>
          <w:sz w:val="20"/>
          <w:szCs w:val="20"/>
          <w:color w:val="auto"/>
        </w:rPr>
      </w:pPr>
      <w:r>
        <w:rPr>
          <w:rFonts w:ascii="Arial" w:cs="Arial" w:eastAsia="Arial" w:hAnsi="Arial"/>
          <w:sz w:val="18"/>
          <w:szCs w:val="18"/>
          <w:color w:val="auto"/>
        </w:rPr>
        <w:t>We, and our subsidiaries, file income tax returns in the United States federal jurisdiction and in various states. Our subsidiary, Keryx Biopharma UK Ltd., files annual returns and accounts in the United Kingdom.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ind w:right="100" w:firstLine="543"/>
        <w:spacing w:after="0" w:line="308" w:lineRule="auto"/>
        <w:rPr>
          <w:sz w:val="20"/>
          <w:szCs w:val="20"/>
          <w:color w:val="auto"/>
        </w:rPr>
      </w:pPr>
      <w:r>
        <w:rPr>
          <w:rFonts w:ascii="Arial" w:cs="Arial" w:eastAsia="Arial" w:hAnsi="Arial"/>
          <w:sz w:val="17"/>
          <w:szCs w:val="17"/>
          <w:color w:val="auto"/>
        </w:rPr>
        <w:t>Our lack of earnings history and the uncertainty surrounding our ability to generate taxable income prior to the reversal or expiration of such deferred tax liability were the primary factors considered by management when recording the valuation allowance against our deferred tax assets.</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aware of any unrecorded tax liabilities which would materially impact our financial position or our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543"/>
        <w:spacing w:after="0" w:line="264" w:lineRule="auto"/>
        <w:rPr>
          <w:sz w:val="20"/>
          <w:szCs w:val="20"/>
          <w:color w:val="auto"/>
        </w:rPr>
      </w:pPr>
      <w:r>
        <w:rPr>
          <w:rFonts w:ascii="Arial" w:cs="Arial" w:eastAsia="Arial" w:hAnsi="Arial"/>
          <w:sz w:val="18"/>
          <w:szCs w:val="18"/>
          <w:color w:val="auto"/>
        </w:rPr>
        <w:t>We grant stock options and restricted stock awards to employees, directors and consultants. We estimate an expected forfeiture rate and only recognize expense for those equity awards that are expected to vest. Forfeitures are estimated based on historical experience at the time of grant and revised, if necessary, in subsequent periods if actual forfeitures differ from those estimates.</w:t>
      </w:r>
    </w:p>
    <w:p>
      <w:pPr>
        <w:spacing w:after="0" w:line="181" w:lineRule="exact"/>
        <w:rPr>
          <w:sz w:val="20"/>
          <w:szCs w:val="20"/>
          <w:color w:val="auto"/>
        </w:rPr>
      </w:pPr>
    </w:p>
    <w:p>
      <w:pPr>
        <w:ind w:right="160" w:firstLine="543"/>
        <w:spacing w:after="0" w:line="218" w:lineRule="exact"/>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model has several inputs, including the volatility in the price of our stock, the risk-free interest rate, the expected term of the option, the closing market price of our stock on the grant date and the exercise price. We base our estimates of our stock price volatility on the historical volatility of our common stock; however, these estimates are neither predictive nor indicative of the future performance of our stock. For purposes of the fair value calculation, we assume that no dividends will be paid during the life of the stock options. The aggregate fair value of awards calculated using the Black-Scholes option pricing model is generally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requisite service period. The estimates utilized in the Black-Scholes calculation involve inherent uncertainties and the application of management judgment.</w:t>
      </w:r>
    </w:p>
    <w:p>
      <w:pPr>
        <w:spacing w:after="0" w:line="206" w:lineRule="exact"/>
        <w:rPr>
          <w:sz w:val="20"/>
          <w:szCs w:val="20"/>
          <w:color w:val="auto"/>
        </w:rPr>
      </w:pPr>
    </w:p>
    <w:p>
      <w:pPr>
        <w:ind w:right="40" w:firstLine="543"/>
        <w:spacing w:after="0" w:line="221" w:lineRule="exact"/>
        <w:rPr>
          <w:sz w:val="20"/>
          <w:szCs w:val="20"/>
          <w:color w:val="auto"/>
        </w:rPr>
      </w:pPr>
      <w:r>
        <w:rPr>
          <w:rFonts w:ascii="Arial" w:cs="Arial" w:eastAsia="Arial" w:hAnsi="Arial"/>
          <w:sz w:val="18"/>
          <w:szCs w:val="18"/>
          <w:color w:val="auto"/>
        </w:rPr>
        <w:t>The aggregate fair value of restricted stock granted to our employees and directors is determined based upon the quoted closing market price per share on the date of grant, adjusted for estimated forfeitures. This aggregate fair value is generally expensed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requisite service period.</w:t>
      </w:r>
    </w:p>
    <w:p>
      <w:pPr>
        <w:spacing w:after="0" w:line="202" w:lineRule="exact"/>
        <w:rPr>
          <w:sz w:val="20"/>
          <w:szCs w:val="20"/>
          <w:color w:val="auto"/>
        </w:rPr>
      </w:pPr>
    </w:p>
    <w:p>
      <w:pPr>
        <w:ind w:right="80" w:firstLine="543"/>
        <w:spacing w:after="0" w:line="259" w:lineRule="auto"/>
        <w:rPr>
          <w:sz w:val="20"/>
          <w:szCs w:val="20"/>
          <w:color w:val="auto"/>
        </w:rPr>
      </w:pPr>
      <w:r>
        <w:rPr>
          <w:rFonts w:ascii="Arial" w:cs="Arial" w:eastAsia="Arial" w:hAnsi="Arial"/>
          <w:sz w:val="18"/>
          <w:szCs w:val="18"/>
          <w:color w:val="auto"/>
        </w:rPr>
        <w:t>The total stock-based compensation recorded in a given period is dependent upon the assumptions utilized. As a result, if other assumptions had been used, our recorded stock-based compensation expense could have been materially different from that reported. In addition, because some of the stock options issued to employees, consultants and other third-parties vest upon the achievement of certain performance conditions or milestones, the total expense is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21" w:lineRule="exact"/>
        <w:rPr>
          <w:sz w:val="20"/>
          <w:szCs w:val="20"/>
          <w:color w:val="auto"/>
        </w:rPr>
      </w:pPr>
    </w:p>
    <w:p>
      <w:pPr>
        <w:ind w:right="180" w:firstLine="543"/>
        <w:spacing w:after="0" w:line="259" w:lineRule="auto"/>
        <w:rPr>
          <w:sz w:val="20"/>
          <w:szCs w:val="20"/>
          <w:color w:val="auto"/>
        </w:rPr>
      </w:pPr>
      <w:r>
        <w:rPr>
          <w:rFonts w:ascii="Arial" w:cs="Arial" w:eastAsia="Arial" w:hAnsi="Arial"/>
          <w:sz w:val="18"/>
          <w:szCs w:val="18"/>
          <w:color w:val="auto"/>
        </w:rPr>
        <w:t>Basic net loss per share is computed by dividing the losses allocable to common stockholders by the weighted average number of shares of common stock outstanding for the period. Diluted net loss per share does not reflect the effect of shares of common stock to be issued upon the exercise of stock options, as their inclusion would be anti-dilutive. The options outstanding as of December 31, 2017, 2016 and 2015, which are not included in the computation of net loss per share amounts, were 11,967,815, 8,677,998 and 5,411,557,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right="60" w:firstLine="543"/>
        <w:spacing w:after="0" w:line="273" w:lineRule="auto"/>
        <w:rPr>
          <w:sz w:val="20"/>
          <w:szCs w:val="20"/>
          <w:color w:val="auto"/>
        </w:rPr>
      </w:pPr>
      <w:r>
        <w:rPr>
          <w:rFonts w:ascii="Arial" w:cs="Arial" w:eastAsia="Arial" w:hAnsi="Arial"/>
          <w:sz w:val="17"/>
          <w:szCs w:val="17"/>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Recoverability of assets to be held and used is measured by a comparison of the carrying amount of an asset to future undiscounted cash flows expected to be generated by the asset or used in its disposal. If the carrying amount of an asset exceeds its estimated future undiscounted cash flows, an impairment charge is recognized.</w:t>
      </w:r>
    </w:p>
    <w:p>
      <w:pPr>
        <w:spacing w:after="0" w:line="178" w:lineRule="exact"/>
        <w:rPr>
          <w:sz w:val="20"/>
          <w:szCs w:val="20"/>
          <w:color w:val="auto"/>
        </w:rPr>
      </w:pPr>
    </w:p>
    <w:p>
      <w:pPr>
        <w:ind w:firstLine="543"/>
        <w:spacing w:after="0" w:line="279" w:lineRule="auto"/>
        <w:rPr>
          <w:sz w:val="20"/>
          <w:szCs w:val="20"/>
          <w:color w:val="auto"/>
        </w:rPr>
      </w:pPr>
      <w:r>
        <w:rPr>
          <w:rFonts w:ascii="Arial" w:cs="Arial" w:eastAsia="Arial" w:hAnsi="Arial"/>
          <w:sz w:val="17"/>
          <w:szCs w:val="17"/>
          <w:color w:val="auto"/>
        </w:rPr>
        <w:t>In 2006, ADI, our wholly-owned subsidiary, completed the acquisition of Accumin™, a novel, patent protected, diagnostic for the direct measurement of total, intact urinary albumin, from AusAm Biotechnologies, Inc. We accounted for the ADI transaction as a purchase. The excess of the purchase price over the net assets acquired in the ADI transaction represented goodwill, which was allocated to our Products segment based on the proposed synergies with our then existing drug pipeline activities. In September 2008, we terminated our license agreement related to the ADI product.</w:t>
      </w:r>
    </w:p>
    <w:p>
      <w:pPr>
        <w:spacing w:after="0" w:line="171" w:lineRule="exact"/>
        <w:rPr>
          <w:sz w:val="20"/>
          <w:szCs w:val="20"/>
          <w:color w:val="auto"/>
        </w:rPr>
      </w:pPr>
    </w:p>
    <w:p>
      <w:pPr>
        <w:ind w:right="140" w:firstLine="543"/>
        <w:spacing w:after="0" w:line="255" w:lineRule="auto"/>
        <w:rPr>
          <w:sz w:val="20"/>
          <w:szCs w:val="20"/>
          <w:color w:val="auto"/>
        </w:rPr>
      </w:pPr>
      <w:r>
        <w:rPr>
          <w:rFonts w:ascii="Arial" w:cs="Arial" w:eastAsia="Arial" w:hAnsi="Arial"/>
          <w:sz w:val="18"/>
          <w:szCs w:val="18"/>
          <w:color w:val="auto"/>
        </w:rPr>
        <w:t>Goodwill is reviewed for impairment annually, as of December 31, or when events arise that could indicate that an impairment exists. We test for goodwill impairment by comparing the fair value of the reporting unit with the unit’s carrying value, including goodwill. When the carrying value of the reporting unit is greater than fair value, an impairment charge is recognized for the amount by which the carrying amount exceeds the reporting unit's fair value. As of December 31, 2017, 2016 and 2015, management conducted its annual assessments of goodwill and concluded that there were no impairments. We will continue to perform impairment tests annually, at December 31, and whenever events or changes in circumstances suggest that the carrying value of an asset may not be recoverable.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right="420" w:firstLine="543"/>
        <w:spacing w:after="0" w:line="277" w:lineRule="auto"/>
        <w:rPr>
          <w:sz w:val="20"/>
          <w:szCs w:val="20"/>
          <w:color w:val="auto"/>
        </w:rPr>
      </w:pPr>
      <w:r>
        <w:rPr>
          <w:rFonts w:ascii="Arial" w:cs="Arial" w:eastAsia="Arial" w:hAnsi="Arial"/>
          <w:sz w:val="18"/>
          <w:szCs w:val="18"/>
          <w:color w:val="auto"/>
        </w:rPr>
        <w:t>We do not have significant off-balance-sheet risk or credit risk concentrations. We maintain our cash and cash equivalents with multiple financial institutions. See Note 3 - Fair Value Measurements.</w:t>
      </w:r>
    </w:p>
    <w:p>
      <w:pPr>
        <w:spacing w:after="0" w:line="170" w:lineRule="exact"/>
        <w:rPr>
          <w:sz w:val="20"/>
          <w:szCs w:val="20"/>
          <w:color w:val="auto"/>
        </w:rPr>
      </w:pPr>
    </w:p>
    <w:p>
      <w:pPr>
        <w:jc w:val="both"/>
        <w:ind w:right="420" w:firstLine="543"/>
        <w:spacing w:after="0" w:line="264" w:lineRule="auto"/>
        <w:rPr>
          <w:sz w:val="20"/>
          <w:szCs w:val="20"/>
          <w:color w:val="auto"/>
        </w:rPr>
      </w:pPr>
      <w:r>
        <w:rPr>
          <w:rFonts w:ascii="Arial" w:cs="Arial" w:eastAsia="Arial" w:hAnsi="Arial"/>
          <w:sz w:val="18"/>
          <w:szCs w:val="18"/>
          <w:color w:val="auto"/>
        </w:rPr>
        <w:t>Our accounts receivable, net at December 31, 2017 and 2016 represent amounts due to the Company from customers. We perform ongoing credit evaluations of our customers and generally do not require collateral. The following table sets forth customers who represented 10% or more of our total accounts receivable, net as of December 31, 2017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2460" w:type="dxa"/>
            <w:vAlign w:val="bottom"/>
            <w:gridSpan w:val="2"/>
          </w:tcPr>
          <w:p>
            <w:pPr>
              <w:ind w:left="480"/>
              <w:spacing w:after="0"/>
              <w:rPr>
                <w:sz w:val="20"/>
                <w:szCs w:val="20"/>
                <w:color w:val="auto"/>
              </w:rPr>
            </w:pPr>
            <w:r>
              <w:rPr>
                <w:rFonts w:ascii="Arial" w:cs="Arial" w:eastAsia="Arial" w:hAnsi="Arial"/>
                <w:sz w:val="18"/>
                <w:szCs w:val="18"/>
                <w:b w:val="1"/>
                <w:bCs w:val="1"/>
                <w:color w:val="auto"/>
              </w:rPr>
              <w:t>December 31, 2017</w:t>
            </w:r>
          </w:p>
        </w:tc>
        <w:tc>
          <w:tcPr>
            <w:tcW w:w="250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 2016</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Fresenius Medical Care Rx</w:t>
            </w:r>
          </w:p>
        </w:tc>
        <w:tc>
          <w:tcPr>
            <w:tcW w:w="2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43 %</w:t>
            </w:r>
          </w:p>
        </w:tc>
        <w:tc>
          <w:tcPr>
            <w:tcW w:w="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22 %</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Cardinal Health, Inc.</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8"/>
                <w:szCs w:val="18"/>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11 %</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AmerisourceBergen Drug Corporation</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McKesson Corporation</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8"/>
                <w:szCs w:val="18"/>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31 %</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DaVita Rx</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jc w:val="both"/>
        <w:ind w:right="140" w:firstLine="543"/>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our statements using a fair value hierarchy.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73" w:lineRule="exact"/>
        <w:rPr>
          <w:sz w:val="20"/>
          <w:szCs w:val="20"/>
          <w:color w:val="auto"/>
        </w:rPr>
      </w:pPr>
    </w:p>
    <w:p>
      <w:pPr>
        <w:ind w:left="540" w:hanging="532"/>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Level 2-inputs other than Level 1 quoted prices that are directly or indirectly observable;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Level 3-unobservable inputs that are not corroborated by market data.</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The following table provides the fair value measurements made on a recurring basis of applicable financial assets as of December 31, 2017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7"/>
          </w:tcPr>
          <w:p>
            <w:pPr>
              <w:jc w:val="center"/>
              <w:ind w:right="290"/>
              <w:spacing w:after="0"/>
              <w:rPr>
                <w:sz w:val="20"/>
                <w:szCs w:val="20"/>
                <w:color w:val="auto"/>
              </w:rPr>
            </w:pPr>
            <w:r>
              <w:rPr>
                <w:rFonts w:ascii="Arial" w:cs="Arial" w:eastAsia="Arial" w:hAnsi="Arial"/>
                <w:sz w:val="18"/>
                <w:szCs w:val="18"/>
                <w:b w:val="1"/>
                <w:bCs w:val="1"/>
                <w:color w:val="auto"/>
                <w:w w:val="89"/>
              </w:rPr>
              <w:t>Financial assets at fair value as of December 31, 2017</w:t>
            </w:r>
          </w:p>
        </w:tc>
        <w:tc>
          <w:tcPr>
            <w:tcW w:w="0" w:type="dxa"/>
            <w:vAlign w:val="bottom"/>
          </w:tcPr>
          <w:p>
            <w:pPr>
              <w:spacing w:after="0"/>
              <w:rPr>
                <w:sz w:val="1"/>
                <w:szCs w:val="1"/>
                <w:color w:val="auto"/>
              </w:rPr>
            </w:pPr>
          </w:p>
        </w:tc>
      </w:tr>
      <w:tr>
        <w:trPr>
          <w:trHeight w:val="169"/>
        </w:trPr>
        <w:tc>
          <w:tcPr>
            <w:tcW w:w="53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ind w:left="280"/>
              <w:spacing w:after="0" w:line="170" w:lineRule="exact"/>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4"/>
                <w:szCs w:val="14"/>
                <w:color w:val="auto"/>
              </w:rPr>
            </w:pPr>
          </w:p>
        </w:tc>
        <w:tc>
          <w:tcPr>
            <w:tcW w:w="1620" w:type="dxa"/>
            <w:vAlign w:val="bottom"/>
            <w:gridSpan w:val="2"/>
          </w:tcPr>
          <w:p>
            <w:pPr>
              <w:jc w:val="center"/>
              <w:ind w:right="500"/>
              <w:spacing w:after="0" w:line="170" w:lineRule="exact"/>
              <w:rPr>
                <w:sz w:val="20"/>
                <w:szCs w:val="20"/>
                <w:color w:val="auto"/>
              </w:rPr>
            </w:pPr>
            <w:r>
              <w:rPr>
                <w:rFonts w:ascii="Arial" w:cs="Arial" w:eastAsia="Arial" w:hAnsi="Arial"/>
                <w:sz w:val="18"/>
                <w:szCs w:val="18"/>
                <w:b w:val="1"/>
                <w:bCs w:val="1"/>
                <w:color w:val="auto"/>
                <w:w w:val="91"/>
              </w:rPr>
              <w:t>Level 2</w:t>
            </w:r>
          </w:p>
        </w:tc>
        <w:tc>
          <w:tcPr>
            <w:tcW w:w="420" w:type="dxa"/>
            <w:vAlign w:val="bottom"/>
          </w:tcPr>
          <w:p>
            <w:pPr>
              <w:spacing w:after="0"/>
              <w:rPr>
                <w:sz w:val="14"/>
                <w:szCs w:val="14"/>
                <w:color w:val="auto"/>
              </w:rPr>
            </w:pPr>
          </w:p>
        </w:tc>
        <w:tc>
          <w:tcPr>
            <w:tcW w:w="1540" w:type="dxa"/>
            <w:vAlign w:val="bottom"/>
          </w:tcPr>
          <w:p>
            <w:pPr>
              <w:jc w:val="right"/>
              <w:ind w:right="610"/>
              <w:spacing w:after="0" w:line="170"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gridSpan w:val="7"/>
          </w:tcPr>
          <w:p>
            <w:pPr>
              <w:jc w:val="center"/>
              <w:ind w:right="310"/>
              <w:spacing w:after="0"/>
              <w:rPr>
                <w:sz w:val="20"/>
                <w:szCs w:val="20"/>
                <w:color w:val="auto"/>
              </w:rPr>
            </w:pPr>
            <w:r>
              <w:rPr>
                <w:rFonts w:ascii="Arial" w:cs="Arial" w:eastAsia="Arial" w:hAnsi="Arial"/>
                <w:sz w:val="18"/>
                <w:szCs w:val="18"/>
                <w:b w:val="1"/>
                <w:bCs w:val="1"/>
                <w:color w:val="auto"/>
                <w:w w:val="89"/>
              </w:rPr>
              <w:t>Financial assets at fair value as of December 31, 2016</w:t>
            </w:r>
          </w:p>
        </w:tc>
        <w:tc>
          <w:tcPr>
            <w:tcW w:w="0" w:type="dxa"/>
            <w:vAlign w:val="bottom"/>
          </w:tcPr>
          <w:p>
            <w:pPr>
              <w:spacing w:after="0"/>
              <w:rPr>
                <w:sz w:val="1"/>
                <w:szCs w:val="1"/>
                <w:color w:val="auto"/>
              </w:rPr>
            </w:pPr>
          </w:p>
        </w:tc>
      </w:tr>
      <w:tr>
        <w:trPr>
          <w:trHeight w:val="169"/>
        </w:trPr>
        <w:tc>
          <w:tcPr>
            <w:tcW w:w="53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2"/>
          </w:tcPr>
          <w:p>
            <w:pPr>
              <w:ind w:left="300"/>
              <w:spacing w:after="0" w:line="170" w:lineRule="exact"/>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14"/>
                <w:szCs w:val="14"/>
                <w:color w:val="auto"/>
              </w:rPr>
            </w:pPr>
          </w:p>
        </w:tc>
        <w:tc>
          <w:tcPr>
            <w:tcW w:w="1660" w:type="dxa"/>
            <w:vAlign w:val="bottom"/>
            <w:gridSpan w:val="2"/>
          </w:tcPr>
          <w:p>
            <w:pPr>
              <w:jc w:val="center"/>
              <w:ind w:right="500"/>
              <w:spacing w:after="0" w:line="170" w:lineRule="exact"/>
              <w:rPr>
                <w:sz w:val="20"/>
                <w:szCs w:val="20"/>
                <w:color w:val="auto"/>
              </w:rPr>
            </w:pPr>
            <w:r>
              <w:rPr>
                <w:rFonts w:ascii="Arial" w:cs="Arial" w:eastAsia="Arial" w:hAnsi="Arial"/>
                <w:sz w:val="18"/>
                <w:szCs w:val="18"/>
                <w:b w:val="1"/>
                <w:bCs w:val="1"/>
                <w:color w:val="auto"/>
                <w:w w:val="91"/>
              </w:rPr>
              <w:t>Level 2</w:t>
            </w:r>
          </w:p>
        </w:tc>
        <w:tc>
          <w:tcPr>
            <w:tcW w:w="420" w:type="dxa"/>
            <w:vAlign w:val="bottom"/>
          </w:tcPr>
          <w:p>
            <w:pPr>
              <w:spacing w:after="0"/>
              <w:rPr>
                <w:sz w:val="14"/>
                <w:szCs w:val="14"/>
                <w:color w:val="auto"/>
              </w:rPr>
            </w:pPr>
          </w:p>
        </w:tc>
        <w:tc>
          <w:tcPr>
            <w:tcW w:w="1540" w:type="dxa"/>
            <w:vAlign w:val="bottom"/>
          </w:tcPr>
          <w:p>
            <w:pPr>
              <w:jc w:val="right"/>
              <w:ind w:right="610"/>
              <w:spacing w:after="0" w:line="170"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107,084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107,084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320" w:hanging="532"/>
        <w:spacing w:after="0" w:line="277" w:lineRule="auto"/>
        <w:tabs>
          <w:tab w:leader="none" w:pos="540" w:val="left"/>
        </w:tabs>
        <w:numPr>
          <w:ilvl w:val="0"/>
          <w:numId w:val="226"/>
        </w:numPr>
        <w:rPr>
          <w:rFonts w:ascii="Arial" w:cs="Arial" w:eastAsia="Arial" w:hAnsi="Arial"/>
          <w:sz w:val="15"/>
          <w:szCs w:val="15"/>
          <w:color w:val="auto"/>
        </w:rPr>
      </w:pPr>
      <w:r>
        <w:rPr>
          <w:rFonts w:ascii="Arial" w:cs="Arial" w:eastAsia="Arial" w:hAnsi="Arial"/>
          <w:sz w:val="18"/>
          <w:szCs w:val="18"/>
          <w:color w:val="auto"/>
        </w:rPr>
        <w:t>Cash equivalents as of December 31, 2017 and 2016 consisted of institutional money market funds. The carrying value of our money market funds approximates fair value due to their short-term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right="80" w:firstLine="543"/>
        <w:spacing w:after="0" w:line="259" w:lineRule="auto"/>
        <w:rPr>
          <w:sz w:val="20"/>
          <w:szCs w:val="20"/>
          <w:color w:val="auto"/>
        </w:rPr>
      </w:pPr>
      <w:r>
        <w:rPr>
          <w:rFonts w:ascii="Arial" w:cs="Arial" w:eastAsia="Arial" w:hAnsi="Arial"/>
          <w:sz w:val="18"/>
          <w:szCs w:val="18"/>
          <w:color w:val="auto"/>
        </w:rPr>
        <w:t>In October 2015, we issued $125 million in Convertible Senior Notes due 2020, or the Notes, in a private financing to funds managed by The Baupost Group, L.L.C., or Baupost. As of December 31, 2017 and 2016 the fair value of our Notes was $155.4 million and $195.9 million, respectively, which differs from their carrying value. The fair value of our Notes is influenced by our stock price and stock price volatility. See Note 8 - Debt for additional information on our debt obligations.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color w:val="auto"/>
        </w:rPr>
        <w:t>NOTE 4 - INVENTORY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ind w:left="560"/>
              <w:spacing w:after="0"/>
              <w:rPr>
                <w:sz w:val="20"/>
                <w:szCs w:val="20"/>
                <w:color w:val="auto"/>
              </w:rPr>
            </w:pPr>
            <w:r>
              <w:rPr>
                <w:rFonts w:ascii="Arial" w:cs="Arial" w:eastAsia="Arial" w:hAnsi="Arial"/>
                <w:sz w:val="18"/>
                <w:szCs w:val="18"/>
                <w:color w:val="auto"/>
              </w:rPr>
              <w:t>Inventory consisted of the following at December 31, 2017 and 2016:</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5"/>
        </w:trPr>
        <w:tc>
          <w:tcPr>
            <w:tcW w:w="75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1040" w:type="dxa"/>
            <w:vAlign w:val="bottom"/>
            <w:tcBorders>
              <w:top w:val="single" w:sz="8" w:color="auto"/>
              <w:bottom w:val="single" w:sz="8" w:color="CCEEFF"/>
            </w:tcBorders>
          </w:tcPr>
          <w:p>
            <w:pPr>
              <w:spacing w:after="0"/>
              <w:rPr>
                <w:sz w:val="20"/>
                <w:szCs w:val="20"/>
                <w:color w:val="auto"/>
              </w:rPr>
            </w:pPr>
          </w:p>
        </w:tc>
        <w:tc>
          <w:tcPr>
            <w:tcW w:w="6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23"/>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11,430</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4"/>
        </w:trPr>
        <w:tc>
          <w:tcPr>
            <w:tcW w:w="7520" w:type="dxa"/>
            <w:vAlign w:val="bottom"/>
            <w:gridSpan w:val="2"/>
          </w:tcPr>
          <w:p>
            <w:pPr>
              <w:spacing w:after="0"/>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28,695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12,681</w:t>
            </w:r>
          </w:p>
        </w:tc>
      </w:tr>
    </w:tbl>
    <w:p>
      <w:pPr>
        <w:spacing w:after="0" w:line="202" w:lineRule="exact"/>
        <w:rPr>
          <w:sz w:val="20"/>
          <w:szCs w:val="20"/>
          <w:color w:val="auto"/>
        </w:rPr>
      </w:pPr>
    </w:p>
    <w:p>
      <w:pPr>
        <w:ind w:right="120" w:firstLine="543"/>
        <w:spacing w:after="0" w:line="264" w:lineRule="auto"/>
        <w:rPr>
          <w:sz w:val="20"/>
          <w:szCs w:val="20"/>
          <w:color w:val="auto"/>
        </w:rPr>
      </w:pPr>
      <w:r>
        <w:rPr>
          <w:rFonts w:ascii="Arial" w:cs="Arial" w:eastAsia="Arial" w:hAnsi="Arial"/>
          <w:sz w:val="18"/>
          <w:szCs w:val="18"/>
          <w:color w:val="auto"/>
        </w:rPr>
        <w:t>During the years ended December 31, 2017 and 2016, we wrote off approximately $3.5 million and $28.0 million, respectively, of inventory that was determined to be no longer suitable for commercial manufacture, which was recorded to cost of goods sold. We did not have any write-offs of inventory during the year ended December 31, 2015.</w:t>
      </w:r>
    </w:p>
    <w:p>
      <w:pPr>
        <w:spacing w:after="0" w:line="181" w:lineRule="exact"/>
        <w:rPr>
          <w:sz w:val="20"/>
          <w:szCs w:val="20"/>
          <w:color w:val="auto"/>
        </w:rPr>
      </w:pPr>
    </w:p>
    <w:p>
      <w:pPr>
        <w:ind w:right="100" w:firstLine="543"/>
        <w:spacing w:after="0" w:line="277" w:lineRule="auto"/>
        <w:rPr>
          <w:sz w:val="20"/>
          <w:szCs w:val="20"/>
          <w:color w:val="auto"/>
        </w:rPr>
      </w:pPr>
      <w:r>
        <w:rPr>
          <w:rFonts w:ascii="Arial" w:cs="Arial" w:eastAsia="Arial" w:hAnsi="Arial"/>
          <w:sz w:val="18"/>
          <w:szCs w:val="18"/>
          <w:color w:val="auto"/>
        </w:rPr>
        <w:t>Total inventory as of December 31, 2017 increased by $16.0 million as compared to December 31, 2016 primarily as a result of inventory build-up in connection with capacity expansion initiatives, partially offset by inventory sold to customers.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05"/>
        </w:trPr>
        <w:tc>
          <w:tcPr>
            <w:tcW w:w="75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1040" w:type="dxa"/>
            <w:vAlign w:val="bottom"/>
            <w:tcBorders>
              <w:top w:val="single" w:sz="8" w:color="auto"/>
              <w:bottom w:val="single" w:sz="8" w:color="CCEEFF"/>
            </w:tcBorders>
          </w:tcPr>
          <w:p>
            <w:pPr>
              <w:spacing w:after="0"/>
              <w:rPr>
                <w:sz w:val="20"/>
                <w:szCs w:val="20"/>
                <w:color w:val="auto"/>
              </w:rPr>
            </w:pPr>
          </w:p>
        </w:tc>
        <w:tc>
          <w:tcPr>
            <w:tcW w:w="6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2016</w:t>
            </w:r>
          </w:p>
        </w:tc>
      </w:tr>
      <w:tr>
        <w:trPr>
          <w:trHeight w:val="223"/>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3,916</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3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Computers, software and related equipment</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r>
      <w:tr>
        <w:trPr>
          <w:trHeight w:val="223"/>
        </w:trPr>
        <w:tc>
          <w:tcPr>
            <w:tcW w:w="10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5,450</w:t>
            </w:r>
          </w:p>
        </w:tc>
      </w:tr>
      <w:tr>
        <w:trPr>
          <w:trHeight w:val="23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44"/>
        </w:trPr>
        <w:tc>
          <w:tcPr>
            <w:tcW w:w="7500" w:type="dxa"/>
            <w:vAlign w:val="bottom"/>
            <w:gridSpan w:val="2"/>
          </w:tcPr>
          <w:p>
            <w:pPr>
              <w:spacing w:after="0"/>
              <w:rPr>
                <w:sz w:val="20"/>
                <w:szCs w:val="20"/>
                <w:color w:val="auto"/>
              </w:rPr>
            </w:pPr>
            <w:r>
              <w:rPr>
                <w:rFonts w:ascii="Arial" w:cs="Arial" w:eastAsia="Arial" w:hAnsi="Arial"/>
                <w:sz w:val="18"/>
                <w:szCs w:val="18"/>
                <w:color w:val="auto"/>
              </w:rPr>
              <w:t>Net book value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expense for the years ended December 31, 2017, 2016 and 2015 was $0.9 million, $1.0 million and $0.6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ind w:left="560"/>
              <w:spacing w:after="0"/>
              <w:rPr>
                <w:sz w:val="20"/>
                <w:szCs w:val="20"/>
                <w:color w:val="auto"/>
              </w:rPr>
            </w:pPr>
            <w:r>
              <w:rPr>
                <w:rFonts w:ascii="Arial" w:cs="Arial" w:eastAsia="Arial" w:hAnsi="Arial"/>
                <w:sz w:val="18"/>
                <w:szCs w:val="18"/>
                <w:color w:val="auto"/>
              </w:rPr>
              <w:t>Other current assets consisted of the following at December 31, 2017 and 2016:</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5"/>
        </w:trPr>
        <w:tc>
          <w:tcPr>
            <w:tcW w:w="75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1040" w:type="dxa"/>
            <w:vAlign w:val="bottom"/>
            <w:tcBorders>
              <w:top w:val="single" w:sz="8" w:color="auto"/>
              <w:bottom w:val="single" w:sz="8" w:color="CCEEFF"/>
            </w:tcBorders>
          </w:tcPr>
          <w:p>
            <w:pPr>
              <w:spacing w:after="0"/>
              <w:rPr>
                <w:sz w:val="20"/>
                <w:szCs w:val="20"/>
                <w:color w:val="auto"/>
              </w:rPr>
            </w:pPr>
          </w:p>
        </w:tc>
        <w:tc>
          <w:tcPr>
            <w:tcW w:w="6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23"/>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manufacturing costs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Prepaid selling, general and administrative expenses</w:t>
            </w:r>
          </w:p>
        </w:tc>
        <w:tc>
          <w:tcPr>
            <w:tcW w:w="22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44"/>
        </w:trPr>
        <w:tc>
          <w:tcPr>
            <w:tcW w:w="7520" w:type="dxa"/>
            <w:vAlign w:val="bottom"/>
            <w:gridSpan w:val="2"/>
          </w:tcPr>
          <w:p>
            <w:pPr>
              <w:spacing w:after="0"/>
              <w:rPr>
                <w:sz w:val="20"/>
                <w:szCs w:val="20"/>
                <w:color w:val="auto"/>
              </w:rPr>
            </w:pPr>
            <w:r>
              <w:rPr>
                <w:rFonts w:ascii="Arial" w:cs="Arial" w:eastAsia="Arial" w:hAnsi="Arial"/>
                <w:sz w:val="18"/>
                <w:szCs w:val="18"/>
                <w:color w:val="auto"/>
              </w:rPr>
              <w:t>Total other current assets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11,199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r>
    </w:tbl>
    <w:p>
      <w:pPr>
        <w:spacing w:after="0" w:line="202" w:lineRule="exact"/>
        <w:rPr>
          <w:sz w:val="20"/>
          <w:szCs w:val="20"/>
          <w:color w:val="auto"/>
        </w:rPr>
      </w:pPr>
    </w:p>
    <w:p>
      <w:pPr>
        <w:jc w:val="both"/>
        <w:ind w:firstLine="543"/>
        <w:spacing w:after="0" w:line="277" w:lineRule="auto"/>
        <w:rPr>
          <w:sz w:val="20"/>
          <w:szCs w:val="20"/>
          <w:color w:val="auto"/>
        </w:rPr>
      </w:pPr>
      <w:r>
        <w:rPr>
          <w:rFonts w:ascii="Arial" w:cs="Arial" w:eastAsia="Arial" w:hAnsi="Arial"/>
          <w:sz w:val="18"/>
          <w:szCs w:val="18"/>
          <w:color w:val="auto"/>
        </w:rPr>
        <w:t>Prepaid manufacturing costs as of December 31, 2017 primarily relate to upfront payments to our contract manufacturers related to 2018 production of inventory.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i w:val="1"/>
          <w:iCs w:val="1"/>
          <w:color w:val="auto"/>
        </w:rPr>
        <w:t>Other assets,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ind w:left="560"/>
              <w:spacing w:after="0"/>
              <w:rPr>
                <w:sz w:val="20"/>
                <w:szCs w:val="20"/>
                <w:color w:val="auto"/>
              </w:rPr>
            </w:pPr>
            <w:r>
              <w:rPr>
                <w:rFonts w:ascii="Arial" w:cs="Arial" w:eastAsia="Arial" w:hAnsi="Arial"/>
                <w:sz w:val="18"/>
                <w:szCs w:val="18"/>
                <w:color w:val="auto"/>
              </w:rPr>
              <w:t>Other assets, net consisted of the following at December 31, 2017 and 2016:</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5"/>
        </w:trPr>
        <w:tc>
          <w:tcPr>
            <w:tcW w:w="75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1040" w:type="dxa"/>
            <w:vAlign w:val="bottom"/>
            <w:tcBorders>
              <w:top w:val="single" w:sz="8" w:color="auto"/>
              <w:bottom w:val="single" w:sz="8" w:color="CCEEFF"/>
            </w:tcBorders>
          </w:tcPr>
          <w:p>
            <w:pPr>
              <w:spacing w:after="0"/>
              <w:rPr>
                <w:sz w:val="20"/>
                <w:szCs w:val="20"/>
                <w:color w:val="auto"/>
              </w:rPr>
            </w:pPr>
          </w:p>
        </w:tc>
        <w:tc>
          <w:tcPr>
            <w:tcW w:w="6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23"/>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manufacturing costs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prepaid manufacturing costs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registration fees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4"/>
        </w:trPr>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long-term assets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r>
    </w:tbl>
    <w:p>
      <w:pPr>
        <w:spacing w:after="0" w:line="202" w:lineRule="exact"/>
        <w:rPr>
          <w:sz w:val="20"/>
          <w:szCs w:val="20"/>
          <w:color w:val="auto"/>
        </w:rPr>
      </w:pPr>
    </w:p>
    <w:p>
      <w:pPr>
        <w:ind w:right="100" w:firstLine="543"/>
        <w:spacing w:after="0" w:line="293" w:lineRule="auto"/>
        <w:rPr>
          <w:sz w:val="20"/>
          <w:szCs w:val="20"/>
          <w:color w:val="auto"/>
        </w:rPr>
      </w:pPr>
      <w:r>
        <w:rPr>
          <w:rFonts w:ascii="Arial" w:cs="Arial" w:eastAsia="Arial" w:hAnsi="Arial"/>
          <w:sz w:val="16"/>
          <w:szCs w:val="16"/>
          <w:color w:val="auto"/>
        </w:rPr>
        <w:t>Deferred costs as of December 31, 2017 consisted of amounts paid or payable under contract manufacturing agreements, including a $5.0 million milestone related to a facility construction agreement and $2.3 million in product premiums payable by us to our contract manufacturer. We capitalize certain expenses as deferred costs related to agreements with a contract manufacturer in connection with the construction of an expanded manufacturing facility. These costs will be capitalized as incurred and will begin to be expensed at such time that we begin to receive product from the newly-constructed facility. These costs will be expensed ratably over the supply period based on anticipated product to be received from the new facility. At December 31, 2017, the amounts included in deferred costs were also recorded as an accrued expense on our consolidated balance sheet as they had not been paid prior to year-end.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PAYABLE AND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Accounts payable and accrued expenses consisted of the following at December 31, 2017 and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7"/>
                <w:szCs w:val="17"/>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1040" w:type="dxa"/>
            <w:vAlign w:val="bottom"/>
            <w:tcBorders>
              <w:top w:val="single" w:sz="8" w:color="auto"/>
              <w:bottom w:val="single" w:sz="8" w:color="CCEEFF"/>
            </w:tcBorders>
          </w:tcPr>
          <w:p>
            <w:pPr>
              <w:spacing w:after="0"/>
              <w:rPr>
                <w:sz w:val="20"/>
                <w:szCs w:val="20"/>
                <w:color w:val="auto"/>
              </w:rPr>
            </w:pPr>
          </w:p>
        </w:tc>
        <w:tc>
          <w:tcPr>
            <w:tcW w:w="6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23"/>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rebates and fees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Accrued manufacturing expenses</w:t>
            </w:r>
          </w:p>
        </w:tc>
        <w:tc>
          <w:tcPr>
            <w:tcW w:w="22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liabilities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license, and other fees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r>
      <w:tr>
        <w:trPr>
          <w:trHeight w:val="224"/>
        </w:trPr>
        <w:tc>
          <w:tcPr>
            <w:tcW w:w="7520" w:type="dxa"/>
            <w:vAlign w:val="bottom"/>
            <w:gridSpan w:val="2"/>
          </w:tcPr>
          <w:p>
            <w:pPr>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45,031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21,190</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21" w:lineRule="exact"/>
        <w:rPr>
          <w:sz w:val="20"/>
          <w:szCs w:val="20"/>
          <w:color w:val="auto"/>
        </w:rPr>
      </w:pPr>
    </w:p>
    <w:p>
      <w:pPr>
        <w:ind w:right="80" w:firstLine="543"/>
        <w:spacing w:after="0" w:line="257" w:lineRule="auto"/>
        <w:rPr>
          <w:sz w:val="20"/>
          <w:szCs w:val="20"/>
          <w:color w:val="auto"/>
        </w:rPr>
      </w:pPr>
      <w:r>
        <w:rPr>
          <w:rFonts w:ascii="Arial" w:cs="Arial" w:eastAsia="Arial" w:hAnsi="Arial"/>
          <w:sz w:val="18"/>
          <w:szCs w:val="18"/>
          <w:color w:val="auto"/>
        </w:rPr>
        <w:t>In October 2015, we completed the sale of $125 million of Notes due 2020, in a private placement, or the Private Placement, to funds managed by Baupost pursuant to a Notes Purchase Agreement dated October 14, 2015. The Notes were issued under an Indenture dated as of October 15, 2015, with The Bank of New York Mellon Trust Company, N.A. as trustee, or the Trustee. Under the terms of the Indenture, the Notes may be converted into shares of our common stock at the discretion of Baupost. The indenture subjects us to certain financial and business covenants and contains restrictions on the payments of cash dividends.</w:t>
      </w:r>
    </w:p>
    <w:p>
      <w:pPr>
        <w:spacing w:after="0" w:line="188" w:lineRule="exact"/>
        <w:rPr>
          <w:sz w:val="20"/>
          <w:szCs w:val="20"/>
          <w:color w:val="auto"/>
        </w:rPr>
      </w:pPr>
    </w:p>
    <w:p>
      <w:pPr>
        <w:ind w:right="720" w:firstLine="543"/>
        <w:spacing w:after="0" w:line="297" w:lineRule="auto"/>
        <w:rPr>
          <w:sz w:val="20"/>
          <w:szCs w:val="20"/>
          <w:color w:val="auto"/>
        </w:rPr>
      </w:pPr>
      <w:r>
        <w:rPr>
          <w:rFonts w:ascii="Arial" w:cs="Arial" w:eastAsia="Arial" w:hAnsi="Arial"/>
          <w:sz w:val="16"/>
          <w:szCs w:val="16"/>
          <w:color w:val="auto"/>
        </w:rPr>
        <w:t>The Indenture contains customary terms and events of default. If an event of default (other than certain events of bankruptcy, insolvency or reorganization involving us) occurs and is continuing, the Trustee by notice to us, or the holders of at least 25% in aggregate principal amount of the outstanding Notes by written notice to us and the Trustee, may declare 100% of the principal on all of the Notes to be due and payable. Upon such a declaration of acceleration, such principal will be due and payable immediately. Upon the occurrence of certain events of bankruptcy, insolvency or reorganization involving us, 100% of the principal on all of the Notes will become due and payable automatically.</w:t>
      </w:r>
    </w:p>
    <w:p>
      <w:pPr>
        <w:spacing w:after="0" w:line="158" w:lineRule="exact"/>
        <w:rPr>
          <w:sz w:val="20"/>
          <w:szCs w:val="20"/>
          <w:color w:val="auto"/>
        </w:rPr>
      </w:pPr>
    </w:p>
    <w:p>
      <w:pPr>
        <w:ind w:right="260" w:firstLine="543"/>
        <w:spacing w:after="0" w:line="272" w:lineRule="auto"/>
        <w:rPr>
          <w:sz w:val="20"/>
          <w:szCs w:val="20"/>
          <w:color w:val="auto"/>
        </w:rPr>
      </w:pPr>
      <w:r>
        <w:rPr>
          <w:rFonts w:ascii="Arial" w:cs="Arial" w:eastAsia="Arial" w:hAnsi="Arial"/>
          <w:sz w:val="17"/>
          <w:szCs w:val="17"/>
          <w:color w:val="auto"/>
        </w:rPr>
        <w:t>Further, in connection with the Private Placement, we entered into a Registration Rights Agreement with the purchasers of the Notes (the “Registration Rights Agreement”), pursuant to which we agreed to (i) file a registration statement (the “Resale Registration Statement”) with the SEC covering the resale of the Notes and the underlying common stock which the Notes are convertible into upon the written request of Baupost, and (ii) use commercially reasonable efforts, subject to receipt of necessary information from all the purchasers of the Notes, to cause the SEC to declare the Resale Registration Statement effective. Further, the Registration Rights Agreement permits Baupost to demand from time to time that we file a shelf Registration Statement pursuant to Rule 415 of the Securities Act from which any number of shelf takedowns may be conducted upon written request from Baupost. Finally, the Registration Rights Agreement affords Baupost certain piggyback registration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304" w:name="page305"/>
    <w:bookmarkEnd w:id="304"/>
    <w:p>
      <w:pPr>
        <w:ind w:firstLine="543"/>
        <w:spacing w:after="0" w:line="302" w:lineRule="auto"/>
        <w:rPr>
          <w:sz w:val="20"/>
          <w:szCs w:val="20"/>
          <w:color w:val="auto"/>
        </w:rPr>
      </w:pPr>
      <w:r>
        <w:rPr>
          <w:rFonts w:ascii="Arial" w:cs="Arial" w:eastAsia="Arial" w:hAnsi="Arial"/>
          <w:sz w:val="16"/>
          <w:szCs w:val="16"/>
          <w:color w:val="auto"/>
        </w:rPr>
        <w:t>The Notes are convertible at the option of Baupost at an initial conversion rate of 267.3797 shares of our common stock per $1,000 principal amount, equal to a conversion price of $3.74 per share, which represents the last reported sale price of our stock on October 14, 2015. The conversion rate is subject to adjustment from time to time upon the occurrence of certain events. Further, upon the occurrence of certain fundamental changes involving us, Baupost may require us to repurchase for cash all or part of their Notes at a repurchase price equal to 100% of the principal amount of the Notes to be repurchased.</w:t>
      </w:r>
    </w:p>
    <w:p>
      <w:pPr>
        <w:spacing w:after="0" w:line="154" w:lineRule="exact"/>
        <w:rPr>
          <w:sz w:val="20"/>
          <w:szCs w:val="20"/>
          <w:color w:val="auto"/>
        </w:rPr>
      </w:pPr>
    </w:p>
    <w:p>
      <w:pPr>
        <w:ind w:right="20" w:firstLine="543"/>
        <w:spacing w:after="0" w:line="270" w:lineRule="auto"/>
        <w:rPr>
          <w:sz w:val="20"/>
          <w:szCs w:val="20"/>
          <w:color w:val="auto"/>
        </w:rPr>
      </w:pPr>
      <w:r>
        <w:rPr>
          <w:rFonts w:ascii="Arial" w:cs="Arial" w:eastAsia="Arial" w:hAnsi="Arial"/>
          <w:sz w:val="17"/>
          <w:szCs w:val="17"/>
          <w:color w:val="auto"/>
        </w:rPr>
        <w:t>Per the terms of the Notes, a portion of the Notes was contingently convertible into cash if our stockholders did not approve an increase in the number of authorized shares of our common stock by July 1, 2016. In accordance with accounting guidance for debt with a conversion option, we separated the conversion option from the debt instrument and accounted for it separately as a derivative liability, due to the Notes initially being partially convertible to cash at the option of Baupost. We allocated the proceeds between the debt component and the embedded conversion option (the derivative) by performing a valuation of the derivative as of the transaction date, which was determined based on the difference between the fair value of the Notes with the conversion option and the fair value of the Notes without the conversion option. The fair value of the derivative liability was recognized as a debt discount and the initial carrying amount of the convertible notes represented the difference between the proceeds from the issuance of the Notes and the fair value of the derivative liability on the date of issuance. The excess of the principal amount of the debt component over its carrying amount (“debt discount”) was amortized to interest expense using the effective interest method over the expected life of the debt.</w:t>
      </w:r>
    </w:p>
    <w:p>
      <w:pPr>
        <w:spacing w:after="0" w:line="182" w:lineRule="exact"/>
        <w:rPr>
          <w:sz w:val="20"/>
          <w:szCs w:val="20"/>
          <w:color w:val="auto"/>
        </w:rPr>
      </w:pPr>
    </w:p>
    <w:p>
      <w:pPr>
        <w:ind w:right="20" w:firstLine="543"/>
        <w:spacing w:after="0" w:line="264" w:lineRule="auto"/>
        <w:rPr>
          <w:sz w:val="20"/>
          <w:szCs w:val="20"/>
          <w:color w:val="auto"/>
        </w:rPr>
      </w:pPr>
      <w:r>
        <w:rPr>
          <w:rFonts w:ascii="Arial" w:cs="Arial" w:eastAsia="Arial" w:hAnsi="Arial"/>
          <w:sz w:val="18"/>
          <w:szCs w:val="18"/>
          <w:color w:val="auto"/>
        </w:rPr>
        <w:t>We determined the expected life of the debt was equal to the period through July 1, 2016, as this represents the point at which a portion of the Notes was initially contingently convertible into cash. Accordingly, for the year ended December 31, 2016, $34.2 million of interest expense was recognized related to the Notes, all of which was attributable to the amortization of the debt discount.</w:t>
      </w:r>
    </w:p>
    <w:p>
      <w:pPr>
        <w:spacing w:after="0" w:line="181" w:lineRule="exact"/>
        <w:rPr>
          <w:sz w:val="20"/>
          <w:szCs w:val="20"/>
          <w:color w:val="auto"/>
        </w:rPr>
      </w:pPr>
    </w:p>
    <w:p>
      <w:pPr>
        <w:ind w:right="120" w:firstLine="543"/>
        <w:spacing w:after="0" w:line="270" w:lineRule="auto"/>
        <w:rPr>
          <w:sz w:val="20"/>
          <w:szCs w:val="20"/>
          <w:color w:val="auto"/>
        </w:rPr>
      </w:pPr>
      <w:r>
        <w:rPr>
          <w:rFonts w:ascii="Arial" w:cs="Arial" w:eastAsia="Arial" w:hAnsi="Arial"/>
          <w:sz w:val="17"/>
          <w:szCs w:val="17"/>
          <w:color w:val="auto"/>
        </w:rPr>
        <w:t>Following our 2016 Annual Meeting of Stockholders held on May 25, 2016, we filed a certificate of amendment to our certificate of incorporation with the Secretary of State of the State of Delaware to increase the number of authorized shares of our common stock to allow for the full conversion of the Notes into our common stock. On April 10, 2017, we entered into the First Supplemental Indenture, or the First Supplement, to the Indenture. Under the terms of the First Supplement, the Notes issued under the Indenture were not convertible by the holders thereof until on or after June 8, 2017, except in connection with a “fundamental change” as defined in the Indenture. After June 8, 2017, the Notes are convertible entirely into shares of our common stock or cash depending upon the number of shares of our common stock authorized at the time of such conversion. At our 2017 Annual Meeting of Stockholders held on June 8, 2017, our stockholders ratified the filing and effectiveness of the certificate of amendment filed in May 2016. In addition, at the meeting our stockholders also approved a separate amendment to our certificate of incorporation to increase the number of authorized shares of our common stock to 230,000,000 shares. As a result, the full amount of the Notes is convertible into shares of our common stock. The holders of the Notes may, at their option, convert the Notes until the maturity date thereof.</w:t>
      </w:r>
    </w:p>
    <w:p>
      <w:pPr>
        <w:spacing w:after="0" w:line="178" w:lineRule="exact"/>
        <w:rPr>
          <w:sz w:val="20"/>
          <w:szCs w:val="20"/>
          <w:color w:val="auto"/>
        </w:rPr>
      </w:pPr>
    </w:p>
    <w:p>
      <w:pPr>
        <w:ind w:right="20" w:firstLine="543"/>
        <w:spacing w:after="0" w:line="288" w:lineRule="auto"/>
        <w:rPr>
          <w:sz w:val="20"/>
          <w:szCs w:val="20"/>
          <w:color w:val="auto"/>
        </w:rPr>
      </w:pPr>
      <w:r>
        <w:rPr>
          <w:rFonts w:ascii="Arial" w:cs="Arial" w:eastAsia="Arial" w:hAnsi="Arial"/>
          <w:sz w:val="16"/>
          <w:szCs w:val="16"/>
          <w:color w:val="auto"/>
        </w:rPr>
        <w:t>In accordance with accounting guidance for debt modifications and exchanges, we assessed the terms of the First Supplement and determined that it resulted in a modification. During the three months ended June 30, 2017, we separated the conversion option from the debt instrument and accounted for it separately as a derivative liability, due to the Notes being contingently convertible to cash at the option of Baupost per the terms of the First Supplement. We allocated the proceeds between the debt component and the embedded conversion option (the derivative) by performing a valuation of the derivative as of the date of the First Supplement, which was determined based on the difference between the fair value of the Notes with the conversion option and the fair value of the Notes without the conversion option. The fair value of the derivative liability was recognized as a debt discount and the carrying amount of the convertible senior notes represented the difference between the principal amount of the Notes and the fair value of the derivative liability on the date of the First Supplement. The excess of the principal amount of the debt component over its carrying amount, or debt discount, was amortized to interest expense using the effective interest method over the expected life of the debt. We determined the expected life of the debt was equal to the period through June 8, 2017, as this represented the point at which the Notes was contingently convertible into cash.</w:t>
      </w:r>
    </w:p>
    <w:p>
      <w:pPr>
        <w:spacing w:after="0" w:line="169" w:lineRule="exact"/>
        <w:rPr>
          <w:sz w:val="20"/>
          <w:szCs w:val="20"/>
          <w:color w:val="auto"/>
        </w:rPr>
      </w:pPr>
    </w:p>
    <w:p>
      <w:pPr>
        <w:ind w:firstLine="543"/>
        <w:spacing w:after="0" w:line="264" w:lineRule="auto"/>
        <w:rPr>
          <w:sz w:val="20"/>
          <w:szCs w:val="20"/>
          <w:color w:val="auto"/>
        </w:rPr>
      </w:pPr>
      <w:r>
        <w:rPr>
          <w:rFonts w:ascii="Arial" w:cs="Arial" w:eastAsia="Arial" w:hAnsi="Arial"/>
          <w:sz w:val="18"/>
          <w:szCs w:val="18"/>
          <w:color w:val="auto"/>
        </w:rPr>
        <w:t>For the year ended December 31, 2017, $63.0 million of interest expense was recognized related to the Notes. As of December 31, 2017 and 2016, the balance of the Notes and the carrying value of the Notes was $125 million, and the fair value of the Notes was $155.4 million and $195.9 million,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color w:val="auto"/>
        </w:rPr>
        <w:t>NOTE 9 - STOCKHOLDERS’ (DEFICIT)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400" w:firstLine="543"/>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5,000,000 shares of preferred stock, $0.001 par value, with rights senior to those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543"/>
        <w:spacing w:after="0" w:line="259" w:lineRule="auto"/>
        <w:rPr>
          <w:sz w:val="20"/>
          <w:szCs w:val="20"/>
          <w:color w:val="auto"/>
        </w:rPr>
      </w:pPr>
      <w:r>
        <w:rPr>
          <w:rFonts w:ascii="Arial" w:cs="Arial" w:eastAsia="Arial" w:hAnsi="Arial"/>
          <w:sz w:val="18"/>
          <w:szCs w:val="18"/>
          <w:color w:val="auto"/>
        </w:rPr>
        <w:t>On January 21, 2015, we announced the pricing of an underwritten public offering in which we sold 10,541,667 shares of our common stock at a price of $12.00 per share for gross proceeds of approximately $126.5 million. Net proceeds from this offering were approximately $118.3 million, net of underwriting discounts and offering expenses of approximately $8.2 million. The shares were sold under Registration Statements (Nos. 333-201605 and 333-201639) on Form S-3 and Form S-3MEF, respectively, filed by us with the SEC.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in effect the following stock option and incentive plans.</w:t>
      </w:r>
    </w:p>
    <w:p>
      <w:pPr>
        <w:spacing w:after="0" w:line="225" w:lineRule="exact"/>
        <w:rPr>
          <w:sz w:val="20"/>
          <w:szCs w:val="20"/>
          <w:color w:val="auto"/>
        </w:rPr>
      </w:pPr>
    </w:p>
    <w:p>
      <w:pPr>
        <w:ind w:right="40" w:firstLine="543"/>
        <w:spacing w:after="0" w:line="255" w:lineRule="auto"/>
        <w:rPr>
          <w:sz w:val="20"/>
          <w:szCs w:val="20"/>
          <w:color w:val="auto"/>
        </w:rPr>
      </w:pPr>
      <w:r>
        <w:rPr>
          <w:rFonts w:ascii="Arial" w:cs="Arial" w:eastAsia="Arial" w:hAnsi="Arial"/>
          <w:sz w:val="18"/>
          <w:szCs w:val="18"/>
          <w:color w:val="auto"/>
        </w:rPr>
        <w:t>a. The 1999 Stock Option Plan was adopted in November 1999. Under the 1999 Stock Option Plan, our board of directors could grant stock-based awards to directors, consultants and employees. The plan authorizes grants to purchase up to 4,230,000 shares of authorized but unissued common stock. The plan limits the term of each option to no more than 10 years from the date of the grant. The plan permits the board of directors or a committee appointed by the board to administer the plan. The administrator has the authority, in its discretion, to determine the terms and conditions of any option granted to a service provider, including the vesting schedule. As of December 31, 2017, no additional shares of our common stock may be issued under the 1999 Stock Option Plan.</w:t>
      </w:r>
    </w:p>
    <w:p>
      <w:pPr>
        <w:spacing w:after="0" w:line="193" w:lineRule="exact"/>
        <w:rPr>
          <w:sz w:val="20"/>
          <w:szCs w:val="20"/>
          <w:color w:val="auto"/>
        </w:rPr>
      </w:pPr>
    </w:p>
    <w:p>
      <w:pPr>
        <w:ind w:right="100" w:firstLine="543"/>
        <w:spacing w:after="0" w:line="302" w:lineRule="auto"/>
        <w:rPr>
          <w:sz w:val="20"/>
          <w:szCs w:val="20"/>
          <w:color w:val="auto"/>
        </w:rPr>
      </w:pPr>
      <w:r>
        <w:rPr>
          <w:rFonts w:ascii="Arial" w:cs="Arial" w:eastAsia="Arial" w:hAnsi="Arial"/>
          <w:sz w:val="16"/>
          <w:szCs w:val="16"/>
          <w:color w:val="auto"/>
        </w:rPr>
        <w:t>b. The 2004 Long-Term Incentive Plan was adopted in June 2004 by our stockholders. Under the 2004 Long-Term Incentive Plan, the compensation committee of our board of directors is authorized to grant stock-based awards to directors, consultants and employees. The 2004 plan authorizes grants to purchase up to 4,000,000 shares of authorized but unissued common stock. The plan limits the term of each option to no more than 10 years from the date of grant. As of December 31, 2017, no additional shares of our common stock may be issued under the 2004 Long-Term Incentive Plan.</w:t>
      </w:r>
    </w:p>
    <w:p>
      <w:pPr>
        <w:spacing w:after="0" w:line="154" w:lineRule="exact"/>
        <w:rPr>
          <w:sz w:val="20"/>
          <w:szCs w:val="20"/>
          <w:color w:val="auto"/>
        </w:rPr>
      </w:pPr>
    </w:p>
    <w:p>
      <w:pPr>
        <w:ind w:right="100" w:firstLine="543"/>
        <w:spacing w:after="0" w:line="302" w:lineRule="auto"/>
        <w:rPr>
          <w:sz w:val="20"/>
          <w:szCs w:val="20"/>
          <w:color w:val="auto"/>
        </w:rPr>
      </w:pPr>
      <w:r>
        <w:rPr>
          <w:rFonts w:ascii="Arial" w:cs="Arial" w:eastAsia="Arial" w:hAnsi="Arial"/>
          <w:sz w:val="16"/>
          <w:szCs w:val="16"/>
          <w:color w:val="auto"/>
        </w:rPr>
        <w:t>c. The 2007 Incentive Plan was adopted in June 2007 by our stockholders. Under the 2007 Incentive Plan, the compensation committee of our board of directors is authorized to grant stock-based awards to directors, consultants, employees and officers. The 2007 Incentive Plan authorizes grants to purchase up to 6,000,000 shares of authorized but unissued common stock. The plan expires 10 years from adoption and limits the term of each option to no more than 10 years from the date of grant. As of December 31, 2017, up to an additional 45,754 shares may be issued under the 2007 Incentive Plan.</w:t>
      </w:r>
    </w:p>
    <w:p>
      <w:pPr>
        <w:spacing w:after="0" w:line="154" w:lineRule="exact"/>
        <w:rPr>
          <w:sz w:val="20"/>
          <w:szCs w:val="20"/>
          <w:color w:val="auto"/>
        </w:rPr>
      </w:pPr>
    </w:p>
    <w:p>
      <w:pPr>
        <w:ind w:right="200" w:firstLine="543"/>
        <w:spacing w:after="0" w:line="264" w:lineRule="auto"/>
        <w:rPr>
          <w:sz w:val="20"/>
          <w:szCs w:val="20"/>
          <w:color w:val="auto"/>
        </w:rPr>
      </w:pPr>
      <w:r>
        <w:rPr>
          <w:rFonts w:ascii="Arial" w:cs="Arial" w:eastAsia="Arial" w:hAnsi="Arial"/>
          <w:sz w:val="18"/>
          <w:szCs w:val="18"/>
          <w:color w:val="auto"/>
        </w:rPr>
        <w:t>d. The 2009 CEO Incentive Plan was adopted in May 2009. Under the 2009 CEO Incentive Plan, our board of directors granted an option to Ron Bentsur, our former Chief Executive Officer, to purchase up to 600,000 shares of authorized but unissued common stock. The option has a term of 10 years from the date of grant. During the year ended December 31, 2015, the option was exercised in full.</w:t>
      </w:r>
    </w:p>
    <w:p>
      <w:pPr>
        <w:spacing w:after="0" w:line="181" w:lineRule="exact"/>
        <w:rPr>
          <w:sz w:val="20"/>
          <w:szCs w:val="20"/>
          <w:color w:val="auto"/>
        </w:rPr>
      </w:pPr>
    </w:p>
    <w:p>
      <w:pPr>
        <w:ind w:right="60" w:firstLine="543"/>
        <w:spacing w:after="0" w:line="255" w:lineRule="auto"/>
        <w:rPr>
          <w:sz w:val="20"/>
          <w:szCs w:val="20"/>
          <w:color w:val="auto"/>
        </w:rPr>
      </w:pPr>
      <w:r>
        <w:rPr>
          <w:rFonts w:ascii="Arial" w:cs="Arial" w:eastAsia="Arial" w:hAnsi="Arial"/>
          <w:sz w:val="18"/>
          <w:szCs w:val="18"/>
          <w:color w:val="auto"/>
        </w:rPr>
        <w:t>e. The 2013 Incentive Plan was adopted in June 2013 by our stockholders at our 2013 Annual Meeting of Stockholders. The 2013 Incentive plan was amended by our stockholders at a special meeting of our stockholders in November 2014, which increased the number of authorized shares issuable thereunder from 3,500,000 to 9,500,000, and at our 2016 Annual Meeting of Stockholders held on May 25, 2016, which increased the number of authorized shares issuable thereunder from 9,500,000 to 18,000,000. Under the 2013 Incentive Plan, the Compensation Committee of the Company’s Board of Directors is authorized to grant stock-based awards to directors, officers, employees and consultants. The plan expires 10 years from adoption and limits the term of each option to no more than 10 years from the date of grant. As of December 31, 2017, up to an additional 1,980,669 shares may be issued under the 2013 Incentive Plan.</w:t>
      </w:r>
    </w:p>
    <w:p>
      <w:pPr>
        <w:spacing w:after="0" w:line="189" w:lineRule="exact"/>
        <w:rPr>
          <w:sz w:val="20"/>
          <w:szCs w:val="20"/>
          <w:color w:val="auto"/>
        </w:rPr>
      </w:pPr>
    </w:p>
    <w:p>
      <w:pPr>
        <w:ind w:right="100" w:firstLine="543"/>
        <w:spacing w:after="0" w:line="277" w:lineRule="auto"/>
        <w:rPr>
          <w:sz w:val="20"/>
          <w:szCs w:val="20"/>
          <w:color w:val="auto"/>
        </w:rPr>
      </w:pPr>
      <w:r>
        <w:rPr>
          <w:rFonts w:ascii="Arial" w:cs="Arial" w:eastAsia="Arial" w:hAnsi="Arial"/>
          <w:sz w:val="18"/>
          <w:szCs w:val="18"/>
          <w:color w:val="auto"/>
        </w:rPr>
        <w:t>Total shares available for the issuance of stock options or other stock-based awards under our stock option and incentive plans were 2,026,423 shares at December 31,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8"/>
          </w:tcPr>
          <w:p>
            <w:pPr>
              <w:ind w:left="560"/>
              <w:spacing w:after="0"/>
              <w:rPr>
                <w:sz w:val="20"/>
                <w:szCs w:val="20"/>
                <w:color w:val="auto"/>
              </w:rPr>
            </w:pPr>
            <w:r>
              <w:rPr>
                <w:rFonts w:ascii="Arial" w:cs="Arial" w:eastAsia="Arial" w:hAnsi="Arial"/>
                <w:sz w:val="18"/>
                <w:szCs w:val="18"/>
                <w:color w:val="auto"/>
              </w:rPr>
              <w:t>The following table summarizes stock option activity for all plans for the year ended December 31, 2017:</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4"/>
        </w:trPr>
        <w:tc>
          <w:tcPr>
            <w:tcW w:w="4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Weighted-</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average</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remaining</w:t>
            </w:r>
          </w:p>
        </w:tc>
        <w:tc>
          <w:tcPr>
            <w:tcW w:w="30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080" w:type="dxa"/>
            <w:vAlign w:val="bottom"/>
          </w:tcPr>
          <w:p>
            <w:pPr>
              <w:spacing w:after="0"/>
              <w:rPr>
                <w:sz w:val="18"/>
                <w:szCs w:val="18"/>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average</w:t>
            </w:r>
          </w:p>
        </w:tc>
        <w:tc>
          <w:tcPr>
            <w:tcW w:w="1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contractual</w:t>
            </w:r>
          </w:p>
        </w:tc>
        <w:tc>
          <w:tcPr>
            <w:tcW w:w="30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080" w:type="dxa"/>
            <w:vAlign w:val="bottom"/>
          </w:tcPr>
          <w:p>
            <w:pPr>
              <w:spacing w:after="0"/>
              <w:rPr>
                <w:sz w:val="20"/>
                <w:szCs w:val="20"/>
                <w:color w:val="auto"/>
              </w:rPr>
            </w:pPr>
          </w:p>
        </w:tc>
        <w:tc>
          <w:tcPr>
            <w:tcW w:w="1840" w:type="dxa"/>
            <w:vAlign w:val="bottom"/>
            <w:gridSpan w:val="2"/>
          </w:tcPr>
          <w:p>
            <w:pPr>
              <w:ind w:left="44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 price</w:t>
            </w:r>
          </w:p>
        </w:tc>
        <w:tc>
          <w:tcPr>
            <w:tcW w:w="1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term</w:t>
            </w:r>
          </w:p>
        </w:tc>
        <w:tc>
          <w:tcPr>
            <w:tcW w:w="300" w:type="dxa"/>
            <w:vAlign w:val="bottom"/>
          </w:tcPr>
          <w:p>
            <w:pPr>
              <w:spacing w:after="0"/>
              <w:rPr>
                <w:sz w:val="20"/>
                <w:szCs w:val="20"/>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Value</w:t>
            </w:r>
          </w:p>
        </w:tc>
      </w:tr>
      <w:tr>
        <w:trPr>
          <w:trHeight w:val="237"/>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8,677,998</w:t>
            </w: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7.28</w:t>
            </w:r>
          </w:p>
        </w:tc>
        <w:tc>
          <w:tcPr>
            <w:tcW w:w="26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8.12</w:t>
            </w:r>
          </w:p>
        </w:tc>
        <w:tc>
          <w:tcPr>
            <w:tcW w:w="2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8,840,412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4,669,150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(383,575 )</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1,767,281</w:t>
            </w: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Expired</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(995,758 )</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57"/>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11,967,815</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6.73</w:t>
            </w: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2,395,566</w:t>
            </w:r>
          </w:p>
        </w:tc>
      </w:tr>
      <w:tr>
        <w:trPr>
          <w:trHeight w:val="264"/>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Vested and expected to vest at December 31, 2017</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7,963,262</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7.42</w:t>
            </w:r>
          </w:p>
        </w:tc>
        <w:tc>
          <w:tcPr>
            <w:tcW w:w="26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7.61</w:t>
            </w:r>
          </w:p>
        </w:tc>
        <w:tc>
          <w:tcPr>
            <w:tcW w:w="2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2,303,825</w:t>
            </w: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December 31, 2017</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4,816,619</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8.61</w:t>
            </w: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6.80</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1,678,842</w:t>
            </w:r>
          </w:p>
        </w:tc>
      </w:tr>
    </w:tbl>
    <w:p>
      <w:pPr>
        <w:spacing w:after="0" w:line="202" w:lineRule="exact"/>
        <w:rPr>
          <w:sz w:val="20"/>
          <w:szCs w:val="20"/>
          <w:color w:val="auto"/>
        </w:rPr>
      </w:pPr>
    </w:p>
    <w:p>
      <w:pPr>
        <w:ind w:right="260" w:firstLine="543"/>
        <w:spacing w:after="0" w:line="264" w:lineRule="auto"/>
        <w:rPr>
          <w:sz w:val="20"/>
          <w:szCs w:val="20"/>
          <w:color w:val="auto"/>
        </w:rPr>
      </w:pPr>
      <w:r>
        <w:rPr>
          <w:rFonts w:ascii="Arial" w:cs="Arial" w:eastAsia="Arial" w:hAnsi="Arial"/>
          <w:sz w:val="18"/>
          <w:szCs w:val="18"/>
          <w:color w:val="auto"/>
        </w:rPr>
        <w:t>The weighted-average grant-date fair value of stock options granted during 2017, 2016 and 2015 was $3.91, $3.47, and $8.47, respectively. The aggregate intrinsic value of options exercised during 2017, 2016 and 2015, measured as of the exercise date, was approximately $1.8 million, $0.2 million, and $8.6 million, respectively.</w:t>
      </w:r>
    </w:p>
    <w:p>
      <w:pPr>
        <w:spacing w:after="0" w:line="181" w:lineRule="exact"/>
        <w:rPr>
          <w:sz w:val="20"/>
          <w:szCs w:val="20"/>
          <w:color w:val="auto"/>
        </w:rPr>
      </w:pPr>
    </w:p>
    <w:p>
      <w:pPr>
        <w:ind w:right="160" w:firstLine="543"/>
        <w:spacing w:after="0" w:line="277" w:lineRule="auto"/>
        <w:rPr>
          <w:sz w:val="20"/>
          <w:szCs w:val="20"/>
          <w:color w:val="auto"/>
        </w:rPr>
      </w:pPr>
      <w:r>
        <w:rPr>
          <w:rFonts w:ascii="Arial" w:cs="Arial" w:eastAsia="Arial" w:hAnsi="Arial"/>
          <w:sz w:val="18"/>
          <w:szCs w:val="18"/>
          <w:color w:val="auto"/>
        </w:rPr>
        <w:t>Upon the exercise of stock options, we issue new shares of our common stock. As of December 31, 2017, 3,753,750 options issued to employees are unvested, milestone-based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117" w:lineRule="exact"/>
        <w:rPr>
          <w:sz w:val="20"/>
          <w:szCs w:val="20"/>
          <w:color w:val="auto"/>
        </w:rPr>
      </w:pPr>
    </w:p>
    <w:p>
      <w:pPr>
        <w:ind w:right="260" w:firstLine="543"/>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stock under our equity incentive plans. The time-vesting restricted stock grants vest primarily over a period of three to four years. The following table summarizes restricted stock activity for the year ended December 31,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Weighted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Average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36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tcPr>
          <w:p>
            <w:pPr>
              <w:jc w:val="center"/>
              <w:ind w:left="410"/>
              <w:spacing w:after="0"/>
              <w:rPr>
                <w:sz w:val="20"/>
                <w:szCs w:val="20"/>
                <w:color w:val="auto"/>
              </w:rPr>
            </w:pPr>
            <w:r>
              <w:rPr>
                <w:rFonts w:ascii="Arial" w:cs="Arial" w:eastAsia="Arial" w:hAnsi="Arial"/>
                <w:sz w:val="18"/>
                <w:szCs w:val="18"/>
                <w:b w:val="1"/>
                <w:bCs w:val="1"/>
                <w:color w:val="auto"/>
                <w:w w:val="95"/>
              </w:rPr>
              <w:t>Grant Date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60" w:type="dxa"/>
            <w:vAlign w:val="bottom"/>
          </w:tcPr>
          <w:p>
            <w:pPr>
              <w:spacing w:after="0"/>
              <w:rPr>
                <w:sz w:val="20"/>
                <w:szCs w:val="20"/>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6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Fair Value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Value</w:t>
            </w:r>
          </w:p>
        </w:tc>
      </w:tr>
      <w:tr>
        <w:trPr>
          <w:trHeight w:val="237"/>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1,524,884</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8,935,820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1,231,825</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w w:val="96"/>
              </w:rPr>
              <w:t>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(671,090 )</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6.49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4,157,589</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Retired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(201,322 )</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7.04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1,884,297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8,761,981</w:t>
            </w:r>
          </w:p>
        </w:tc>
      </w:tr>
    </w:tbl>
    <w:p>
      <w:pPr>
        <w:spacing w:after="0" w:line="161" w:lineRule="exact"/>
        <w:rPr>
          <w:sz w:val="20"/>
          <w:szCs w:val="20"/>
          <w:color w:val="auto"/>
        </w:rPr>
      </w:pPr>
    </w:p>
    <w:p>
      <w:pPr>
        <w:jc w:val="both"/>
        <w:ind w:firstLine="543"/>
        <w:spacing w:after="0" w:line="308" w:lineRule="auto"/>
        <w:rPr>
          <w:sz w:val="20"/>
          <w:szCs w:val="20"/>
          <w:color w:val="auto"/>
        </w:rPr>
      </w:pPr>
      <w:r>
        <w:rPr>
          <w:rFonts w:ascii="Arial" w:cs="Arial" w:eastAsia="Arial" w:hAnsi="Arial"/>
          <w:sz w:val="17"/>
          <w:szCs w:val="17"/>
          <w:color w:val="auto"/>
        </w:rPr>
        <w:t>The weighted-average grant-date fair value of restricted stock granted during 2017, 2016 and 2015 was $5.71, $3.86, and $4.76, respectively. The total fair value of restricted stock that vested during 2017, 2016 and 2015 was $4.2 million, $2.4 million and $4.7 million, respectively.</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2017, 310,000 shares of restricted stock issued to employees are unvested, milestone-based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stock-based compensation expense information about equity incentive grants for the years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and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5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For the years ended December 31,</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jc w:val="right"/>
              <w:ind w:right="690"/>
              <w:spacing w:after="0" w:line="170"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70"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right"/>
              <w:ind w:right="670"/>
              <w:spacing w:after="0" w:line="170"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15,639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11,177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18,272</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13,989</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5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For the years ended December 31,</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jc w:val="right"/>
              <w:ind w:right="690"/>
              <w:spacing w:after="0" w:line="170"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70"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right"/>
              <w:ind w:right="670"/>
              <w:spacing w:after="0" w:line="170"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Stock-based compensation expense associated with restricted stock</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Stock-based compensation expense associated with stock options</w:t>
            </w:r>
          </w:p>
        </w:tc>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12,534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9,830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Stock-based compensation costs capitalized as part of inventory were immaterial for the years ended December 31, 2017, 2016 and 2015.</w:t>
      </w:r>
    </w:p>
    <w:p>
      <w:pPr>
        <w:spacing w:after="0" w:line="237" w:lineRule="exact"/>
        <w:rPr>
          <w:sz w:val="20"/>
          <w:szCs w:val="20"/>
          <w:color w:val="auto"/>
        </w:rPr>
      </w:pPr>
    </w:p>
    <w:p>
      <w:pPr>
        <w:ind w:right="80" w:firstLine="543"/>
        <w:spacing w:after="0" w:line="302" w:lineRule="auto"/>
        <w:rPr>
          <w:sz w:val="20"/>
          <w:szCs w:val="20"/>
          <w:color w:val="auto"/>
        </w:rPr>
      </w:pPr>
      <w:r>
        <w:rPr>
          <w:rFonts w:ascii="Arial" w:cs="Arial" w:eastAsia="Arial" w:hAnsi="Arial"/>
          <w:sz w:val="16"/>
          <w:szCs w:val="16"/>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800"/>
              <w:spacing w:after="0"/>
              <w:rPr>
                <w:sz w:val="20"/>
                <w:szCs w:val="20"/>
                <w:color w:val="auto"/>
              </w:rPr>
            </w:pPr>
            <w:r>
              <w:rPr>
                <w:rFonts w:ascii="Arial" w:cs="Arial" w:eastAsia="Arial" w:hAnsi="Arial"/>
                <w:sz w:val="18"/>
                <w:szCs w:val="18"/>
                <w:b w:val="1"/>
                <w:bCs w:val="1"/>
                <w:color w:val="auto"/>
              </w:rPr>
              <w:t>Black-Scholes Option Valuation Assumptions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1.5 %</w:t>
            </w:r>
          </w:p>
        </w:tc>
        <w:tc>
          <w:tcPr>
            <w:tcW w:w="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7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84.1 %</w:t>
            </w: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81.4 %</w:t>
            </w: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89.2 %</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Weighted-average expected term</w:t>
            </w:r>
          </w:p>
        </w:tc>
        <w:tc>
          <w:tcPr>
            <w:tcW w:w="110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6.0 years</w:t>
            </w:r>
          </w:p>
        </w:tc>
        <w:tc>
          <w:tcPr>
            <w:tcW w:w="1780" w:type="dxa"/>
            <w:vAlign w:val="bottom"/>
          </w:tcPr>
          <w:p>
            <w:pPr>
              <w:jc w:val="center"/>
              <w:ind w:left="590"/>
              <w:spacing w:after="0"/>
              <w:rPr>
                <w:sz w:val="20"/>
                <w:szCs w:val="20"/>
                <w:color w:val="auto"/>
              </w:rPr>
            </w:pPr>
            <w:r>
              <w:rPr>
                <w:rFonts w:ascii="Arial" w:cs="Arial" w:eastAsia="Arial" w:hAnsi="Arial"/>
                <w:sz w:val="18"/>
                <w:szCs w:val="18"/>
                <w:color w:val="auto"/>
                <w:w w:val="89"/>
              </w:rPr>
              <w:t>6.0 years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6.0 years</w:t>
            </w:r>
          </w:p>
        </w:tc>
      </w:tr>
    </w:tbl>
    <w:p>
      <w:pPr>
        <w:spacing w:after="0" w:line="187" w:lineRule="exact"/>
        <w:rPr>
          <w:sz w:val="20"/>
          <w:szCs w:val="20"/>
          <w:color w:val="auto"/>
        </w:rPr>
      </w:pPr>
    </w:p>
    <w:p>
      <w:pPr>
        <w:ind w:right="80" w:firstLine="543"/>
        <w:spacing w:after="0" w:line="257" w:lineRule="auto"/>
        <w:rPr>
          <w:sz w:val="20"/>
          <w:szCs w:val="20"/>
          <w:color w:val="auto"/>
        </w:rPr>
      </w:pPr>
      <w:r>
        <w:rPr>
          <w:rFonts w:ascii="Arial" w:cs="Arial" w:eastAsia="Arial" w:hAnsi="Arial"/>
          <w:sz w:val="18"/>
          <w:szCs w:val="18"/>
          <w:color w:val="auto"/>
        </w:rPr>
        <w:t>We used historical information to estimate forfeitures within the valuation model. As of December 31, 2017, there was $9.0 million and $5.5 million of total unrecognized compensation cost related to non-vested stock options and restricted stock, respectively, which is expected to be recognized over weighted-average periods of 1.9 years and 1.6 years, respectively. These amounts do not include, as of December 31, 2017, 3,753,750 options outstanding and 310,000 shares of restricted stock outstanding which are milestone-based and vest upon certain corporate milestones. Stock-based compensation will be measured and recorded if and when it is probable that the milestone will occur.</w:t>
      </w:r>
    </w:p>
    <w:p>
      <w:pPr>
        <w:spacing w:after="0" w:line="188" w:lineRule="exact"/>
        <w:rPr>
          <w:sz w:val="20"/>
          <w:szCs w:val="20"/>
          <w:color w:val="auto"/>
        </w:rPr>
      </w:pPr>
    </w:p>
    <w:p>
      <w:pPr>
        <w:ind w:right="100" w:firstLine="543"/>
        <w:spacing w:after="0" w:line="277" w:lineRule="auto"/>
        <w:rPr>
          <w:sz w:val="20"/>
          <w:szCs w:val="20"/>
          <w:color w:val="auto"/>
        </w:rPr>
      </w:pPr>
      <w:r>
        <w:rPr>
          <w:rFonts w:ascii="Arial" w:cs="Arial" w:eastAsia="Arial" w:hAnsi="Arial"/>
          <w:sz w:val="18"/>
          <w:szCs w:val="18"/>
          <w:color w:val="auto"/>
        </w:rPr>
        <w:t>During the year ended December 31, 2017, we recognized $4.6 million of stock-based compensation expense related to milestone-based awards which vested in connection with certain corporate milestones.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Agreement</w:t>
      </w:r>
    </w:p>
    <w:p>
      <w:pPr>
        <w:spacing w:after="0" w:line="117" w:lineRule="exact"/>
        <w:rPr>
          <w:sz w:val="20"/>
          <w:szCs w:val="20"/>
          <w:color w:val="auto"/>
        </w:rPr>
      </w:pPr>
    </w:p>
    <w:p>
      <w:pPr>
        <w:ind w:right="300" w:firstLine="543"/>
        <w:spacing w:after="0" w:line="264" w:lineRule="auto"/>
        <w:rPr>
          <w:sz w:val="20"/>
          <w:szCs w:val="20"/>
          <w:color w:val="auto"/>
        </w:rPr>
      </w:pPr>
      <w:r>
        <w:rPr>
          <w:rFonts w:ascii="Arial" w:cs="Arial" w:eastAsia="Arial" w:hAnsi="Arial"/>
          <w:sz w:val="18"/>
          <w:szCs w:val="18"/>
          <w:color w:val="auto"/>
        </w:rPr>
        <w:t>On November 9, 2016, we entered into a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or the Sales Agreement, with Cantor Fitzgerald &amp; Co., as sales agent, or Cantor Fitzgerald, pursuant to which we were initially able to offer and sell, from time to time, through Cantor Fitzgerald, shares of our common stock having an aggregate offering price of up to $75.0 million.</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449" w:right="159" w:bottom="1440" w:gutter="0" w:footer="0" w:header="0"/>
        </w:sectPr>
      </w:pPr>
    </w:p>
    <w:bookmarkStart w:id="308" w:name="page309"/>
    <w:bookmarkEnd w:id="308"/>
    <w:p>
      <w:pPr>
        <w:ind w:right="20" w:firstLine="543"/>
        <w:spacing w:after="0" w:line="290" w:lineRule="auto"/>
        <w:rPr>
          <w:sz w:val="20"/>
          <w:szCs w:val="20"/>
          <w:color w:val="auto"/>
        </w:rPr>
      </w:pPr>
      <w:r>
        <w:rPr>
          <w:rFonts w:ascii="Arial" w:cs="Arial" w:eastAsia="Arial" w:hAnsi="Arial"/>
          <w:sz w:val="16"/>
          <w:szCs w:val="16"/>
          <w:color w:val="auto"/>
        </w:rPr>
        <w:t>We are not obligated to sell any shares under the Sales Agreement. Subject to the terms and conditions of the Sales Agreement, Cantor Fitzgerald will use commercially reasonable efforts consistent with its normal trading and sales practices, applicable state and federal law, rules and regulations and the rules of the Nasdaq Capital Market to sell shares from time to time based upon our instructions, including any price, time or size limits specified by us. Under the Sales Agreement, Cantor Fitzgerald may sell shares by any method deemed to be an “at the market offering” as defined in Rule 415(a)(4) under the Securities Act. Cantor Fitzgerald’s obligations to sell shares under the Sales Agreement are subject to satisfaction of certain conditions. We will pay Cantor Fitzgerald a commission of up to 3.0% of the aggregate gross proceeds from each sale of shares and have agreed to provide Cantor Fitzgerald with customary indemnification and contribution rights. We have also agreed to reimburse Cantor Fitzgerald for the reasonable and documented fees and expenses of its outside legal counsel, not to exceed $50,000 in the aggregate, in connection with entering into the Sales Agreement.</w:t>
      </w:r>
    </w:p>
    <w:p>
      <w:pPr>
        <w:spacing w:after="0" w:line="166" w:lineRule="exact"/>
        <w:rPr>
          <w:sz w:val="20"/>
          <w:szCs w:val="20"/>
          <w:color w:val="auto"/>
        </w:rPr>
      </w:pPr>
    </w:p>
    <w:p>
      <w:pPr>
        <w:ind w:right="40" w:firstLine="543"/>
        <w:spacing w:after="0" w:line="289" w:lineRule="auto"/>
        <w:rPr>
          <w:sz w:val="20"/>
          <w:szCs w:val="20"/>
          <w:color w:val="auto"/>
        </w:rPr>
      </w:pPr>
      <w:r>
        <w:rPr>
          <w:rFonts w:ascii="Arial" w:cs="Arial" w:eastAsia="Arial" w:hAnsi="Arial"/>
          <w:sz w:val="16"/>
          <w:szCs w:val="16"/>
          <w:color w:val="auto"/>
        </w:rPr>
        <w:t>We filed a registration statement on Form S-3 (No. 333-214513) which was declared effective by the SEC on December 6, 2016, which included a prospectus covering the sale of the $75.0 million shares which could be sold by Cantor Fitzgerald under the Sales Agreement. In July 2017, we filed a new prospectus supplement with the SEC relating to the Sales Agreement under which we may offer and sell, from time to time, through Cantor Fitzgerald, shares of our common stock having an additional aggregate offering price of up to $75.0 million. During the year ended December 31, 2017, we sold 11,937,174 shares under the Sales Agreement for aggregate net proceeds of $75.7 million, which included all of the initial $75.0 million shares issuable pursuant to the Sales Agreement. As of the date hereof, we may sell up to an additional $72.4 million under the Sales Agreement pursuant to the July 2017 prospectus supplement. The initial $75.0 million of common stock issued pursuant to the Sales Agreement and the additional $75.0 million of common stock issuable pursuant to the Sales Agreement are included as part of the $250 million of our securities we registered on the registration statement on Form S-3 (No. 333-214513) we filed in November 2016, which the SEC declared effective on December 6, 2016.</w:t>
      </w:r>
    </w:p>
    <w:p>
      <w:pPr>
        <w:spacing w:after="0" w:line="167" w:lineRule="exact"/>
        <w:rPr>
          <w:sz w:val="20"/>
          <w:szCs w:val="20"/>
          <w:color w:val="auto"/>
        </w:rPr>
      </w:pPr>
    </w:p>
    <w:p>
      <w:pPr>
        <w:ind w:right="40" w:firstLine="543"/>
        <w:spacing w:after="0" w:line="277" w:lineRule="auto"/>
        <w:rPr>
          <w:sz w:val="20"/>
          <w:szCs w:val="20"/>
          <w:color w:val="auto"/>
        </w:rPr>
      </w:pPr>
      <w:r>
        <w:rPr>
          <w:rFonts w:ascii="Arial" w:cs="Arial" w:eastAsia="Arial" w:hAnsi="Arial"/>
          <w:sz w:val="18"/>
          <w:szCs w:val="18"/>
          <w:color w:val="auto"/>
        </w:rPr>
        <w:t>The offering of shares of our common stock pursuant to the Sales Agreement will terminate upon the termination of the Sales Agreement as permitted therein. We and Cantor Fitzgerald may each terminate the Sales Agreement at any time upon ten days’ prior notice.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LICENSE AGREEMENTS</w:t>
      </w:r>
    </w:p>
    <w:p>
      <w:pPr>
        <w:spacing w:after="0" w:line="121" w:lineRule="exact"/>
        <w:rPr>
          <w:sz w:val="20"/>
          <w:szCs w:val="20"/>
          <w:color w:val="auto"/>
        </w:rPr>
      </w:pPr>
    </w:p>
    <w:p>
      <w:pPr>
        <w:ind w:right="20" w:firstLine="543"/>
        <w:spacing w:after="0" w:line="259" w:lineRule="auto"/>
        <w:rPr>
          <w:sz w:val="20"/>
          <w:szCs w:val="20"/>
          <w:color w:val="auto"/>
        </w:rPr>
      </w:pPr>
      <w:r>
        <w:rPr>
          <w:rFonts w:ascii="Arial" w:cs="Arial" w:eastAsia="Arial" w:hAnsi="Arial"/>
          <w:sz w:val="18"/>
          <w:szCs w:val="18"/>
          <w:color w:val="auto"/>
        </w:rPr>
        <w:t>In November 2005, we entered into a license agreement with Panion &amp; BF Biotech, Inc. (“Panion”). Under the license agreement, we acquired the exclusive worldwide rights, excluding certain Asian-Pacific countries, for the development and marketing of ferric citrate. To date, we have paid an aggregate of $11.6 million of milestone payments to Panion, including $2.0 million paid upon European marketing approval in 2015. In addition, Panion is eligible to receive royalty payments based on a mid-single digit percentage of net sales of ferric citrate.</w:t>
      </w:r>
    </w:p>
    <w:p>
      <w:pPr>
        <w:spacing w:after="0" w:line="187" w:lineRule="exact"/>
        <w:rPr>
          <w:sz w:val="20"/>
          <w:szCs w:val="20"/>
          <w:color w:val="auto"/>
        </w:rPr>
      </w:pPr>
    </w:p>
    <w:p>
      <w:pPr>
        <w:ind w:firstLine="543"/>
        <w:spacing w:after="0" w:line="257" w:lineRule="auto"/>
        <w:rPr>
          <w:sz w:val="20"/>
          <w:szCs w:val="20"/>
          <w:color w:val="auto"/>
        </w:rPr>
      </w:pPr>
      <w:r>
        <w:rPr>
          <w:rFonts w:ascii="Arial" w:cs="Arial" w:eastAsia="Arial" w:hAnsi="Arial"/>
          <w:sz w:val="18"/>
          <w:szCs w:val="18"/>
          <w:color w:val="auto"/>
        </w:rPr>
        <w:t>In September 2007, we entered into a Sublicense Agreement with JT and Torii, under which JT and Torii obtained the exclusive sublicense rights for the development and commercialization of ferric citrate in Japan, which is being marketed in the United States under the trade name Auryxia. JT and Torii are responsible for the future development and commercialization costs in Japan. Effective as of June 8, 2009, we entered into an Amended and Restated Sublicense Agreement with JT and Torii, which, among other things, provided for the elimination of all significant on-going obligations under the sublicense agreement.</w:t>
      </w:r>
    </w:p>
    <w:p>
      <w:pPr>
        <w:spacing w:after="0" w:line="188" w:lineRule="exact"/>
        <w:rPr>
          <w:sz w:val="20"/>
          <w:szCs w:val="20"/>
          <w:color w:val="auto"/>
        </w:rPr>
      </w:pPr>
    </w:p>
    <w:p>
      <w:pPr>
        <w:ind w:firstLine="543"/>
        <w:spacing w:after="0" w:line="277" w:lineRule="auto"/>
        <w:rPr>
          <w:sz w:val="20"/>
          <w:szCs w:val="20"/>
          <w:color w:val="auto"/>
        </w:rPr>
      </w:pPr>
      <w:r>
        <w:rPr>
          <w:rFonts w:ascii="Arial" w:cs="Arial" w:eastAsia="Arial" w:hAnsi="Arial"/>
          <w:sz w:val="18"/>
          <w:szCs w:val="18"/>
          <w:color w:val="auto"/>
        </w:rPr>
        <w:t>In January 2013, JT and Torii filed its new drug application with the Japanese Ministry of Health, Labour and Welfare for marketing approval of ferric citrate in Japan for the treatment of hyperphosphatemia in patients with CKD.</w:t>
      </w:r>
    </w:p>
    <w:p>
      <w:pPr>
        <w:spacing w:after="0" w:line="170" w:lineRule="exact"/>
        <w:rPr>
          <w:sz w:val="20"/>
          <w:szCs w:val="20"/>
          <w:color w:val="auto"/>
        </w:rPr>
      </w:pPr>
    </w:p>
    <w:p>
      <w:pPr>
        <w:ind w:right="40" w:firstLine="543"/>
        <w:spacing w:after="0" w:line="268" w:lineRule="auto"/>
        <w:rPr>
          <w:sz w:val="20"/>
          <w:szCs w:val="20"/>
          <w:color w:val="auto"/>
        </w:rPr>
      </w:pPr>
      <w:r>
        <w:rPr>
          <w:rFonts w:ascii="Arial" w:cs="Arial" w:eastAsia="Arial" w:hAnsi="Arial"/>
          <w:sz w:val="17"/>
          <w:szCs w:val="17"/>
          <w:color w:val="auto"/>
        </w:rPr>
        <w:t>In January 2014, JT and Torii received manufacturing and marketing approval of ferric citrate from the Japanese Ministry of Health, Labour and Welfare. Ferric citrate, launched in May 2014 and being marketed in Japan by JT’s subsidiary, Torii Pharmaceutical Co., Ltd., under the brand name Riona, is indicated as an oral treatment for the improvement of hyperphosphatemia in patients with CKD. Under the terms of the license agreement with JT and Torii, we received a non-refundable payment of $10.0 million in February 2014 for the achievement of the marketing approval milestone. As a result, we recorded license revenue of $10.0 million in accordance with our revenue recognition policy, which is included in the year ended December 31, 2014. We also receive royalty payments based on a tiered double-digit percentage of net sales of Riona in Japan escalating up to the mid-teens, as well as up to an additional $55.0 million upon the achievement of certain annual net sales milestones. In accordance with our revenue recognition policy, royalty revenues are recognized in the quarter that JT and Torii provide their written report and related information to us regarding sales of Riona, which generally will be one quarter following the quarter in which the underlying sales by JT and Torii occurred. For the years ended December 31, 2017 and 2016, we recorded $5.1 million and $4.8 million, respectively, in license revenue related to royalties earned on net sales of Riona in Japan. We record the associated mid-single digit percentage of net sales royalty expense due Panion, the licensor of ferric citrate, in the same period as the royalty revenue from JT and Torii is recorded. For the years ended December 31, 2017 and 2016, we recorded $3.1 million and $2.9 million, respectively, in license expense related to royalties due to the licensor of ferric citrate relating to sales of Riona in Japan.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right="100" w:firstLine="543"/>
        <w:spacing w:after="0" w:line="259" w:lineRule="auto"/>
        <w:rPr>
          <w:sz w:val="20"/>
          <w:szCs w:val="20"/>
          <w:color w:val="auto"/>
        </w:rPr>
      </w:pPr>
      <w:r>
        <w:rPr>
          <w:rFonts w:ascii="Arial" w:cs="Arial" w:eastAsia="Arial" w:hAnsi="Arial"/>
          <w:sz w:val="18"/>
          <w:szCs w:val="18"/>
          <w:color w:val="auto"/>
        </w:rPr>
        <w:t>In December 2017, H.R.1, known as the Tax Cuts and Jobs Act, was signed into law. The Tax Cuts and Jobs Act, among other items, reduces the corporate income tax rate from 35% to 21%, effective January 1, 2018. As such, the Company has completed a revaluation of the Company's net deferred tax assets. The Company's deferred tax assets, net of deferred tax liabilities, represent expected corporate tax benefits anticipated to be realized in the future. The reduction in the federal corporate tax rate reduces these benefits.</w:t>
      </w:r>
    </w:p>
    <w:p>
      <w:pPr>
        <w:spacing w:after="0" w:line="187" w:lineRule="exact"/>
        <w:rPr>
          <w:sz w:val="20"/>
          <w:szCs w:val="20"/>
          <w:color w:val="auto"/>
        </w:rPr>
      </w:pPr>
    </w:p>
    <w:p>
      <w:pPr>
        <w:ind w:right="100" w:firstLine="543"/>
        <w:spacing w:after="0" w:line="264" w:lineRule="auto"/>
        <w:rPr>
          <w:sz w:val="20"/>
          <w:szCs w:val="20"/>
          <w:color w:val="auto"/>
        </w:rPr>
      </w:pPr>
      <w:r>
        <w:rPr>
          <w:rFonts w:ascii="Arial" w:cs="Arial" w:eastAsia="Arial" w:hAnsi="Arial"/>
          <w:sz w:val="18"/>
          <w:szCs w:val="18"/>
          <w:color w:val="auto"/>
        </w:rPr>
        <w:t>The Company has evaluated the impact of the Tax Cuts and Jobs Act and has determined that this results in a reduction in the Company's deferred tax asset of $111.7 million in the fourth quarter of 2017. However, our lack of earnings history and the uncertainty surrounding our ability to generate taxable income prior to the utilization of the deferred tax assets is offset in full by a valuation allowance.</w:t>
      </w:r>
    </w:p>
    <w:p>
      <w:pPr>
        <w:spacing w:after="0" w:line="181" w:lineRule="exact"/>
        <w:rPr>
          <w:sz w:val="20"/>
          <w:szCs w:val="20"/>
          <w:color w:val="auto"/>
        </w:rPr>
      </w:pPr>
    </w:p>
    <w:p>
      <w:pPr>
        <w:ind w:right="80" w:firstLine="543"/>
        <w:spacing w:after="0" w:line="291"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full valuation allowance is established. The valuation allowance for deferred tax assets was $216.0 million and $289.7 million as of December 31, 2017 and 2016, respectively, a decrease of $73.7 million.</w:t>
      </w:r>
    </w:p>
    <w:p>
      <w:pPr>
        <w:spacing w:after="0" w:line="167" w:lineRule="exact"/>
        <w:rPr>
          <w:sz w:val="20"/>
          <w:szCs w:val="20"/>
          <w:color w:val="auto"/>
        </w:rPr>
      </w:pPr>
    </w:p>
    <w:p>
      <w:pPr>
        <w:ind w:right="220" w:firstLine="543"/>
        <w:spacing w:after="0" w:line="259" w:lineRule="auto"/>
        <w:rPr>
          <w:sz w:val="20"/>
          <w:szCs w:val="20"/>
          <w:color w:val="auto"/>
        </w:rPr>
      </w:pPr>
      <w:r>
        <w:rPr>
          <w:rFonts w:ascii="Arial" w:cs="Arial" w:eastAsia="Arial" w:hAnsi="Arial"/>
          <w:sz w:val="18"/>
          <w:szCs w:val="18"/>
          <w:color w:val="auto"/>
        </w:rPr>
        <w:t>As of December 31, 2017, we have U.S. net operating loss (“NOL”) carryforwards of approximately $812.2 million. For income tax purposes, these NOLs will expire in the years 2019 through 2037. Due to our various equity transactions, the utilization of certain NOLs could be subject to annual limitations imposed by Internal Revenue Code Section 382 relating to the change of control provision and/or the separate return limitation year losses limitation.</w:t>
      </w:r>
    </w:p>
    <w:p>
      <w:pPr>
        <w:spacing w:after="0" w:line="187" w:lineRule="exact"/>
        <w:rPr>
          <w:sz w:val="20"/>
          <w:szCs w:val="20"/>
          <w:color w:val="auto"/>
        </w:rPr>
      </w:pPr>
    </w:p>
    <w:p>
      <w:pPr>
        <w:ind w:right="120" w:firstLine="543"/>
        <w:spacing w:after="0" w:line="272" w:lineRule="auto"/>
        <w:rPr>
          <w:sz w:val="20"/>
          <w:szCs w:val="20"/>
          <w:color w:val="auto"/>
        </w:rPr>
      </w:pPr>
      <w:r>
        <w:rPr>
          <w:rFonts w:ascii="Arial" w:cs="Arial" w:eastAsia="Arial" w:hAnsi="Arial"/>
          <w:sz w:val="17"/>
          <w:szCs w:val="17"/>
          <w:color w:val="auto"/>
        </w:rPr>
        <w:t>For the years ended December 31, 2017, 2016 and 2015, we recognized $(0.2) million, $0.1 million and $0.1 million, respectively, in income tax (benefit) expense related to the recording of a deferred tax liability associated with capitalized goodwill, an indefinite-lived intangible asset that is being amortized for tax purposes. Indefinite-lived intangibles are non-monetary assets which are not amortized under GAAP since there is no foreseeable limit to the cash flows provided by them. Our lack of earnings history and the uncertainty surrounding our ability to generate taxable income prior to the reversal or expiration of such deferred tax liability were the primary factors considered by management when recording the valuation allowance against our deferred tax assets. However, with the reduction of the corporate income tax rate from 35% to 21%, effective January 1, 2018, the deferred tax liability associated with capitalized goodwill was reduced by $0.3 million generating current year income of $0.3 million.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The income tax provision consists of the following:</w:t>
            </w: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10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c>
          <w:tcPr>
            <w:tcW w:w="20" w:type="dxa"/>
            <w:vAlign w:val="bottom"/>
          </w:tcPr>
          <w:p>
            <w:pPr>
              <w:spacing w:after="0"/>
              <w:rPr>
                <w:sz w:val="24"/>
                <w:szCs w:val="24"/>
                <w:color w:val="auto"/>
              </w:rPr>
            </w:pPr>
          </w:p>
        </w:tc>
      </w:tr>
      <w:tr>
        <w:trPr>
          <w:trHeight w:val="194"/>
        </w:trPr>
        <w:tc>
          <w:tcPr>
            <w:tcW w:w="5500" w:type="dxa"/>
            <w:vAlign w:val="bottom"/>
            <w:gridSpan w:val="2"/>
          </w:tcPr>
          <w:p>
            <w:pPr>
              <w:spacing w:after="0" w:line="194" w:lineRule="exact"/>
              <w:rPr>
                <w:sz w:val="20"/>
                <w:szCs w:val="20"/>
                <w:color w:val="auto"/>
              </w:rPr>
            </w:pPr>
            <w:r>
              <w:rPr>
                <w:rFonts w:ascii="Arial" w:cs="Arial" w:eastAsia="Arial" w:hAnsi="Arial"/>
                <w:sz w:val="18"/>
                <w:szCs w:val="18"/>
                <w:color w:val="auto"/>
              </w:rPr>
              <w:t>(in thousands)</w:t>
            </w:r>
          </w:p>
        </w:tc>
        <w:tc>
          <w:tcPr>
            <w:tcW w:w="1440" w:type="dxa"/>
            <w:vAlign w:val="bottom"/>
          </w:tcPr>
          <w:p>
            <w:pPr>
              <w:jc w:val="right"/>
              <w:ind w:right="296"/>
              <w:spacing w:after="0" w:line="194" w:lineRule="exact"/>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ind w:right="750"/>
              <w:spacing w:after="0" w:line="194"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ind w:right="710"/>
              <w:spacing w:after="0" w:line="194" w:lineRule="exact"/>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6"/>
                <w:szCs w:val="16"/>
                <w:color w:val="auto"/>
              </w:rPr>
            </w:pP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440" w:type="dxa"/>
            <w:vAlign w:val="bottom"/>
          </w:tcPr>
          <w:p>
            <w:pPr>
              <w:jc w:val="right"/>
              <w:ind w:right="1276"/>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14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w:t>
            </w:r>
          </w:p>
        </w:tc>
        <w:tc>
          <w:tcPr>
            <w:tcW w:w="14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14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23"/>
        </w:trPr>
        <w:tc>
          <w:tcPr>
            <w:tcW w:w="5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w:t>
            </w:r>
          </w:p>
        </w:tc>
        <w:tc>
          <w:tcPr>
            <w:tcW w:w="1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44"/>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1440" w:type="dxa"/>
            <w:vAlign w:val="bottom"/>
            <w:tcBorders>
              <w:bottom w:val="single" w:sz="8" w:color="auto"/>
            </w:tcBorders>
            <w:shd w:val="clear" w:color="auto" w:fill="CCEEFF"/>
          </w:tcPr>
          <w:p>
            <w:pPr>
              <w:jc w:val="right"/>
              <w:ind w:right="127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r>
      <w:tr>
        <w:trPr>
          <w:trHeight w:val="432"/>
        </w:trPr>
        <w:tc>
          <w:tcPr>
            <w:tcW w:w="10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40" w:type="dxa"/>
            <w:vAlign w:val="bottom"/>
          </w:tcPr>
          <w:p>
            <w:pPr>
              <w:jc w:val="right"/>
              <w:ind w:right="1056"/>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310" w:name="page311"/>
    <w:bookmarkEnd w:id="310"/>
    <w:p>
      <w:pPr>
        <w:ind w:left="560"/>
        <w:spacing w:after="0"/>
        <w:rPr>
          <w:sz w:val="20"/>
          <w:szCs w:val="20"/>
          <w:color w:val="auto"/>
        </w:rPr>
      </w:pPr>
      <w:r>
        <w:rPr>
          <w:rFonts w:ascii="Arial" w:cs="Arial" w:eastAsia="Arial" w:hAnsi="Arial"/>
          <w:sz w:val="18"/>
          <w:szCs w:val="18"/>
          <w:color w:val="auto"/>
        </w:rPr>
        <w:t>Income tax expense differed from amounts computed by applying the U.S. federal income tax rate of 34% to pretax loss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For the years ended December 31,</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3"/>
        </w:trPr>
        <w:tc>
          <w:tcPr>
            <w:tcW w:w="5320" w:type="dxa"/>
            <w:vAlign w:val="bottom"/>
            <w:gridSpan w:val="2"/>
          </w:tcPr>
          <w:p>
            <w:pPr>
              <w:spacing w:after="0" w:line="182" w:lineRule="exact"/>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ind w:right="650"/>
              <w:spacing w:after="0" w:line="182" w:lineRule="exact"/>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5"/>
                <w:szCs w:val="15"/>
                <w:color w:val="auto"/>
              </w:rPr>
            </w:pP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9"/>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Loss before income taxes, as reported in the consolidated statements of</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5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(161,015)</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(123,055)</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Computed “expected” tax benefit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(55,650)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(54,745)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(41,838)</w:t>
            </w:r>
          </w:p>
        </w:tc>
      </w:tr>
      <w:tr>
        <w:trPr>
          <w:trHeight w:val="23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income taxes resulting from:</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Expected (benefit) expense from state &amp; local taxes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(3,991)</w:t>
            </w:r>
          </w:p>
        </w:tc>
      </w:tr>
      <w:tr>
        <w:trPr>
          <w:trHeight w:val="23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(2,328)</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Tax impact of derivative liability</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16,977</w:t>
            </w:r>
          </w:p>
        </w:tc>
        <w:tc>
          <w:tcPr>
            <w:tcW w:w="80" w:type="dxa"/>
            <w:vAlign w:val="bottom"/>
          </w:tcPr>
          <w:p>
            <w:pPr>
              <w:spacing w:after="0"/>
              <w:rPr>
                <w:sz w:val="19"/>
                <w:szCs w:val="19"/>
                <w:color w:val="auto"/>
              </w:rPr>
            </w:pPr>
          </w:p>
        </w:tc>
      </w:tr>
      <w:tr>
        <w:trPr>
          <w:trHeight w:val="23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Impact of state NOL carryforward change</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111,681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year true-up</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80" w:type="dxa"/>
            <w:vAlign w:val="bottom"/>
            <w:shd w:val="clear" w:color="auto" w:fill="CCEEFF"/>
          </w:tcPr>
          <w:p>
            <w:pPr>
              <w:spacing w:after="0"/>
              <w:rPr>
                <w:sz w:val="19"/>
                <w:szCs w:val="19"/>
                <w:color w:val="auto"/>
              </w:rPr>
            </w:pPr>
          </w:p>
        </w:tc>
      </w:tr>
      <w:tr>
        <w:trPr>
          <w:trHeight w:val="215"/>
        </w:trPr>
        <w:tc>
          <w:tcPr>
            <w:tcW w:w="5320" w:type="dxa"/>
            <w:vAlign w:val="bottom"/>
            <w:gridSpan w:val="2"/>
          </w:tcPr>
          <w:p>
            <w:pPr>
              <w:spacing w:after="0"/>
              <w:rPr>
                <w:sz w:val="20"/>
                <w:szCs w:val="20"/>
                <w:color w:val="auto"/>
              </w:rPr>
            </w:pPr>
            <w:r>
              <w:rPr>
                <w:rFonts w:ascii="Arial" w:cs="Arial" w:eastAsia="Arial" w:hAnsi="Arial"/>
                <w:sz w:val="18"/>
                <w:szCs w:val="18"/>
                <w:color w:val="auto"/>
                <w:w w:val="91"/>
              </w:rPr>
              <w:t>Change in the balance of the valuation allowance for deferred tax assets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allocated to income tax expense</w:t>
            </w: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57,035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27,634</w:t>
            </w:r>
          </w:p>
        </w:tc>
        <w:tc>
          <w:tcPr>
            <w:tcW w:w="80" w:type="dxa"/>
            <w:vAlign w:val="bottom"/>
            <w:tcBorders>
              <w:bottom w:val="single" w:sz="8" w:color="auto"/>
            </w:tcBorders>
          </w:tcPr>
          <w:p>
            <w:pPr>
              <w:spacing w:after="0"/>
              <w:rPr>
                <w:sz w:val="20"/>
                <w:szCs w:val="20"/>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auto"/>
            </w:tcBorders>
            <w:shd w:val="clear" w:color="auto" w:fill="CCEEFF"/>
          </w:tcPr>
          <w:p>
            <w:pPr>
              <w:spacing w:after="0"/>
              <w:rPr>
                <w:sz w:val="21"/>
                <w:szCs w:val="2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significant components of deferred income tax expense (benefit) attributable to loss from operations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185"/>
              <w:spacing w:after="0"/>
              <w:rPr>
                <w:sz w:val="20"/>
                <w:szCs w:val="20"/>
                <w:color w:val="auto"/>
              </w:rPr>
            </w:pPr>
            <w:r>
              <w:rPr>
                <w:rFonts w:ascii="Arial" w:cs="Arial" w:eastAsia="Arial" w:hAnsi="Arial"/>
                <w:sz w:val="18"/>
                <w:szCs w:val="18"/>
                <w:b w:val="1"/>
                <w:bCs w:val="1"/>
                <w:color w:val="auto"/>
              </w:rPr>
              <w:t>For the years ended December 31,</w:t>
            </w:r>
          </w:p>
        </w:tc>
        <w:tc>
          <w:tcPr>
            <w:tcW w:w="1440" w:type="dxa"/>
            <w:vAlign w:val="bottom"/>
            <w:tcBorders>
              <w:bottom w:val="single" w:sz="8" w:color="auto"/>
            </w:tcBorders>
          </w:tcPr>
          <w:p>
            <w:pPr>
              <w:spacing w:after="0"/>
              <w:rPr>
                <w:sz w:val="20"/>
                <w:szCs w:val="20"/>
                <w:color w:val="auto"/>
              </w:rPr>
            </w:pPr>
          </w:p>
        </w:tc>
      </w:tr>
      <w:tr>
        <w:trPr>
          <w:trHeight w:val="183"/>
        </w:trPr>
        <w:tc>
          <w:tcPr>
            <w:tcW w:w="4800" w:type="dxa"/>
            <w:vAlign w:val="bottom"/>
            <w:gridSpan w:val="2"/>
          </w:tcPr>
          <w:p>
            <w:pPr>
              <w:spacing w:after="0" w:line="182" w:lineRule="exact"/>
              <w:rPr>
                <w:sz w:val="20"/>
                <w:szCs w:val="20"/>
                <w:color w:val="auto"/>
              </w:rPr>
            </w:pPr>
            <w:r>
              <w:rPr>
                <w:rFonts w:ascii="Arial" w:cs="Arial" w:eastAsia="Arial" w:hAnsi="Arial"/>
                <w:sz w:val="18"/>
                <w:szCs w:val="18"/>
                <w:color w:val="auto"/>
              </w:rPr>
              <w:t>(in thousands)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2015</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(44,521)</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Tax impact of derivative liability</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16,977</w:t>
            </w:r>
          </w:p>
        </w:tc>
      </w:tr>
      <w:tr>
        <w:trPr>
          <w:trHeight w:val="23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the valuation allowance for deferred tax asset</w:t>
            </w:r>
          </w:p>
        </w:tc>
        <w:tc>
          <w:tcPr>
            <w:tcW w:w="6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57,035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27,634</w:t>
            </w:r>
          </w:p>
        </w:tc>
      </w:tr>
      <w:tr>
        <w:trPr>
          <w:trHeight w:val="244"/>
        </w:trPr>
        <w:tc>
          <w:tcPr>
            <w:tcW w:w="10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bl>
    <w:p>
      <w:pPr>
        <w:spacing w:after="0" w:line="202" w:lineRule="exact"/>
        <w:rPr>
          <w:sz w:val="20"/>
          <w:szCs w:val="20"/>
          <w:color w:val="auto"/>
        </w:rPr>
      </w:pPr>
    </w:p>
    <w:p>
      <w:pPr>
        <w:ind w:right="380" w:firstLine="543"/>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2017 and 2016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r>
      <w:tr>
        <w:trPr>
          <w:trHeight w:val="194"/>
        </w:trPr>
        <w:tc>
          <w:tcPr>
            <w:tcW w:w="7360" w:type="dxa"/>
            <w:vAlign w:val="bottom"/>
            <w:gridSpan w:val="3"/>
          </w:tcPr>
          <w:p>
            <w:pPr>
              <w:spacing w:after="0" w:line="194" w:lineRule="exact"/>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6"/>
                <w:szCs w:val="16"/>
                <w:color w:val="auto"/>
              </w:rPr>
            </w:pPr>
          </w:p>
        </w:tc>
        <w:tc>
          <w:tcPr>
            <w:tcW w:w="1680" w:type="dxa"/>
            <w:vAlign w:val="bottom"/>
          </w:tcPr>
          <w:p>
            <w:pPr>
              <w:jc w:val="right"/>
              <w:ind w:right="71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710"/>
              <w:spacing w:after="0" w:line="194" w:lineRule="exact"/>
              <w:rPr>
                <w:sz w:val="20"/>
                <w:szCs w:val="20"/>
                <w:color w:val="auto"/>
              </w:rPr>
            </w:pPr>
            <w:r>
              <w:rPr>
                <w:rFonts w:ascii="Arial" w:cs="Arial" w:eastAsia="Arial" w:hAnsi="Arial"/>
                <w:sz w:val="18"/>
                <w:szCs w:val="18"/>
                <w:b w:val="1"/>
                <w:bCs w:val="1"/>
                <w:color w:val="auto"/>
              </w:rPr>
              <w:t>2016</w:t>
            </w: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193,310</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255,809</w:t>
            </w: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16,735</w:t>
            </w: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Capitalized inventory</w:t>
            </w: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2,044</w:t>
            </w: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9,288</w:t>
            </w: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2,087</w:t>
            </w: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due to different amortization methods</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2,495</w:t>
            </w: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Tax-deductible goodwill</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(870 )</w:t>
            </w: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1,241</w:t>
            </w:r>
          </w:p>
        </w:tc>
      </w:tr>
      <w:tr>
        <w:trPr>
          <w:trHeight w:val="210"/>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deferred tax asset, excluding valuation allowance</w:t>
            </w: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215,322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288,829</w:t>
            </w: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(289,699 )</w:t>
            </w:r>
          </w:p>
        </w:tc>
      </w:tr>
      <w:tr>
        <w:trPr>
          <w:trHeight w:val="257"/>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r>
    </w:tbl>
    <w:p>
      <w:pPr>
        <w:spacing w:after="0" w:line="161" w:lineRule="exact"/>
        <w:rPr>
          <w:sz w:val="20"/>
          <w:szCs w:val="20"/>
          <w:color w:val="auto"/>
        </w:rPr>
      </w:pPr>
    </w:p>
    <w:p>
      <w:pPr>
        <w:jc w:val="both"/>
        <w:ind w:right="200" w:firstLine="543"/>
        <w:spacing w:after="0" w:line="286" w:lineRule="auto"/>
        <w:rPr>
          <w:sz w:val="20"/>
          <w:szCs w:val="20"/>
          <w:color w:val="auto"/>
        </w:rPr>
      </w:pPr>
      <w:r>
        <w:rPr>
          <w:rFonts w:ascii="Arial" w:cs="Arial" w:eastAsia="Arial" w:hAnsi="Arial"/>
          <w:sz w:val="17"/>
          <w:szCs w:val="17"/>
          <w:color w:val="auto"/>
        </w:rPr>
        <w:t>We file income tax returns in the U.S federal and various state and local jurisdictions. For federal and state income tax purposes, the 2016, 2015 and 2014 tax years remain open for examination under the normal three-year statute of limitations. The statute of limitations for income tax audits in the United States will commence upon utilization of net operating losses and will expire three years from the filing of the tax return.</w:t>
      </w:r>
    </w:p>
    <w:p>
      <w:pPr>
        <w:spacing w:after="0" w:line="166" w:lineRule="exact"/>
        <w:rPr>
          <w:sz w:val="20"/>
          <w:szCs w:val="20"/>
          <w:color w:val="auto"/>
        </w:rPr>
      </w:pPr>
    </w:p>
    <w:p>
      <w:pPr>
        <w:ind w:right="40" w:firstLine="543"/>
        <w:spacing w:after="0" w:line="264" w:lineRule="auto"/>
        <w:rPr>
          <w:sz w:val="20"/>
          <w:szCs w:val="20"/>
          <w:color w:val="auto"/>
        </w:rPr>
      </w:pPr>
      <w:r>
        <w:rPr>
          <w:rFonts w:ascii="Arial" w:cs="Arial" w:eastAsia="Arial" w:hAnsi="Arial"/>
          <w:sz w:val="18"/>
          <w:szCs w:val="18"/>
          <w:color w:val="auto"/>
        </w:rPr>
        <w:t>There was no accrual for uncertain tax positions or for interest and penalties related to uncertain tax positions for 2017, 2016 and 2015. We do not believe that there will be a material change in our unrecognized tax positions over the next twelve months. All of the unrecognized tax benefits, if recognized, would be offset by the valuation allowance.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color w:val="auto"/>
        </w:rPr>
        <w:t>NOTE 12 - OTHER (EXPENSE)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ind w:left="560"/>
              <w:spacing w:after="0"/>
              <w:rPr>
                <w:sz w:val="20"/>
                <w:szCs w:val="20"/>
                <w:color w:val="auto"/>
              </w:rPr>
            </w:pPr>
            <w:r>
              <w:rPr>
                <w:rFonts w:ascii="Arial" w:cs="Arial" w:eastAsia="Arial" w:hAnsi="Arial"/>
                <w:sz w:val="18"/>
                <w:szCs w:val="18"/>
                <w:color w:val="auto"/>
                <w:w w:val="96"/>
              </w:rPr>
              <w:t>The components of other (expense) income are as follows: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6"/>
        </w:trPr>
        <w:tc>
          <w:tcPr>
            <w:tcW w:w="10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7"/>
          </w:tcPr>
          <w:p>
            <w:pPr>
              <w:jc w:val="right"/>
              <w:ind w:right="185"/>
              <w:spacing w:after="0"/>
              <w:rPr>
                <w:sz w:val="20"/>
                <w:szCs w:val="20"/>
                <w:color w:val="auto"/>
              </w:rPr>
            </w:pPr>
            <w:r>
              <w:rPr>
                <w:rFonts w:ascii="Arial" w:cs="Arial" w:eastAsia="Arial" w:hAnsi="Arial"/>
                <w:sz w:val="18"/>
                <w:szCs w:val="18"/>
                <w:b w:val="1"/>
                <w:bCs w:val="1"/>
                <w:color w:val="auto"/>
              </w:rPr>
              <w:t>For the years ended December 31,</w:t>
            </w:r>
          </w:p>
        </w:tc>
        <w:tc>
          <w:tcPr>
            <w:tcW w:w="1440" w:type="dxa"/>
            <w:vAlign w:val="bottom"/>
            <w:tcBorders>
              <w:bottom w:val="single" w:sz="8" w:color="auto"/>
            </w:tcBorders>
          </w:tcPr>
          <w:p>
            <w:pPr>
              <w:spacing w:after="0"/>
              <w:rPr>
                <w:sz w:val="24"/>
                <w:szCs w:val="24"/>
                <w:color w:val="auto"/>
              </w:rPr>
            </w:pPr>
          </w:p>
        </w:tc>
      </w:tr>
      <w:tr>
        <w:trPr>
          <w:trHeight w:val="183"/>
        </w:trPr>
        <w:tc>
          <w:tcPr>
            <w:tcW w:w="5120" w:type="dxa"/>
            <w:vAlign w:val="bottom"/>
            <w:gridSpan w:val="2"/>
          </w:tcPr>
          <w:p>
            <w:pPr>
              <w:spacing w:after="0" w:line="182" w:lineRule="exact"/>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2015</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(62,965)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(11,357)</w:t>
            </w:r>
          </w:p>
        </w:tc>
      </w:tr>
      <w:tr>
        <w:trPr>
          <w:trHeight w:val="23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44"/>
        </w:trPr>
        <w:tc>
          <w:tcPr>
            <w:tcW w:w="10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(61,984)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(38,252)</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(11,987)</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ind w:right="360" w:firstLine="543"/>
        <w:spacing w:after="0" w:line="264" w:lineRule="auto"/>
        <w:rPr>
          <w:sz w:val="20"/>
          <w:szCs w:val="20"/>
          <w:color w:val="auto"/>
        </w:rPr>
      </w:pPr>
      <w:r>
        <w:rPr>
          <w:rFonts w:ascii="Arial" w:cs="Arial" w:eastAsia="Arial" w:hAnsi="Arial"/>
          <w:sz w:val="18"/>
          <w:szCs w:val="18"/>
          <w:color w:val="auto"/>
        </w:rPr>
        <w:t>Our contractual obligations include commitments and estimated purchase obligations entered into in the normal course of business. These include commitments related to our facility lease, purchases of inventory and other purchases related to our product, debt obligations, consulting services and subscription fees, among others.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Leases</w:t>
      </w:r>
    </w:p>
    <w:p>
      <w:pPr>
        <w:spacing w:after="0" w:line="121" w:lineRule="exact"/>
        <w:rPr>
          <w:sz w:val="20"/>
          <w:szCs w:val="20"/>
          <w:color w:val="auto"/>
        </w:rPr>
      </w:pPr>
    </w:p>
    <w:p>
      <w:pPr>
        <w:ind w:right="40" w:firstLine="543"/>
        <w:spacing w:after="0" w:line="290" w:lineRule="auto"/>
        <w:rPr>
          <w:sz w:val="20"/>
          <w:szCs w:val="20"/>
          <w:color w:val="auto"/>
        </w:rPr>
      </w:pPr>
      <w:r>
        <w:rPr>
          <w:rFonts w:ascii="Arial" w:cs="Arial" w:eastAsia="Arial" w:hAnsi="Arial"/>
          <w:sz w:val="16"/>
          <w:szCs w:val="16"/>
          <w:color w:val="auto"/>
        </w:rPr>
        <w:t xml:space="preserve">In April 2015, we signed a lease agreement for approximately 27,300 square feet in Boston, Massachusetts, for a 94-month term that commenced on May 1, 2015. In order to make the space usable for our operations, substantial improvements were made. Our landlord agreed to pay for up to approximately $1.9 million of the improvements, and we bore all additional costs that were incurred. As such, we have determined that we are the owner of the improvements and account for tenant improvements paid by our landlord as a lease incentive. On May 1, 2015, in accordance with ASC 840-20, </w:t>
      </w:r>
      <w:r>
        <w:rPr>
          <w:rFonts w:ascii="Arial" w:cs="Arial" w:eastAsia="Arial" w:hAnsi="Arial"/>
          <w:sz w:val="16"/>
          <w:szCs w:val="16"/>
          <w:i w:val="1"/>
          <w:iCs w:val="1"/>
          <w:color w:val="auto"/>
        </w:rPr>
        <w:t>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Leases, </w:t>
      </w:r>
      <w:r>
        <w:rPr>
          <w:rFonts w:ascii="Arial" w:cs="Arial" w:eastAsia="Arial" w:hAnsi="Arial"/>
          <w:sz w:val="16"/>
          <w:szCs w:val="16"/>
          <w:color w:val="auto"/>
        </w:rPr>
        <w:t>we recorded a deferred lease incentive, and an associated receivable from our landlord, for the total amount to be paid by the landlord for</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The deferred lease incentive is being amortized as a partial offset to rent expense over the term of the lease, and the receivable was drawn down as cash was received from our landlord. We began occupying the space in November 2015. Improvements made to our leased space have been recorded as fixed assets and will be depreciated over the assets’ useful lives or the remaining lease term, whichever is shorter.</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payments under our non-cancelable facility lease as of December 31, 2017 are as follows (in thousands):</w:t>
      </w:r>
    </w:p>
    <w:p>
      <w:pPr>
        <w:spacing w:after="0" w:line="221"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jc w:val="right"/>
              <w:ind w:right="410"/>
              <w:spacing w:after="0"/>
              <w:rPr>
                <w:sz w:val="20"/>
                <w:szCs w:val="20"/>
                <w:color w:val="auto"/>
              </w:rPr>
            </w:pPr>
            <w:r>
              <w:rPr>
                <w:rFonts w:ascii="Arial" w:cs="Arial" w:eastAsia="Arial" w:hAnsi="Arial"/>
                <w:sz w:val="18"/>
                <w:szCs w:val="18"/>
                <w:b w:val="1"/>
                <w:bCs w:val="1"/>
                <w:color w:val="auto"/>
                <w:w w:val="97"/>
              </w:rPr>
              <w:t>Future Minimum Lease</w:t>
            </w:r>
          </w:p>
        </w:tc>
      </w:t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60" w:type="dxa"/>
            <w:vAlign w:val="bottom"/>
          </w:tcPr>
          <w:p>
            <w:pPr>
              <w:spacing w:after="0"/>
              <w:rPr>
                <w:sz w:val="20"/>
                <w:szCs w:val="20"/>
                <w:color w:val="auto"/>
              </w:rPr>
            </w:pPr>
          </w:p>
        </w:tc>
        <w:tc>
          <w:tcPr>
            <w:tcW w:w="2440" w:type="dxa"/>
            <w:vAlign w:val="bottom"/>
          </w:tcPr>
          <w:p>
            <w:pPr>
              <w:jc w:val="right"/>
              <w:ind w:right="950"/>
              <w:spacing w:after="0"/>
              <w:rPr>
                <w:sz w:val="20"/>
                <w:szCs w:val="20"/>
                <w:color w:val="auto"/>
              </w:rPr>
            </w:pPr>
            <w:r>
              <w:rPr>
                <w:rFonts w:ascii="Arial" w:cs="Arial" w:eastAsia="Arial" w:hAnsi="Arial"/>
                <w:sz w:val="18"/>
                <w:szCs w:val="18"/>
                <w:b w:val="1"/>
                <w:bCs w:val="1"/>
                <w:color w:val="auto"/>
              </w:rPr>
              <w:t>Payments</w:t>
            </w:r>
          </w:p>
        </w:tc>
      </w:tr>
      <w:tr>
        <w:trPr>
          <w:trHeight w:val="243"/>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1,628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Year Ending December 31, 2019</w:t>
            </w:r>
          </w:p>
        </w:tc>
        <w:tc>
          <w:tcPr>
            <w:tcW w:w="260" w:type="dxa"/>
            <w:vAlign w:val="bottom"/>
          </w:tcPr>
          <w:p>
            <w:pPr>
              <w:spacing w:after="0"/>
              <w:rPr>
                <w:sz w:val="18"/>
                <w:szCs w:val="18"/>
                <w:color w:val="auto"/>
              </w:rPr>
            </w:pPr>
          </w:p>
        </w:tc>
        <w:tc>
          <w:tcPr>
            <w:tcW w:w="2440" w:type="dxa"/>
            <w:vAlign w:val="bottom"/>
          </w:tcPr>
          <w:p>
            <w:pPr>
              <w:jc w:val="right"/>
              <w:ind w:right="70"/>
              <w:spacing w:after="0"/>
              <w:rPr>
                <w:sz w:val="20"/>
                <w:szCs w:val="20"/>
                <w:color w:val="auto"/>
              </w:rPr>
            </w:pPr>
            <w:r>
              <w:rPr>
                <w:rFonts w:ascii="Arial" w:cs="Arial" w:eastAsia="Arial" w:hAnsi="Arial"/>
                <w:sz w:val="18"/>
                <w:szCs w:val="18"/>
                <w:color w:val="auto"/>
              </w:rPr>
              <w:t>1,655</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2020</w:t>
            </w:r>
          </w:p>
        </w:tc>
        <w:tc>
          <w:tcPr>
            <w:tcW w:w="26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Year Ending December 31, 2021</w:t>
            </w:r>
          </w:p>
        </w:tc>
        <w:tc>
          <w:tcPr>
            <w:tcW w:w="260" w:type="dxa"/>
            <w:vAlign w:val="bottom"/>
          </w:tcPr>
          <w:p>
            <w:pPr>
              <w:spacing w:after="0"/>
              <w:rPr>
                <w:sz w:val="18"/>
                <w:szCs w:val="18"/>
                <w:color w:val="auto"/>
              </w:rPr>
            </w:pPr>
          </w:p>
        </w:tc>
        <w:tc>
          <w:tcPr>
            <w:tcW w:w="2440" w:type="dxa"/>
            <w:vAlign w:val="bottom"/>
          </w:tcPr>
          <w:p>
            <w:pPr>
              <w:jc w:val="right"/>
              <w:ind w:right="70"/>
              <w:spacing w:after="0"/>
              <w:rPr>
                <w:sz w:val="20"/>
                <w:szCs w:val="20"/>
                <w:color w:val="auto"/>
              </w:rPr>
            </w:pPr>
            <w:r>
              <w:rPr>
                <w:rFonts w:ascii="Arial" w:cs="Arial" w:eastAsia="Arial" w:hAnsi="Arial"/>
                <w:sz w:val="18"/>
                <w:szCs w:val="18"/>
                <w:color w:val="auto"/>
              </w:rPr>
              <w:t>1,710</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2022</w:t>
            </w:r>
          </w:p>
        </w:tc>
        <w:tc>
          <w:tcPr>
            <w:tcW w:w="26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1,737</w:t>
            </w:r>
          </w:p>
        </w:tc>
      </w:tr>
      <w:tr>
        <w:trPr>
          <w:trHeight w:val="216"/>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291</w:t>
            </w:r>
          </w:p>
        </w:tc>
      </w:tr>
      <w:tr>
        <w:trPr>
          <w:trHeight w:val="257"/>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8,704</w:t>
            </w:r>
          </w:p>
        </w:tc>
      </w:tr>
    </w:tbl>
    <w:p>
      <w:pPr>
        <w:spacing w:after="0" w:line="175" w:lineRule="exact"/>
        <w:rPr>
          <w:sz w:val="20"/>
          <w:szCs w:val="20"/>
          <w:color w:val="auto"/>
        </w:rPr>
      </w:pPr>
    </w:p>
    <w:p>
      <w:pPr>
        <w:ind w:right="760" w:firstLine="543"/>
        <w:spacing w:after="0" w:line="277" w:lineRule="auto"/>
        <w:rPr>
          <w:sz w:val="20"/>
          <w:szCs w:val="20"/>
          <w:color w:val="auto"/>
        </w:rPr>
      </w:pPr>
      <w:r>
        <w:rPr>
          <w:rFonts w:ascii="Arial" w:cs="Arial" w:eastAsia="Arial" w:hAnsi="Arial"/>
          <w:sz w:val="18"/>
          <w:szCs w:val="18"/>
          <w:color w:val="auto"/>
        </w:rPr>
        <w:t>Total rental expense was approximately $1.2 million, $1.9 million and $2.2 million for the years ended December 31, 2017,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Milestone Payments</w:t>
      </w:r>
    </w:p>
    <w:p>
      <w:pPr>
        <w:spacing w:after="0" w:line="121" w:lineRule="exact"/>
        <w:rPr>
          <w:sz w:val="20"/>
          <w:szCs w:val="20"/>
          <w:color w:val="auto"/>
        </w:rPr>
      </w:pPr>
    </w:p>
    <w:p>
      <w:pPr>
        <w:ind w:right="20" w:firstLine="543"/>
        <w:spacing w:after="0" w:line="254" w:lineRule="auto"/>
        <w:rPr>
          <w:sz w:val="20"/>
          <w:szCs w:val="20"/>
          <w:color w:val="auto"/>
        </w:rPr>
      </w:pPr>
      <w:r>
        <w:rPr>
          <w:rFonts w:ascii="Arial" w:cs="Arial" w:eastAsia="Arial" w:hAnsi="Arial"/>
          <w:sz w:val="18"/>
          <w:szCs w:val="18"/>
          <w:color w:val="auto"/>
        </w:rPr>
        <w:t>We may be required to pay up to $10.0 million in contingent manufacturing milestone payments to a contract manufacturer related to certain construction related matters if such activities are achieved by the contract manufacturer within a pre-specified time frame. These milestones will be capitalized, if achieved, as a deferred cost on our balance sheet until such time that we begin to receive product from the new facility being constructed by our contract manufacturer. As of December 31, 2017, one such milestone in the amount of $5.0 million was achieved. This amount is recorded on our balance sheet as an accrued expense and a deferred cost in other assets, net as of December 31, 2017. As the achievement of the remaining milestones was not considered probable as of December 31, 2017, such contingencies have not been recorded in our consolidated financial statements. Amounts related to contingent milestone payments are not considered contractual obligations as they are contingent on the successful achievement of certain manufacturing milestones.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firstLine="543"/>
        <w:spacing w:after="0" w:line="284" w:lineRule="auto"/>
        <w:rPr>
          <w:sz w:val="20"/>
          <w:szCs w:val="20"/>
          <w:color w:val="auto"/>
        </w:rPr>
      </w:pPr>
      <w:r>
        <w:rPr>
          <w:rFonts w:ascii="Arial" w:cs="Arial" w:eastAsia="Arial" w:hAnsi="Arial"/>
          <w:sz w:val="16"/>
          <w:szCs w:val="16"/>
          <w:color w:val="auto"/>
        </w:rPr>
        <w:t>Four purported class action lawsuits have been filed against us and certain of our current and former officers (Gregory P. Madison, Scott A. Holmes, Ron Bentsur, and James Oliviero). Three of these actions were filed in the U.S. District Court for the Southern District of New York, captioned respectively Terrell Jackson v. Keryx Biopharmaceuticals, Inc., et al., No. 1:16-cv-06131, filed on August 2, 2016, Richard J. Erickson v. Keryx Biopharmaceuticals, Inc., et al. No. 1:16-cv-06218, filed on August 4, 2016, and Richard King v. Keryx Biopharmaceuticals, Inc., et al., No. 1:16-cv-06233, filed on August 5, 2016. The Jackson complaint purports to be brought on behalf of stockholders who purchased our common stock between February 25, 2016 and August 1, 2016, the Erickson complaint purports to be brought on behalf of stockholders who purchased our common stock between March 2, 2016 and July 29, 2016, and the King complaint purports to be brought on behalf of stockholders who purchased our common stock between February 25, 2016 and July 29, 2016. On August 26, 2016, the fourth complaint, captioned Tim Karth v. Keryx Biopharmaceuticals, Inc., et al., No. 1:16-cv-11745, was filed in the U.S. District Court for the District of Massachusetts, which complaint was subsequently amended. The Karth complaint purports to be brought on behalf of stockholders who purchased our common stock between May 8, 2013 and August 1, 2016. The Jackson, Erickson and King matters were transferred to the U.S. District Court for the District of Massachusetts on April 5, 2017 and subsequently consolidated with the Karth action. Each complaint generally alleges that we and certain of our current and former officers violated Sections 10(b) and/or 20(a) of the Exchange Act and Rule 10b-5 promulgated thereunder by making allegedly false and/or misleading statements concerning us and our business operations and future prospects in light of the August 1, 2016 announcement of an interruption in our supply of Auryxia. We have moved to dismiss the consolidated action. Two stockholder derivative complaints were also filed on December 16, 2016 against us and certain of our current and former officers (Gregory P. Madison, Scott A. Holmes, Ron Bentsur and James Oliviero), certain of our current directors (Kevin J. Cameron, Daniel P. Regan, Steven C. Gilman, Michael Rogers and John P. Butler) and our former directors (Michael P. Tarnok, Joseph Feczko, Jack Kaye and Wyche Fowler, Jr.), in the Superior Court of Massachusetts, one captioned Venkat Vara Prasad Malledi v. Keryx Biopharmaceuticals, Inc., et al., No. 16-3865 and one captioned James Anderson v. Keryx Biopharmaceuticals, Inc., et al., No. 16-3866. Each of these two complaints generally allege that the individual defendants breached their fiduciary duties owed to us, unjustly enriched themselves by their actions, abused their control positions with us, mismanaged us and wasted corporate assets since July 31, 2013 in light of our August 1, 2016 announcement by us of an interruption in the supply of our product Auryxia. On June 27, 2017, the Superior Court granted the parties' motion to consolidate and stay the derivative litigations. All of the complaints seek unspecified damages, interest, attorneys’ fees, and other costs. We deny any allegations of wrongdoing and intend to vigorously defend against these lawsuits. There is no assurance, however, that we or the other defendants will be successful in our defense of either of these lawsuits or that insurance will be available or adequate to fund any settlement or judgment or the litigation costs of these actions. Moreover, we are unable to predict the outcome or reasonably estimate a range of possible losses at this time. A resolution of these lawsuits adverse to us or the other defendants, however, could have a material effect on our financial position and results of operations in the period in which the particular lawsuit is resolved.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BUSINESS SEGMENTS</w:t>
      </w:r>
    </w:p>
    <w:p>
      <w:pPr>
        <w:spacing w:after="0" w:line="121" w:lineRule="exact"/>
        <w:rPr>
          <w:sz w:val="20"/>
          <w:szCs w:val="20"/>
          <w:color w:val="auto"/>
        </w:rPr>
      </w:pPr>
    </w:p>
    <w:p>
      <w:pPr>
        <w:ind w:right="240" w:firstLine="543"/>
        <w:spacing w:after="0" w:line="264" w:lineRule="auto"/>
        <w:rPr>
          <w:sz w:val="20"/>
          <w:szCs w:val="20"/>
          <w:color w:val="auto"/>
        </w:rPr>
      </w:pPr>
      <w:r>
        <w:rPr>
          <w:rFonts w:ascii="Arial" w:cs="Arial" w:eastAsia="Arial" w:hAnsi="Arial"/>
          <w:sz w:val="18"/>
          <w:szCs w:val="18"/>
          <w:color w:val="auto"/>
        </w:rPr>
        <w:t>We have determined that we conduct our operations in one business segment: the manufacture, development and commercialization of products for use in treating human diseases. Long-lived assets consist entirely of property, plant and equipment and are located in the United States for all periods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234"/>
        </w:trPr>
        <w:tc>
          <w:tcPr>
            <w:tcW w:w="7340" w:type="dxa"/>
            <w:vAlign w:val="bottom"/>
            <w:gridSpan w:val="6"/>
          </w:tcPr>
          <w:p>
            <w:pPr>
              <w:spacing w:after="0"/>
              <w:rPr>
                <w:sz w:val="20"/>
                <w:szCs w:val="20"/>
                <w:color w:val="auto"/>
              </w:rPr>
            </w:pPr>
            <w:r>
              <w:rPr>
                <w:rFonts w:ascii="Arial" w:cs="Arial" w:eastAsia="Arial" w:hAnsi="Arial"/>
                <w:sz w:val="18"/>
                <w:szCs w:val="18"/>
                <w:b w:val="1"/>
                <w:bCs w:val="1"/>
                <w:color w:val="auto"/>
              </w:rPr>
              <w:t>NOTE 15 - QUARTERLY CONSOLIDATED FINANCIAL DATA (UNAUDITED)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3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Mar. 31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June 30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Sept. 30</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 31</w:t>
            </w:r>
          </w:p>
        </w:tc>
      </w:tr>
      <w:tr>
        <w:trPr>
          <w:trHeight w:val="210"/>
        </w:trPr>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gridSpan w:val="6"/>
          </w:tcPr>
          <w:p>
            <w:pPr>
              <w:ind w:left="200"/>
              <w:spacing w:after="0"/>
              <w:rPr>
                <w:sz w:val="20"/>
                <w:szCs w:val="20"/>
                <w:color w:val="auto"/>
              </w:rPr>
            </w:pPr>
            <w:r>
              <w:rPr>
                <w:rFonts w:ascii="Arial" w:cs="Arial" w:eastAsia="Arial" w:hAnsi="Arial"/>
                <w:sz w:val="18"/>
                <w:szCs w:val="18"/>
                <w:color w:val="auto"/>
              </w:rPr>
              <w:t>(in thousands, except per share data)</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Net U.S. Auryxia product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10,505</w:t>
            </w:r>
          </w:p>
        </w:tc>
        <w:tc>
          <w:tcPr>
            <w:tcW w:w="2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14,116</w:t>
            </w:r>
          </w:p>
        </w:tc>
        <w:tc>
          <w:tcPr>
            <w:tcW w:w="7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13,597</w:t>
            </w:r>
          </w:p>
        </w:tc>
        <w:tc>
          <w:tcPr>
            <w:tcW w:w="2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17,296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1,314</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1,399</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1,386</w:t>
            </w: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11,819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14,996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18,682</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4,273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5,856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7,447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License expense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838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832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6,764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9,275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12,628</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23,103</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24,986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22,746</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28,787</w:t>
            </w:r>
          </w:p>
        </w:tc>
      </w:tr>
      <w:tr>
        <w:trPr>
          <w:trHeight w:val="210"/>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34,929</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38,994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38,715</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49,694</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(23,110 )</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(23,850 )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(23,719 )</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(31,012 )</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(62,965 )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241</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288</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(62,627 )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(22,996 )</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(86,477 )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(23,478 )</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(30,724 )</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(295 )</w:t>
            </w:r>
          </w:p>
        </w:tc>
      </w:tr>
      <w:tr>
        <w:trPr>
          <w:trHeight w:val="257"/>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(23,016)</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(86,497)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(23,498)</w:t>
            </w:r>
          </w:p>
        </w:tc>
        <w:tc>
          <w:tcPr>
            <w:tcW w:w="2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(30,429)</w:t>
            </w: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(0.21)</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(0.26)</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Mar. 31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June 30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Sept. 30</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 31</w:t>
            </w:r>
          </w:p>
        </w:tc>
      </w:tr>
      <w:tr>
        <w:trPr>
          <w:trHeight w:val="210"/>
        </w:trPr>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gridSpan w:val="6"/>
          </w:tcPr>
          <w:p>
            <w:pPr>
              <w:ind w:left="200"/>
              <w:spacing w:after="0"/>
              <w:rPr>
                <w:sz w:val="20"/>
                <w:szCs w:val="20"/>
                <w:color w:val="auto"/>
              </w:rPr>
            </w:pPr>
            <w:r>
              <w:rPr>
                <w:rFonts w:ascii="Arial" w:cs="Arial" w:eastAsia="Arial" w:hAnsi="Arial"/>
                <w:sz w:val="18"/>
                <w:szCs w:val="18"/>
                <w:color w:val="auto"/>
              </w:rPr>
              <w:t>(in thousands, except per share data)</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Product revenue,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5,616</w:t>
            </w:r>
          </w:p>
        </w:tc>
        <w:tc>
          <w:tcPr>
            <w:tcW w:w="2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8,279</w:t>
            </w:r>
          </w:p>
        </w:tc>
        <w:tc>
          <w:tcPr>
            <w:tcW w:w="7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5,050</w:t>
            </w:r>
          </w:p>
        </w:tc>
        <w:tc>
          <w:tcPr>
            <w:tcW w:w="2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8,228</w:t>
            </w:r>
          </w:p>
        </w:tc>
      </w:tr>
      <w:tr>
        <w:trPr>
          <w:trHeight w:val="243"/>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3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1,209</w:t>
            </w:r>
          </w:p>
        </w:tc>
        <w:tc>
          <w:tcPr>
            <w:tcW w:w="2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1,287</w:t>
            </w:r>
          </w:p>
        </w:tc>
        <w:tc>
          <w:tcPr>
            <w:tcW w:w="2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1,305</w:t>
            </w: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6,825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6,337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9,533</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1,071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18,196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13,437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License expense: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7,616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8,674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6,185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20,809</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20,188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20,521</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23,035</w:t>
            </w:r>
          </w:p>
        </w:tc>
      </w:tr>
      <w:tr>
        <w:trPr>
          <w:trHeight w:val="210"/>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30,222</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32,921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48,163</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43,440</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(23,397 )</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(23,633 )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(41,826 )</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(33,907 )</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(15,748 )</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(18,479 )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(1,799 )</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(2,519 )</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143</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(17,547 )</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(20,998 )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(40,944 )</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(44,631 )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(41,676 )</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(33,764 )</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r>
      <w:tr>
        <w:trPr>
          <w:trHeight w:val="257"/>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(40,964)</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(44,651)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(41,696)</w:t>
            </w:r>
          </w:p>
        </w:tc>
        <w:tc>
          <w:tcPr>
            <w:tcW w:w="2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(33,784)</w:t>
            </w: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(0.32)</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aggregate of quarterly computed basic and diluted net loss per common share may not agree with the annual amount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34"/>
        </w:trPr>
        <w:tc>
          <w:tcPr>
            <w:tcW w:w="7360" w:type="dxa"/>
            <w:vAlign w:val="bottom"/>
          </w:tcPr>
          <w:p>
            <w:pPr>
              <w:jc w:val="center"/>
              <w:ind w:left="3990"/>
              <w:spacing w:after="0"/>
              <w:rPr>
                <w:sz w:val="20"/>
                <w:szCs w:val="20"/>
                <w:color w:val="auto"/>
              </w:rPr>
            </w:pPr>
            <w:r>
              <w:rPr>
                <w:rFonts w:ascii="Arial" w:cs="Arial" w:eastAsia="Arial" w:hAnsi="Arial"/>
                <w:sz w:val="18"/>
                <w:szCs w:val="18"/>
                <w:b w:val="1"/>
                <w:bCs w:val="1"/>
                <w:color w:val="auto"/>
                <w:w w:val="91"/>
              </w:rPr>
              <w:t>Keryx Biopharmaceuticals, Inc.</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50"/>
        </w:trPr>
        <w:tc>
          <w:tcPr>
            <w:tcW w:w="7360" w:type="dxa"/>
            <w:vAlign w:val="bottom"/>
          </w:tcPr>
          <w:p>
            <w:pPr>
              <w:jc w:val="center"/>
              <w:ind w:left="3970"/>
              <w:spacing w:after="0"/>
              <w:rPr>
                <w:sz w:val="20"/>
                <w:szCs w:val="20"/>
                <w:color w:val="auto"/>
              </w:rPr>
            </w:pPr>
            <w:r>
              <w:rPr>
                <w:rFonts w:ascii="Arial" w:cs="Arial" w:eastAsia="Arial" w:hAnsi="Arial"/>
                <w:sz w:val="18"/>
                <w:szCs w:val="18"/>
                <w:color w:val="auto"/>
                <w:w w:val="88"/>
              </w:rPr>
              <w:t>Condensed Consolidated Balance Sheets</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7800" w:type="dxa"/>
            <w:vAlign w:val="bottom"/>
            <w:gridSpan w:val="2"/>
          </w:tcPr>
          <w:p>
            <w:pPr>
              <w:jc w:val="center"/>
              <w:ind w:left="3530"/>
              <w:spacing w:after="0"/>
              <w:rPr>
                <w:sz w:val="20"/>
                <w:szCs w:val="20"/>
                <w:color w:val="auto"/>
              </w:rPr>
            </w:pPr>
            <w:r>
              <w:rPr>
                <w:rFonts w:ascii="Arial" w:cs="Arial" w:eastAsia="Arial" w:hAnsi="Arial"/>
                <w:sz w:val="18"/>
                <w:szCs w:val="18"/>
                <w:color w:val="auto"/>
                <w:w w:val="87"/>
              </w:rPr>
              <w:t>(in thousands, except share and per share amounts)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360" w:type="dxa"/>
            <w:vAlign w:val="bottom"/>
          </w:tcPr>
          <w:p>
            <w:pPr>
              <w:jc w:val="center"/>
              <w:ind w:left="3970"/>
              <w:spacing w:after="0"/>
              <w:rPr>
                <w:sz w:val="20"/>
                <w:szCs w:val="20"/>
                <w:color w:val="auto"/>
              </w:rPr>
            </w:pPr>
            <w:r>
              <w:rPr>
                <w:rFonts w:ascii="Arial" w:cs="Arial" w:eastAsia="Arial" w:hAnsi="Arial"/>
                <w:sz w:val="18"/>
                <w:szCs w:val="18"/>
                <w:color w:val="auto"/>
                <w:w w:val="90"/>
              </w:rPr>
              <w:t>(unaudited)</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7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24"/>
                <w:szCs w:val="24"/>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93,526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48,584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28,695</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8,146</w:t>
            </w: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11,199</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125,614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141,566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4,521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3,208</w:t>
            </w: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9,577</w:t>
            </w:r>
          </w:p>
        </w:tc>
      </w:tr>
      <w:tr>
        <w:trPr>
          <w:trHeight w:val="25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145,651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158,872</w:t>
            </w: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54,647</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45,031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incentive, current portion</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w:t>
            </w: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55,049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45,420</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4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130,088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125,000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incentive, net of current portion</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4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635</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894</w:t>
            </w: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186,843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172,967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2"/>
        </w:trPr>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$0.001 par value per share (5,000,000 shares authorized, no shares issued and</w:t>
            </w:r>
          </w:p>
        </w:tc>
        <w:tc>
          <w:tcPr>
            <w:tcW w:w="4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44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02"/>
        </w:trPr>
        <w:tc>
          <w:tcPr>
            <w:tcW w:w="7360" w:type="dxa"/>
            <w:vAlign w:val="bottom"/>
          </w:tcPr>
          <w:p>
            <w:pPr>
              <w:spacing w:after="0" w:line="201" w:lineRule="exact"/>
              <w:rPr>
                <w:sz w:val="20"/>
                <w:szCs w:val="20"/>
                <w:color w:val="auto"/>
              </w:rPr>
            </w:pPr>
            <w:r>
              <w:rPr>
                <w:rFonts w:ascii="Arial" w:cs="Arial" w:eastAsia="Arial" w:hAnsi="Arial"/>
                <w:sz w:val="18"/>
                <w:szCs w:val="18"/>
                <w:color w:val="auto"/>
                <w:w w:val="97"/>
              </w:rPr>
              <w:t>Common stock, $0.001 par value per share (230,000,000 shares authorized, 120,513,208 and</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w w:val="92"/>
              </w:rPr>
              <w:t>119,272,304 shares issued, 120,433,260 and 119,192,356 shares outstanding at June 30, 2018 and</w:t>
            </w: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December 31, 2017, respectively)</w:t>
            </w:r>
          </w:p>
        </w:tc>
        <w:tc>
          <w:tcPr>
            <w:tcW w:w="44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119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1,000,381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984,681</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Treasury stock, at cost, 79,948 shares</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(357 )</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(1,041,336 )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(998,538 )</w:t>
            </w: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deficit</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(41,192 )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(14,095 )</w:t>
            </w:r>
          </w:p>
        </w:tc>
      </w:tr>
      <w:tr>
        <w:trPr>
          <w:trHeight w:val="25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145,651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158,872</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6"/>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3440" w:type="dxa"/>
            <w:vAlign w:val="bottom"/>
            <w:gridSpan w:val="5"/>
          </w:tcPr>
          <w:p>
            <w:pPr>
              <w:jc w:val="right"/>
              <w:ind w:right="10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1"/>
              </w:rPr>
              <w:t>June 30,</w:t>
            </w:r>
          </w:p>
        </w:tc>
        <w:tc>
          <w:tcPr>
            <w:tcW w:w="1380" w:type="dxa"/>
            <w:vAlign w:val="bottom"/>
            <w:tcBorders>
              <w:bottom w:val="single" w:sz="8" w:color="auto"/>
            </w:tcBorders>
          </w:tcPr>
          <w:p>
            <w:pPr>
              <w:spacing w:after="0"/>
              <w:rPr>
                <w:sz w:val="20"/>
                <w:szCs w:val="20"/>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Net U.S. Auryxia product sales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24,105</w:t>
            </w:r>
          </w:p>
        </w:tc>
        <w:tc>
          <w:tcPr>
            <w:tcW w:w="8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14,116</w:t>
            </w:r>
          </w:p>
        </w:tc>
        <w:tc>
          <w:tcPr>
            <w:tcW w:w="26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44,727</w:t>
            </w:r>
          </w:p>
        </w:tc>
        <w:tc>
          <w:tcPr>
            <w:tcW w:w="8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24,621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1,028</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2,773</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2,343</w:t>
            </w:r>
          </w:p>
        </w:tc>
      </w:tr>
      <w:tr>
        <w:trPr>
          <w:trHeight w:val="21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25,749</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15,144</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47,500</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26,964</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4,379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17,029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8,653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License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1,406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9,012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17,162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15,776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28,711</w:t>
            </w: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24,986</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54,548</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48,089</w:t>
            </w:r>
          </w:p>
        </w:tc>
      </w:tr>
      <w:tr>
        <w:trPr>
          <w:trHeight w:val="21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45,900</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38,994</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90,403</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73,924</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(23,850 )</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(42,903 )</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(46,960 )</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(62,965 )</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(1,316 )</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(62,965 )</w:t>
            </w:r>
          </w:p>
        </w:tc>
      </w:tr>
      <w:tr>
        <w:trPr>
          <w:trHeight w:val="216"/>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452</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(62,627 )</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(1,145 )</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(62,513 )</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(21,518 )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(86,477 )</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(44,048 )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(109,473 )</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40</w:t>
            </w:r>
          </w:p>
        </w:tc>
      </w:tr>
      <w:tr>
        <w:trPr>
          <w:trHeight w:val="257"/>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(21,518)</w:t>
            </w: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(86,497)</w:t>
            </w:r>
          </w:p>
        </w:tc>
        <w:tc>
          <w:tcPr>
            <w:tcW w:w="2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(43,414)</w:t>
            </w: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(109,513)</w:t>
            </w:r>
          </w:p>
        </w:tc>
      </w:tr>
      <w:tr>
        <w:trPr>
          <w:trHeight w:val="26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r>
      <w:tr>
        <w:trPr>
          <w:trHeight w:val="202"/>
        </w:trPr>
        <w:tc>
          <w:tcPr>
            <w:tcW w:w="37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2"/>
              </w:rPr>
              <w:t>Weighted average shares used in computing basic</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51"/>
        </w:trPr>
        <w:tc>
          <w:tcPr>
            <w:tcW w:w="3740" w:type="dxa"/>
            <w:vAlign w:val="bottom"/>
          </w:tcPr>
          <w:p>
            <w:pPr>
              <w:spacing w:after="0"/>
              <w:rPr>
                <w:sz w:val="20"/>
                <w:szCs w:val="20"/>
                <w:color w:val="auto"/>
              </w:rPr>
            </w:pPr>
            <w:r>
              <w:rPr>
                <w:rFonts w:ascii="Arial" w:cs="Arial" w:eastAsia="Arial" w:hAnsi="Arial"/>
                <w:sz w:val="18"/>
                <w:szCs w:val="18"/>
                <w:color w:val="auto"/>
              </w:rPr>
              <w:t>and diluted net loss per common share</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120,451,534</w:t>
            </w:r>
          </w:p>
        </w:tc>
        <w:tc>
          <w:tcPr>
            <w:tcW w:w="1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112,590,188</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120,149,604</w:t>
            </w:r>
          </w:p>
        </w:tc>
        <w:tc>
          <w:tcPr>
            <w:tcW w:w="1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109,846,152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Six months ended</w:t>
            </w:r>
          </w:p>
        </w:tc>
        <w:tc>
          <w:tcPr>
            <w:tcW w:w="1260" w:type="dxa"/>
            <w:vAlign w:val="bottom"/>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260" w:type="dxa"/>
            <w:vAlign w:val="bottom"/>
            <w:tcBorders>
              <w:bottom w:val="single" w:sz="8" w:color="auto"/>
            </w:tcBorders>
          </w:tcPr>
          <w:p>
            <w:pPr>
              <w:spacing w:after="0"/>
              <w:rPr>
                <w:sz w:val="20"/>
                <w:szCs w:val="20"/>
                <w:color w:val="auto"/>
              </w:rPr>
            </w:pPr>
          </w:p>
        </w:tc>
      </w:tr>
      <w:tr>
        <w:trPr>
          <w:trHeight w:val="210"/>
        </w:trPr>
        <w:tc>
          <w:tcPr>
            <w:tcW w:w="73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(43,414)</w:t>
            </w:r>
          </w:p>
        </w:tc>
        <w:tc>
          <w:tcPr>
            <w:tcW w:w="100" w:type="dxa"/>
            <w:vAlign w:val="bottom"/>
          </w:tcPr>
          <w:p>
            <w:pPr>
              <w:spacing w:after="0"/>
              <w:rPr>
                <w:sz w:val="21"/>
                <w:szCs w:val="21"/>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(109,513)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cash flows used in operating activities: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7,336</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62,965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(225 )</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Amortization of deferred lease incentive</w:t>
            </w:r>
          </w:p>
        </w:tc>
        <w:tc>
          <w:tcPr>
            <w:tcW w:w="1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Write-down of inventory to net realizable value</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(5,466 )</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(3,223 )</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(24,516 )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(4,683 )</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7,988</w:t>
            </w: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(70 )</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(54,793 )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(44,157 )</w:t>
            </w:r>
          </w:p>
        </w:tc>
      </w:tr>
      <w:tr>
        <w:trPr>
          <w:trHeight w:val="210"/>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(420 )</w:t>
            </w: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(420 )</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Proceeds from issuance of common stock, net of commission</w:t>
            </w:r>
          </w:p>
        </w:tc>
        <w:tc>
          <w:tcPr>
            <w:tcW w:w="1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73,125</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senior notes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Payments for common stock issuance costs</w:t>
            </w:r>
          </w:p>
        </w:tc>
        <w:tc>
          <w:tcPr>
            <w:tcW w:w="1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10,777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73,294</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(44,068 )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28,717</w:t>
            </w: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93,526</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111,810</w:t>
            </w:r>
          </w:p>
        </w:tc>
      </w:tr>
      <w:tr>
        <w:trPr>
          <w:trHeight w:val="25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24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49,458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140,527</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conversion feature recorded as debt discount</w:t>
            </w:r>
          </w:p>
        </w:tc>
        <w:tc>
          <w:tcPr>
            <w:tcW w:w="12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auto"/>
              </w:rPr>
              <w:t>Reclassification of derivative liability to equity</w:t>
            </w:r>
          </w:p>
        </w:tc>
        <w:tc>
          <w:tcPr>
            <w:tcW w:w="124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62,735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8"/>
          <w:szCs w:val="18"/>
          <w:b w:val="1"/>
          <w:bCs w:val="1"/>
          <w:color w:val="auto"/>
        </w:rPr>
        <w:t>Keryx Biopharmaceuticals,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“Keryx,” “Company,” “we,” “us” and “our” refer to Keryx Biopharmaceuticals, Inc. and our subsidiaries.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ind w:firstLine="543"/>
        <w:spacing w:after="0" w:line="269" w:lineRule="auto"/>
        <w:rPr>
          <w:sz w:val="20"/>
          <w:szCs w:val="20"/>
          <w:color w:val="auto"/>
        </w:rPr>
      </w:pPr>
      <w:r>
        <w:rPr>
          <w:rFonts w:ascii="Arial" w:cs="Arial" w:eastAsia="Arial" w:hAnsi="Arial"/>
          <w:sz w:val="17"/>
          <w:szCs w:val="17"/>
          <w:color w:val="auto"/>
        </w:rPr>
        <w:t>We are a commercial stage biopharmaceutical company focused on bringing innovative medicines to people with kidney disease. Our long-term vision is to build a multi-product kidney care company. Our marketed product, Auryxia (ferric citrate) tablets, is an orally available, absorbable, iron-based medicine. Auryxia is approved by the U.S. Food and Drug Administration, or FDA, for two indications. Auryxia was originally approved in September 2014 for the control of serum phosphorus levels in patients with chronic kidney disease, or CKD, on dialysis. Additionally, in November 2017, the FDA approved Auryxia for the treatment of iron deficiency anemia in adults with CKD, not on dialysis. With two FDA-approved indications, we will leverage our U.S. clinical and commercial infrastructure to make Auryxia available to millions of people with CKD and either iron deficiency anemia or elevated levels of serum phosphorus, which is referred to as hyperphosphatemia. Ferric citrate is also approved in Japan under the trade name Riona and marketed by our Japanese partner, Japan Tobacco, Inc., or JT, and its subsidiary, Torii Pharmaceutical Co., Ltd., or Torii, and approved in Europe as Fexeric. We use the brand name Auryxia when we refer to ferric citrate for use in the approved indications in the United States. We refer to the product as ferric citrate when referring to its investigational use. Our vision of building a multi-product kidney care company includes expansion of our product portfolio with other medicines that can help patients with kidney disease.</w:t>
      </w:r>
    </w:p>
    <w:p>
      <w:pPr>
        <w:spacing w:after="0" w:line="183" w:lineRule="exact"/>
        <w:rPr>
          <w:sz w:val="20"/>
          <w:szCs w:val="20"/>
          <w:color w:val="auto"/>
        </w:rPr>
      </w:pPr>
    </w:p>
    <w:p>
      <w:pPr>
        <w:ind w:right="20" w:firstLine="543"/>
        <w:spacing w:after="0" w:line="302" w:lineRule="auto"/>
        <w:rPr>
          <w:sz w:val="20"/>
          <w:szCs w:val="20"/>
          <w:color w:val="auto"/>
        </w:rPr>
      </w:pPr>
      <w:r>
        <w:rPr>
          <w:rFonts w:ascii="Arial" w:cs="Arial" w:eastAsia="Arial" w:hAnsi="Arial"/>
          <w:sz w:val="16"/>
          <w:szCs w:val="16"/>
          <w:color w:val="auto"/>
        </w:rPr>
        <w:t xml:space="preserve">On June 28, 2018, we entered into an agreement and plan of merger with Akebia Therapeutics, Inc., or Akebia, a Delaware corporation, and Alpha Therapeutics Merger Sub Inc., a Delaware corporation and wholly-owned subsidiary of Akebia, or Merger Sub, pursuant to which we will combine our respective businesses through the merger of Merger Sub with and into us, with our company continuing after such merger as the surviving corporation and a wholly-owned subsidiary of Akebia, or the Merger. For additional details regarding the Merger, see Note 14 - </w:t>
      </w:r>
      <w:r>
        <w:rPr>
          <w:rFonts w:ascii="Arial" w:cs="Arial" w:eastAsia="Arial" w:hAnsi="Arial"/>
          <w:sz w:val="16"/>
          <w:szCs w:val="16"/>
          <w:i w:val="1"/>
          <w:iCs w:val="1"/>
          <w:color w:val="auto"/>
        </w:rPr>
        <w:t>Strategic Merger with Akebia Therapeutics, Inc.</w:t>
      </w:r>
    </w:p>
    <w:p>
      <w:pPr>
        <w:spacing w:after="0" w:line="285" w:lineRule="exact"/>
        <w:rPr>
          <w:sz w:val="20"/>
          <w:szCs w:val="20"/>
          <w:color w:val="auto"/>
        </w:rPr>
      </w:pPr>
    </w:p>
    <w:p>
      <w:pPr>
        <w:ind w:right="3180"/>
        <w:spacing w:after="0" w:line="378"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ind w:right="20" w:firstLine="543"/>
        <w:spacing w:after="0" w:line="285"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these interim financial statements have been included. These interim condensed consolidated financial statements should be read in conjunction with the audited consolidated financial statements contained in our Annual Report on Form</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10-K for the year ended December 31, 2017. The year-end condensed consolidated balance sheet data was derived from audited financial statements, but does not include all disclosures required by GAAP. The results of operations for the three and six months ended June 30, 2018 are not necessarily indicative of the results that may be expected for the entire fiscal year or any other interim period.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740" w:firstLine="543"/>
        <w:spacing w:after="0" w:line="277"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wholly-owned subsidiaries.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43"/>
        <w:spacing w:after="0" w:line="276" w:lineRule="auto"/>
        <w:rPr>
          <w:sz w:val="20"/>
          <w:szCs w:val="20"/>
          <w:color w:val="auto"/>
        </w:rPr>
      </w:pPr>
      <w:r>
        <w:rPr>
          <w:rFonts w:ascii="Arial" w:cs="Arial" w:eastAsia="Arial" w:hAnsi="Arial"/>
          <w:sz w:val="17"/>
          <w:szCs w:val="17"/>
          <w:color w:val="auto"/>
        </w:rPr>
        <w:t>The preparation of our condensed consolidated financial statements, which have been prepared in accordance with GAAP requires us to make estimates, judgments and assumptions that affect the reported amounts of assets, liabilities, equity revenue and expenses and related disclosure of contingent assets and liabilities. On an ongoing basis, we evaluate our estimates, judgments and assumptions. We base our estimates on historical experience, known trends and events and various other factors that we believe to be reasonable under the circumstances. These estimates are subject to an inherent degree of uncertainty, and as a result, actual results may differ from these estimates under different assumptions or conditions.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543"/>
        <w:spacing w:after="0" w:line="259" w:lineRule="auto"/>
        <w:rPr>
          <w:sz w:val="20"/>
          <w:szCs w:val="20"/>
          <w:color w:val="auto"/>
        </w:rPr>
      </w:pPr>
      <w:r>
        <w:rPr>
          <w:rFonts w:ascii="Arial" w:cs="Arial" w:eastAsia="Arial" w:hAnsi="Arial"/>
          <w:sz w:val="18"/>
          <w:szCs w:val="18"/>
          <w:color w:val="auto"/>
        </w:rPr>
        <w:t xml:space="preserve">Effective January 1, 2018, we adopted Accounting Standards Update, or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using the modified retrospective transition method. Under this transition method, we will not revise our consolidated financial statements for the years ended December 31, 2017 and 2016, and applicable interim periods within those years. Disclosure will be provided to show the impact to the consolidated financial statements, if any, as if ASU, 2014-09 had been effective for those periods.</w:t>
      </w:r>
    </w:p>
    <w:p>
      <w:pPr>
        <w:spacing w:after="0" w:line="187" w:lineRule="exact"/>
        <w:rPr>
          <w:sz w:val="20"/>
          <w:szCs w:val="20"/>
          <w:color w:val="auto"/>
        </w:rPr>
      </w:pPr>
    </w:p>
    <w:p>
      <w:pPr>
        <w:ind w:firstLine="543"/>
        <w:spacing w:after="0" w:line="255" w:lineRule="auto"/>
        <w:rPr>
          <w:sz w:val="20"/>
          <w:szCs w:val="20"/>
          <w:color w:val="auto"/>
        </w:rPr>
      </w:pPr>
      <w:r>
        <w:rPr>
          <w:rFonts w:ascii="Arial" w:cs="Arial" w:eastAsia="Arial" w:hAnsi="Arial"/>
          <w:sz w:val="18"/>
          <w:szCs w:val="18"/>
          <w:color w:val="auto"/>
        </w:rPr>
        <w:t>Our primary source of revenue during the reporting periods was product sales. We sell product to a limited number of major wholesalers, or our Distributors, as well as certain pharmacies, or collectively with our Distributors, our Customers. Our Distributors resell the product to retail pharmacies for purposes of their reselling the product to fill patient prescriptions. Under the new revenue standards, we recognize product revenue when our Customer obtains control of promised goods, in an amount that reflects the consideration which we expect to receive in exchange for those goods. We recognize revenue following the five step model prescribed under ASU No. 2014-09: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w:t>
      </w:r>
    </w:p>
    <w:p>
      <w:pPr>
        <w:spacing w:after="0" w:line="189" w:lineRule="exact"/>
        <w:rPr>
          <w:sz w:val="20"/>
          <w:szCs w:val="20"/>
          <w:color w:val="auto"/>
        </w:rPr>
      </w:pPr>
    </w:p>
    <w:p>
      <w:pPr>
        <w:ind w:right="160" w:firstLine="543"/>
        <w:spacing w:after="0" w:line="312" w:lineRule="auto"/>
        <w:rPr>
          <w:sz w:val="20"/>
          <w:szCs w:val="20"/>
          <w:color w:val="auto"/>
        </w:rPr>
      </w:pPr>
      <w:r>
        <w:rPr>
          <w:rFonts w:ascii="Arial" w:cs="Arial" w:eastAsia="Arial" w:hAnsi="Arial"/>
          <w:sz w:val="16"/>
          <w:szCs w:val="16"/>
          <w:i w:val="1"/>
          <w:iCs w:val="1"/>
          <w:color w:val="auto"/>
        </w:rPr>
        <w:t xml:space="preserve">Product Revenue: </w:t>
      </w:r>
      <w:r>
        <w:rPr>
          <w:rFonts w:ascii="Arial" w:cs="Arial" w:eastAsia="Arial" w:hAnsi="Arial"/>
          <w:sz w:val="16"/>
          <w:szCs w:val="16"/>
          <w:color w:val="auto"/>
        </w:rPr>
        <w:t>We sell product to a limited number of our Distributors as well as certain specialty pharmacies. Our Distributors resell the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to retail pharmacies for purposes of filling patient prescriptions. In addition to agreements with Customers, we enter into arrangements with health care providers and payors that provide for government-mandated or privately-negotiated discounts and rebates with respect to the purchase of our product.</w:t>
      </w:r>
    </w:p>
    <w:p>
      <w:pPr>
        <w:spacing w:after="0" w:line="147" w:lineRule="exact"/>
        <w:rPr>
          <w:sz w:val="20"/>
          <w:szCs w:val="20"/>
          <w:color w:val="auto"/>
        </w:rPr>
      </w:pPr>
    </w:p>
    <w:p>
      <w:pPr>
        <w:ind w:right="40" w:firstLine="543"/>
        <w:spacing w:after="0" w:line="264" w:lineRule="auto"/>
        <w:rPr>
          <w:sz w:val="20"/>
          <w:szCs w:val="20"/>
          <w:color w:val="auto"/>
        </w:rPr>
      </w:pPr>
      <w:r>
        <w:rPr>
          <w:rFonts w:ascii="Arial" w:cs="Arial" w:eastAsia="Arial" w:hAnsi="Arial"/>
          <w:sz w:val="18"/>
          <w:szCs w:val="18"/>
          <w:color w:val="auto"/>
        </w:rPr>
        <w:t>Revenue from product sales are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w:t>
      </w:r>
    </w:p>
    <w:p>
      <w:pPr>
        <w:spacing w:after="0" w:line="181" w:lineRule="exact"/>
        <w:rPr>
          <w:sz w:val="20"/>
          <w:szCs w:val="20"/>
          <w:color w:val="auto"/>
        </w:rPr>
      </w:pPr>
    </w:p>
    <w:p>
      <w:pPr>
        <w:ind w:right="220" w:firstLine="543"/>
        <w:spacing w:after="0" w:line="259" w:lineRule="auto"/>
        <w:rPr>
          <w:sz w:val="20"/>
          <w:szCs w:val="20"/>
          <w:color w:val="auto"/>
        </w:rPr>
      </w:pPr>
      <w:r>
        <w:rPr>
          <w:rFonts w:ascii="Arial" w:cs="Arial" w:eastAsia="Arial" w:hAnsi="Arial"/>
          <w:sz w:val="18"/>
          <w:szCs w:val="18"/>
          <w:i w:val="1"/>
          <w:iCs w:val="1"/>
          <w:color w:val="auto"/>
        </w:rPr>
        <w:t xml:space="preserve">Reserves for Discounts and Allowances: </w:t>
      </w:r>
      <w:r>
        <w:rPr>
          <w:rFonts w:ascii="Arial" w:cs="Arial" w:eastAsia="Arial" w:hAnsi="Arial"/>
          <w:sz w:val="18"/>
          <w:szCs w:val="18"/>
          <w:color w:val="auto"/>
        </w:rPr>
        <w:t>Revenue from product sales are recorded at the transaction price, which is equal to the sales price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 for discounts and allowances that are offered within contracts with our Customers, health care providers, payors or other indirect customers. These discounts and allowances represent variable consideration under the new revenue standards. Our process for estimating these components of variable consideration do not differ materially from our historical practices.</w:t>
      </w:r>
    </w:p>
    <w:p>
      <w:pPr>
        <w:spacing w:after="0" w:line="187" w:lineRule="exact"/>
        <w:rPr>
          <w:sz w:val="20"/>
          <w:szCs w:val="20"/>
          <w:color w:val="auto"/>
        </w:rPr>
      </w:pPr>
    </w:p>
    <w:p>
      <w:pPr>
        <w:ind w:right="20" w:firstLine="543"/>
        <w:spacing w:after="0" w:line="269" w:lineRule="auto"/>
        <w:rPr>
          <w:sz w:val="20"/>
          <w:szCs w:val="20"/>
          <w:color w:val="auto"/>
        </w:rPr>
      </w:pPr>
      <w:r>
        <w:rPr>
          <w:rFonts w:ascii="Arial" w:cs="Arial" w:eastAsia="Arial" w:hAnsi="Arial"/>
          <w:sz w:val="17"/>
          <w:szCs w:val="17"/>
          <w:color w:val="auto"/>
        </w:rPr>
        <w:t>Product revenue reserves are classified as a reduction in product revenue and are generally characterized in the following categories: trade allowances, rebates and chargebacks, product returns and other incentives. These reserves are based on estimates of the amounts earned or to be claimed on the related sale of product and are classified as either a reduction of accounts receivable or an accrued expense (current liability) on our consolidated balance sheets, depending on whether the consideration is paid to a direct customer or another third party with which we contract (e.g. provider or payor) and the method of payment. Our estimates of reserves for variable consideration typically utilize the most likely method and reflect our historical experience, current contractual and statutory requirements, specific known market events and trends, industry data and forecasted customer buying and payment patterns. Our product revenue reserves reflect our best estimates of the amount of consideration to which we are entitled based on the terms of the individual contracts.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w:t>
      </w:r>
    </w:p>
    <w:p>
      <w:pPr>
        <w:spacing w:after="0" w:line="183" w:lineRule="exact"/>
        <w:rPr>
          <w:sz w:val="20"/>
          <w:szCs w:val="20"/>
          <w:color w:val="auto"/>
        </w:rPr>
      </w:pPr>
    </w:p>
    <w:p>
      <w:pPr>
        <w:ind w:right="200" w:firstLine="543"/>
        <w:spacing w:after="0" w:line="297"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Our license revenue consists of license fees, royalties and milestone payments arising from our agreement with JT and Torii. We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royalty revenues on sales by JT and Torii of Riona in Japan. We do not have future performance obligations under this license arrangements. We record these royalty revenues based on estimates of the net sales that occurred during the relevant period as license revenue. The relevant period estimate of sales is based on analysis of historical royalties that have been paid to us, adjusted for any changes in facts and circumstances, as appropriate. Differences between actual and estimated royalty revenues are adjusted in the period in which they become known, typically the following quarter.</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right="100" w:firstLine="543"/>
        <w:spacing w:after="0" w:line="264" w:lineRule="auto"/>
        <w:rPr>
          <w:sz w:val="20"/>
          <w:szCs w:val="20"/>
          <w:color w:val="auto"/>
        </w:rPr>
      </w:pPr>
      <w:r>
        <w:rPr>
          <w:rFonts w:ascii="Arial" w:cs="Arial" w:eastAsia="Arial" w:hAnsi="Arial"/>
          <w:sz w:val="18"/>
          <w:szCs w:val="18"/>
          <w:color w:val="auto"/>
        </w:rPr>
        <w:t>Currently, our only product is Auryxia, which we commercialize only in the United States. We have no foreign operations; however, we currently generate license revenue based on net sales of Riona by our partner in Japan, as discussed above. License revenue for all periods presented represents royalty revenue generated from our sublicense agreement with JT and Torii.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9" w:name="page320"/>
    <w:bookmarkEnd w:id="319"/>
    <w:p>
      <w:pPr>
        <w:ind w:left="560"/>
        <w:spacing w:after="0"/>
        <w:rPr>
          <w:sz w:val="20"/>
          <w:szCs w:val="20"/>
          <w:color w:val="auto"/>
        </w:rPr>
      </w:pPr>
      <w:r>
        <w:rPr>
          <w:rFonts w:ascii="Arial" w:cs="Arial" w:eastAsia="Arial" w:hAnsi="Arial"/>
          <w:sz w:val="18"/>
          <w:szCs w:val="18"/>
          <w:b w:val="1"/>
          <w:bCs w:val="1"/>
          <w:color w:val="auto"/>
        </w:rPr>
        <w:t>Significant Judgments</w:t>
      </w:r>
    </w:p>
    <w:p>
      <w:pPr>
        <w:spacing w:after="0" w:line="121" w:lineRule="exact"/>
        <w:rPr>
          <w:sz w:val="20"/>
          <w:szCs w:val="20"/>
          <w:color w:val="auto"/>
        </w:rPr>
      </w:pPr>
    </w:p>
    <w:p>
      <w:pPr>
        <w:ind w:firstLine="543"/>
        <w:spacing w:after="0" w:line="276" w:lineRule="auto"/>
        <w:rPr>
          <w:sz w:val="20"/>
          <w:szCs w:val="20"/>
          <w:color w:val="auto"/>
        </w:rPr>
      </w:pPr>
      <w:r>
        <w:rPr>
          <w:rFonts w:ascii="Arial" w:cs="Arial" w:eastAsia="Arial" w:hAnsi="Arial"/>
          <w:sz w:val="17"/>
          <w:szCs w:val="17"/>
          <w:color w:val="auto"/>
        </w:rPr>
        <w:t>Our revenue reserves, consisting of various discounts and allowances, which are components of variable consideration as discussed above, are considered an area of significant judgment. Additionally, our license revenue in each period, as discussed above, is based on estimates of the net sales of our Japanese partner that occurred during the relevant period. The relevant period estimate of sales is based on analysis of historical royalties that have been paid to us, adjusted for any changes in facts and circumstances, as appropriate, and is considered an area of significant judgment. For these areas of significant judgment, actual amounts may ultimately differ from our estimates and are adjusted in the period in which they become known.</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Practical Expedients</w:t>
      </w:r>
    </w:p>
    <w:p>
      <w:pPr>
        <w:spacing w:after="0" w:line="121" w:lineRule="exact"/>
        <w:rPr>
          <w:sz w:val="20"/>
          <w:szCs w:val="20"/>
          <w:color w:val="auto"/>
        </w:rPr>
      </w:pPr>
    </w:p>
    <w:p>
      <w:pPr>
        <w:ind w:right="80" w:firstLine="543"/>
        <w:spacing w:after="0" w:line="264" w:lineRule="auto"/>
        <w:rPr>
          <w:sz w:val="20"/>
          <w:szCs w:val="20"/>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 Our accounts receivable arise from product sales and primarily represent amounts due from our wholesale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distributors. We do not adjust our receivables for the effects of a significant financing component at contract inception if we expect to collect the receivables in one year or less from the time of sale.</w:t>
      </w:r>
    </w:p>
    <w:p>
      <w:pPr>
        <w:spacing w:after="0" w:line="181" w:lineRule="exact"/>
        <w:rPr>
          <w:sz w:val="20"/>
          <w:szCs w:val="20"/>
          <w:color w:val="auto"/>
        </w:rPr>
      </w:pPr>
    </w:p>
    <w:p>
      <w:pPr>
        <w:ind w:right="300" w:firstLine="543"/>
        <w:spacing w:after="0" w:line="277" w:lineRule="auto"/>
        <w:rPr>
          <w:sz w:val="20"/>
          <w:szCs w:val="20"/>
          <w:color w:val="auto"/>
        </w:rPr>
      </w:pPr>
      <w:r>
        <w:rPr>
          <w:rFonts w:ascii="Arial" w:cs="Arial" w:eastAsia="Arial" w:hAnsi="Arial"/>
          <w:sz w:val="18"/>
          <w:szCs w:val="18"/>
          <w:i w:val="1"/>
          <w:iCs w:val="1"/>
          <w:color w:val="auto"/>
        </w:rPr>
        <w:t>Cost to obtain a contract</w:t>
      </w:r>
      <w:r>
        <w:rPr>
          <w:rFonts w:ascii="Arial" w:cs="Arial" w:eastAsia="Arial" w:hAnsi="Arial"/>
          <w:sz w:val="18"/>
          <w:szCs w:val="18"/>
          <w:color w:val="auto"/>
        </w:rPr>
        <w:t>: We recognize the incremental costs of obtaining a contract as an expense when incurred if the amortization period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that we otherwise would have recognized is one year or less or the amount is immaterial.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Sales taxes</w:t>
      </w:r>
      <w:r>
        <w:rPr>
          <w:rFonts w:ascii="Arial" w:cs="Arial" w:eastAsia="Arial" w:hAnsi="Arial"/>
          <w:sz w:val="16"/>
          <w:szCs w:val="16"/>
          <w:color w:val="auto"/>
        </w:rPr>
        <w:t>: Taxes collected from Customers relating to product sales and remitted to governmental authorities, if any, are excluded from revenues.</w:t>
      </w:r>
    </w:p>
    <w:p>
      <w:pPr>
        <w:spacing w:after="0" w:line="248" w:lineRule="exact"/>
        <w:rPr>
          <w:sz w:val="20"/>
          <w:szCs w:val="20"/>
          <w:color w:val="auto"/>
        </w:rPr>
      </w:pPr>
    </w:p>
    <w:p>
      <w:pPr>
        <w:ind w:right="200" w:firstLine="543"/>
        <w:spacing w:after="0" w:line="277" w:lineRule="auto"/>
        <w:rPr>
          <w:sz w:val="20"/>
          <w:szCs w:val="20"/>
          <w:color w:val="auto"/>
        </w:rPr>
      </w:pPr>
      <w:r>
        <w:rPr>
          <w:rFonts w:ascii="Arial" w:cs="Arial" w:eastAsia="Arial" w:hAnsi="Arial"/>
          <w:sz w:val="18"/>
          <w:szCs w:val="18"/>
          <w:color w:val="auto"/>
        </w:rPr>
        <w:t>Our U.S. Auryxia product sales for the three and six months ended June 30, 2018 and 2017 were offset by provisions for allowances and accruals as set forth in the tables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Three months</w:t>
            </w:r>
          </w:p>
        </w:tc>
        <w:tc>
          <w:tcPr>
            <w:tcW w:w="120" w:type="dxa"/>
            <w:vAlign w:val="bottom"/>
          </w:tcPr>
          <w:p>
            <w:pPr>
              <w:spacing w:after="0"/>
              <w:rPr>
                <w:sz w:val="18"/>
                <w:szCs w:val="18"/>
                <w:color w:val="auto"/>
              </w:rPr>
            </w:pPr>
          </w:p>
        </w:tc>
        <w:tc>
          <w:tcPr>
            <w:tcW w:w="19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Percent of</w:t>
            </w: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Three months</w:t>
            </w:r>
          </w:p>
        </w:tc>
        <w:tc>
          <w:tcPr>
            <w:tcW w:w="14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ended June 30,</w:t>
            </w:r>
          </w:p>
        </w:tc>
        <w:tc>
          <w:tcPr>
            <w:tcW w:w="120" w:type="dxa"/>
            <w:vAlign w:val="bottom"/>
          </w:tcPr>
          <w:p>
            <w:pPr>
              <w:spacing w:after="0"/>
              <w:rPr>
                <w:sz w:val="18"/>
                <w:szCs w:val="18"/>
                <w:color w:val="auto"/>
              </w:rPr>
            </w:pPr>
          </w:p>
        </w:tc>
        <w:tc>
          <w:tcPr>
            <w:tcW w:w="19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gross Auryxia</w:t>
            </w: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ended June 30,</w:t>
            </w:r>
          </w:p>
        </w:tc>
        <w:tc>
          <w:tcPr>
            <w:tcW w:w="14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 Auryxia</w:t>
            </w:r>
          </w:p>
        </w:tc>
      </w:tr>
      <w:tr>
        <w:trPr>
          <w:trHeight w:val="194"/>
        </w:trPr>
        <w:tc>
          <w:tcPr>
            <w:tcW w:w="4260" w:type="dxa"/>
            <w:vAlign w:val="bottom"/>
            <w:gridSpan w:val="2"/>
          </w:tcPr>
          <w:p>
            <w:pPr>
              <w:spacing w:after="0" w:line="194" w:lineRule="exact"/>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6"/>
                <w:szCs w:val="16"/>
                <w:color w:val="auto"/>
              </w:rPr>
            </w:pPr>
          </w:p>
        </w:tc>
        <w:tc>
          <w:tcPr>
            <w:tcW w:w="1540" w:type="dxa"/>
            <w:vAlign w:val="bottom"/>
          </w:tcPr>
          <w:p>
            <w:pPr>
              <w:jc w:val="center"/>
              <w:ind w:right="210"/>
              <w:spacing w:after="0" w:line="194" w:lineRule="exact"/>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16"/>
                <w:szCs w:val="16"/>
                <w:color w:val="auto"/>
              </w:rPr>
            </w:pPr>
          </w:p>
        </w:tc>
        <w:tc>
          <w:tcPr>
            <w:tcW w:w="1980" w:type="dxa"/>
            <w:vAlign w:val="bottom"/>
            <w:gridSpan w:val="3"/>
          </w:tcPr>
          <w:p>
            <w:pPr>
              <w:jc w:val="center"/>
              <w:ind w:right="390"/>
              <w:spacing w:after="0" w:line="194" w:lineRule="exact"/>
              <w:rPr>
                <w:sz w:val="20"/>
                <w:szCs w:val="20"/>
                <w:color w:val="auto"/>
              </w:rPr>
            </w:pPr>
            <w:r>
              <w:rPr>
                <w:rFonts w:ascii="Arial" w:cs="Arial" w:eastAsia="Arial" w:hAnsi="Arial"/>
                <w:sz w:val="18"/>
                <w:szCs w:val="18"/>
                <w:b w:val="1"/>
                <w:bCs w:val="1"/>
                <w:color w:val="auto"/>
                <w:w w:val="87"/>
              </w:rPr>
              <w:t>product sales</w:t>
            </w:r>
          </w:p>
        </w:tc>
        <w:tc>
          <w:tcPr>
            <w:tcW w:w="1500" w:type="dxa"/>
            <w:vAlign w:val="bottom"/>
          </w:tcPr>
          <w:p>
            <w:pPr>
              <w:jc w:val="center"/>
              <w:ind w:right="130"/>
              <w:spacing w:after="0" w:line="194" w:lineRule="exact"/>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6"/>
                <w:szCs w:val="16"/>
                <w:color w:val="auto"/>
              </w:rPr>
            </w:pPr>
          </w:p>
        </w:tc>
        <w:tc>
          <w:tcPr>
            <w:tcW w:w="1720" w:type="dxa"/>
            <w:vAlign w:val="bottom"/>
          </w:tcPr>
          <w:p>
            <w:pPr>
              <w:jc w:val="center"/>
              <w:ind w:right="130"/>
              <w:spacing w:after="0" w:line="194" w:lineRule="exact"/>
              <w:rPr>
                <w:sz w:val="20"/>
                <w:szCs w:val="20"/>
                <w:color w:val="auto"/>
              </w:rPr>
            </w:pPr>
            <w:r>
              <w:rPr>
                <w:rFonts w:ascii="Arial" w:cs="Arial" w:eastAsia="Arial" w:hAnsi="Arial"/>
                <w:sz w:val="18"/>
                <w:szCs w:val="18"/>
                <w:b w:val="1"/>
                <w:bCs w:val="1"/>
                <w:color w:val="auto"/>
                <w:w w:val="87"/>
              </w:rPr>
              <w:t>product sales</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Auryxia product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46,821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26,029</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5"/>
        </w:trPr>
        <w:tc>
          <w:tcPr>
            <w:tcW w:w="4260" w:type="dxa"/>
            <w:vAlign w:val="bottom"/>
            <w:gridSpan w:val="2"/>
          </w:tcPr>
          <w:p>
            <w:pPr>
              <w:spacing w:after="0"/>
              <w:rPr>
                <w:sz w:val="20"/>
                <w:szCs w:val="20"/>
                <w:color w:val="auto"/>
              </w:rPr>
            </w:pPr>
            <w:r>
              <w:rPr>
                <w:rFonts w:ascii="Arial" w:cs="Arial" w:eastAsia="Arial" w:hAnsi="Arial"/>
                <w:sz w:val="18"/>
                <w:szCs w:val="18"/>
                <w:color w:val="auto"/>
              </w:rPr>
              <w:t>Less provision for product sales allowances and</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accruals: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allowances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4,957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Rebates, chargebacks and discounts</w:t>
            </w:r>
          </w:p>
        </w:tc>
        <w:tc>
          <w:tcPr>
            <w:tcW w:w="16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16,135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8,784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returns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Other incentives</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1,052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22,716</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11,913</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4"/>
        </w:trPr>
        <w:tc>
          <w:tcPr>
            <w:tcW w:w="4260" w:type="dxa"/>
            <w:vAlign w:val="bottom"/>
            <w:gridSpan w:val="2"/>
          </w:tcPr>
          <w:p>
            <w:pPr>
              <w:spacing w:after="0"/>
              <w:rPr>
                <w:sz w:val="20"/>
                <w:szCs w:val="20"/>
                <w:color w:val="auto"/>
              </w:rPr>
            </w:pPr>
            <w:r>
              <w:rPr>
                <w:rFonts w:ascii="Arial" w:cs="Arial" w:eastAsia="Arial" w:hAnsi="Arial"/>
                <w:sz w:val="18"/>
                <w:szCs w:val="18"/>
                <w:color w:val="auto"/>
              </w:rPr>
              <w:t>Net U.S. Auryxia product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24,105</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14,116</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02" w:lineRule="exact"/>
        <w:rPr>
          <w:sz w:val="20"/>
          <w:szCs w:val="20"/>
          <w:color w:val="auto"/>
        </w:rPr>
      </w:pPr>
    </w:p>
    <w:p>
      <w:pPr>
        <w:ind w:left="540" w:hanging="532"/>
        <w:spacing w:after="0"/>
        <w:tabs>
          <w:tab w:leader="none" w:pos="540" w:val="left"/>
        </w:tabs>
        <w:numPr>
          <w:ilvl w:val="0"/>
          <w:numId w:val="227"/>
        </w:numPr>
        <w:rPr>
          <w:rFonts w:ascii="Arial" w:cs="Arial" w:eastAsia="Arial" w:hAnsi="Arial"/>
          <w:sz w:val="15"/>
          <w:szCs w:val="15"/>
          <w:color w:val="auto"/>
        </w:rPr>
      </w:pPr>
      <w:r>
        <w:rPr>
          <w:rFonts w:ascii="Arial" w:cs="Arial" w:eastAsia="Arial" w:hAnsi="Arial"/>
          <w:sz w:val="18"/>
          <w:szCs w:val="18"/>
          <w:color w:val="auto"/>
        </w:rPr>
        <w:t>Includes co-pay assistance and voucher rebates.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Six months</w:t>
            </w:r>
          </w:p>
        </w:tc>
        <w:tc>
          <w:tcPr>
            <w:tcW w:w="140" w:type="dxa"/>
            <w:vAlign w:val="bottom"/>
          </w:tcPr>
          <w:p>
            <w:pPr>
              <w:spacing w:after="0"/>
              <w:rPr>
                <w:sz w:val="18"/>
                <w:szCs w:val="18"/>
                <w:color w:val="auto"/>
              </w:rPr>
            </w:pPr>
          </w:p>
        </w:tc>
        <w:tc>
          <w:tcPr>
            <w:tcW w:w="19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Percent of</w:t>
            </w: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Six months</w:t>
            </w:r>
          </w:p>
        </w:tc>
        <w:tc>
          <w:tcPr>
            <w:tcW w:w="14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ended June 30,</w:t>
            </w:r>
          </w:p>
        </w:tc>
        <w:tc>
          <w:tcPr>
            <w:tcW w:w="140" w:type="dxa"/>
            <w:vAlign w:val="bottom"/>
          </w:tcPr>
          <w:p>
            <w:pPr>
              <w:spacing w:after="0"/>
              <w:rPr>
                <w:sz w:val="18"/>
                <w:szCs w:val="18"/>
                <w:color w:val="auto"/>
              </w:rPr>
            </w:pPr>
          </w:p>
        </w:tc>
        <w:tc>
          <w:tcPr>
            <w:tcW w:w="19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gross Auryxia</w:t>
            </w: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ended June 30,</w:t>
            </w:r>
          </w:p>
        </w:tc>
        <w:tc>
          <w:tcPr>
            <w:tcW w:w="14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gross Auryxia</w:t>
            </w:r>
          </w:p>
        </w:tc>
      </w:tr>
      <w:tr>
        <w:trPr>
          <w:trHeight w:val="194"/>
        </w:trPr>
        <w:tc>
          <w:tcPr>
            <w:tcW w:w="4260" w:type="dxa"/>
            <w:vAlign w:val="bottom"/>
            <w:gridSpan w:val="2"/>
          </w:tcPr>
          <w:p>
            <w:pPr>
              <w:spacing w:after="0" w:line="194" w:lineRule="exact"/>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6"/>
                <w:szCs w:val="16"/>
                <w:color w:val="auto"/>
              </w:rPr>
            </w:pPr>
          </w:p>
        </w:tc>
        <w:tc>
          <w:tcPr>
            <w:tcW w:w="1540" w:type="dxa"/>
            <w:vAlign w:val="bottom"/>
          </w:tcPr>
          <w:p>
            <w:pPr>
              <w:jc w:val="center"/>
              <w:ind w:right="170"/>
              <w:spacing w:after="0" w:line="194" w:lineRule="exact"/>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6"/>
                <w:szCs w:val="16"/>
                <w:color w:val="auto"/>
              </w:rPr>
            </w:pPr>
          </w:p>
        </w:tc>
        <w:tc>
          <w:tcPr>
            <w:tcW w:w="1980" w:type="dxa"/>
            <w:vAlign w:val="bottom"/>
            <w:gridSpan w:val="3"/>
          </w:tcPr>
          <w:p>
            <w:pPr>
              <w:jc w:val="center"/>
              <w:ind w:right="390"/>
              <w:spacing w:after="0" w:line="194" w:lineRule="exact"/>
              <w:rPr>
                <w:sz w:val="20"/>
                <w:szCs w:val="20"/>
                <w:color w:val="auto"/>
              </w:rPr>
            </w:pPr>
            <w:r>
              <w:rPr>
                <w:rFonts w:ascii="Arial" w:cs="Arial" w:eastAsia="Arial" w:hAnsi="Arial"/>
                <w:sz w:val="18"/>
                <w:szCs w:val="18"/>
                <w:b w:val="1"/>
                <w:bCs w:val="1"/>
                <w:color w:val="auto"/>
                <w:w w:val="87"/>
              </w:rPr>
              <w:t>product sales</w:t>
            </w:r>
          </w:p>
        </w:tc>
        <w:tc>
          <w:tcPr>
            <w:tcW w:w="1500" w:type="dxa"/>
            <w:vAlign w:val="bottom"/>
          </w:tcPr>
          <w:p>
            <w:pPr>
              <w:jc w:val="center"/>
              <w:ind w:right="130"/>
              <w:spacing w:after="0" w:line="194" w:lineRule="exact"/>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6"/>
                <w:szCs w:val="16"/>
                <w:color w:val="auto"/>
              </w:rPr>
            </w:pPr>
          </w:p>
        </w:tc>
        <w:tc>
          <w:tcPr>
            <w:tcW w:w="1720" w:type="dxa"/>
            <w:vAlign w:val="bottom"/>
          </w:tcPr>
          <w:p>
            <w:pPr>
              <w:jc w:val="center"/>
              <w:ind w:right="130"/>
              <w:spacing w:after="0" w:line="194" w:lineRule="exact"/>
              <w:rPr>
                <w:sz w:val="20"/>
                <w:szCs w:val="20"/>
                <w:color w:val="auto"/>
              </w:rPr>
            </w:pPr>
            <w:r>
              <w:rPr>
                <w:rFonts w:ascii="Arial" w:cs="Arial" w:eastAsia="Arial" w:hAnsi="Arial"/>
                <w:sz w:val="18"/>
                <w:szCs w:val="18"/>
                <w:b w:val="1"/>
                <w:bCs w:val="1"/>
                <w:color w:val="auto"/>
                <w:w w:val="87"/>
              </w:rPr>
              <w:t>product sales</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Auryxia 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87,960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43,983</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5"/>
        </w:trPr>
        <w:tc>
          <w:tcPr>
            <w:tcW w:w="4260" w:type="dxa"/>
            <w:vAlign w:val="bottom"/>
            <w:gridSpan w:val="2"/>
          </w:tcPr>
          <w:p>
            <w:pPr>
              <w:spacing w:after="0"/>
              <w:rPr>
                <w:sz w:val="20"/>
                <w:szCs w:val="20"/>
                <w:color w:val="auto"/>
              </w:rPr>
            </w:pPr>
            <w:r>
              <w:rPr>
                <w:rFonts w:ascii="Arial" w:cs="Arial" w:eastAsia="Arial" w:hAnsi="Arial"/>
                <w:sz w:val="18"/>
                <w:szCs w:val="18"/>
                <w:color w:val="auto"/>
              </w:rPr>
              <w:t>Less provision for product sales allowances and</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accruals:</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allowances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9,140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Rebates, chargebacks and discounts</w:t>
            </w:r>
          </w:p>
        </w:tc>
        <w:tc>
          <w:tcPr>
            <w:tcW w:w="14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30,928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14,114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returns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Other incentives</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2,429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43,233</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19,362</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4"/>
        </w:trPr>
        <w:tc>
          <w:tcPr>
            <w:tcW w:w="4260" w:type="dxa"/>
            <w:vAlign w:val="bottom"/>
            <w:gridSpan w:val="2"/>
          </w:tcPr>
          <w:p>
            <w:pPr>
              <w:spacing w:after="0"/>
              <w:rPr>
                <w:sz w:val="20"/>
                <w:szCs w:val="20"/>
                <w:color w:val="auto"/>
              </w:rPr>
            </w:pPr>
            <w:r>
              <w:rPr>
                <w:rFonts w:ascii="Arial" w:cs="Arial" w:eastAsia="Arial" w:hAnsi="Arial"/>
                <w:sz w:val="18"/>
                <w:szCs w:val="18"/>
                <w:color w:val="auto"/>
              </w:rPr>
              <w:t>Net U.S. Auryxia product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44,727</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24,621</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02" w:lineRule="exact"/>
        <w:rPr>
          <w:sz w:val="20"/>
          <w:szCs w:val="20"/>
          <w:color w:val="auto"/>
        </w:rPr>
      </w:pPr>
    </w:p>
    <w:p>
      <w:pPr>
        <w:ind w:left="540" w:hanging="532"/>
        <w:spacing w:after="0"/>
        <w:tabs>
          <w:tab w:leader="none" w:pos="540" w:val="left"/>
        </w:tabs>
        <w:numPr>
          <w:ilvl w:val="0"/>
          <w:numId w:val="228"/>
        </w:numPr>
        <w:rPr>
          <w:rFonts w:ascii="Arial" w:cs="Arial" w:eastAsia="Arial" w:hAnsi="Arial"/>
          <w:sz w:val="15"/>
          <w:szCs w:val="15"/>
          <w:color w:val="auto"/>
        </w:rPr>
      </w:pPr>
      <w:r>
        <w:rPr>
          <w:rFonts w:ascii="Arial" w:cs="Arial" w:eastAsia="Arial" w:hAnsi="Arial"/>
          <w:sz w:val="18"/>
          <w:szCs w:val="18"/>
          <w:color w:val="auto"/>
        </w:rPr>
        <w:t>Includes co-pay assistance and voucher rebates.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17" w:lineRule="exact"/>
        <w:rPr>
          <w:sz w:val="20"/>
          <w:szCs w:val="20"/>
          <w:color w:val="auto"/>
        </w:rPr>
      </w:pPr>
    </w:p>
    <w:p>
      <w:pPr>
        <w:ind w:right="180" w:firstLine="543"/>
        <w:spacing w:after="0" w:line="264" w:lineRule="auto"/>
        <w:rPr>
          <w:sz w:val="20"/>
          <w:szCs w:val="20"/>
          <w:color w:val="auto"/>
        </w:rPr>
      </w:pPr>
      <w:r>
        <w:rPr>
          <w:rFonts w:ascii="Arial" w:cs="Arial" w:eastAsia="Arial" w:hAnsi="Arial"/>
          <w:sz w:val="18"/>
          <w:szCs w:val="18"/>
          <w:color w:val="auto"/>
        </w:rPr>
        <w:t>Basic net loss per share is computed by dividing the losses allocable to common stockholders by the weighted average number of shares of common stock outstanding for the period. Diluted net loss per share does not reflect the effect of shares of common stock to be issued upon the exercise of stock options, as their inclusion would be anti-dilutive.</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amounts that were excluded from the calculation of diluted net loss per share, due to their anti-dilutive effect: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60" w:type="dxa"/>
            <w:vAlign w:val="bottom"/>
            <w:gridSpan w:val="2"/>
          </w:tcPr>
          <w:p>
            <w:pPr>
              <w:ind w:left="540"/>
              <w:spacing w:after="0"/>
              <w:rPr>
                <w:sz w:val="20"/>
                <w:szCs w:val="20"/>
                <w:color w:val="auto"/>
              </w:rPr>
            </w:pPr>
            <w:r>
              <w:rPr>
                <w:rFonts w:ascii="Arial" w:cs="Arial" w:eastAsia="Arial" w:hAnsi="Arial"/>
                <w:sz w:val="18"/>
                <w:szCs w:val="18"/>
                <w:b w:val="1"/>
                <w:bCs w:val="1"/>
                <w:color w:val="auto"/>
              </w:rPr>
              <w:t>June 30,</w:t>
            </w:r>
          </w:p>
        </w:tc>
        <w:tc>
          <w:tcPr>
            <w:tcW w:w="1880" w:type="dxa"/>
            <w:vAlign w:val="bottom"/>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37"/>
        </w:trPr>
        <w:tc>
          <w:tcPr>
            <w:tcW w:w="1040" w:type="dxa"/>
            <w:vAlign w:val="bottom"/>
            <w:tcBorders>
              <w:top w:val="single" w:sz="8" w:color="auto"/>
              <w:bottom w:val="single" w:sz="8" w:color="CCEEFF"/>
            </w:tcBorders>
          </w:tcPr>
          <w:p>
            <w:pPr>
              <w:spacing w:after="0"/>
              <w:rPr>
                <w:sz w:val="20"/>
                <w:szCs w:val="20"/>
                <w:color w:val="auto"/>
              </w:rPr>
            </w:pPr>
          </w:p>
        </w:tc>
        <w:tc>
          <w:tcPr>
            <w:tcW w:w="644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r>
      <w:tr>
        <w:trPr>
          <w:trHeight w:val="223"/>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11,044</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12,469</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Shares issuable upon conversion of convertible senior notes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35,582</w:t>
            </w:r>
          </w:p>
        </w:tc>
        <w:tc>
          <w:tcPr>
            <w:tcW w:w="2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33,422</w:t>
            </w:r>
          </w:p>
        </w:tc>
      </w:tr>
      <w:tr>
        <w:trPr>
          <w:trHeight w:val="23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issuable under Notes Conversion Agreement</w:t>
            </w:r>
            <w:r>
              <w:rPr>
                <w:rFonts w:ascii="Arial" w:cs="Arial" w:eastAsia="Arial" w:hAnsi="Arial"/>
                <w:sz w:val="15"/>
                <w:szCs w:val="15"/>
                <w:color w:val="auto"/>
              </w:rPr>
              <w:t>(1)</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4"/>
        </w:trPr>
        <w:tc>
          <w:tcPr>
            <w:tcW w:w="104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50,626</w:t>
            </w:r>
          </w:p>
        </w:tc>
        <w:tc>
          <w:tcPr>
            <w:tcW w:w="2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45,891</w:t>
            </w:r>
          </w:p>
        </w:tc>
      </w:tr>
    </w:tbl>
    <w:p>
      <w:pPr>
        <w:spacing w:after="0" w:line="201" w:lineRule="exact"/>
        <w:rPr>
          <w:sz w:val="20"/>
          <w:szCs w:val="20"/>
          <w:color w:val="auto"/>
        </w:rPr>
      </w:pPr>
    </w:p>
    <w:p>
      <w:pPr>
        <w:ind w:left="540" w:hanging="532"/>
        <w:spacing w:after="0"/>
        <w:tabs>
          <w:tab w:leader="none" w:pos="540" w:val="left"/>
        </w:tabs>
        <w:numPr>
          <w:ilvl w:val="0"/>
          <w:numId w:val="229"/>
        </w:numPr>
        <w:rPr>
          <w:rFonts w:ascii="Arial" w:cs="Arial" w:eastAsia="Arial" w:hAnsi="Arial"/>
          <w:sz w:val="15"/>
          <w:szCs w:val="15"/>
          <w:color w:val="auto"/>
        </w:rPr>
      </w:pPr>
      <w:r>
        <w:rPr>
          <w:rFonts w:ascii="Arial" w:cs="Arial" w:eastAsia="Arial" w:hAnsi="Arial"/>
          <w:sz w:val="18"/>
          <w:szCs w:val="18"/>
          <w:color w:val="auto"/>
        </w:rPr>
        <w:t xml:space="preserve">See Note 14 - </w:t>
      </w:r>
      <w:r>
        <w:rPr>
          <w:rFonts w:ascii="Arial" w:cs="Arial" w:eastAsia="Arial" w:hAnsi="Arial"/>
          <w:sz w:val="18"/>
          <w:szCs w:val="18"/>
          <w:i w:val="1"/>
          <w:iCs w:val="1"/>
          <w:color w:val="auto"/>
        </w:rPr>
        <w:t>Strategic Merger with Akebia Therapeutics,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80" w:firstLine="543"/>
        <w:spacing w:after="0" w:line="264" w:lineRule="auto"/>
        <w:rPr>
          <w:sz w:val="20"/>
          <w:szCs w:val="20"/>
          <w:color w:val="auto"/>
        </w:rPr>
      </w:pPr>
      <w:r>
        <w:rPr>
          <w:rFonts w:ascii="Arial" w:cs="Arial" w:eastAsia="Arial" w:hAnsi="Arial"/>
          <w:sz w:val="18"/>
          <w:szCs w:val="18"/>
          <w:color w:val="auto"/>
        </w:rPr>
        <w:t xml:space="preserve">We do not have significant off-balance sheet risk or credit risk concentrations. We maintain our cash and cash equivalents with multiple financial institutions. As of June 30, 2018, approximately $2.0 million of our total $49.5 million cash and cash equivalents balance was invested in institutional money market funds. See Note 3 -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81" w:lineRule="exact"/>
        <w:rPr>
          <w:sz w:val="20"/>
          <w:szCs w:val="20"/>
          <w:color w:val="auto"/>
        </w:rPr>
      </w:pPr>
    </w:p>
    <w:p>
      <w:pPr>
        <w:ind w:right="240" w:firstLine="543"/>
        <w:spacing w:after="0" w:line="264" w:lineRule="auto"/>
        <w:rPr>
          <w:sz w:val="20"/>
          <w:szCs w:val="20"/>
          <w:color w:val="auto"/>
        </w:rPr>
      </w:pPr>
      <w:r>
        <w:rPr>
          <w:rFonts w:ascii="Arial" w:cs="Arial" w:eastAsia="Arial" w:hAnsi="Arial"/>
          <w:sz w:val="18"/>
          <w:szCs w:val="18"/>
          <w:color w:val="auto"/>
        </w:rPr>
        <w:t>Our accounts receivable, net at June 30, 2018 and December 31, 2017 represent amounts due to us from our Customers. We perform ongoing credit evaluations of our Customers and generally do not require collateral. The following table sets forth Customers who represented 10% or more of our total accounts receivable, net as of June 30, 2018 and December 31,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380" w:type="dxa"/>
            <w:vAlign w:val="bottom"/>
          </w:tcPr>
          <w:p>
            <w:pPr>
              <w:ind w:left="56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740" w:type="dxa"/>
            <w:vAlign w:val="bottom"/>
            <w:gridSpan w:val="2"/>
          </w:tcPr>
          <w:p>
            <w:pPr>
              <w:ind w:left="806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r>
      <w:tr>
        <w:trPr>
          <w:trHeight w:val="223"/>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Fresenius Medical Care Rx</w:t>
            </w:r>
          </w:p>
        </w:tc>
        <w:tc>
          <w:tcPr>
            <w:tcW w:w="13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AmerisourceBergen Drug Corporation</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Cardinal Health,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DaVita Rx</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McKesson Corporation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200" w:firstLine="543"/>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the FASB, or other standard setting bodies that we adopt as of the specified effective date.</w:t>
      </w:r>
    </w:p>
    <w:p>
      <w:pPr>
        <w:spacing w:after="0" w:line="170" w:lineRule="exact"/>
        <w:rPr>
          <w:sz w:val="20"/>
          <w:szCs w:val="20"/>
          <w:color w:val="auto"/>
        </w:rPr>
      </w:pPr>
    </w:p>
    <w:p>
      <w:pPr>
        <w:ind w:right="40" w:firstLine="543"/>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 comprehensive new standard which amends revenue recognition principles and provides a single set of criteria for revenue recognition among all industries. The new standard provides a five-step framework whereby revenue is recognized when promised goods or services are transferred to a customer at an amount that reflects the consideration to which the entity expects to be entitled in exchange for those goods or services. The standard also requires enhanced disclosures pertaining to revenue recognition in both interim and annual periods. This standard applies to all contracts with customers, except for contracts that are within the scope of other standards, such as leases, insurance, collaboration arrangements and financial instruments.</w:t>
      </w:r>
    </w:p>
    <w:p>
      <w:pPr>
        <w:spacing w:after="0" w:line="178" w:lineRule="exact"/>
        <w:rPr>
          <w:sz w:val="20"/>
          <w:szCs w:val="20"/>
          <w:color w:val="auto"/>
        </w:rPr>
      </w:pPr>
    </w:p>
    <w:p>
      <w:pPr>
        <w:ind w:right="320" w:firstLine="543"/>
        <w:spacing w:after="0" w:line="276" w:lineRule="auto"/>
        <w:rPr>
          <w:sz w:val="20"/>
          <w:szCs w:val="20"/>
          <w:color w:val="auto"/>
        </w:rPr>
      </w:pPr>
      <w:r>
        <w:rPr>
          <w:rFonts w:ascii="Arial" w:cs="Arial" w:eastAsia="Arial" w:hAnsi="Arial"/>
          <w:sz w:val="17"/>
          <w:szCs w:val="17"/>
          <w:color w:val="auto"/>
        </w:rPr>
        <w:t xml:space="preserve">The FASB has subsequently issued amendments to ASU No. 2014-09 that have the same effective date and transition date: ASU No.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ASU No.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 Revenue from Contracts with Customers</w:t>
      </w:r>
      <w:r>
        <w:rPr>
          <w:rFonts w:ascii="Arial" w:cs="Arial" w:eastAsia="Arial" w:hAnsi="Arial"/>
          <w:sz w:val="17"/>
          <w:szCs w:val="17"/>
          <w:color w:val="auto"/>
        </w:rPr>
        <w:t>. We adopted these amendments with ASU 2014-09, or collectively, the new revenue standards.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1" w:name="page322"/>
    <w:bookmarkEnd w:id="321"/>
    <w:p>
      <w:pPr>
        <w:ind w:right="260" w:firstLine="543"/>
        <w:spacing w:after="0" w:line="257" w:lineRule="auto"/>
        <w:rPr>
          <w:sz w:val="20"/>
          <w:szCs w:val="20"/>
          <w:color w:val="auto"/>
        </w:rPr>
      </w:pPr>
      <w:r>
        <w:rPr>
          <w:rFonts w:ascii="Arial" w:cs="Arial" w:eastAsia="Arial" w:hAnsi="Arial"/>
          <w:sz w:val="18"/>
          <w:szCs w:val="18"/>
          <w:color w:val="auto"/>
        </w:rPr>
        <w:t xml:space="preserve">The new revenue standards became effective for us on January 1, 2018 and were adopted using the modified retrospective method. The adoption of the new revenue standards did not have a material impact on our revenue recognition as the majority of our revenues continue to be recognized when the Customer takes control of our product. However, the adoption of the new revenue standards did result in an adjustment to retained earnings (accumulated deficit) as of the adoption date of $0.6 million related to our license revenue and related license expense. See Note 8 - </w:t>
      </w:r>
      <w:r>
        <w:rPr>
          <w:rFonts w:ascii="Arial" w:cs="Arial" w:eastAsia="Arial" w:hAnsi="Arial"/>
          <w:sz w:val="18"/>
          <w:szCs w:val="18"/>
          <w:i w:val="1"/>
          <w:iCs w:val="1"/>
          <w:color w:val="auto"/>
        </w:rPr>
        <w:t>License Agreements</w:t>
      </w:r>
      <w:r>
        <w:rPr>
          <w:rFonts w:ascii="Arial" w:cs="Arial" w:eastAsia="Arial" w:hAnsi="Arial"/>
          <w:sz w:val="18"/>
          <w:szCs w:val="18"/>
          <w:color w:val="auto"/>
        </w:rPr>
        <w:t xml:space="preserve"> for further discussion.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Under the new revenue standards, we recognize revenues when our Customer obtains control of promised goods, in an amount that reflects the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consideration which we expect to receive in exchange for those goods. We recognize revenues following the five step model prescribed under ASU No. 2014-</w:t>
      </w:r>
    </w:p>
    <w:p>
      <w:pPr>
        <w:spacing w:after="0" w:line="32" w:lineRule="exact"/>
        <w:rPr>
          <w:sz w:val="20"/>
          <w:szCs w:val="20"/>
          <w:color w:val="auto"/>
        </w:rPr>
      </w:pPr>
    </w:p>
    <w:p>
      <w:pPr>
        <w:ind w:right="440" w:firstLine="8"/>
        <w:spacing w:after="0" w:line="323" w:lineRule="auto"/>
        <w:tabs>
          <w:tab w:leader="none" w:pos="27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w:t>
      </w:r>
    </w:p>
    <w:p>
      <w:pPr>
        <w:spacing w:after="0" w:line="139" w:lineRule="exact"/>
        <w:rPr>
          <w:sz w:val="20"/>
          <w:szCs w:val="20"/>
          <w:color w:val="auto"/>
        </w:rPr>
      </w:pPr>
    </w:p>
    <w:p>
      <w:pPr>
        <w:ind w:right="100" w:firstLine="543"/>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requires that all lessees recognize the assets and liabilities that arise from leases on the balance sheet and disclose qualitative and quantitative information about its leasing arrangements. The new standard will be effective for us on January 1, 2019 and is required to be applied using a modified retrospective transition approach with application of the new guidance for all periods presented. We are in the process of reviewing contracts with our contract manufacturers to determine whether these agreements contain any potential embedded leases. Although our assessment is not complete, we currently expect the adoption of this guidance to result in the addition of material balances of leased assets and corresponding lease liabilities to our consolidated balance sheets. We do not currently expect a material impact to our consolidated statements of operations as a result of this standard.</w:t>
      </w:r>
    </w:p>
    <w:p>
      <w:pPr>
        <w:spacing w:after="0" w:line="178" w:lineRule="exact"/>
        <w:rPr>
          <w:sz w:val="20"/>
          <w:szCs w:val="20"/>
          <w:color w:val="auto"/>
        </w:rPr>
      </w:pPr>
    </w:p>
    <w:p>
      <w:pPr>
        <w:ind w:right="380" w:firstLine="543"/>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The new standard addresses eight specific cash flow issues with the objective of reducing the existing diversity in practice in how certain cash</w:t>
      </w:r>
      <w:r>
        <w:rPr>
          <w:rFonts w:ascii="Arial" w:cs="Arial" w:eastAsia="Arial" w:hAnsi="Arial"/>
          <w:sz w:val="17"/>
          <w:szCs w:val="17"/>
          <w:i w:val="1"/>
          <w:iCs w:val="1"/>
          <w:color w:val="auto"/>
        </w:rPr>
        <w:t xml:space="preserve"> </w:t>
      </w:r>
      <w:r>
        <w:rPr>
          <w:rFonts w:ascii="Arial" w:cs="Arial" w:eastAsia="Arial" w:hAnsi="Arial"/>
          <w:sz w:val="17"/>
          <w:szCs w:val="17"/>
          <w:color w:val="auto"/>
        </w:rPr>
        <w:t>receipts and cash payments are presented and classified in the statement of cash flows. The new standard was effective for us on January 1, 2018. The standard did not have a material impact on our consolidated statements of cash flows upon adoption.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the fair value measurements of applicable financial assets as of June 30, 2018 and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Financial assets at fair value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89"/>
              </w:rPr>
              <w:t>Financial assets at fair value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88"/>
              </w:rPr>
              <w:t>as of June 30, 2018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as of December 31, 2017</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30"/>
              <w:spacing w:after="0" w:line="170" w:lineRule="exact"/>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line="170"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4"/>
                <w:szCs w:val="14"/>
                <w:color w:val="auto"/>
              </w:rPr>
            </w:pPr>
          </w:p>
        </w:tc>
        <w:tc>
          <w:tcPr>
            <w:tcW w:w="960" w:type="dxa"/>
            <w:vAlign w:val="bottom"/>
          </w:tcPr>
          <w:p>
            <w:pPr>
              <w:jc w:val="right"/>
              <w:ind w:right="230"/>
              <w:spacing w:after="0" w:line="170" w:lineRule="exact"/>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50"/>
              <w:spacing w:after="0" w:line="170" w:lineRule="exact"/>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00"/>
              <w:spacing w:after="0" w:line="170" w:lineRule="exact"/>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4"/>
                <w:szCs w:val="14"/>
                <w:color w:val="auto"/>
              </w:rPr>
            </w:pPr>
          </w:p>
        </w:tc>
        <w:tc>
          <w:tcPr>
            <w:tcW w:w="940" w:type="dxa"/>
            <w:vAlign w:val="bottom"/>
          </w:tcPr>
          <w:p>
            <w:pPr>
              <w:jc w:val="right"/>
              <w:ind w:right="210"/>
              <w:spacing w:after="0" w:line="170"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equivalents</w:t>
            </w:r>
            <w:r>
              <w:rPr>
                <w:rFonts w:ascii="Arial" w:cs="Arial" w:eastAsia="Arial" w:hAnsi="Arial"/>
                <w:sz w:val="15"/>
                <w:szCs w:val="15"/>
                <w:color w:val="auto"/>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2,010</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2,010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100" w:hanging="532"/>
        <w:spacing w:after="0" w:line="277" w:lineRule="auto"/>
        <w:tabs>
          <w:tab w:leader="none" w:pos="540" w:val="left"/>
        </w:tabs>
        <w:numPr>
          <w:ilvl w:val="0"/>
          <w:numId w:val="231"/>
        </w:numPr>
        <w:rPr>
          <w:rFonts w:ascii="Arial" w:cs="Arial" w:eastAsia="Arial" w:hAnsi="Arial"/>
          <w:sz w:val="15"/>
          <w:szCs w:val="15"/>
          <w:color w:val="auto"/>
        </w:rPr>
      </w:pPr>
      <w:r>
        <w:rPr>
          <w:rFonts w:ascii="Arial" w:cs="Arial" w:eastAsia="Arial" w:hAnsi="Arial"/>
          <w:sz w:val="18"/>
          <w:szCs w:val="18"/>
          <w:color w:val="auto"/>
        </w:rPr>
        <w:t>Cash equivalents as of June 30, 2018 and December 31, 2017 consisted of institutional money market funds. The carrying value of our money market funds approximates fair value due to their short-term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20" w:firstLine="543"/>
        <w:spacing w:after="0" w:line="254" w:lineRule="auto"/>
        <w:rPr>
          <w:sz w:val="20"/>
          <w:szCs w:val="20"/>
          <w:color w:val="auto"/>
        </w:rPr>
      </w:pPr>
      <w:r>
        <w:rPr>
          <w:rFonts w:ascii="Arial" w:cs="Arial" w:eastAsia="Arial" w:hAnsi="Arial"/>
          <w:sz w:val="18"/>
          <w:szCs w:val="18"/>
          <w:color w:val="auto"/>
        </w:rPr>
        <w:t xml:space="preserve">In October 2015, we issued $125 million in Convertible Senior Notes, due 2020, or the Old Notes, in a private financing to funds managed by Baupost Group Securities, L.L.C., or Baupost. On May 8, 2018, we entered into a Notes Exchange Agreement, or the Notes Exchange Agreement, with funds managed by Baupost pursuant to which, on May 9, 2018, we issued $164.746 million of Convertible Senior Notes due 2021, or the New Notes, to Baupost in exchange for (a) the Old Notes, and (b) an additional investment of $10.0 million in cash. As of December 31, 2017, the fair value of the Old Notes was $155.4 million and, as of June 30, 2018, the fair value of the New Notes was $133.8 million, not including the additional 4.0 million shares that may be issued under the Notes Conversion Agreement, which in each case differs from their carrying value. The fair value of these notes is influenced by our stock price and stock price volatility. See Note 10 -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14 - </w:t>
      </w:r>
      <w:r>
        <w:rPr>
          <w:rFonts w:ascii="Arial" w:cs="Arial" w:eastAsia="Arial" w:hAnsi="Arial"/>
          <w:sz w:val="18"/>
          <w:szCs w:val="18"/>
          <w:i w:val="1"/>
          <w:iCs w:val="1"/>
          <w:color w:val="auto"/>
        </w:rPr>
        <w:t>Strategic Merger with Akebia Therapeutics, Inc.</w:t>
      </w:r>
      <w:r>
        <w:rPr>
          <w:rFonts w:ascii="Arial" w:cs="Arial" w:eastAsia="Arial" w:hAnsi="Arial"/>
          <w:sz w:val="18"/>
          <w:szCs w:val="18"/>
          <w:color w:val="auto"/>
        </w:rPr>
        <w:t xml:space="preserve"> for additional information on our debt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t>NOTE 4 - INVENTORY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ind w:left="560"/>
              <w:spacing w:after="0"/>
              <w:rPr>
                <w:sz w:val="20"/>
                <w:szCs w:val="20"/>
                <w:color w:val="auto"/>
              </w:rPr>
            </w:pPr>
            <w:r>
              <w:rPr>
                <w:rFonts w:ascii="Arial" w:cs="Arial" w:eastAsia="Arial" w:hAnsi="Arial"/>
                <w:sz w:val="18"/>
                <w:szCs w:val="18"/>
                <w:color w:val="auto"/>
              </w:rPr>
              <w:t>Inventory consists of the following at June 30, 2018 and December 31, 2017:</w:t>
            </w: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27"/>
        </w:trPr>
        <w:tc>
          <w:tcPr>
            <w:tcW w:w="10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194"/>
        </w:trPr>
        <w:tc>
          <w:tcPr>
            <w:tcW w:w="7520" w:type="dxa"/>
            <w:vAlign w:val="bottom"/>
            <w:gridSpan w:val="2"/>
          </w:tcPr>
          <w:p>
            <w:pPr>
              <w:spacing w:after="0" w:line="194" w:lineRule="exact"/>
              <w:rPr>
                <w:sz w:val="20"/>
                <w:szCs w:val="20"/>
                <w:color w:val="auto"/>
              </w:rPr>
            </w:pPr>
            <w:r>
              <w:rPr>
                <w:rFonts w:ascii="Arial" w:cs="Arial" w:eastAsia="Arial" w:hAnsi="Arial"/>
                <w:sz w:val="18"/>
                <w:szCs w:val="18"/>
                <w:color w:val="auto"/>
              </w:rPr>
              <w:t>(in thousands)</w:t>
            </w:r>
          </w:p>
        </w:tc>
        <w:tc>
          <w:tcPr>
            <w:tcW w:w="1260" w:type="dxa"/>
            <w:vAlign w:val="bottom"/>
          </w:tcPr>
          <w:p>
            <w:pPr>
              <w:jc w:val="right"/>
              <w:ind w:right="97"/>
              <w:spacing w:after="0" w:line="194" w:lineRule="exact"/>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ind w:right="710"/>
              <w:spacing w:after="0" w:line="194" w:lineRule="exact"/>
              <w:rPr>
                <w:sz w:val="20"/>
                <w:szCs w:val="20"/>
                <w:color w:val="auto"/>
              </w:rPr>
            </w:pPr>
            <w:r>
              <w:rPr>
                <w:rFonts w:ascii="Arial" w:cs="Arial" w:eastAsia="Arial" w:hAnsi="Arial"/>
                <w:sz w:val="18"/>
                <w:szCs w:val="18"/>
                <w:b w:val="1"/>
                <w:bCs w:val="1"/>
                <w:color w:val="auto"/>
              </w:rPr>
              <w:t>2017</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2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43,761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25,160</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r>
      <w:tr>
        <w:trPr>
          <w:trHeight w:val="244"/>
        </w:trPr>
        <w:tc>
          <w:tcPr>
            <w:tcW w:w="7520" w:type="dxa"/>
            <w:vAlign w:val="bottom"/>
            <w:gridSpan w:val="2"/>
          </w:tcPr>
          <w:p>
            <w:pPr>
              <w:spacing w:after="0"/>
              <w:rPr>
                <w:sz w:val="20"/>
                <w:szCs w:val="20"/>
                <w:color w:val="auto"/>
              </w:rPr>
            </w:pPr>
            <w:r>
              <w:rPr>
                <w:rFonts w:ascii="Arial" w:cs="Arial" w:eastAsia="Arial" w:hAnsi="Arial"/>
                <w:sz w:val="18"/>
                <w:szCs w:val="18"/>
                <w:color w:val="auto"/>
              </w:rPr>
              <w:t>Total inventory</w:t>
            </w:r>
          </w:p>
        </w:tc>
        <w:tc>
          <w:tcPr>
            <w:tcW w:w="1260" w:type="dxa"/>
            <w:vAlign w:val="bottom"/>
            <w:tcBorders>
              <w:bottom w:val="single" w:sz="8" w:color="auto"/>
            </w:tcBorders>
          </w:tcPr>
          <w:p>
            <w:pPr>
              <w:jc w:val="right"/>
              <w:ind w:right="109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48,584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28,695</w:t>
            </w:r>
          </w:p>
        </w:tc>
      </w:tr>
    </w:tbl>
    <w:p>
      <w:pPr>
        <w:spacing w:after="0" w:line="202" w:lineRule="exact"/>
        <w:rPr>
          <w:sz w:val="20"/>
          <w:szCs w:val="20"/>
          <w:color w:val="auto"/>
        </w:rPr>
      </w:pPr>
    </w:p>
    <w:p>
      <w:pPr>
        <w:jc w:val="both"/>
        <w:ind w:right="340" w:firstLine="543"/>
        <w:spacing w:after="0" w:line="264" w:lineRule="auto"/>
        <w:rPr>
          <w:sz w:val="20"/>
          <w:szCs w:val="20"/>
          <w:color w:val="auto"/>
        </w:rPr>
      </w:pPr>
      <w:r>
        <w:rPr>
          <w:rFonts w:ascii="Arial" w:cs="Arial" w:eastAsia="Arial" w:hAnsi="Arial"/>
          <w:sz w:val="18"/>
          <w:szCs w:val="18"/>
          <w:color w:val="auto"/>
        </w:rPr>
        <w:t>We wrote off approximately $1.2 million and $0.3 million of inventory that was determined to no longer be suitable for commercial manufacture, which was recorded to cost of goods sold during the three months ended June 30, 2018 and June 30, 2017, respectively, and $5.3 million and $0.3 million during the six months ended June 30, 2018 and June 30, 2017,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ind w:left="560"/>
              <w:spacing w:after="0"/>
              <w:rPr>
                <w:sz w:val="20"/>
                <w:szCs w:val="20"/>
                <w:color w:val="auto"/>
              </w:rPr>
            </w:pPr>
            <w:r>
              <w:rPr>
                <w:rFonts w:ascii="Arial" w:cs="Arial" w:eastAsia="Arial" w:hAnsi="Arial"/>
                <w:sz w:val="18"/>
                <w:szCs w:val="18"/>
                <w:color w:val="auto"/>
                <w:w w:val="97"/>
              </w:rPr>
              <w:t>Other current assets consisted of the following at June 30, 2018 and December 31, 2017:</w:t>
            </w: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27"/>
        </w:trPr>
        <w:tc>
          <w:tcPr>
            <w:tcW w:w="10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194"/>
        </w:trPr>
        <w:tc>
          <w:tcPr>
            <w:tcW w:w="7520" w:type="dxa"/>
            <w:vAlign w:val="bottom"/>
            <w:gridSpan w:val="2"/>
          </w:tcPr>
          <w:p>
            <w:pPr>
              <w:spacing w:after="0" w:line="194" w:lineRule="exact"/>
              <w:rPr>
                <w:sz w:val="20"/>
                <w:szCs w:val="20"/>
                <w:color w:val="auto"/>
              </w:rPr>
            </w:pPr>
            <w:r>
              <w:rPr>
                <w:rFonts w:ascii="Arial" w:cs="Arial" w:eastAsia="Arial" w:hAnsi="Arial"/>
                <w:sz w:val="18"/>
                <w:szCs w:val="18"/>
                <w:color w:val="auto"/>
              </w:rPr>
              <w:t>(in thousands)</w:t>
            </w:r>
          </w:p>
        </w:tc>
        <w:tc>
          <w:tcPr>
            <w:tcW w:w="1260" w:type="dxa"/>
            <w:vAlign w:val="bottom"/>
          </w:tcPr>
          <w:p>
            <w:pPr>
              <w:jc w:val="right"/>
              <w:ind w:right="97"/>
              <w:spacing w:after="0" w:line="194" w:lineRule="exact"/>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ind w:right="710"/>
              <w:spacing w:after="0" w:line="194" w:lineRule="exact"/>
              <w:rPr>
                <w:sz w:val="20"/>
                <w:szCs w:val="20"/>
                <w:color w:val="auto"/>
              </w:rPr>
            </w:pPr>
            <w:r>
              <w:rPr>
                <w:rFonts w:ascii="Arial" w:cs="Arial" w:eastAsia="Arial" w:hAnsi="Arial"/>
                <w:sz w:val="18"/>
                <w:szCs w:val="18"/>
                <w:b w:val="1"/>
                <w:bCs w:val="1"/>
                <w:color w:val="auto"/>
              </w:rPr>
              <w:t>2017</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manufacturing costs</w:t>
            </w: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Prepaid selling, general and administrative expenses</w:t>
            </w:r>
          </w:p>
        </w:tc>
        <w:tc>
          <w:tcPr>
            <w:tcW w:w="12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2,265</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44"/>
        </w:trPr>
        <w:tc>
          <w:tcPr>
            <w:tcW w:w="7520" w:type="dxa"/>
            <w:vAlign w:val="bottom"/>
            <w:gridSpan w:val="2"/>
          </w:tcPr>
          <w:p>
            <w:pPr>
              <w:spacing w:after="0"/>
              <w:rPr>
                <w:sz w:val="20"/>
                <w:szCs w:val="20"/>
                <w:color w:val="auto"/>
              </w:rPr>
            </w:pPr>
            <w:r>
              <w:rPr>
                <w:rFonts w:ascii="Arial" w:cs="Arial" w:eastAsia="Arial" w:hAnsi="Arial"/>
                <w:sz w:val="18"/>
                <w:szCs w:val="18"/>
                <w:color w:val="auto"/>
              </w:rPr>
              <w:t>Total other current assets</w:t>
            </w:r>
          </w:p>
        </w:tc>
        <w:tc>
          <w:tcPr>
            <w:tcW w:w="1260" w:type="dxa"/>
            <w:vAlign w:val="bottom"/>
            <w:tcBorders>
              <w:bottom w:val="single" w:sz="8" w:color="auto"/>
            </w:tcBorders>
          </w:tcPr>
          <w:p>
            <w:pPr>
              <w:jc w:val="right"/>
              <w:ind w:right="109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12,142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w:t>
            </w:r>
          </w:p>
        </w:tc>
      </w:tr>
    </w:tbl>
    <w:p>
      <w:pPr>
        <w:spacing w:after="0" w:line="202" w:lineRule="exact"/>
        <w:rPr>
          <w:sz w:val="20"/>
          <w:szCs w:val="20"/>
          <w:color w:val="auto"/>
        </w:rPr>
      </w:pPr>
    </w:p>
    <w:p>
      <w:pPr>
        <w:jc w:val="both"/>
        <w:ind w:right="80" w:firstLine="543"/>
        <w:spacing w:after="0" w:line="277" w:lineRule="auto"/>
        <w:rPr>
          <w:sz w:val="20"/>
          <w:szCs w:val="20"/>
          <w:color w:val="auto"/>
        </w:rPr>
      </w:pPr>
      <w:r>
        <w:rPr>
          <w:rFonts w:ascii="Arial" w:cs="Arial" w:eastAsia="Arial" w:hAnsi="Arial"/>
          <w:sz w:val="18"/>
          <w:szCs w:val="18"/>
          <w:color w:val="auto"/>
        </w:rPr>
        <w:t>Prepaid manufacturing costs as of June 30, 2018 and December 31, 2017 primarily relate to upfront payments to our contract manufacturers related to 2018 production of inventory.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ind w:left="560"/>
              <w:spacing w:after="0"/>
              <w:rPr>
                <w:sz w:val="20"/>
                <w:szCs w:val="20"/>
                <w:color w:val="auto"/>
              </w:rPr>
            </w:pPr>
            <w:r>
              <w:rPr>
                <w:rFonts w:ascii="Arial" w:cs="Arial" w:eastAsia="Arial" w:hAnsi="Arial"/>
                <w:sz w:val="18"/>
                <w:szCs w:val="18"/>
                <w:color w:val="auto"/>
              </w:rPr>
              <w:t>Other assets, net consisted of the following at June 30, 2018 and December 31, 2017:</w:t>
            </w: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27"/>
        </w:trPr>
        <w:tc>
          <w:tcPr>
            <w:tcW w:w="10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194"/>
        </w:trPr>
        <w:tc>
          <w:tcPr>
            <w:tcW w:w="7520" w:type="dxa"/>
            <w:vAlign w:val="bottom"/>
            <w:gridSpan w:val="2"/>
          </w:tcPr>
          <w:p>
            <w:pPr>
              <w:spacing w:after="0" w:line="194" w:lineRule="exact"/>
              <w:rPr>
                <w:sz w:val="20"/>
                <w:szCs w:val="20"/>
                <w:color w:val="auto"/>
              </w:rPr>
            </w:pPr>
            <w:r>
              <w:rPr>
                <w:rFonts w:ascii="Arial" w:cs="Arial" w:eastAsia="Arial" w:hAnsi="Arial"/>
                <w:sz w:val="18"/>
                <w:szCs w:val="18"/>
                <w:color w:val="auto"/>
              </w:rPr>
              <w:t>(in thousands)</w:t>
            </w:r>
          </w:p>
        </w:tc>
        <w:tc>
          <w:tcPr>
            <w:tcW w:w="1260" w:type="dxa"/>
            <w:vAlign w:val="bottom"/>
          </w:tcPr>
          <w:p>
            <w:pPr>
              <w:jc w:val="right"/>
              <w:ind w:right="97"/>
              <w:spacing w:after="0" w:line="194" w:lineRule="exact"/>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ind w:right="710"/>
              <w:spacing w:after="0" w:line="194" w:lineRule="exact"/>
              <w:rPr>
                <w:sz w:val="20"/>
                <w:szCs w:val="20"/>
                <w:color w:val="auto"/>
              </w:rPr>
            </w:pPr>
            <w:r>
              <w:rPr>
                <w:rFonts w:ascii="Arial" w:cs="Arial" w:eastAsia="Arial" w:hAnsi="Arial"/>
                <w:sz w:val="18"/>
                <w:szCs w:val="18"/>
                <w:b w:val="1"/>
                <w:bCs w:val="1"/>
                <w:color w:val="auto"/>
              </w:rPr>
              <w:t>2017</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manufacturing costs</w:t>
            </w: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10,433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12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prepaid manufacturing costs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registration fees</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4"/>
        </w:trPr>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long-term assets</w:t>
            </w:r>
          </w:p>
        </w:tc>
        <w:tc>
          <w:tcPr>
            <w:tcW w:w="1260" w:type="dxa"/>
            <w:vAlign w:val="bottom"/>
            <w:tcBorders>
              <w:bottom w:val="single" w:sz="8" w:color="auto"/>
            </w:tcBorders>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12,732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w:t>
            </w:r>
          </w:p>
        </w:tc>
      </w:tr>
    </w:tbl>
    <w:p>
      <w:pPr>
        <w:spacing w:after="0" w:line="202" w:lineRule="exact"/>
        <w:rPr>
          <w:sz w:val="20"/>
          <w:szCs w:val="20"/>
          <w:color w:val="auto"/>
        </w:rPr>
      </w:pPr>
    </w:p>
    <w:p>
      <w:pPr>
        <w:ind w:right="20" w:firstLine="543"/>
        <w:spacing w:after="0" w:line="291" w:lineRule="auto"/>
        <w:rPr>
          <w:sz w:val="20"/>
          <w:szCs w:val="20"/>
          <w:color w:val="auto"/>
        </w:rPr>
      </w:pPr>
      <w:r>
        <w:rPr>
          <w:rFonts w:ascii="Arial" w:cs="Arial" w:eastAsia="Arial" w:hAnsi="Arial"/>
          <w:sz w:val="16"/>
          <w:szCs w:val="16"/>
          <w:color w:val="auto"/>
        </w:rPr>
        <w:t>Deferred manufacturing costs as of June 30, 2018 and December 31, 2017 consisted of amounts paid or payable under contract manufacturing agreements, including a $5.0 million milestone related to a facility construction agreement and $2.4 million and $2.3 million in product premiums payable by us to our contract manufacturer at June 30, 2018 and December 31, 2017, respectively. We capitalize certain expenses as deferred costs related to agreements with contract manufacturers in connection with the facility expansion activities. These costs will be capitalized as incurred and will begin to be expensed at such time that we begin to receive product from the newly-constructed or expanded facilities. These costs will be expensed ratably over the relevant supply periods based on anticipated product to be received from the facilities. At June 30, 2018 and December 31, 2017, zero and $7.3 million, respectively, included in deferred manufacturing costs were also recorded as a liability on our consolidated balance sheets as they had not yet been paid.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t>NOTE 6 - STOCKHOLDERS’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Stockholders’ Deficit</w:t>
      </w:r>
    </w:p>
    <w:p>
      <w:pPr>
        <w:spacing w:after="0" w:line="117" w:lineRule="exact"/>
        <w:rPr>
          <w:sz w:val="20"/>
          <w:szCs w:val="20"/>
          <w:color w:val="auto"/>
        </w:rPr>
      </w:pPr>
    </w:p>
    <w:p>
      <w:pPr>
        <w:ind w:right="40" w:firstLine="543"/>
        <w:spacing w:after="0" w:line="276" w:lineRule="auto"/>
        <w:rPr>
          <w:sz w:val="20"/>
          <w:szCs w:val="20"/>
          <w:color w:val="auto"/>
        </w:rPr>
      </w:pPr>
      <w:r>
        <w:rPr>
          <w:rFonts w:ascii="Arial" w:cs="Arial" w:eastAsia="Arial" w:hAnsi="Arial"/>
          <w:sz w:val="17"/>
          <w:szCs w:val="17"/>
          <w:color w:val="auto"/>
        </w:rPr>
        <w:t xml:space="preserve">Total stockholders’ deficit was $41.2 million at June 30, 2018, which is an increase of $27.1 million as compared to stockholders’ deficit at December 31, 2017 of $14.1 million. This increase was primarily attributable to our net loss of approximately $43.4 million for the six months ended June 30, 2018, partially offset by $8.7 million related to stock-based compensation expense, $6.2 million related to the recognition of an additional debt discount recorded in connection with the modification of our senior convertible notes and $0.6 million related to an adjustment to accumulated deficit as of January 1, 2018 upon the adoption of ASU 2014-09. See Note 8 - </w:t>
      </w:r>
      <w:r>
        <w:rPr>
          <w:rFonts w:ascii="Arial" w:cs="Arial" w:eastAsia="Arial" w:hAnsi="Arial"/>
          <w:sz w:val="17"/>
          <w:szCs w:val="17"/>
          <w:i w:val="1"/>
          <w:iCs w:val="1"/>
          <w:color w:val="auto"/>
        </w:rPr>
        <w:t>License Agreements</w:t>
      </w:r>
      <w:r>
        <w:rPr>
          <w:rFonts w:ascii="Arial" w:cs="Arial" w:eastAsia="Arial" w:hAnsi="Arial"/>
          <w:sz w:val="17"/>
          <w:szCs w:val="17"/>
          <w:color w:val="auto"/>
        </w:rPr>
        <w:t xml:space="preserve"> for further discussion related to the adjustment recorded.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240" w:firstLine="543"/>
        <w:spacing w:after="0" w:line="277" w:lineRule="auto"/>
        <w:rPr>
          <w:sz w:val="20"/>
          <w:szCs w:val="20"/>
          <w:color w:val="auto"/>
        </w:rPr>
      </w:pPr>
      <w:r>
        <w:rPr>
          <w:rFonts w:ascii="Arial" w:cs="Arial" w:eastAsia="Arial" w:hAnsi="Arial"/>
          <w:sz w:val="18"/>
          <w:szCs w:val="18"/>
          <w:color w:val="auto"/>
        </w:rPr>
        <w:t>As of June 30, 2018, a total of 7,768,360 shares were available for the issuance of stock options or other stock-based awards under our stock option and incentive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ind w:left="560"/>
              <w:spacing w:after="0"/>
              <w:rPr>
                <w:sz w:val="20"/>
                <w:szCs w:val="20"/>
                <w:color w:val="auto"/>
              </w:rPr>
            </w:pPr>
            <w:r>
              <w:rPr>
                <w:rFonts w:ascii="Arial" w:cs="Arial" w:eastAsia="Arial" w:hAnsi="Arial"/>
                <w:sz w:val="18"/>
                <w:szCs w:val="18"/>
                <w:color w:val="auto"/>
                <w:w w:val="93"/>
              </w:rPr>
              <w:t>The following table summarizes stock option activity for the six months ended June 30, 2018:</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748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24"/>
                <w:szCs w:val="24"/>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Weighted average</w:t>
            </w:r>
          </w:p>
        </w:tc>
      </w:tr>
      <w:tr>
        <w:trPr>
          <w:trHeight w:val="234"/>
        </w:trPr>
        <w:tc>
          <w:tcPr>
            <w:tcW w:w="7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exercise price</w:t>
            </w:r>
          </w:p>
        </w:tc>
      </w:tr>
      <w:tr>
        <w:trPr>
          <w:trHeight w:val="237"/>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11,967,815</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980,000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4.11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(204,521 )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3.80</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Expired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(1,699,249 )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5.85</w:t>
            </w:r>
          </w:p>
        </w:tc>
      </w:tr>
      <w:tr>
        <w:trPr>
          <w:trHeight w:val="257"/>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11,044,045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r>
      <w:tr>
        <w:trPr>
          <w:trHeight w:val="264"/>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Vested and expected to vest at June 30, 2018</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8,917,383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6.93</w:t>
            </w:r>
          </w:p>
        </w:tc>
      </w:tr>
      <w:tr>
        <w:trPr>
          <w:trHeight w:val="264"/>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2018</w:t>
            </w:r>
          </w:p>
        </w:tc>
        <w:tc>
          <w:tcPr>
            <w:tcW w:w="1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5,809,968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r>
    </w:tbl>
    <w:p>
      <w:pPr>
        <w:spacing w:after="0" w:line="161" w:lineRule="exact"/>
        <w:rPr>
          <w:sz w:val="20"/>
          <w:szCs w:val="20"/>
          <w:color w:val="auto"/>
        </w:rPr>
      </w:pPr>
    </w:p>
    <w:p>
      <w:pPr>
        <w:ind w:right="580" w:firstLine="543"/>
        <w:spacing w:after="0" w:line="277" w:lineRule="auto"/>
        <w:rPr>
          <w:sz w:val="20"/>
          <w:szCs w:val="20"/>
          <w:color w:val="auto"/>
        </w:rPr>
      </w:pPr>
      <w:r>
        <w:rPr>
          <w:rFonts w:ascii="Arial" w:cs="Arial" w:eastAsia="Arial" w:hAnsi="Arial"/>
          <w:sz w:val="18"/>
          <w:szCs w:val="18"/>
          <w:color w:val="auto"/>
        </w:rPr>
        <w:t>Upon the exercise of stock options, we issue new shares of our common stock. As of June 30, 2018, 3,177,500 options issued to employees are unvested, performance-based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80" w:firstLine="543"/>
        <w:spacing w:after="0" w:line="308" w:lineRule="auto"/>
        <w:rPr>
          <w:sz w:val="20"/>
          <w:szCs w:val="20"/>
          <w:color w:val="auto"/>
        </w:rPr>
      </w:pPr>
      <w:r>
        <w:rPr>
          <w:rFonts w:ascii="Arial" w:cs="Arial" w:eastAsia="Arial" w:hAnsi="Arial"/>
          <w:sz w:val="17"/>
          <w:szCs w:val="17"/>
          <w:color w:val="auto"/>
        </w:rPr>
        <w:t>Certain employees and directors have been awarded restricted stock under our equity incentive plans. The time-vesting restricted stock awards vest primarily over a period of three years. The following table summarizes restricted share activity for the six months ended June 30,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4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7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r>
      <w:tr>
        <w:trPr>
          <w:trHeight w:val="237"/>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1,884,297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1,523,650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4.45</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(598,170 )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5.62</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(487,267 )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4.90</w:t>
            </w:r>
          </w:p>
        </w:tc>
      </w:tr>
      <w:tr>
        <w:trPr>
          <w:trHeight w:val="257"/>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2,322,510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r>
    </w:tbl>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2018, 310,000 shares of restricted stock issued to employees are unvested, performance-based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543"/>
        <w:spacing w:after="0" w:line="264" w:lineRule="auto"/>
        <w:rPr>
          <w:sz w:val="20"/>
          <w:szCs w:val="20"/>
          <w:color w:val="auto"/>
        </w:rPr>
      </w:pPr>
      <w:r>
        <w:rPr>
          <w:rFonts w:ascii="Arial" w:cs="Arial" w:eastAsia="Arial" w:hAnsi="Arial"/>
          <w:sz w:val="18"/>
          <w:szCs w:val="18"/>
          <w:color w:val="auto"/>
        </w:rPr>
        <w:t>We incurred $5.0 million and $3.7 million of stock-based compensation expense related to equity incentive grants during the three months ended June 30, 2018 and 2017, respectively, and $8.7 million and $7.3 million during the six months ended June 30, 2018 and 2017, respectively. The following table reflects stock-based compensation expense for the three and six months ended June 30, 2018 and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0"/>
                <w:szCs w:val="20"/>
                <w:color w:val="auto"/>
              </w:rPr>
            </w:pPr>
          </w:p>
        </w:tc>
        <w:tc>
          <w:tcPr>
            <w:tcW w:w="33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4260" w:type="dxa"/>
            <w:vAlign w:val="bottom"/>
            <w:gridSpan w:val="3"/>
            <w:vMerge w:val="continue"/>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ind w:left="240"/>
              <w:spacing w:after="0" w:line="170" w:lineRule="exact"/>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30"/>
              <w:spacing w:after="0" w:line="170" w:lineRule="exact"/>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10"/>
              <w:spacing w:after="0" w:line="170" w:lineRule="exact"/>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10"/>
              <w:spacing w:after="0" w:line="170"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570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1,312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4,377</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3,161</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7,298</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4,972</w:t>
            </w:r>
          </w:p>
        </w:tc>
        <w:tc>
          <w:tcPr>
            <w:tcW w:w="3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3,672</w:t>
            </w:r>
          </w:p>
        </w:tc>
        <w:tc>
          <w:tcPr>
            <w:tcW w:w="2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8,653</w:t>
            </w:r>
          </w:p>
        </w:tc>
        <w:tc>
          <w:tcPr>
            <w:tcW w:w="2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Stock-based compensation costs capitalized as part of inventory were immaterial for the three and six months ended June 30, 2018 and 2017.</w:t>
      </w:r>
    </w:p>
    <w:p>
      <w:pPr>
        <w:spacing w:after="0" w:line="237" w:lineRule="exact"/>
        <w:rPr>
          <w:sz w:val="20"/>
          <w:szCs w:val="20"/>
          <w:color w:val="auto"/>
        </w:rPr>
      </w:pPr>
    </w:p>
    <w:p>
      <w:pPr>
        <w:ind w:firstLine="543"/>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the expected vesting period and the full contractual term.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w:t>
      </w:r>
    </w:p>
    <w:p>
      <w:pPr>
        <w:spacing w:after="0" w:line="188" w:lineRule="exact"/>
        <w:rPr>
          <w:sz w:val="20"/>
          <w:szCs w:val="20"/>
          <w:color w:val="auto"/>
        </w:rPr>
      </w:pPr>
    </w:p>
    <w:p>
      <w:pPr>
        <w:ind w:right="120" w:firstLine="543"/>
        <w:spacing w:after="0" w:line="272" w:lineRule="auto"/>
        <w:rPr>
          <w:sz w:val="20"/>
          <w:szCs w:val="20"/>
          <w:color w:val="auto"/>
        </w:rPr>
      </w:pPr>
      <w:r>
        <w:rPr>
          <w:rFonts w:ascii="Arial" w:cs="Arial" w:eastAsia="Arial" w:hAnsi="Arial"/>
          <w:sz w:val="17"/>
          <w:szCs w:val="17"/>
          <w:color w:val="auto"/>
        </w:rPr>
        <w:t>The weighted average grant date fair value of stock options granted during the three months ended June 30, 2018 and 2017 was $2.42 and $4.65 per share, respectively, and during the six months ended June 30, 2018 and 2017 was $2.87 and $3.86 per share, respectively. We use historical information to estimate forfeitures of stock-based awards. As of June 30, 2018, there was $9.2 million and $8.1 million of total unrecognized compensation cost related to non-vested stock options and restricted stock, respectively, which is expected to be recognized over weighted-average periods of 2.2 years and 1.9 years, respectively. These amounts do not include 3,177,500 unvested options and 310,000 shares of unvested restricted stock as of June 30, 2018 which are performance-based and vest upon achievement of certain corporate milestones. Stock-based compensation for these awards will be measured and recorded if and when it is probable that the milestone will be achieved.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LICENSE AGREEMENTS</w:t>
      </w:r>
    </w:p>
    <w:p>
      <w:pPr>
        <w:spacing w:after="0" w:line="121" w:lineRule="exact"/>
        <w:rPr>
          <w:sz w:val="20"/>
          <w:szCs w:val="20"/>
          <w:color w:val="auto"/>
        </w:rPr>
      </w:pPr>
    </w:p>
    <w:p>
      <w:pPr>
        <w:ind w:right="40" w:firstLine="543"/>
        <w:spacing w:after="0" w:line="259" w:lineRule="auto"/>
        <w:rPr>
          <w:sz w:val="20"/>
          <w:szCs w:val="20"/>
          <w:color w:val="auto"/>
        </w:rPr>
      </w:pPr>
      <w:r>
        <w:rPr>
          <w:rFonts w:ascii="Arial" w:cs="Arial" w:eastAsia="Arial" w:hAnsi="Arial"/>
          <w:sz w:val="18"/>
          <w:szCs w:val="18"/>
          <w:color w:val="auto"/>
        </w:rPr>
        <w:t>In November 2005, we entered into a license agreement with Panion &amp; BF Biotech, Inc., or Panion. Under the license agreement, we acquired the exclusive worldwide rights, excluding certain Asian-Pacific countries, for the development and marketing of ferric citrate. To date, we have paid an aggregate of $11.6 million of milestone payments to Panion. In addition, Panion is eligible to receive royalty payments based on a mid-single digit percentage of net sales of ferric citrate.</w:t>
      </w:r>
    </w:p>
    <w:p>
      <w:pPr>
        <w:spacing w:after="0" w:line="187" w:lineRule="exact"/>
        <w:rPr>
          <w:sz w:val="20"/>
          <w:szCs w:val="20"/>
          <w:color w:val="auto"/>
        </w:rPr>
      </w:pPr>
    </w:p>
    <w:p>
      <w:pPr>
        <w:ind w:right="60" w:firstLine="543"/>
        <w:spacing w:after="0" w:line="257" w:lineRule="auto"/>
        <w:rPr>
          <w:sz w:val="20"/>
          <w:szCs w:val="20"/>
          <w:color w:val="auto"/>
        </w:rPr>
      </w:pPr>
      <w:r>
        <w:rPr>
          <w:rFonts w:ascii="Arial" w:cs="Arial" w:eastAsia="Arial" w:hAnsi="Arial"/>
          <w:sz w:val="18"/>
          <w:szCs w:val="18"/>
          <w:color w:val="auto"/>
        </w:rPr>
        <w:t>In September 2007, we entered into a Sublicense Agreement with JT and Torii, under which JT and Torii obtained the exclusive sublicense rights for the development and commercialization of ferric citrate in Japan, which is being marketing in the United States under the trade name Auryxia. JT and Torii are responsible for the future development and commercialization costs in Japan. Effective as of June 8, 2009, we entered into an Amended and Restated Sublicense Agreement with JT and Torii, which, among other things, provided for the elimination of all significant on-going obligations under the Sublicense Agreement.</w:t>
      </w:r>
    </w:p>
    <w:p>
      <w:pPr>
        <w:spacing w:after="0" w:line="188" w:lineRule="exact"/>
        <w:rPr>
          <w:sz w:val="20"/>
          <w:szCs w:val="20"/>
          <w:color w:val="auto"/>
        </w:rPr>
      </w:pPr>
    </w:p>
    <w:p>
      <w:pPr>
        <w:ind w:right="20" w:firstLine="543"/>
        <w:spacing w:after="0" w:line="277" w:lineRule="auto"/>
        <w:rPr>
          <w:sz w:val="20"/>
          <w:szCs w:val="20"/>
          <w:color w:val="auto"/>
        </w:rPr>
      </w:pPr>
      <w:r>
        <w:rPr>
          <w:rFonts w:ascii="Arial" w:cs="Arial" w:eastAsia="Arial" w:hAnsi="Arial"/>
          <w:sz w:val="18"/>
          <w:szCs w:val="18"/>
          <w:color w:val="auto"/>
        </w:rPr>
        <w:t>In January 2013, JT and Torii filed its new drug application with the Japanese Ministry of Health, Labour and Welfare for marketing approval of ferric citrate in Japan for the treatment of hyperphosphatemia in patients with CKD.</w:t>
      </w:r>
    </w:p>
    <w:p>
      <w:pPr>
        <w:spacing w:after="0" w:line="170" w:lineRule="exact"/>
        <w:rPr>
          <w:sz w:val="20"/>
          <w:szCs w:val="20"/>
          <w:color w:val="auto"/>
        </w:rPr>
      </w:pPr>
    </w:p>
    <w:p>
      <w:pPr>
        <w:ind w:right="60" w:firstLine="543"/>
        <w:spacing w:after="0" w:line="302" w:lineRule="auto"/>
        <w:rPr>
          <w:sz w:val="20"/>
          <w:szCs w:val="20"/>
          <w:color w:val="auto"/>
        </w:rPr>
      </w:pPr>
      <w:r>
        <w:rPr>
          <w:rFonts w:ascii="Arial" w:cs="Arial" w:eastAsia="Arial" w:hAnsi="Arial"/>
          <w:sz w:val="16"/>
          <w:szCs w:val="16"/>
          <w:color w:val="auto"/>
        </w:rPr>
        <w:t>In January 2014, JT and Torii received manufacturing and marketing approval of ferric citrate from the Japanese Ministry of Health, Labour and Welfare. Ferric citrate, launched in May 2014 and is being marketed in Japan by Torii, under the brand name Riona, and is indicated as an oral treatment for the improvement of hyperphosphatemia in patients with CKD. We receive royalty payments based on a tiered double-digit percentage of net sales of Riona in Japan escalating up to the mid-teens, as well as up to an additional $55.0 million upon the achievement of certain annual net sales milestones.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5" w:name="page326"/>
    <w:bookmarkEnd w:id="325"/>
    <w:p>
      <w:pPr>
        <w:ind w:right="160" w:firstLine="543"/>
        <w:spacing w:after="0" w:line="297" w:lineRule="auto"/>
        <w:rPr>
          <w:sz w:val="20"/>
          <w:szCs w:val="20"/>
          <w:color w:val="auto"/>
        </w:rPr>
      </w:pPr>
      <w:r>
        <w:rPr>
          <w:rFonts w:ascii="Arial" w:cs="Arial" w:eastAsia="Arial" w:hAnsi="Arial"/>
          <w:sz w:val="16"/>
          <w:szCs w:val="16"/>
          <w:color w:val="auto"/>
        </w:rPr>
        <w:t>We assessed the sublicense agreement in accordance with ASU 2014-09 and concluded that the contract counterparties, JT and Torii, are a customer. As of the adoption date of January 1, 2018, the sublicense represents our only open contract with a customer. The primary performance obligation identified in the contract is the sublicense to JT and Torii for the right to develop and commercialize ferric citrate in the licensed territory, Japan. Other potential performance obligations identified were either completed before the adoption date or did not meet the definition of a performance obligation, for instance because they were not capable of being distinct within the context of the contract, and therefore were not required to be accounted for separately.</w:t>
      </w:r>
    </w:p>
    <w:p>
      <w:pPr>
        <w:spacing w:after="0" w:line="158" w:lineRule="exact"/>
        <w:rPr>
          <w:sz w:val="20"/>
          <w:szCs w:val="20"/>
          <w:color w:val="auto"/>
        </w:rPr>
      </w:pPr>
    </w:p>
    <w:p>
      <w:pPr>
        <w:ind w:right="80" w:firstLine="543"/>
        <w:spacing w:after="0" w:line="287" w:lineRule="auto"/>
        <w:rPr>
          <w:sz w:val="20"/>
          <w:szCs w:val="20"/>
          <w:color w:val="auto"/>
        </w:rPr>
      </w:pPr>
      <w:r>
        <w:rPr>
          <w:rFonts w:ascii="Arial" w:cs="Arial" w:eastAsia="Arial" w:hAnsi="Arial"/>
          <w:sz w:val="16"/>
          <w:szCs w:val="16"/>
          <w:color w:val="auto"/>
        </w:rPr>
        <w:t>In determining the transaction price associated with the sublicense, we considered the initial license fee as well as any development-based milestones, manufacturing fee revenue, and sales-based royalties and milestones that were included in the arrangement. The performance obligations related to the initial license fee, development-based milestones and manufacturing fee revenue were all completed and the relevant consideration was received prior to the adoption of the new standards. As a result, we determined that the remaining consideration that may be payable to us under the terms of the sublicense agreement are either quarterly royalties on net sales or payments due upon the achievement of sales-based milestones. In accordance with the standards, elements of consideration subject to a sales or usage-based royalty exception do not need to be estimated at the time of adoption and should be recognized when the subsequent sale or usage occurs. As a result, as of January 1, 2018, we began recognizing license revenue based on our estimate of net sales of Riona in Japan in the quarter in which the underlying net sales occur. This differs from our historical practice of recognizing license revenue one quarter in arrears once a net sales report was received from JT and Torii. As a result of this change in timing of revenue recognition for license revenue, we recorded an adjustment of $0.6 million to retained earnings (accumulated deficit) as of the adoption date, representing the net impact to our statement of operations of the license revenue and related license expense based on net sales of Riona in Japan during the fourth quarter of 2017.</w:t>
      </w:r>
    </w:p>
    <w:p>
      <w:pPr>
        <w:spacing w:after="0" w:line="173" w:lineRule="exact"/>
        <w:rPr>
          <w:sz w:val="20"/>
          <w:szCs w:val="20"/>
          <w:color w:val="auto"/>
        </w:rPr>
      </w:pPr>
    </w:p>
    <w:p>
      <w:pPr>
        <w:ind w:right="140" w:firstLine="543"/>
        <w:spacing w:after="0" w:line="270" w:lineRule="auto"/>
        <w:rPr>
          <w:sz w:val="20"/>
          <w:szCs w:val="20"/>
          <w:color w:val="auto"/>
        </w:rPr>
      </w:pPr>
      <w:r>
        <w:rPr>
          <w:rFonts w:ascii="Arial" w:cs="Arial" w:eastAsia="Arial" w:hAnsi="Arial"/>
          <w:sz w:val="17"/>
          <w:szCs w:val="17"/>
          <w:color w:val="auto"/>
        </w:rPr>
        <w:t>As discussed above and in accordance with our revenue recognition policy, royalty revenues are estimated in the quarter that JT and Torii recognize net sales of Riona in Japan. Any difference between the estimated license revenue and actual revenue is recorded as an adjustment in the following reporting period. For the three months ended June 30, 2018 and 2017, we recorded $1.6 million and $1.0 million, respectively, in license revenue related to royalties earned on net sales of Riona in Japan. For the six months ended June 30, 2018 and 2017, we recorded $2.8 million and $2.3 million, respectively, in license revenue related to royalties earned on net sales of Riona in Japan. We record the associated mid-single digit percentage of net sales royalty expense due Panion, the licensor of ferric citrate, in the same period as the royalty revenue from JT and Torii is recorded. For the three months ended June 30, 2018 and 2017, we recorded $1.0 million and $0.6 million, respectively, in license expense related to royalties due to the licensor of ferric citrate relating to sales of Riona in Japan. For the six months ended June 30, 2018 and 2017, we recorded $1.7 million and $1.4 million, respectively, in license expense related to royalties due to the licensor of ferric citrate relating to sales of Riona in Japan.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ACCOUNTS PAYABLE AND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Accounts payable and accrued expenses consists of the following at June 30, 2018 and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194"/>
        </w:trPr>
        <w:tc>
          <w:tcPr>
            <w:tcW w:w="7400" w:type="dxa"/>
            <w:vAlign w:val="bottom"/>
            <w:gridSpan w:val="2"/>
          </w:tcPr>
          <w:p>
            <w:pPr>
              <w:spacing w:after="0" w:line="194" w:lineRule="exact"/>
              <w:rPr>
                <w:sz w:val="20"/>
                <w:szCs w:val="20"/>
                <w:color w:val="auto"/>
              </w:rPr>
            </w:pPr>
            <w:r>
              <w:rPr>
                <w:rFonts w:ascii="Arial" w:cs="Arial" w:eastAsia="Arial" w:hAnsi="Arial"/>
                <w:sz w:val="18"/>
                <w:szCs w:val="18"/>
                <w:color w:val="auto"/>
              </w:rPr>
              <w:t>(in thousands)</w:t>
            </w:r>
          </w:p>
        </w:tc>
        <w:tc>
          <w:tcPr>
            <w:tcW w:w="132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right"/>
              <w:ind w:right="710"/>
              <w:spacing w:after="0" w:line="194" w:lineRule="exact"/>
              <w:rPr>
                <w:sz w:val="20"/>
                <w:szCs w:val="20"/>
                <w:color w:val="auto"/>
              </w:rPr>
            </w:pPr>
            <w:r>
              <w:rPr>
                <w:rFonts w:ascii="Arial" w:cs="Arial" w:eastAsia="Arial" w:hAnsi="Arial"/>
                <w:sz w:val="18"/>
                <w:szCs w:val="18"/>
                <w:b w:val="1"/>
                <w:bCs w:val="1"/>
                <w:color w:val="auto"/>
              </w:rPr>
              <w:t>2017</w:t>
            </w:r>
          </w:p>
        </w:tc>
      </w:tr>
      <w:tr>
        <w:trPr>
          <w:trHeight w:val="21"/>
        </w:trPr>
        <w:tc>
          <w:tcPr>
            <w:tcW w:w="104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rebates and fees</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21,056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16,362</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3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17,582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6,474</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license, and other fees and expenses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5,257</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Accrued compensation and related liabilities</w:t>
            </w:r>
          </w:p>
        </w:tc>
        <w:tc>
          <w:tcPr>
            <w:tcW w:w="13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7,504</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manufacturing expenses</w:t>
            </w:r>
          </w:p>
        </w:tc>
        <w:tc>
          <w:tcPr>
            <w:tcW w:w="1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9,434</w:t>
            </w:r>
          </w:p>
        </w:tc>
      </w:tr>
      <w:tr>
        <w:trPr>
          <w:trHeight w:val="257"/>
        </w:trPr>
        <w:tc>
          <w:tcPr>
            <w:tcW w:w="7400" w:type="dxa"/>
            <w:vAlign w:val="bottom"/>
            <w:gridSpan w:val="2"/>
          </w:tcPr>
          <w:p>
            <w:pPr>
              <w:spacing w:after="0"/>
              <w:rPr>
                <w:sz w:val="20"/>
                <w:szCs w:val="20"/>
                <w:color w:val="auto"/>
              </w:rPr>
            </w:pPr>
            <w:r>
              <w:rPr>
                <w:rFonts w:ascii="Arial" w:cs="Arial" w:eastAsia="Arial" w:hAnsi="Arial"/>
                <w:sz w:val="18"/>
                <w:szCs w:val="18"/>
                <w:color w:val="auto"/>
              </w:rPr>
              <w:t>Total accounts payable and accrued expenses</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54,647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45,031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121" w:lineRule="exact"/>
        <w:rPr>
          <w:sz w:val="20"/>
          <w:szCs w:val="20"/>
          <w:color w:val="auto"/>
        </w:rPr>
      </w:pPr>
    </w:p>
    <w:p>
      <w:pPr>
        <w:ind w:right="320" w:firstLine="543"/>
        <w:spacing w:after="0" w:line="259" w:lineRule="auto"/>
        <w:rPr>
          <w:sz w:val="20"/>
          <w:szCs w:val="20"/>
          <w:color w:val="auto"/>
        </w:rPr>
      </w:pPr>
      <w:r>
        <w:rPr>
          <w:rFonts w:ascii="Arial" w:cs="Arial" w:eastAsia="Arial" w:hAnsi="Arial"/>
          <w:sz w:val="18"/>
          <w:szCs w:val="18"/>
          <w:color w:val="auto"/>
        </w:rPr>
        <w:t>In October 2015, we completed the sale of $125 million of the Old Notes, in a private placement, or the Private Placement, to funds managed by Baupost pursuant to a Notes Purchase Agreement dated October 14, 2015. The Old Notes were issued under an Indenture, or the Indenture, dated as of October 15, 2015, with The Bank of New York Mellon Trust Company, N.A. as trustee, or the Trustee. The Indenture subjected us to certain financial and business covenants and contained restrictions on the payments of cash dividends.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6" w:name="page327"/>
    <w:bookmarkEnd w:id="326"/>
    <w:p>
      <w:pPr>
        <w:ind w:right="20" w:firstLine="543"/>
        <w:spacing w:after="0" w:line="276" w:lineRule="auto"/>
        <w:rPr>
          <w:sz w:val="20"/>
          <w:szCs w:val="20"/>
          <w:color w:val="auto"/>
        </w:rPr>
      </w:pPr>
      <w:r>
        <w:rPr>
          <w:rFonts w:ascii="Arial" w:cs="Arial" w:eastAsia="Arial" w:hAnsi="Arial"/>
          <w:sz w:val="17"/>
          <w:szCs w:val="17"/>
          <w:color w:val="auto"/>
        </w:rPr>
        <w:t>The Indenture contained customary terms and events of default. If an event of default (other than certain events of bankruptcy, insolvency or reorganization involving us) occured and was continuing, the Trustee by notice to us, or the holders of at least 25% in aggregate principal amount of the outstanding Old Notes by written notice to us and the Trustee, could have declared 100% of the principal on all of the Old Notes to be due and payable. Upon such a declaration of acceleration, such principal would be due and payable immediately. Upon the occurrence of certain events of bankruptcy, insolvency or reorganization involving us, 100% of the principal on all of the Old Notes would have become due and payable automatically.</w:t>
      </w:r>
    </w:p>
    <w:p>
      <w:pPr>
        <w:spacing w:after="0" w:line="173" w:lineRule="exact"/>
        <w:rPr>
          <w:sz w:val="20"/>
          <w:szCs w:val="20"/>
          <w:color w:val="auto"/>
        </w:rPr>
      </w:pPr>
    </w:p>
    <w:p>
      <w:pPr>
        <w:ind w:right="60" w:firstLine="543"/>
        <w:spacing w:after="0" w:line="291" w:lineRule="auto"/>
        <w:rPr>
          <w:sz w:val="20"/>
          <w:szCs w:val="20"/>
          <w:color w:val="auto"/>
        </w:rPr>
      </w:pPr>
      <w:r>
        <w:rPr>
          <w:rFonts w:ascii="Arial" w:cs="Arial" w:eastAsia="Arial" w:hAnsi="Arial"/>
          <w:sz w:val="16"/>
          <w:szCs w:val="16"/>
          <w:color w:val="auto"/>
        </w:rPr>
        <w:t>Further, in connection with the Private Placement, we entered into a Registration Rights Agreement with the purchasers of the Old Notes, or the Registration Rights Agreement, pursuant to which we agreed to (i) file a registration statement, or the Resale Registration Statement, with the Securities and Exchange Commission, or SEC, covering the resale of the Old Notes and the underlying common stock into which the Old Notes were convertible upon the written request of Baupost, and (ii) use commercially reasonable efforts, subject to receipt of necessary information from all the purchasers of the Old Notes, to cause the SEC to declare the Resale Registration Statement effective. Further, the Registration Rights Agreement permitted Baupost to demand from time to time that we file a shelf Registration Statement pursuant to Rule 415 of the Securities Act from which any number of shelf takedowns could be conducted upon written request from Baupost. Finally, the Registration Rights Agreement afforded Baupost certain piggyback registration rights.</w:t>
      </w:r>
    </w:p>
    <w:p>
      <w:pPr>
        <w:spacing w:after="0" w:line="167" w:lineRule="exact"/>
        <w:rPr>
          <w:sz w:val="20"/>
          <w:szCs w:val="20"/>
          <w:color w:val="auto"/>
        </w:rPr>
      </w:pPr>
    </w:p>
    <w:p>
      <w:pPr>
        <w:ind w:right="20" w:firstLine="543"/>
        <w:spacing w:after="0" w:line="257" w:lineRule="auto"/>
        <w:rPr>
          <w:sz w:val="20"/>
          <w:szCs w:val="20"/>
          <w:color w:val="auto"/>
        </w:rPr>
      </w:pPr>
      <w:r>
        <w:rPr>
          <w:rFonts w:ascii="Arial" w:cs="Arial" w:eastAsia="Arial" w:hAnsi="Arial"/>
          <w:sz w:val="18"/>
          <w:szCs w:val="18"/>
          <w:color w:val="auto"/>
        </w:rPr>
        <w:t>The Old Notes were convertible at the option of Baupost at an initial conversion rate of 267.3797 shares of our common stock per $1,000 principal amount, equal to a conversion price of $3.74 per share, which represented the last reported sale price of our stock on October 14, 2015. The conversion rate was subject to adjustment from time to time upon the occurrence of certain events. Further, upon the occurrence of certain fundamental changes involving us, Baupost could have required us to repurchase for cash all or part of their Old Notes at a repurchase price equal to 100% of the principal amount of the Old Notes to be repurchased.</w:t>
      </w:r>
    </w:p>
    <w:p>
      <w:pPr>
        <w:spacing w:after="0" w:line="188" w:lineRule="exact"/>
        <w:rPr>
          <w:sz w:val="20"/>
          <w:szCs w:val="20"/>
          <w:color w:val="auto"/>
        </w:rPr>
      </w:pPr>
    </w:p>
    <w:p>
      <w:pPr>
        <w:ind w:firstLine="543"/>
        <w:spacing w:after="0" w:line="270" w:lineRule="auto"/>
        <w:rPr>
          <w:sz w:val="20"/>
          <w:szCs w:val="20"/>
          <w:color w:val="auto"/>
        </w:rPr>
      </w:pPr>
      <w:r>
        <w:rPr>
          <w:rFonts w:ascii="Arial" w:cs="Arial" w:eastAsia="Arial" w:hAnsi="Arial"/>
          <w:sz w:val="17"/>
          <w:szCs w:val="17"/>
          <w:color w:val="auto"/>
        </w:rPr>
        <w:t>At issuance, a portion of the Old Notes was contingently convertible into cash if our stockholders did not approve an increase in the number of authorized shares of our common stock by July 1, 2016. In accordance with accounting guidance for debt with a conversion option, we separated the conversion option from the debt instrument and accounted for it separately as a derivative liability, due to the Old Notes initially being partially convertible to cash at the option of Baupost. We allocated the proceeds between the debt component and the embedded conversion option (the derivative) by performing a valuation of the derivative as of the transaction date, which was determined based on the difference between the fair value of the Old Notes with the conversion option and the fair value of the Old Notes without the conversion option. The fair value of the derivative liability was recognized as a debt discount and the carrying amount of the Old Notes represented the difference between the proceeds from the issuance of the Old Notes and the fair value of the derivative liability on the date of issuance. The excess of the principal amount of the debt component over its carrying amount, or debt discount, was amortized to interest expense using the effective interest method over the expected life of the debt.</w:t>
      </w:r>
    </w:p>
    <w:p>
      <w:pPr>
        <w:spacing w:after="0" w:line="182" w:lineRule="exact"/>
        <w:rPr>
          <w:sz w:val="20"/>
          <w:szCs w:val="20"/>
          <w:color w:val="auto"/>
        </w:rPr>
      </w:pPr>
    </w:p>
    <w:p>
      <w:pPr>
        <w:ind w:right="40" w:firstLine="543"/>
        <w:spacing w:after="0" w:line="253" w:lineRule="auto"/>
        <w:rPr>
          <w:sz w:val="20"/>
          <w:szCs w:val="20"/>
          <w:color w:val="auto"/>
        </w:rPr>
      </w:pPr>
      <w:r>
        <w:rPr>
          <w:rFonts w:ascii="Arial" w:cs="Arial" w:eastAsia="Arial" w:hAnsi="Arial"/>
          <w:sz w:val="18"/>
          <w:szCs w:val="18"/>
          <w:color w:val="auto"/>
        </w:rPr>
        <w:t>Following our 2016 Annual Meeting of Stockholders held on May 25, 2016, we filed a certificate of amendment to our certificate of incorporation with the Secretary of State of the State of Delaware to increase the number of authorized shares of our common stock to allow for the full conversion of the Old Notes into our common stock. On April 10, 2017, we entered into the First Supplemental Indenture, or the First Supplement, to the Indenture. Under the terms of the First Supplement, the Old Notes issued under the Indenture were not convertible by the holders thereof until on or after June 8, 2017, except in connection with a “fundamental change” as defined in the Indenture. After June 8, 2017, the Old Notes were convertible entirely into shares of our common stock or cash depending upon the number of shares of our common stock authorized at the time of such conversion. At our 2017 Annual Meeting of Stockholders held on June 8, 2017, our stockholders ratified the filing and effectiveness of the certificate of amendment to our certificate of incorporation filed in May 2016. In addition, at the meeting our stockholders also approved a separate amendment to our certificate of incorporation to increase the number of authorized shares of our common stock to 230,000,000 shares. As a result, the full amount of the Old Notes was convertible into shares of our common stock.</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7" w:name="page328"/>
    <w:bookmarkEnd w:id="327"/>
    <w:p>
      <w:pPr>
        <w:ind w:firstLine="543"/>
        <w:spacing w:after="0" w:line="270" w:lineRule="auto"/>
        <w:rPr>
          <w:sz w:val="20"/>
          <w:szCs w:val="20"/>
          <w:color w:val="auto"/>
        </w:rPr>
      </w:pPr>
      <w:r>
        <w:rPr>
          <w:rFonts w:ascii="Arial" w:cs="Arial" w:eastAsia="Arial" w:hAnsi="Arial"/>
          <w:sz w:val="17"/>
          <w:szCs w:val="17"/>
          <w:color w:val="auto"/>
        </w:rPr>
        <w:t>In accordance with accounting guidance for debt modifications and exchanges, we assessed the terms of the First Supplement and determined that it resulted in a modification. During the three months ended June 30, 2017, we separated the conversion option from the debt instrument and accounted for it separately as a derivative liability, due to the Old Notes being contingently convertible to cash at the option of Baupost per the terms of the First Supplement. We allocated the proceeds between the debt component and the embedded conversion option (the derivative) by performing a valuation of the derivative as of the date of the First Supplement, which was determined based on the difference between the fair value of the Old Notes with the conversion option and the fair value of the Old Notes without the conversion option. The fair value of the derivative liability was recognized as a debt discount and the carrying amount of the Old Notes represented the difference between the principal amount of the Old Notes and the fair value of the derivative liability on the date of the First Supplement. The excess of the principal amount of the debt component over its carrying amount, or debt discount, was amortized to interest expense using the effective interest method over the expected life of the debt. We determined the expected life of the debt was equal to the period through June 8, 2017, as this represented the point at which the Old Notes were contingently convertible into cash.</w:t>
      </w:r>
    </w:p>
    <w:p>
      <w:pPr>
        <w:spacing w:after="0" w:line="178" w:lineRule="exact"/>
        <w:rPr>
          <w:sz w:val="20"/>
          <w:szCs w:val="20"/>
          <w:color w:val="auto"/>
        </w:rPr>
      </w:pPr>
    </w:p>
    <w:p>
      <w:pPr>
        <w:ind w:right="580" w:firstLine="543"/>
        <w:spacing w:after="0" w:line="308" w:lineRule="auto"/>
        <w:rPr>
          <w:sz w:val="20"/>
          <w:szCs w:val="20"/>
          <w:color w:val="auto"/>
        </w:rPr>
      </w:pPr>
      <w:r>
        <w:rPr>
          <w:rFonts w:ascii="Arial" w:cs="Arial" w:eastAsia="Arial" w:hAnsi="Arial"/>
          <w:sz w:val="17"/>
          <w:szCs w:val="17"/>
          <w:color w:val="auto"/>
        </w:rPr>
        <w:t>On May 8, 2018, we entered into a Notes Exchange Agreement with funds managed by Baupost pursuant to which, on May 9, 2018, we issued $164.746 million of the New Notes to Baupost in exchange for (a) the Old Notes and (b) an additional investment of $10.0 million in cash.</w:t>
      </w:r>
    </w:p>
    <w:p>
      <w:pPr>
        <w:spacing w:after="0" w:line="147" w:lineRule="exact"/>
        <w:rPr>
          <w:sz w:val="20"/>
          <w:szCs w:val="20"/>
          <w:color w:val="auto"/>
        </w:rPr>
      </w:pPr>
    </w:p>
    <w:p>
      <w:pPr>
        <w:ind w:right="80" w:firstLine="543"/>
        <w:spacing w:after="0" w:line="270" w:lineRule="auto"/>
        <w:rPr>
          <w:sz w:val="20"/>
          <w:szCs w:val="20"/>
          <w:color w:val="auto"/>
        </w:rPr>
      </w:pPr>
      <w:r>
        <w:rPr>
          <w:rFonts w:ascii="Arial" w:cs="Arial" w:eastAsia="Arial" w:hAnsi="Arial"/>
          <w:sz w:val="17"/>
          <w:szCs w:val="17"/>
          <w:color w:val="auto"/>
        </w:rPr>
        <w:t xml:space="preserve">The New Notes were issued under an Indenture dated as of May 9, 2018, with The Bank of New York Mellon Trust Company, N.A. as Trustee, or the New Indenture. Under the terms of the New Indenture, the New Notes may be converted into shares of our common stock at the discretion of Baupost, at an initial conversion rate of 215.983 shares per $1,000 principal amount of New Notes, which represents an initial conversion price of $4.63 based on the per share closing price of our common stock the day before entering into the Notes Exchange Agreement. The principal amount of the New Notes initially converts into a total amount of shares of our common stock approximately equal to the 33.4 million shares into which the Old Notes were convertible plus an additional approximately 2.2 million shares in consideration of the additional cash investment. The conversion price of the New Notes is subject to adjustment based on the occurrence of certain events as set forth in the New Indenture. Further, the New Indenture subjects us to certain financial and business covenants. The New Indenture also allows us to secure up to a $40.0 million asset-based credit facility. For a discussion of the credit facility we entered into with Silicon Valley Bank in July 2018, see Note 15 - </w:t>
      </w:r>
      <w:r>
        <w:rPr>
          <w:rFonts w:ascii="Arial" w:cs="Arial" w:eastAsia="Arial" w:hAnsi="Arial"/>
          <w:sz w:val="17"/>
          <w:szCs w:val="17"/>
          <w:i w:val="1"/>
          <w:iCs w:val="1"/>
          <w:color w:val="auto"/>
        </w:rPr>
        <w:t>Subsequent Events.</w:t>
      </w:r>
    </w:p>
    <w:p>
      <w:pPr>
        <w:spacing w:after="0" w:line="182" w:lineRule="exact"/>
        <w:rPr>
          <w:sz w:val="20"/>
          <w:szCs w:val="20"/>
          <w:color w:val="auto"/>
        </w:rPr>
      </w:pPr>
    </w:p>
    <w:p>
      <w:pPr>
        <w:ind w:firstLine="543"/>
        <w:spacing w:after="0" w:line="288" w:lineRule="auto"/>
        <w:rPr>
          <w:sz w:val="20"/>
          <w:szCs w:val="20"/>
          <w:color w:val="auto"/>
        </w:rPr>
      </w:pPr>
      <w:r>
        <w:rPr>
          <w:rFonts w:ascii="Arial" w:cs="Arial" w:eastAsia="Arial" w:hAnsi="Arial"/>
          <w:sz w:val="16"/>
          <w:szCs w:val="16"/>
          <w:color w:val="auto"/>
        </w:rPr>
        <w:t>In connection with the issuance of the New Notes, on May 9, 2018, we entered into a Registration Rights Agreement with Baupost, or the New Registration Rights Agreement, on substantially similar terms as the Registration Rights Agreement entered into in connection with the Old Notes, pursuant to which we agreed to (i) file a registration statement (the “Resale Registration Statement”) with the SEC covering the resale of the New Notes and the underlying shares of our common stock upon the written request of Baupost and (ii) use commercially reasonable efforts, subject to the receipt of necessary information from all the purchasers of the New Notes, to cause the SEC to declare the Resale Registration Statement effective. Further, the New Registration Rights Agreement permits Baupost to demand from time to time that we file a shelf Registration Statement pursuant to Rule 415 of the Securities Act, from which any number of shelf takedowns may be conducted upon written request from Baupost. In addition, the New Registration Rights Agreement affords Baupost certain piggyback registration rights. Under the Registration Rights Agreement, Baupost also retains its existing right to appoint one individual to our Board of Directors for so long as Baupost beneficially owns twenty percent (20%) or more of our outstanding common stock and to a board observer for so long as Baupost beneficially owns ten percent (10%) or more of our outstanding common stock.</w:t>
      </w:r>
    </w:p>
    <w:p>
      <w:pPr>
        <w:spacing w:after="0" w:line="169" w:lineRule="exact"/>
        <w:rPr>
          <w:sz w:val="20"/>
          <w:szCs w:val="20"/>
          <w:color w:val="auto"/>
        </w:rPr>
      </w:pPr>
    </w:p>
    <w:p>
      <w:pPr>
        <w:jc w:val="both"/>
        <w:ind w:right="620" w:firstLine="543"/>
        <w:spacing w:after="0" w:line="312" w:lineRule="auto"/>
        <w:rPr>
          <w:sz w:val="20"/>
          <w:szCs w:val="20"/>
          <w:color w:val="auto"/>
        </w:rPr>
      </w:pPr>
      <w:r>
        <w:rPr>
          <w:rFonts w:ascii="Arial" w:cs="Arial" w:eastAsia="Arial" w:hAnsi="Arial"/>
          <w:sz w:val="16"/>
          <w:szCs w:val="16"/>
          <w:color w:val="auto"/>
        </w:rPr>
        <w:t>In connection with the issuance of the New Notes, (i) the Notes Purchase Agreement dated as of October 14, 2015 and the Registration Rights Agreement dated as of October 15, 2015, each between us and Baupost were each terminated pursuant to the Notes Exchange Agreement and (ii) the Indenture dated as of October 15, 2015, between us and the Trustee was discharged in connection with the cancellation of the Old Notes.</w:t>
      </w:r>
    </w:p>
    <w:p>
      <w:pPr>
        <w:spacing w:after="0" w:line="147" w:lineRule="exact"/>
        <w:rPr>
          <w:sz w:val="20"/>
          <w:szCs w:val="20"/>
          <w:color w:val="auto"/>
        </w:rPr>
      </w:pPr>
    </w:p>
    <w:p>
      <w:pPr>
        <w:ind w:right="80" w:firstLine="543"/>
        <w:spacing w:after="0" w:line="297" w:lineRule="auto"/>
        <w:rPr>
          <w:sz w:val="20"/>
          <w:szCs w:val="20"/>
          <w:color w:val="auto"/>
        </w:rPr>
      </w:pPr>
      <w:r>
        <w:rPr>
          <w:rFonts w:ascii="Arial" w:cs="Arial" w:eastAsia="Arial" w:hAnsi="Arial"/>
          <w:sz w:val="16"/>
          <w:szCs w:val="16"/>
          <w:color w:val="auto"/>
        </w:rPr>
        <w:t>In accordance with accounting guidance for debt modifications and exchanges, we assessed the terms of the Notes Exchange Agreement and New Indenture and determined that they resulted in a modification of our then-existing convertible senior notes. During the three months ended June 30, 2018, we recognized a debt discount of approximately $36.0 million in connection with the modification. The excess of the principal amount of the New Notes over its carrying amount, or debt discount, will be amortized to interest expense using the effective interest method over the expected life of the debt. At issuance of the New Notes, we determined the expected life was equal to the period through the maturity date of the New Notes, or October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8" w:name="page329"/>
    <w:bookmarkEnd w:id="328"/>
    <w:p>
      <w:pPr>
        <w:jc w:val="both"/>
        <w:ind w:right="120" w:firstLine="543"/>
        <w:spacing w:after="0" w:line="264" w:lineRule="auto"/>
        <w:rPr>
          <w:sz w:val="20"/>
          <w:szCs w:val="20"/>
          <w:color w:val="auto"/>
        </w:rPr>
      </w:pPr>
      <w:r>
        <w:rPr>
          <w:rFonts w:ascii="Arial" w:cs="Arial" w:eastAsia="Arial" w:hAnsi="Arial"/>
          <w:sz w:val="18"/>
          <w:szCs w:val="18"/>
          <w:color w:val="auto"/>
        </w:rPr>
        <w:t>In the three and six months ended June 30, 2018 and 2017, $1.3 million and $63.0 million, respectively, of interest expense was recognized related to these notes. As of June 30, 2018 and December 31, 2017, the carrying value of these notes was $130.1 million and $125.0 million, respectively, and the fair value of the Notes was $133.8 million and $155.4 million, respectively.</w:t>
      </w:r>
    </w:p>
    <w:p>
      <w:pPr>
        <w:spacing w:after="0" w:line="181" w:lineRule="exact"/>
        <w:rPr>
          <w:sz w:val="20"/>
          <w:szCs w:val="20"/>
          <w:color w:val="auto"/>
        </w:rPr>
      </w:pPr>
    </w:p>
    <w:p>
      <w:pPr>
        <w:ind w:right="180" w:firstLine="543"/>
        <w:spacing w:after="0" w:line="277" w:lineRule="auto"/>
        <w:rPr>
          <w:sz w:val="20"/>
          <w:szCs w:val="20"/>
          <w:color w:val="auto"/>
        </w:rPr>
      </w:pPr>
      <w:r>
        <w:rPr>
          <w:rFonts w:ascii="Arial" w:cs="Arial" w:eastAsia="Arial" w:hAnsi="Arial"/>
          <w:sz w:val="18"/>
          <w:szCs w:val="18"/>
          <w:color w:val="auto"/>
        </w:rPr>
        <w:t xml:space="preserve">See Note 14 - </w:t>
      </w:r>
      <w:r>
        <w:rPr>
          <w:rFonts w:ascii="Arial" w:cs="Arial" w:eastAsia="Arial" w:hAnsi="Arial"/>
          <w:sz w:val="18"/>
          <w:szCs w:val="18"/>
          <w:i w:val="1"/>
          <w:iCs w:val="1"/>
          <w:color w:val="auto"/>
        </w:rPr>
        <w:t>Strategic Merger with Akebia Therapeutics, Inc.</w:t>
      </w:r>
      <w:r>
        <w:rPr>
          <w:rFonts w:ascii="Arial" w:cs="Arial" w:eastAsia="Arial" w:hAnsi="Arial"/>
          <w:sz w:val="18"/>
          <w:szCs w:val="18"/>
          <w:color w:val="auto"/>
        </w:rPr>
        <w:t xml:space="preserve"> for additional information with respect to the New Notes, and the conversion thereof, related to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right="40" w:firstLine="543"/>
        <w:spacing w:after="0" w:line="286" w:lineRule="auto"/>
        <w:rPr>
          <w:sz w:val="20"/>
          <w:szCs w:val="20"/>
          <w:color w:val="auto"/>
        </w:rPr>
      </w:pPr>
      <w:r>
        <w:rPr>
          <w:rFonts w:ascii="Arial" w:cs="Arial" w:eastAsia="Arial" w:hAnsi="Arial"/>
          <w:sz w:val="17"/>
          <w:szCs w:val="17"/>
          <w:color w:val="auto"/>
        </w:rPr>
        <w:t>In December 2017, H.R.1, known as the Tax Cuts and Jobs Act, was signed into law. The Tax Cuts and Jobs Act, among other items, reduced the corporate income tax rate from 35% to 21%, effective January 1, 2018. Our deferred tax assets, net of deferred tax liabilities, represent expected corporate tax benefits anticipated to be realized in the future. The reduction in the federal corporate tax rate reduces these benefits.</w:t>
      </w:r>
    </w:p>
    <w:p>
      <w:pPr>
        <w:spacing w:after="0" w:line="166" w:lineRule="exact"/>
        <w:rPr>
          <w:sz w:val="20"/>
          <w:szCs w:val="20"/>
          <w:color w:val="auto"/>
        </w:rPr>
      </w:pPr>
    </w:p>
    <w:p>
      <w:pPr>
        <w:jc w:val="both"/>
        <w:ind w:right="60" w:firstLine="543"/>
        <w:spacing w:after="0" w:line="259" w:lineRule="auto"/>
        <w:rPr>
          <w:sz w:val="20"/>
          <w:szCs w:val="20"/>
          <w:color w:val="auto"/>
        </w:rPr>
      </w:pPr>
      <w:r>
        <w:rPr>
          <w:rFonts w:ascii="Arial" w:cs="Arial" w:eastAsia="Arial" w:hAnsi="Arial"/>
          <w:sz w:val="18"/>
          <w:szCs w:val="18"/>
          <w:color w:val="auto"/>
        </w:rPr>
        <w:t>We have evaluated the impact of the Tax Cuts and Jobs Act and determined that any net operating losses generated subsequent to January 1, 2018 are able to be used indefinitely, and as a result, we generated sufficient net operating losses in the six months ended June 30, 2018 to fully offset the net deferred tax liability that was recorded on our consolidated balance sheets. This results in a reduction in our net deferred tax liability of $0.6 million in the first quarter of 2018 and a corresponding $0.6 million income tax benefit.</w:t>
      </w:r>
    </w:p>
    <w:p>
      <w:pPr>
        <w:spacing w:after="0" w:line="187" w:lineRule="exact"/>
        <w:rPr>
          <w:sz w:val="20"/>
          <w:szCs w:val="20"/>
          <w:color w:val="auto"/>
        </w:rPr>
      </w:pPr>
    </w:p>
    <w:p>
      <w:pPr>
        <w:ind w:right="140" w:firstLine="543"/>
        <w:spacing w:after="0" w:line="293"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full valuation allowance is established.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INCOME (EXPENSE),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other income (expense), net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0"/>
                <w:szCs w:val="20"/>
                <w:color w:val="auto"/>
              </w:rPr>
            </w:pPr>
          </w:p>
        </w:tc>
        <w:tc>
          <w:tcPr>
            <w:tcW w:w="33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1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4100" w:type="dxa"/>
            <w:vAlign w:val="bottom"/>
            <w:gridSpan w:val="3"/>
            <w:vMerge w:val="continue"/>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ind w:left="240"/>
              <w:spacing w:after="0" w:line="170" w:lineRule="exact"/>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50"/>
              <w:spacing w:after="0" w:line="170"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30"/>
              <w:spacing w:after="0" w:line="170" w:lineRule="exact"/>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70"/>
              <w:spacing w:after="0" w:line="170"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380</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(230 )</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Arial" w:cs="Arial" w:eastAsia="Arial" w:hAnsi="Arial"/>
                <w:sz w:val="18"/>
                <w:szCs w:val="18"/>
                <w:color w:val="auto"/>
                <w:w w:val="89"/>
              </w:rPr>
              <w:t>(209 )</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 to derivative liability</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3"/>
              </w:rPr>
              <w:t>171</w:t>
            </w:r>
          </w:p>
        </w:tc>
        <w:tc>
          <w:tcPr>
            <w:tcW w:w="2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260" w:firstLine="543"/>
        <w:spacing w:after="0" w:line="342" w:lineRule="auto"/>
        <w:rPr>
          <w:sz w:val="20"/>
          <w:szCs w:val="20"/>
          <w:color w:val="auto"/>
        </w:rPr>
      </w:pPr>
      <w:r>
        <w:rPr>
          <w:rFonts w:ascii="Arial" w:cs="Arial" w:eastAsia="Arial" w:hAnsi="Arial"/>
          <w:sz w:val="16"/>
          <w:szCs w:val="16"/>
          <w:color w:val="auto"/>
        </w:rPr>
        <w:t>As of June 30, 2018, our contractual obligations and commitments primarily consist of our obligations under non-cancelable leases, the New Notes and various agreements with third parties, including selling, general and administrative, research and development and manufacturing agreements.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00" w:firstLine="543"/>
        <w:spacing w:after="0" w:line="291" w:lineRule="auto"/>
        <w:rPr>
          <w:sz w:val="20"/>
          <w:szCs w:val="20"/>
          <w:color w:val="auto"/>
        </w:rPr>
      </w:pPr>
      <w:r>
        <w:rPr>
          <w:rFonts w:ascii="Arial" w:cs="Arial" w:eastAsia="Arial" w:hAnsi="Arial"/>
          <w:sz w:val="16"/>
          <w:szCs w:val="16"/>
          <w:color w:val="auto"/>
        </w:rPr>
        <w:t>We accrue a liability for legal contingencies when we believe that it is both probable that a liability has been incurred and that we can reasonably estimate the amount of the loss. We review these accruals and adjust them to reflect the best information available at the time.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below, a liability is not probable or the amount cannot be reasonably estimated and, therefore, an accrual has not been made. In addition, in accordance with the relevant authoritative guidance, for any matters in which the likelihood of material loss is at least reasonably possible, we will provide disclosure of the possible loss or range of loss. If a reasonable estimate cannot be made, however, we will provide disclosure to that effect. We expense legal costs as they are incurred.</w:t>
      </w:r>
    </w:p>
    <w:p>
      <w:pPr>
        <w:spacing w:after="0" w:line="167" w:lineRule="exact"/>
        <w:rPr>
          <w:sz w:val="20"/>
          <w:szCs w:val="20"/>
          <w:color w:val="auto"/>
        </w:rPr>
      </w:pPr>
    </w:p>
    <w:p>
      <w:pPr>
        <w:ind w:firstLine="543"/>
        <w:spacing w:after="0" w:line="284" w:lineRule="auto"/>
        <w:rPr>
          <w:sz w:val="20"/>
          <w:szCs w:val="20"/>
          <w:color w:val="auto"/>
        </w:rPr>
      </w:pPr>
      <w:r>
        <w:rPr>
          <w:rFonts w:ascii="Arial" w:cs="Arial" w:eastAsia="Arial" w:hAnsi="Arial"/>
          <w:sz w:val="16"/>
          <w:szCs w:val="16"/>
          <w:color w:val="auto"/>
        </w:rPr>
        <w:t>Four purported class action lawsuits have been filed against us and certain of our current and former officers (Gregory P. Madison, Scott A. Holmes, Ron Bentsur, and James Oliviero). Three of these actions were filed in the U.S. District Court for the Southern District of New York, captioned respectively Terrell Jackson v. Keryx Biopharmaceuticals, Inc., et al., No. 1:16-cv-06131, filed on August 2, 2016, Richard J. Erickson v. Keryx Biopharmaceuticals, Inc., et al. No. 1:16-cv-06218, filed on August 4, 2016, and Richard King v. Keryx Biopharmaceuticals, Inc., et al., No. 1:16-cv-06233, filed on August 5, 2016. The Jackson complaint purports to be brought on behalf of stockholders who purchased our common stock between February 25, 2016 and August 1, 2016, the Erickson complaint purports to be brought on behalf of stockholders who purchased our common stock between March 2, 2016 and July 29, 2016, and the King complaint purports to be brought on behalf of stockholders who purchased our common stock between February 25, 2016 and July 29, 2016. On August 26, 2016, the fourth complaint, captioned Tim Karth v. Keryx Biopharmaceuticals, Inc., et al., No. 1:16-cv-11745, was filed in the U.S. District Court for the District of Massachusetts, which complaint was subsequently amended. The Karth complaint purports to be brought on behalf of stockholders who purchased our common stock between May 8, 2013 and August 1, 2016. The Jackson, Erickson and King matters were transferred to the U.S. District Court for the District of Massachusetts on April 5, 2017 and subsequently consolidated with the Karth action. Each complaint generally alleges that we and certain of our current and former officers violated Sections 10(b) and/or 20(a) of the Exchange Act and Rule 10b-5 promulgated thereunder by making allegedly false and/or misleading statements concerning us and our business operations and future prospects in light of the August 1, 2016 announcement of an interruption in our supply of Auryxia. By order dated July 19, 2018, the Court granted in part and denied in part Defendants’ motion to dismiss the complaint. On August 2, 2018, Defendants filed an answer to the complaint and a motion for partial reconsideration of the Court’s July 19, 2018 order. Two stockholder derivative complaints were also filed on December 16, 2016 against us and certain of our current and former officers (Gregory P. Madison, Scott A. Holmes, Ron Bentsur and James Oliviero), certain of our current directors (Kevin J. Cameron, Daniel P. Regan, Steven C. Gilman and Michael Rogers ) and our former directors (Michael P. Tarnok, Joseph Feczko, Jack Kaye Wyche Fowler, Jr. and John P. Butler), in the Superior Court of Massachusetts, one captioned Venkat Vara Prasad Malledi v. Keryx Biopharmaceuticals, Inc., et al., No. 16-3865 and one captioned James Anderson v. Keryx Biopharmaceuticals, Inc., et al., No. 16-3866. Each of these two complaints generally allege that the individual defendants breached their fiduciary duties owed to us, unjustly enriched themselves by their actions, abused their control positions with us, mismanaged us and wasted corporate assets since July 31, 2013 in light of our August 1, 2016 announcement by us of an interruption in the supply of our product Auryxia. On June 27, 2017, the Superior Court granted the parties' motion to consolidate and stay the derivative litigations. All of the complaints seek unspecified damages, interest, attorneys’ fees, and other costs. We deny any allegations of wrongdoing and intend to vigorously defend against these lawsuits. There is no assurance, however, that we or the other defendants will be successful in our defense of either of these lawsuits or that insurance will be available or adequate to fund any settlement or judgment or the litigation costs of these actions. Moreover, we are unable to predict the outcome or reasonably estimate a range of possible losses at this time. A resolution of these lawsuits adverse to us or the other defendants, however, could have a material effect on our financial position and results of operations in the period in which the particular lawsuit is resolved.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STRATEGIC MERGER WITH AKEBIA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and Plan of Merger</w:t>
      </w:r>
    </w:p>
    <w:p>
      <w:pPr>
        <w:spacing w:after="0" w:line="117" w:lineRule="exact"/>
        <w:rPr>
          <w:sz w:val="20"/>
          <w:szCs w:val="20"/>
          <w:color w:val="auto"/>
        </w:rPr>
      </w:pPr>
    </w:p>
    <w:p>
      <w:pPr>
        <w:ind w:right="220" w:firstLine="543"/>
        <w:spacing w:after="0" w:line="259" w:lineRule="auto"/>
        <w:rPr>
          <w:sz w:val="20"/>
          <w:szCs w:val="20"/>
          <w:color w:val="auto"/>
        </w:rPr>
      </w:pPr>
      <w:r>
        <w:rPr>
          <w:rFonts w:ascii="Arial" w:cs="Arial" w:eastAsia="Arial" w:hAnsi="Arial"/>
          <w:sz w:val="18"/>
          <w:szCs w:val="18"/>
          <w:color w:val="auto"/>
        </w:rPr>
        <w:t>On June 28, 2018, we entered into an agreement and plan of merger, or the Merger Agreement, with Akebia and Merger Sub, pursuant to which we will combine our respective businesses through the merger of Merger Sub with and into us, with our Company continuing after the Merger as the surviving corporation and a wholly-owned subsidiary of Akebia. The Merger Agreement has been approved by our Board of Directors and the board of directors of Akebia.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0" w:name="page331"/>
    <w:bookmarkEnd w:id="330"/>
    <w:p>
      <w:pPr>
        <w:ind w:right="180" w:firstLine="543"/>
        <w:spacing w:after="0" w:line="273" w:lineRule="auto"/>
        <w:rPr>
          <w:sz w:val="20"/>
          <w:szCs w:val="20"/>
          <w:color w:val="auto"/>
        </w:rPr>
      </w:pPr>
      <w:r>
        <w:rPr>
          <w:rFonts w:ascii="Arial" w:cs="Arial" w:eastAsia="Arial" w:hAnsi="Arial"/>
          <w:sz w:val="17"/>
          <w:szCs w:val="17"/>
          <w:color w:val="auto"/>
        </w:rPr>
        <w:t>At the effective time of the Merger, (i) each share of our common stock issued and outstanding immediately prior to the effective time of the Merger (other than the shares that are held by Akebia, Merger Sub, any subsidiary of Akebia or us, or held by us as treasury shares) will be converted into and become 0.37433 fully paid and non-assessable shares of common stock of Akebia, $0.00001 par value per share, each, an Akebia Share, such that the pre-Merger stockholders of us and Akebia will each own approximately 50% of the voting power of the combined company upon the closing of the Merger, which we refer to as the Combined Company, based on each of the companies’ fully diluted market capitalizations as of signing and before taking into account the 4.0 million additional shares issuable to Baupost described below.</w:t>
      </w:r>
    </w:p>
    <w:p>
      <w:pPr>
        <w:spacing w:after="0" w:line="178" w:lineRule="exact"/>
        <w:rPr>
          <w:sz w:val="20"/>
          <w:szCs w:val="20"/>
          <w:color w:val="auto"/>
        </w:rPr>
      </w:pPr>
    </w:p>
    <w:p>
      <w:pPr>
        <w:ind w:right="200" w:firstLine="543"/>
        <w:spacing w:after="0" w:line="272" w:lineRule="auto"/>
        <w:rPr>
          <w:sz w:val="20"/>
          <w:szCs w:val="20"/>
          <w:color w:val="auto"/>
        </w:rPr>
      </w:pPr>
      <w:r>
        <w:rPr>
          <w:rFonts w:ascii="Arial" w:cs="Arial" w:eastAsia="Arial" w:hAnsi="Arial"/>
          <w:sz w:val="17"/>
          <w:szCs w:val="17"/>
          <w:color w:val="auto"/>
        </w:rPr>
        <w:t>The Merger Agreement provides that, at the effective time of the Merger, each of our outstanding restricted shares issued under our equity incentive plans, which we refer to as Restricted Shares, other than those Restricted Shares that accelerate or lapse as a result of the Merger, will be canceled and converted into restricted stock unit awards of Akebia, the number of which will be adjusted in accordance with the terms of the Merger Agreement. Each of those Restricted Shares whose restrictions (including vesting) accelerate or lapse as a result of the Merger, will be canceled and converted into the right to receive 0.37433 Akebia Shares. In addition, each outstanding and unexercised option to acquire shares of our common stock granted under our equity incentive plans will be canceled and converted into an option to acquire Akebia Shares, with the number of shares and exercise price adjusted for the exchange ratio in accordance with the terms of the Merger Agreement.</w:t>
      </w:r>
    </w:p>
    <w:p>
      <w:pPr>
        <w:spacing w:after="0" w:line="178" w:lineRule="exact"/>
        <w:rPr>
          <w:sz w:val="20"/>
          <w:szCs w:val="20"/>
          <w:color w:val="auto"/>
        </w:rPr>
      </w:pPr>
    </w:p>
    <w:p>
      <w:pPr>
        <w:ind w:right="20" w:firstLine="543"/>
        <w:spacing w:after="0" w:line="253" w:lineRule="auto"/>
        <w:rPr>
          <w:sz w:val="20"/>
          <w:szCs w:val="20"/>
          <w:color w:val="auto"/>
        </w:rPr>
      </w:pPr>
      <w:r>
        <w:rPr>
          <w:rFonts w:ascii="Arial" w:cs="Arial" w:eastAsia="Arial" w:hAnsi="Arial"/>
          <w:sz w:val="18"/>
          <w:szCs w:val="18"/>
          <w:color w:val="auto"/>
        </w:rPr>
        <w:t>The Combined Company is expected to have a board of directors consisting initially of nine directors, comprised of: (i) four directors designated by the current board of directors of Akebia, each of whom will be a director of Akebia immediately prior to the date of the Merger Agreement (and who will be reasonably acceptable to us), referred to as the Akebia Directors; (ii) four directors designated by our current Board of Directors, each of whom will be a director of ours immediately prior to the date of the Merger Agreement (and who will be reasonably acceptable to Akebia), referred to as the Keryx Directors; and (iii) one additional director to be designated by our Board of Directors, who will serve as the chairperson and be reasonably acceptable to Akebia, referred to as the Additional Director. Alternatively, the Keryx Directors may choose to select the chairperson from amongst the Keryx Directors, who will be reasonably acceptable to Akebia, and in such an event such Keryx Director will serve as chairperson and the Akebia Directors and the Keryx Directors will select the Additional Director, who will be a person not on either the board of directors of Akebia or our Board of Directors as of the date of the Merger Agreement.</w:t>
      </w:r>
    </w:p>
    <w:p>
      <w:pPr>
        <w:spacing w:after="0" w:line="197" w:lineRule="exact"/>
        <w:rPr>
          <w:sz w:val="20"/>
          <w:szCs w:val="20"/>
          <w:color w:val="auto"/>
        </w:rPr>
      </w:pPr>
    </w:p>
    <w:p>
      <w:pPr>
        <w:ind w:right="160" w:firstLine="543"/>
        <w:spacing w:after="0" w:line="259" w:lineRule="auto"/>
        <w:rPr>
          <w:sz w:val="20"/>
          <w:szCs w:val="20"/>
          <w:color w:val="auto"/>
        </w:rPr>
      </w:pPr>
      <w:r>
        <w:rPr>
          <w:rFonts w:ascii="Arial" w:cs="Arial" w:eastAsia="Arial" w:hAnsi="Arial"/>
          <w:sz w:val="18"/>
          <w:szCs w:val="18"/>
          <w:color w:val="auto"/>
        </w:rPr>
        <w:t>We and Akebia each made certain representations and warranties, and agreed to certain covenants, in the Merger Agreement, including covenants by Akebia and us to conduct the respective businesses in the ordinary course during the period between the execution of the Merger Agreement and consummation of the Merger, to refrain from taking certain actions specified in the Merger Agreement and to use reasonable best efforts to cause the conditions of the Merger to be satisfied.</w:t>
      </w:r>
    </w:p>
    <w:p>
      <w:pPr>
        <w:spacing w:after="0" w:line="187" w:lineRule="exact"/>
        <w:rPr>
          <w:sz w:val="20"/>
          <w:szCs w:val="20"/>
          <w:color w:val="auto"/>
        </w:rPr>
      </w:pPr>
    </w:p>
    <w:p>
      <w:pPr>
        <w:ind w:firstLine="543"/>
        <w:spacing w:after="0" w:line="269" w:lineRule="auto"/>
        <w:rPr>
          <w:sz w:val="20"/>
          <w:szCs w:val="20"/>
          <w:color w:val="auto"/>
        </w:rPr>
      </w:pPr>
      <w:r>
        <w:rPr>
          <w:rFonts w:ascii="Arial" w:cs="Arial" w:eastAsia="Arial" w:hAnsi="Arial"/>
          <w:sz w:val="17"/>
          <w:szCs w:val="17"/>
          <w:color w:val="auto"/>
        </w:rPr>
        <w:t>The consummation of the Merger is subject to customary closing conditions, including: (i) approval of the issuance of Akebia Shares in connection with the Merger by the affirmative vote of the majority of Akebia Shares cast at the Akebia shareholders’ meeting in favor of the issuance of Akebia Shares in connection with the Merger; (ii) the adoption of the Merger Agreement by the affirmative vote of the holders of a majority of all outstanding shares of Keryx common stock entitled to vote thereon; (iii) the absence of any adverse law or order promulgated, entered, enforced, enacted or issued by any governmental entity that prohibits, restrains or makes illegal the consummation of the Merger; (iv) the Akebia Shares to be issued in the Merger being approved for listing on the Nasdaq Global Market; (v) the expiration or termination of the waiting period under the Hart-Scott-Rodino Antitrust Improvements Act of 1976 and other material government approvals; (vi) subject to certain materiality exceptions, the accuracy of certain representations and warranties of each of us and Akebia contained in the Merger Agreement and the compliance by each party with the covenants contained in the Merger Agreement; and (vii) the absence of a material adverse effect with respect to each of us and Akebia. Akebia’s obligation to consummate the Merger is also subject to the conversion of the New Notes into shares of our common stock before the closing of the Merger pursuant to the Notes Conversion Agreement described below. We expect the Merger will be completed in the second half of 2018.</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1" w:name="page332"/>
    <w:bookmarkEnd w:id="331"/>
    <w:p>
      <w:pPr>
        <w:ind w:firstLine="543"/>
        <w:spacing w:after="0" w:line="255" w:lineRule="auto"/>
        <w:rPr>
          <w:sz w:val="20"/>
          <w:szCs w:val="20"/>
          <w:color w:val="auto"/>
        </w:rPr>
      </w:pPr>
      <w:r>
        <w:rPr>
          <w:rFonts w:ascii="Arial" w:cs="Arial" w:eastAsia="Arial" w:hAnsi="Arial"/>
          <w:sz w:val="18"/>
          <w:szCs w:val="18"/>
          <w:color w:val="auto"/>
        </w:rPr>
        <w:t>The Merger Agreement contains certain termination rights for both us and Akebia, including for the failure to consummate the Merger by December 28, 2018, the enactment, promulgation or issuance of any injunction, order or ruling which has become final and non-appealable and makes the consummation of the Merger illegal or otherwise prohibits consummation of the Merger, failure of either our stockholders or Akebia’s stockholders to approve the Merger and related transactions, or breaches of representations, warranties or covenants by a party that result in the failure of certain conditions to closing being satisfied. In addition, each of us and Akebia have the right to terminate the Merger Agreement in order to enter into a “Superior Proposal” (as defined in the Merger Agreement). Upon termination of the Merger Agreement under certain specified circumstances Akebia or we may be required to pay the other party a termination fee of $22.0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Conversion Transactions</w:t>
      </w:r>
    </w:p>
    <w:p>
      <w:pPr>
        <w:spacing w:after="0" w:line="117" w:lineRule="exact"/>
        <w:rPr>
          <w:sz w:val="20"/>
          <w:szCs w:val="20"/>
          <w:color w:val="auto"/>
        </w:rPr>
      </w:pPr>
    </w:p>
    <w:p>
      <w:pPr>
        <w:ind w:right="160" w:firstLine="543"/>
        <w:spacing w:after="0" w:line="259" w:lineRule="auto"/>
        <w:rPr>
          <w:sz w:val="20"/>
          <w:szCs w:val="20"/>
          <w:color w:val="auto"/>
        </w:rPr>
      </w:pPr>
      <w:r>
        <w:rPr>
          <w:rFonts w:ascii="Arial" w:cs="Arial" w:eastAsia="Arial" w:hAnsi="Arial"/>
          <w:sz w:val="18"/>
          <w:szCs w:val="18"/>
          <w:color w:val="auto"/>
        </w:rPr>
        <w:t>In connection with the Merger, we entered into a Notes Conversion Agreement, or the Conversion Agreement, with Baupost and, with respect to certain sections only, Akebia. Pursuant to the terms of the Conversion Agreement, Baupost has agreed to convert the New Notes into the 35.6 million shares of our common stock into which the New Notes are currently convertible, immediately prior to the effective time of the Merger, conditioned upon our issuance to Baupost of an additional 4.0 million shares of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A Material Definitive Agreement</w:t>
      </w:r>
    </w:p>
    <w:p>
      <w:pPr>
        <w:spacing w:after="0" w:line="117" w:lineRule="exact"/>
        <w:rPr>
          <w:sz w:val="20"/>
          <w:szCs w:val="20"/>
          <w:color w:val="auto"/>
        </w:rPr>
      </w:pPr>
    </w:p>
    <w:p>
      <w:pPr>
        <w:ind w:right="40" w:firstLine="543"/>
        <w:spacing w:after="0" w:line="273" w:lineRule="auto"/>
        <w:rPr>
          <w:sz w:val="20"/>
          <w:szCs w:val="20"/>
          <w:color w:val="auto"/>
        </w:rPr>
      </w:pPr>
      <w:r>
        <w:rPr>
          <w:rFonts w:ascii="Arial" w:cs="Arial" w:eastAsia="Arial" w:hAnsi="Arial"/>
          <w:sz w:val="17"/>
          <w:szCs w:val="17"/>
          <w:color w:val="auto"/>
        </w:rPr>
        <w:t>On July 18, 2018, we entered into a Loan and Security Agreement with Silicon Valley Bank, or SVB, pursuant to which SVB made a revolving line of credit available to us in an aggregate amount of up to $40.0 million, or the Revolving Loan Facility. Availability under the Revolving Loan Facility is subject to a borrowing base comprised of eligible receivables and eligible inventory as set forth in the Loan and Security Agreement. Proceeds from the revolving line of credit may be used for working capital and general business purposes. The Revolving Loan Facility is secured by substantially all of our personal property other than intellectual property. The Revolving Loan Facility restricts our ability to grant any interest in our intellectual property other than certain permitted licenses and permitted encumbrances set forth in the Revolving Loan Facility.</w:t>
      </w:r>
    </w:p>
    <w:p>
      <w:pPr>
        <w:spacing w:after="0" w:line="178" w:lineRule="exact"/>
        <w:rPr>
          <w:sz w:val="20"/>
          <w:szCs w:val="20"/>
          <w:color w:val="auto"/>
        </w:rPr>
      </w:pPr>
    </w:p>
    <w:p>
      <w:pPr>
        <w:ind w:right="100" w:firstLine="543"/>
        <w:spacing w:after="0" w:line="254" w:lineRule="auto"/>
        <w:rPr>
          <w:sz w:val="20"/>
          <w:szCs w:val="20"/>
          <w:color w:val="auto"/>
        </w:rPr>
      </w:pPr>
      <w:r>
        <w:rPr>
          <w:rFonts w:ascii="Arial" w:cs="Arial" w:eastAsia="Arial" w:hAnsi="Arial"/>
          <w:sz w:val="18"/>
          <w:szCs w:val="18"/>
          <w:color w:val="auto"/>
        </w:rPr>
        <w:t>The principal amount outstanding under the revolving line bears interest at a floating rate per annum equal to the greater of (i) 2.0% above the “prime rate,” as reported in The Wall Street Journal and (ii) 6.75%, which interest is payable monthly. Principal amounts borrowed under the revolving line of credit may be repaid and, prior to the maturity date, re-borrowed, subject to the terms and conditions set forth in the Revolving Loan Facility. The Revolving Loan Facility will mature on the date that is two years after the effective date of the Loan and Security Agreement. Upon entry into the Loan and Security Agreement (payable in installments and subject to certain conditions), and at the one year anniversary thereof, we must pay to SVB a fee equal to 1.00% of the Revolving Loan Facility. We are also required to pay on a quarterly basis a fee equal to 0.25% per annum of the average unused portion of the revolving line. We must pay a termination fee of 2.00% of the Revolving Loan Facility, if the revolving line is terminated prior to the maturity date, subject to certain exceptions.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a"/>
      <w:numFmt w:val="bullet"/>
      <w:start w:val="1"/>
    </w:lvl>
  </w:abstractNum>
  <w:abstractNum w:abstractNumId="8">
    <w:nsid w:val="1DF029D3"/>
    <w:multiLevelType w:val="hybridMultilevel"/>
    <w:lvl w:ilvl="0">
      <w:lvlJc w:val="left"/>
      <w:lvlText w:val="b"/>
      <w:numFmt w:val="bullet"/>
      <w:start w:val="1"/>
    </w:lvl>
  </w:abstractNum>
  <w:abstractNum w:abstractNumId="9">
    <w:nsid w:val="5675FF36"/>
    <w:multiLevelType w:val="hybridMultilevel"/>
    <w:lvl w:ilvl="0">
      <w:lvlJc w:val="left"/>
      <w:lvlText w:val="c"/>
      <w:numFmt w:val="bullet"/>
      <w:start w:val="1"/>
    </w:lvl>
  </w:abstractNum>
  <w:abstractNum w:abstractNumId="10">
    <w:nsid w:val="3DD15094"/>
    <w:multiLevelType w:val="hybridMultilevel"/>
    <w:lvl w:ilvl="0">
      <w:lvlJc w:val="left"/>
      <w:lvlText w:val="d"/>
      <w:numFmt w:val="bullet"/>
      <w:start w:val="1"/>
    </w:lvl>
  </w:abstractNum>
  <w:abstractNum w:abstractNumId="11">
    <w:nsid w:val="3DB012B3"/>
    <w:multiLevelType w:val="hybridMultilevel"/>
    <w:lvl w:ilvl="0">
      <w:lvlJc w:val="left"/>
      <w:lvlText w:val="e"/>
      <w:numFmt w:val="bullet"/>
      <w:start w:val="1"/>
    </w:lvl>
  </w:abstractNum>
  <w:abstractNum w:abstractNumId="12">
    <w:nsid w:val="2708C9AF"/>
    <w:multiLevelType w:val="hybridMultilevel"/>
    <w:lvl w:ilvl="0">
      <w:lvlJc w:val="left"/>
      <w:lvlText w:val="%1."/>
      <w:numFmt w:val="decimal"/>
      <w:start w:val="1"/>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
      <w:numFmt w:val="bullet"/>
      <w:start w:val="1"/>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
      <w:numFmt w:val="bullet"/>
      <w:start w:val="1"/>
    </w:lvl>
  </w:abstractNum>
  <w:abstractNum w:abstractNumId="53">
    <w:nsid w:val="1816F8C4"/>
    <w:multiLevelType w:val="hybridMultilevel"/>
    <w:lvl w:ilvl="0">
      <w:lvlJc w:val="left"/>
      <w:lvlText w:val="(%1)"/>
      <w:numFmt w:val="decimal"/>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
      <w:numFmt w:val="bullet"/>
      <w:start w:val="1"/>
    </w:lvl>
  </w:abstractNum>
  <w:abstractNum w:abstractNumId="59">
    <w:nsid w:val="F819E7F"/>
    <w:multiLevelType w:val="hybridMultilevel"/>
    <w:lvl w:ilvl="0">
      <w:lvlJc w:val="left"/>
      <w:lvlText w:val="•"/>
      <w:numFmt w:val="bullet"/>
      <w:start w:val="1"/>
    </w:lvl>
  </w:abstractNum>
  <w:abstractNum w:abstractNumId="60">
    <w:nsid w:val="57C7D42D"/>
    <w:multiLevelType w:val="hybridMultilevel"/>
    <w:lvl w:ilvl="0">
      <w:lvlJc w:val="left"/>
      <w:lvlText w:val="(%1)"/>
      <w:numFmt w:val="decimal"/>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1)"/>
      <w:numFmt w:val="decimal"/>
      <w:start w:val="1"/>
    </w:lvl>
  </w:abstractNum>
  <w:abstractNum w:abstractNumId="66">
    <w:nsid w:val="1A0DDE32"/>
    <w:multiLevelType w:val="hybridMultilevel"/>
    <w:lvl w:ilvl="0">
      <w:lvlJc w:val="left"/>
      <w:lvlText w:val="(%1)"/>
      <w:numFmt w:val="lowerRoman"/>
      <w:start w:val="1"/>
    </w:lvl>
  </w:abstractNum>
  <w:abstractNum w:abstractNumId="67">
    <w:nsid w:val="65968C1C"/>
    <w:multiLevelType w:val="hybridMultilevel"/>
    <w:lvl w:ilvl="0">
      <w:lvlJc w:val="left"/>
      <w:lvlText w:val="(%1)"/>
      <w:numFmt w:val="decimal"/>
      <w:start w:val="1"/>
    </w:lvl>
  </w:abstractNum>
  <w:abstractNum w:abstractNumId="68">
    <w:nsid w:val="46263DEC"/>
    <w:multiLevelType w:val="hybridMultilevel"/>
    <w:lvl w:ilvl="0">
      <w:lvlJc w:val="left"/>
      <w:lvlText w:val="%1."/>
      <w:numFmt w:val="decimal"/>
      <w:start w:val="2"/>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1)"/>
      <w:numFmt w:val="lowerRoman"/>
      <w:start w:val="1"/>
    </w:lvl>
  </w:abstractNum>
  <w:abstractNum w:abstractNumId="71">
    <w:nsid w:val="746F2E30"/>
    <w:multiLevelType w:val="hybridMultilevel"/>
    <w:lvl w:ilvl="0">
      <w:lvlJc w:val="left"/>
      <w:lvlText w:val="(%1)"/>
      <w:numFmt w:val="lowerRoman"/>
      <w:start w:val="2"/>
    </w:lvl>
  </w:abstractNum>
  <w:abstractNum w:abstractNumId="72">
    <w:nsid w:val="6FDE8AF6"/>
    <w:multiLevelType w:val="hybridMultilevel"/>
    <w:lvl w:ilvl="0">
      <w:lvlJc w:val="left"/>
      <w:lvlText w:val="•"/>
      <w:numFmt w:val="bullet"/>
      <w:start w:val="1"/>
    </w:lvl>
  </w:abstractNum>
  <w:abstractNum w:abstractNumId="73">
    <w:nsid w:val="3FC32E20"/>
    <w:multiLevelType w:val="hybridMultilevel"/>
    <w:lvl w:ilvl="0">
      <w:lvlJc w:val="left"/>
      <w:lvlText w:val="(%1)"/>
      <w:numFmt w:val="decimal"/>
      <w:start w:val="1"/>
    </w:lvl>
  </w:abstractNum>
  <w:abstractNum w:abstractNumId="74">
    <w:nsid w:val="49C0E823"/>
    <w:multiLevelType w:val="hybridMultilevel"/>
    <w:lvl w:ilvl="0">
      <w:lvlJc w:val="left"/>
      <w:lvlText w:val="(%1)"/>
      <w:numFmt w:val="lowerRoman"/>
      <w:start w:val="1"/>
    </w:lvl>
  </w:abstractNum>
  <w:abstractNum w:abstractNumId="75">
    <w:nsid w:val="14D53685"/>
    <w:multiLevelType w:val="hybridMultilevel"/>
    <w:lvl w:ilvl="0">
      <w:lvlJc w:val="left"/>
      <w:lvlText w:val="(%1)"/>
      <w:numFmt w:val="lowerRoman"/>
      <w:start w:val="1"/>
    </w:lvl>
  </w:abstractNum>
  <w:abstractNum w:abstractNumId="76">
    <w:nsid w:val="230F856C"/>
    <w:multiLevelType w:val="hybridMultilevel"/>
    <w:lvl w:ilvl="0">
      <w:lvlJc w:val="left"/>
      <w:lvlText w:val="(%1)"/>
      <w:numFmt w:val="lowerRoman"/>
      <w:start w:val="1"/>
    </w:lvl>
  </w:abstractNum>
  <w:abstractNum w:abstractNumId="77">
    <w:nsid w:val="6EAA85FB"/>
    <w:multiLevelType w:val="hybridMultilevel"/>
    <w:lvl w:ilvl="0">
      <w:lvlJc w:val="left"/>
      <w:lvlText w:val="(%1)"/>
      <w:numFmt w:val="lowerRoman"/>
      <w:start w:val="1"/>
    </w:lvl>
  </w:abstractNum>
  <w:abstractNum w:abstractNumId="78">
    <w:nsid w:val="3F06ECB2"/>
    <w:multiLevelType w:val="hybridMultilevel"/>
    <w:lvl w:ilvl="0">
      <w:lvlJc w:val="left"/>
      <w:lvlText w:val="(%1)"/>
      <w:numFmt w:val="lowerRoman"/>
      <w:start w:val="1"/>
    </w:lvl>
  </w:abstractNum>
  <w:abstractNum w:abstractNumId="79">
    <w:nsid w:val="3B594807"/>
    <w:multiLevelType w:val="hybridMultilevel"/>
    <w:lvl w:ilvl="0">
      <w:lvlJc w:val="left"/>
      <w:lvlText w:val="$"/>
      <w:numFmt w:val="bullet"/>
      <w:start w:val="1"/>
    </w:lvl>
  </w:abstractNum>
  <w:abstractNum w:abstractNumId="80">
    <w:nsid w:val="6CAA2304"/>
    <w:multiLevelType w:val="hybridMultilevel"/>
    <w:lvl w:ilvl="0">
      <w:lvlJc w:val="left"/>
      <w:lvlText w:val="(%1)"/>
      <w:numFmt w:val="decimal"/>
      <w:start w:val="1"/>
    </w:lvl>
  </w:abstractNum>
  <w:abstractNum w:abstractNumId="81">
    <w:nsid w:val="3F7C2FF4"/>
    <w:multiLevelType w:val="hybridMultilevel"/>
    <w:lvl w:ilvl="0">
      <w:lvlJc w:val="left"/>
      <w:lvlText w:val="(%1)"/>
      <w:numFmt w:val="lowerLetter"/>
      <w:start w:val="1"/>
    </w:lvl>
  </w:abstractNum>
  <w:abstractNum w:abstractNumId="82">
    <w:nsid w:val="25413BEC"/>
    <w:multiLevelType w:val="hybridMultilevel"/>
    <w:lvl w:ilvl="0">
      <w:lvlJc w:val="left"/>
      <w:lvlText w:val="(%1)"/>
      <w:numFmt w:val="decimal"/>
      <w:start w:val="2"/>
    </w:lvl>
  </w:abstractNum>
  <w:abstractNum w:abstractNumId="83">
    <w:nsid w:val="17180B0B"/>
    <w:multiLevelType w:val="hybridMultilevel"/>
    <w:lvl w:ilvl="0">
      <w:lvlJc w:val="left"/>
      <w:lvlText w:val="(%1)"/>
      <w:numFmt w:val="lowerLetter"/>
      <w:start w:val="1"/>
    </w:lvl>
    <w:lvl w:ilvl="1">
      <w:lvlJc w:val="left"/>
      <w:lvlText w:val="(%2)"/>
      <w:numFmt w:val="decimal"/>
      <w:start w:val="1"/>
    </w:lvl>
  </w:abstractNum>
  <w:abstractNum w:abstractNumId="84">
    <w:nsid w:val="579328B9"/>
    <w:multiLevelType w:val="hybridMultilevel"/>
    <w:lvl w:ilvl="0">
      <w:lvlJc w:val="left"/>
      <w:lvlText w:val="(%1)"/>
      <w:numFmt w:val="decimal"/>
      <w:start w:val="2"/>
    </w:lvl>
  </w:abstractNum>
  <w:abstractNum w:abstractNumId="85">
    <w:nsid w:val="5D205E20"/>
    <w:multiLevelType w:val="hybridMultilevel"/>
    <w:lvl w:ilvl="0">
      <w:lvlJc w:val="left"/>
      <w:lvlText w:val="(%1)"/>
      <w:numFmt w:val="decimal"/>
      <w:start w:val="3"/>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1."/>
      <w:numFmt w:val="decimal"/>
      <w:start w:val="1"/>
    </w:lvl>
    <w:lvl w:ilvl="1">
      <w:lvlJc w:val="left"/>
      <w:lvlText w:val="(%2)"/>
      <w:numFmt w:val="lowerLetter"/>
      <w:start w:val="1"/>
    </w:lvl>
  </w:abstractNum>
  <w:abstractNum w:abstractNumId="90">
    <w:nsid w:val="5CB44A05"/>
    <w:multiLevelType w:val="hybridMultilevel"/>
    <w:lvl w:ilvl="0">
      <w:lvlJc w:val="left"/>
      <w:lvlText w:val="%1"/>
      <w:numFmt w:val="decimal"/>
      <w:start w:val="1"/>
    </w:lvl>
    <w:lvl w:ilvl="1">
      <w:lvlJc w:val="left"/>
      <w:lvlText w:val="(%2)"/>
      <w:numFmt w:val="lowerLetter"/>
      <w:start w:val="2"/>
    </w:lvl>
  </w:abstractNum>
  <w:abstractNum w:abstractNumId="91">
    <w:nsid w:val="16CF80F1"/>
    <w:multiLevelType w:val="hybridMultilevel"/>
    <w:lvl w:ilvl="0">
      <w:lvlJc w:val="left"/>
      <w:lvlText w:val="%1."/>
      <w:numFmt w:val="decimal"/>
      <w:start w:val="3"/>
    </w:lvl>
    <w:lvl w:ilvl="1">
      <w:lvlJc w:val="left"/>
      <w:lvlText w:val="(%2)"/>
      <w:numFmt w:val="lowerLetter"/>
      <w:start w:val="1"/>
    </w:lvl>
  </w:abstractNum>
  <w:abstractNum w:abstractNumId="92">
    <w:nsid w:val="1C695DEC"/>
    <w:multiLevelType w:val="hybridMultilevel"/>
    <w:lvl w:ilvl="0">
      <w:lvlJc w:val="left"/>
      <w:lvlText w:val="%1."/>
      <w:numFmt w:val="decimal"/>
      <w:start w:val="7"/>
    </w:lvl>
    <w:lvl w:ilvl="1">
      <w:lvlJc w:val="left"/>
      <w:lvlText w:val="(%2)"/>
      <w:numFmt w:val="lowerLetter"/>
      <w:start w:val="1"/>
    </w:lvl>
  </w:abstractNum>
  <w:abstractNum w:abstractNumId="93">
    <w:nsid w:val="3FCFAED9"/>
    <w:multiLevelType w:val="hybridMultilevel"/>
    <w:lvl w:ilvl="0">
      <w:lvlJc w:val="left"/>
      <w:lvlText w:val="%1."/>
      <w:numFmt w:val="decimal"/>
      <w:start w:val="8"/>
    </w:lvl>
    <w:lvl w:ilvl="1">
      <w:lvlJc w:val="left"/>
      <w:lvlText w:val="(%2)"/>
      <w:numFmt w:val="lowerLetter"/>
      <w:start w:val="1"/>
    </w:lvl>
  </w:abstractNum>
  <w:abstractNum w:abstractNumId="94">
    <w:nsid w:val="F8568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11B1CC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6">
    <w:nsid w:val="2E22FBB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7">
    <w:nsid w:val="2993469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8">
    <w:nsid w:val="7748585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9">
    <w:nsid w:val="744939A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0">
    <w:nsid w:val="4FA0D2E3"/>
    <w:multiLevelType w:val="hybridMultilevel"/>
    <w:lvl w:ilvl="0">
      <w:lvlJc w:val="left"/>
      <w:lvlText w:val="%1."/>
      <w:numFmt w:val="decimal"/>
      <w:start w:val="3"/>
    </w:lvl>
  </w:abstractNum>
  <w:abstractNum w:abstractNumId="101">
    <w:nsid w:val="6B1D2C14"/>
    <w:multiLevelType w:val="hybridMultilevel"/>
    <w:lvl w:ilvl="0">
      <w:lvlJc w:val="left"/>
      <w:lvlText w:val="&amp;"/>
      <w:numFmt w:val="bullet"/>
      <w:start w:val="1"/>
    </w:lvl>
  </w:abstractNum>
  <w:abstractNum w:abstractNumId="102">
    <w:nsid w:val="68B867D3"/>
    <w:multiLevelType w:val="hybridMultilevel"/>
    <w:lvl w:ilvl="0">
      <w:lvlJc w:val="left"/>
      <w:lvlText w:val="%1)"/>
      <w:numFmt w:val="lowerLetter"/>
      <w:start w:val="1"/>
    </w:lvl>
  </w:abstractNum>
  <w:abstractNum w:abstractNumId="103">
    <w:nsid w:val="3F7F5DD9"/>
    <w:multiLevelType w:val="hybridMultilevel"/>
    <w:lvl w:ilvl="0">
      <w:lvlJc w:val="left"/>
      <w:lvlText w:val="%1)"/>
      <w:numFmt w:val="lowerLetter"/>
      <w:start w:val="2"/>
    </w:lvl>
  </w:abstractNum>
  <w:abstractNum w:abstractNumId="104">
    <w:nsid w:val="2AE05A34"/>
    <w:multiLevelType w:val="hybridMultilevel"/>
    <w:lvl w:ilvl="0">
      <w:lvlJc w:val="left"/>
      <w:lvlText w:val="%1)"/>
      <w:numFmt w:val="lowerLetter"/>
      <w:start w:val="8"/>
    </w:lvl>
  </w:abstractNum>
  <w:abstractNum w:abstractNumId="105">
    <w:nsid w:val="32794FF7"/>
    <w:multiLevelType w:val="hybridMultilevel"/>
    <w:lvl w:ilvl="0">
      <w:lvlJc w:val="left"/>
      <w:lvlText w:val="%1)"/>
      <w:numFmt w:val="lowerLetter"/>
      <w:start w:val="10"/>
    </w:lvl>
  </w:abstractNum>
  <w:abstractNum w:abstractNumId="106">
    <w:nsid w:val="5454945E"/>
    <w:multiLevelType w:val="hybridMultilevel"/>
    <w:lvl w:ilvl="0">
      <w:lvlJc w:val="left"/>
      <w:lvlText w:val="%1."/>
      <w:numFmt w:val="decimal"/>
      <w:start w:val="1"/>
    </w:lvl>
  </w:abstractNum>
  <w:abstractNum w:abstractNumId="107">
    <w:nsid w:val="4DEFDFA0"/>
    <w:multiLevelType w:val="hybridMultilevel"/>
    <w:lvl w:ilvl="0">
      <w:lvlJc w:val="left"/>
      <w:lvlText w:val="(%1)"/>
      <w:numFmt w:val="lowerLetter"/>
      <w:start w:val="1"/>
    </w:lvl>
    <w:lvl w:ilvl="1">
      <w:lvlJc w:val="left"/>
      <w:lvlText w:val="(%2)"/>
      <w:numFmt w:val="lowerRoman"/>
      <w:start w:val="1"/>
    </w:lvl>
  </w:abstractNum>
  <w:abstractNum w:abstractNumId="108">
    <w:nsid w:val="2123D5F2"/>
    <w:multiLevelType w:val="hybridMultilevel"/>
    <w:lvl w:ilvl="0">
      <w:lvlJc w:val="left"/>
      <w:lvlText w:val="%1"/>
      <w:numFmt w:val="lowerLetter"/>
      <w:start w:val="1"/>
    </w:lvl>
    <w:lvl w:ilvl="1">
      <w:lvlJc w:val="left"/>
      <w:lvlText w:val="(%2)"/>
      <w:numFmt w:val="lowerLetter"/>
      <w:start w:val="61"/>
    </w:lvl>
  </w:abstractNum>
  <w:abstractNum w:abstractNumId="109">
    <w:nsid w:val="135B8110"/>
    <w:multiLevelType w:val="hybridMultilevel"/>
    <w:lvl w:ilvl="0">
      <w:lvlJc w:val="left"/>
      <w:lvlText w:val="(%1)"/>
      <w:numFmt w:val="lowerLetter"/>
      <w:start w:val="2"/>
    </w:lvl>
    <w:lvl w:ilvl="1">
      <w:lvlJc w:val="left"/>
      <w:lvlText w:val="%2"/>
      <w:numFmt w:val="lowerLetter"/>
      <w:start w:val="1"/>
    </w:lvl>
  </w:abstractNum>
  <w:abstractNum w:abstractNumId="110">
    <w:nsid w:val="94927A8"/>
    <w:multiLevelType w:val="hybridMultilevel"/>
    <w:lvl w:ilvl="0">
      <w:lvlJc w:val="left"/>
      <w:lvlText w:val="%1."/>
      <w:numFmt w:val="decimal"/>
      <w:start w:val="3"/>
    </w:lvl>
  </w:abstractNum>
  <w:abstractNum w:abstractNumId="111">
    <w:nsid w:val="DCDF8F6"/>
    <w:multiLevelType w:val="hybridMultilevel"/>
    <w:lvl w:ilvl="0">
      <w:lvlJc w:val="left"/>
      <w:lvlText w:val="(%1)"/>
      <w:numFmt w:val="lowerLetter"/>
      <w:start w:val="1"/>
    </w:lvl>
    <w:lvl w:ilvl="1">
      <w:lvlJc w:val="left"/>
      <w:lvlText w:val="(%2)"/>
      <w:numFmt w:val="lowerLetter"/>
      <w:start w:val="9"/>
    </w:lvl>
  </w:abstractNum>
  <w:abstractNum w:abstractNumId="112">
    <w:nsid w:val="52D7B105"/>
    <w:multiLevelType w:val="hybridMultilevel"/>
    <w:lvl w:ilvl="0">
      <w:lvlJc w:val="left"/>
      <w:lvlText w:val="(%1)"/>
      <w:numFmt w:val="lowerRoman"/>
      <w:start w:val="2"/>
    </w:lvl>
  </w:abstractNum>
  <w:abstractNum w:abstractNumId="113">
    <w:nsid w:val="2E8A6394"/>
    <w:multiLevelType w:val="hybridMultilevel"/>
    <w:lvl w:ilvl="0">
      <w:lvlJc w:val="left"/>
      <w:lvlText w:val="(%1)"/>
      <w:numFmt w:val="lowerLetter"/>
      <w:start w:val="4"/>
    </w:lvl>
  </w:abstractNum>
  <w:abstractNum w:abstractNumId="114">
    <w:nsid w:val="24E60401"/>
    <w:multiLevelType w:val="hybridMultilevel"/>
    <w:lvl w:ilvl="0">
      <w:lvlJc w:val="left"/>
      <w:lvlText w:val="%1."/>
      <w:numFmt w:val="decimal"/>
      <w:start w:val="5"/>
    </w:lvl>
  </w:abstractNum>
  <w:abstractNum w:abstractNumId="115">
    <w:nsid w:val="2A6AD9BE"/>
    <w:multiLevelType w:val="hybridMultilevel"/>
    <w:lvl w:ilvl="0">
      <w:lvlJc w:val="left"/>
      <w:lvlText w:val="(%1)"/>
      <w:numFmt w:val="lowerLetter"/>
      <w:start w:val="1"/>
    </w:lvl>
  </w:abstractNum>
  <w:abstractNum w:abstractNumId="116">
    <w:nsid w:val="BAAC1B4"/>
    <w:multiLevelType w:val="hybridMultilevel"/>
    <w:lvl w:ilvl="0">
      <w:lvlJc w:val="left"/>
      <w:lvlText w:val="(%1)"/>
      <w:numFmt w:val="lowerLetter"/>
      <w:start w:val="3"/>
    </w:lvl>
  </w:abstractNum>
  <w:abstractNum w:abstractNumId="117">
    <w:nsid w:val="36B2ACBC"/>
    <w:multiLevelType w:val="hybridMultilevel"/>
    <w:lvl w:ilvl="0">
      <w:lvlJc w:val="left"/>
      <w:lvlText w:val="%1"/>
      <w:numFmt w:val="lowerRoman"/>
      <w:start w:val="1"/>
    </w:lvl>
    <w:lvl w:ilvl="1">
      <w:lvlJc w:val="left"/>
      <w:lvlText w:val="%2."/>
      <w:numFmt w:val="decimal"/>
      <w:start w:val="6"/>
    </w:lvl>
  </w:abstractNum>
  <w:abstractNum w:abstractNumId="118">
    <w:nsid w:val="779D8544"/>
    <w:multiLevelType w:val="hybridMultilevel"/>
    <w:lvl w:ilvl="0">
      <w:lvlJc w:val="left"/>
      <w:lvlText w:val="(%1)"/>
      <w:numFmt w:val="lowerRoman"/>
      <w:start w:val="2"/>
    </w:lvl>
    <w:lvl w:ilvl="1">
      <w:lvlJc w:val="left"/>
      <w:lvlText w:val="%2"/>
      <w:numFmt w:val="decimal"/>
      <w:start w:val="1"/>
    </w:lvl>
  </w:abstractNum>
  <w:abstractNum w:abstractNumId="119">
    <w:nsid w:val="4AB26E78"/>
    <w:multiLevelType w:val="hybridMultilevel"/>
    <w:lvl w:ilvl="0">
      <w:lvlJc w:val="left"/>
      <w:lvlText w:val="%1."/>
      <w:numFmt w:val="decimal"/>
      <w:start w:val="8"/>
    </w:lvl>
  </w:abstractNum>
  <w:abstractNum w:abstractNumId="120">
    <w:nsid w:val="21FAA2FA"/>
    <w:multiLevelType w:val="hybridMultilevel"/>
    <w:lvl w:ilvl="0">
      <w:lvlJc w:val="left"/>
      <w:lvlText w:val="%1."/>
      <w:numFmt w:val="decimal"/>
      <w:start w:val="13"/>
    </w:lvl>
  </w:abstractNum>
  <w:abstractNum w:abstractNumId="121">
    <w:nsid w:val="5451CF49"/>
    <w:multiLevelType w:val="hybridMultilevel"/>
    <w:lvl w:ilvl="0">
      <w:lvlJc w:val="left"/>
      <w:lvlText w:val="%1."/>
      <w:numFmt w:val="decimal"/>
      <w:start w:val="18"/>
    </w:lvl>
  </w:abstractNum>
  <w:abstractNum w:abstractNumId="122">
    <w:nsid w:val="6181EF69"/>
    <w:multiLevelType w:val="hybridMultilevel"/>
    <w:lvl w:ilvl="0">
      <w:lvlJc w:val="left"/>
      <w:lvlText w:val="%1."/>
      <w:numFmt w:val="decimal"/>
      <w:start w:val="1"/>
    </w:lvl>
    <w:lvl w:ilvl="1">
      <w:lvlJc w:val="left"/>
      <w:lvlText w:val="☐"/>
      <w:numFmt w:val="bullet"/>
      <w:start w:val="1"/>
    </w:lvl>
  </w:abstractNum>
  <w:abstractNum w:abstractNumId="123">
    <w:nsid w:val="3E6400E6"/>
    <w:multiLevelType w:val="hybridMultilevel"/>
    <w:lvl w:ilvl="0">
      <w:lvlJc w:val="left"/>
      <w:lvlText w:val="☐"/>
      <w:numFmt w:val="bullet"/>
      <w:start w:val="1"/>
    </w:lvl>
  </w:abstractNum>
  <w:abstractNum w:abstractNumId="124">
    <w:nsid w:val="14217E23"/>
    <w:multiLevelType w:val="hybridMultilevel"/>
    <w:lvl w:ilvl="0">
      <w:lvlJc w:val="left"/>
      <w:lvlText w:val="%1."/>
      <w:numFmt w:val="decimal"/>
      <w:start w:val="2"/>
    </w:lvl>
  </w:abstractNum>
  <w:abstractNum w:abstractNumId="125">
    <w:nsid w:val="710757D0"/>
    <w:multiLevelType w:val="hybridMultilevel"/>
    <w:lvl w:ilvl="0">
      <w:lvlJc w:val="left"/>
      <w:lvlText w:val="☐"/>
      <w:numFmt w:val="bullet"/>
      <w:start w:val="1"/>
    </w:lvl>
  </w:abstractNum>
  <w:abstractNum w:abstractNumId="126">
    <w:nsid w:val="5015CD1A"/>
    <w:multiLevelType w:val="hybridMultilevel"/>
    <w:lvl w:ilvl="0">
      <w:lvlJc w:val="left"/>
      <w:lvlText w:val="%1."/>
      <w:numFmt w:val="decimal"/>
      <w:start w:val="1"/>
    </w:lvl>
  </w:abstractNum>
  <w:abstractNum w:abstractNumId="127">
    <w:nsid w:val="424479DA"/>
    <w:multiLevelType w:val="hybridMultilevel"/>
    <w:lvl w:ilvl="0">
      <w:lvlJc w:val="left"/>
      <w:lvlText w:val="(%1)"/>
      <w:numFmt w:val="lowerLetter"/>
      <w:start w:val="1"/>
    </w:lvl>
  </w:abstractNum>
  <w:abstractNum w:abstractNumId="128">
    <w:nsid w:val="1A9A9E69"/>
    <w:multiLevelType w:val="hybridMultilevel"/>
    <w:lvl w:ilvl="0">
      <w:lvlJc w:val="left"/>
      <w:lvlText w:val="%1."/>
      <w:numFmt w:val="decimal"/>
      <w:start w:val="3"/>
    </w:lvl>
  </w:abstractNum>
  <w:abstractNum w:abstractNumId="129">
    <w:nsid w:val="475E256A"/>
    <w:multiLevelType w:val="hybridMultilevel"/>
    <w:lvl w:ilvl="0">
      <w:lvlJc w:val="left"/>
      <w:lvlText w:val="%1."/>
      <w:numFmt w:val="decimal"/>
      <w:start w:val="5"/>
    </w:lvl>
  </w:abstractNum>
  <w:abstractNum w:abstractNumId="130">
    <w:nsid w:val="368DB37E"/>
    <w:multiLevelType w:val="hybridMultilevel"/>
    <w:lvl w:ilvl="0">
      <w:lvlJc w:val="left"/>
      <w:lvlText w:val="%1."/>
      <w:numFmt w:val="upperLetter"/>
      <w:start w:val="1"/>
    </w:lvl>
  </w:abstractNum>
  <w:abstractNum w:abstractNumId="131">
    <w:nsid w:val="6A3B714C"/>
    <w:multiLevelType w:val="hybridMultilevel"/>
    <w:lvl w:ilvl="0">
      <w:lvlJc w:val="left"/>
      <w:lvlText w:val="%1."/>
      <w:numFmt w:val="upperLetter"/>
      <w:start w:val="1"/>
    </w:lvl>
  </w:abstractNum>
  <w:abstractNum w:abstractNumId="132">
    <w:nsid w:val="327B517E"/>
    <w:multiLevelType w:val="hybridMultilevel"/>
    <w:lvl w:ilvl="0">
      <w:lvlJc w:val="left"/>
      <w:lvlText w:val="%1."/>
      <w:numFmt w:val="upperLetter"/>
      <w:start w:val="1"/>
    </w:lvl>
  </w:abstractNum>
  <w:abstractNum w:abstractNumId="133">
    <w:nsid w:val="1F461B51"/>
    <w:multiLevelType w:val="hybridMultilevel"/>
    <w:lvl w:ilvl="0">
      <w:lvlJc w:val="left"/>
      <w:lvlText w:val="%1."/>
      <w:numFmt w:val="upperLetter"/>
      <w:start w:val="2"/>
    </w:lvl>
  </w:abstractNum>
  <w:abstractNum w:abstractNumId="134">
    <w:nsid w:val="29BACF25"/>
    <w:multiLevelType w:val="hybridMultilevel"/>
    <w:lvl w:ilvl="0">
      <w:lvlJc w:val="left"/>
      <w:lvlText w:val="[**]"/>
      <w:numFmt w:val="bullet"/>
      <w:start w:val="1"/>
    </w:lvl>
    <w:lvl w:ilvl="1">
      <w:lvlJc w:val="left"/>
      <w:lvlText w:val="(%2)"/>
      <w:numFmt w:val="upperLetter"/>
      <w:start w:val="1"/>
    </w:lvl>
  </w:abstractNum>
  <w:abstractNum w:abstractNumId="135">
    <w:nsid w:val="5D5BABB3"/>
    <w:multiLevelType w:val="hybridMultilevel"/>
    <w:lvl w:ilvl="0">
      <w:lvlJc w:val="left"/>
      <w:lvlText w:val="%1."/>
      <w:numFmt w:val="upperLetter"/>
      <w:start w:val="1"/>
    </w:lvl>
  </w:abstractNum>
  <w:abstractNum w:abstractNumId="136">
    <w:nsid w:val="51BF6B48"/>
    <w:multiLevelType w:val="hybridMultilevel"/>
    <w:lvl w:ilvl="0">
      <w:lvlJc w:val="left"/>
      <w:lvlText w:val="%1."/>
      <w:numFmt w:val="upperLetter"/>
      <w:start w:val="1"/>
    </w:lvl>
  </w:abstractNum>
  <w:abstractNum w:abstractNumId="137">
    <w:nsid w:val="7E0F6384"/>
    <w:multiLevelType w:val="hybridMultilevel"/>
    <w:lvl w:ilvl="0">
      <w:lvlJc w:val="left"/>
      <w:lvlText w:val="%1."/>
      <w:numFmt w:val="upperLetter"/>
      <w:start w:val="3"/>
    </w:lvl>
  </w:abstractNum>
  <w:abstractNum w:abstractNumId="138">
    <w:nsid w:val="2B4B8B53"/>
    <w:multiLevelType w:val="hybridMultilevel"/>
    <w:lvl w:ilvl="0">
      <w:lvlJc w:val="left"/>
      <w:lvlText w:val="%1."/>
      <w:numFmt w:val="upperLetter"/>
      <w:start w:val="1"/>
    </w:lvl>
  </w:abstractNum>
  <w:abstractNum w:abstractNumId="139">
    <w:nsid w:val="72E3413A"/>
    <w:multiLevelType w:val="hybridMultilevel"/>
    <w:lvl w:ilvl="0">
      <w:lvlJc w:val="left"/>
      <w:lvlText w:val="&lt;"/>
      <w:numFmt w:val="bullet"/>
      <w:start w:val="1"/>
    </w:lvl>
  </w:abstractNum>
  <w:abstractNum w:abstractNumId="140">
    <w:nsid w:val="116AE494"/>
    <w:multiLevelType w:val="hybridMultilevel"/>
    <w:lvl w:ilvl="0">
      <w:lvlJc w:val="left"/>
      <w:lvlText w:val="%1."/>
      <w:numFmt w:val="decimal"/>
      <w:start w:val="1"/>
    </w:lvl>
  </w:abstractNum>
  <w:abstractNum w:abstractNumId="141">
    <w:nsid w:val="3494B2FB"/>
    <w:multiLevelType w:val="hybridMultilevel"/>
    <w:lvl w:ilvl="0">
      <w:lvlJc w:val="left"/>
      <w:lvlText w:val="%1."/>
      <w:numFmt w:val="decimal"/>
      <w:start w:val="2"/>
    </w:lvl>
  </w:abstractNum>
  <w:abstractNum w:abstractNumId="142">
    <w:nsid w:val="B13A31"/>
    <w:multiLevelType w:val="hybridMultilevel"/>
    <w:lvl w:ilvl="0">
      <w:lvlJc w:val="left"/>
      <w:lvlText w:val="%1."/>
      <w:numFmt w:val="decimal"/>
      <w:start w:val="3"/>
    </w:lvl>
  </w:abstractNum>
  <w:abstractNum w:abstractNumId="143">
    <w:nsid w:val="64429599"/>
    <w:multiLevelType w:val="hybridMultilevel"/>
    <w:lvl w:ilvl="0">
      <w:lvlJc w:val="left"/>
      <w:lvlText w:val="%1."/>
      <w:numFmt w:val="decimal"/>
      <w:start w:val="4"/>
    </w:lvl>
  </w:abstractNum>
  <w:abstractNum w:abstractNumId="144">
    <w:nsid w:val="631F1690"/>
    <w:multiLevelType w:val="hybridMultilevel"/>
    <w:lvl w:ilvl="0">
      <w:lvlJc w:val="left"/>
      <w:lvlText w:val="%1."/>
      <w:numFmt w:val="decimal"/>
      <w:start w:val="5"/>
    </w:lvl>
  </w:abstractNum>
  <w:abstractNum w:abstractNumId="145">
    <w:nsid w:val="25973E32"/>
    <w:multiLevelType w:val="hybridMultilevel"/>
    <w:lvl w:ilvl="0">
      <w:lvlJc w:val="left"/>
      <w:lvlText w:val="%1."/>
      <w:numFmt w:val="decimal"/>
      <w:start w:val="6"/>
    </w:lvl>
  </w:abstractNum>
  <w:abstractNum w:abstractNumId="146">
    <w:nsid w:val="EAD6F57"/>
    <w:multiLevelType w:val="hybridMultilevel"/>
    <w:lvl w:ilvl="0">
      <w:lvlJc w:val="left"/>
      <w:lvlText w:val="%1."/>
      <w:numFmt w:val="decimal"/>
      <w:start w:val="7"/>
    </w:lvl>
  </w:abstractNum>
  <w:abstractNum w:abstractNumId="147">
    <w:nsid w:val="6EC9D844"/>
    <w:multiLevelType w:val="hybridMultilevel"/>
    <w:lvl w:ilvl="0">
      <w:lvlJc w:val="left"/>
      <w:lvlText w:val="%1."/>
      <w:numFmt w:val="decimal"/>
      <w:start w:val="9"/>
    </w:lvl>
  </w:abstractNum>
  <w:abstractNum w:abstractNumId="148">
    <w:nsid w:val="5C49EAEE"/>
    <w:multiLevelType w:val="hybridMultilevel"/>
    <w:lvl w:ilvl="0">
      <w:lvlJc w:val="left"/>
      <w:lvlText w:val="%1."/>
      <w:numFmt w:val="decimal"/>
      <w:start w:val="10"/>
    </w:lvl>
  </w:abstractNum>
  <w:abstractNum w:abstractNumId="149">
    <w:nsid w:val="64AF49B"/>
    <w:multiLevelType w:val="hybridMultilevel"/>
    <w:lvl w:ilvl="0">
      <w:lvlJc w:val="left"/>
      <w:lvlText w:val="%1."/>
      <w:numFmt w:val="decimal"/>
      <w:start w:val="11"/>
    </w:lvl>
  </w:abstractNum>
  <w:abstractNum w:abstractNumId="150">
    <w:nsid w:val="397C46BC"/>
    <w:multiLevelType w:val="hybridMultilevel"/>
    <w:lvl w:ilvl="0">
      <w:lvlJc w:val="left"/>
      <w:lvlText w:val="%1."/>
      <w:numFmt w:val="decimal"/>
      <w:start w:val="12"/>
    </w:lvl>
  </w:abstractNum>
  <w:abstractNum w:abstractNumId="151">
    <w:nsid w:val="7E448DE9"/>
    <w:multiLevelType w:val="hybridMultilevel"/>
    <w:lvl w:ilvl="0">
      <w:lvlJc w:val="left"/>
      <w:lvlText w:val="%1."/>
      <w:numFmt w:val="decimal"/>
      <w:start w:val="13"/>
    </w:lvl>
  </w:abstractNum>
  <w:abstractNum w:abstractNumId="152">
    <w:nsid w:val="5A9CC3E5"/>
    <w:multiLevelType w:val="hybridMultilevel"/>
    <w:lvl w:ilvl="0">
      <w:lvlJc w:val="left"/>
      <w:lvlText w:val="%1."/>
      <w:numFmt w:val="decimal"/>
      <w:start w:val="17"/>
    </w:lvl>
  </w:abstractNum>
  <w:abstractNum w:abstractNumId="153">
    <w:nsid w:val="1AFE3625"/>
    <w:multiLevelType w:val="hybridMultilevel"/>
    <w:lvl w:ilvl="0">
      <w:lvlJc w:val="left"/>
      <w:lvlText w:val="%1."/>
      <w:numFmt w:val="decimal"/>
      <w:start w:val="19"/>
    </w:lvl>
  </w:abstractNum>
  <w:abstractNum w:abstractNumId="154">
    <w:nsid w:val="3CA88ECF"/>
    <w:multiLevelType w:val="hybridMultilevel"/>
    <w:lvl w:ilvl="0">
      <w:lvlJc w:val="left"/>
      <w:lvlText w:val="%1."/>
      <w:numFmt w:val="decimal"/>
      <w:start w:val="20"/>
    </w:lvl>
  </w:abstractNum>
  <w:abstractNum w:abstractNumId="155">
    <w:nsid w:val="6EBE4208"/>
    <w:multiLevelType w:val="hybridMultilevel"/>
    <w:lvl w:ilvl="0">
      <w:lvlJc w:val="left"/>
      <w:lvlText w:val="%1."/>
      <w:numFmt w:val="decimal"/>
      <w:start w:val="21"/>
    </w:lvl>
  </w:abstractNum>
  <w:abstractNum w:abstractNumId="156">
    <w:nsid w:val="C058DF5"/>
    <w:multiLevelType w:val="hybridMultilevel"/>
    <w:lvl w:ilvl="0">
      <w:lvlJc w:val="left"/>
      <w:lvlText w:val="%1."/>
      <w:numFmt w:val="decimal"/>
      <w:start w:val="22"/>
    </w:lvl>
  </w:abstractNum>
  <w:abstractNum w:abstractNumId="157">
    <w:nsid w:val="CBE5BE9"/>
    <w:multiLevelType w:val="hybridMultilevel"/>
    <w:lvl w:ilvl="0">
      <w:lvlJc w:val="left"/>
      <w:lvlText w:val="%1."/>
      <w:numFmt w:val="decimal"/>
      <w:start w:val="23"/>
    </w:lvl>
  </w:abstractNum>
  <w:abstractNum w:abstractNumId="158">
    <w:nsid w:val="3102BBE2"/>
    <w:multiLevelType w:val="hybridMultilevel"/>
    <w:lvl w:ilvl="0">
      <w:lvlJc w:val="left"/>
      <w:lvlText w:val="%1."/>
      <w:numFmt w:val="decimal"/>
      <w:start w:val="24"/>
    </w:lvl>
  </w:abstractNum>
  <w:abstractNum w:abstractNumId="159">
    <w:nsid w:val="26A02C5E"/>
    <w:multiLevelType w:val="hybridMultilevel"/>
    <w:lvl w:ilvl="0">
      <w:lvlJc w:val="left"/>
      <w:lvlText w:val="%1."/>
      <w:numFmt w:val="decimal"/>
      <w:start w:val="1"/>
    </w:lvl>
  </w:abstractNum>
  <w:abstractNum w:abstractNumId="160">
    <w:nsid w:val="541C8153"/>
    <w:multiLevelType w:val="hybridMultilevel"/>
    <w:lvl w:ilvl="0">
      <w:lvlJc w:val="left"/>
      <w:lvlText w:val="%1)"/>
      <w:numFmt w:val="lowerLetter"/>
      <w:start w:val="1"/>
    </w:lvl>
  </w:abstractNum>
  <w:abstractNum w:abstractNumId="161">
    <w:nsid w:val="67906F60"/>
    <w:multiLevelType w:val="hybridMultilevel"/>
    <w:lvl w:ilvl="0">
      <w:lvlJc w:val="left"/>
      <w:lvlText w:val="%1."/>
      <w:numFmt w:val="decimal"/>
      <w:start w:val="26"/>
    </w:lvl>
  </w:abstractNum>
  <w:abstractNum w:abstractNumId="162">
    <w:nsid w:val="10DB9DAA"/>
    <w:multiLevelType w:val="hybridMultilevel"/>
    <w:lvl w:ilvl="0">
      <w:lvlJc w:val="left"/>
      <w:lvlText w:val="%1."/>
      <w:numFmt w:val="decimal"/>
      <w:start w:val="1"/>
    </w:lvl>
  </w:abstractNum>
  <w:abstractNum w:abstractNumId="163">
    <w:nsid w:val="697D2D2"/>
    <w:multiLevelType w:val="hybridMultilevel"/>
    <w:lvl w:ilvl="0">
      <w:lvlJc w:val="left"/>
      <w:lvlText w:val="%1."/>
      <w:numFmt w:val="decimal"/>
      <w:start w:val="2"/>
    </w:lvl>
  </w:abstractNum>
  <w:abstractNum w:abstractNumId="164">
    <w:nsid w:val="6D68AB2"/>
    <w:multiLevelType w:val="hybridMultilevel"/>
    <w:lvl w:ilvl="0">
      <w:lvlJc w:val="left"/>
      <w:lvlText w:val="%1."/>
      <w:numFmt w:val="decimal"/>
      <w:start w:val="3"/>
    </w:lvl>
  </w:abstractNum>
  <w:abstractNum w:abstractNumId="165">
    <w:nsid w:val="3A966CD0"/>
    <w:multiLevelType w:val="hybridMultilevel"/>
    <w:lvl w:ilvl="0">
      <w:lvlJc w:val="left"/>
      <w:lvlText w:val="%1."/>
      <w:numFmt w:val="decimal"/>
      <w:start w:val="1"/>
    </w:lvl>
    <w:lvl w:ilvl="1">
      <w:lvlJc w:val="left"/>
      <w:lvlText w:val="%2."/>
      <w:numFmt w:val="lowerLetter"/>
      <w:start w:val="1"/>
    </w:lvl>
  </w:abstractNum>
  <w:abstractNum w:abstractNumId="166">
    <w:nsid w:val="63F37E85"/>
    <w:multiLevelType w:val="hybridMultilevel"/>
    <w:lvl w:ilvl="0">
      <w:lvlJc w:val="left"/>
      <w:lvlText w:val="%1."/>
      <w:numFmt w:val="lowerLetter"/>
      <w:start w:val="5"/>
    </w:lvl>
  </w:abstractNum>
  <w:abstractNum w:abstractNumId="167">
    <w:nsid w:val="5895F5FA"/>
    <w:multiLevelType w:val="hybridMultilevel"/>
    <w:lvl w:ilvl="0">
      <w:lvlJc w:val="left"/>
      <w:lvlText w:val="%1."/>
      <w:numFmt w:val="lowerRoman"/>
      <w:start w:val="1"/>
    </w:lvl>
  </w:abstractNum>
  <w:abstractNum w:abstractNumId="168">
    <w:nsid w:val="38A5D054"/>
    <w:multiLevelType w:val="hybridMultilevel"/>
    <w:lvl w:ilvl="0">
      <w:lvlJc w:val="left"/>
      <w:lvlText w:val="%1."/>
      <w:numFmt w:val="lowerLetter"/>
      <w:start w:val="12"/>
    </w:lvl>
  </w:abstractNum>
  <w:abstractNum w:abstractNumId="169">
    <w:nsid w:val="F3F09D8"/>
    <w:multiLevelType w:val="hybridMultilevel"/>
    <w:lvl w:ilvl="0">
      <w:lvlJc w:val="left"/>
      <w:lvlText w:val="%1."/>
      <w:numFmt w:val="lowerLetter"/>
      <w:start w:val="15"/>
    </w:lvl>
  </w:abstractNum>
  <w:abstractNum w:abstractNumId="170">
    <w:nsid w:val="4B793735"/>
    <w:multiLevelType w:val="hybridMultilevel"/>
    <w:lvl w:ilvl="0">
      <w:lvlJc w:val="left"/>
      <w:lvlText w:val="%1."/>
      <w:numFmt w:val="lowerLetter"/>
      <w:start w:val="27"/>
    </w:lvl>
  </w:abstractNum>
  <w:abstractNum w:abstractNumId="171">
    <w:nsid w:val="4A10B4E8"/>
    <w:multiLevelType w:val="hybridMultilevel"/>
    <w:lvl w:ilvl="0">
      <w:lvlJc w:val="left"/>
      <w:lvlText w:val="%1"/>
      <w:numFmt w:val="decimal"/>
      <w:start w:val="1"/>
    </w:lvl>
    <w:lvl w:ilvl="1">
      <w:lvlJc w:val="left"/>
      <w:lvlText w:val="%2."/>
      <w:numFmt w:val="lowerLetter"/>
      <w:start w:val="28"/>
    </w:lvl>
    <w:lvl w:ilvl="2">
      <w:lvlJc w:val="left"/>
      <w:lvlText w:val="%3"/>
      <w:numFmt w:val="lowerRoman"/>
      <w:start w:val="1"/>
    </w:lvl>
  </w:abstractNum>
  <w:abstractNum w:abstractNumId="172">
    <w:nsid w:val="43D3BC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3">
    <w:nsid w:val="4C2A7166"/>
    <w:multiLevelType w:val="hybridMultilevel"/>
    <w:lvl w:ilvl="0">
      <w:lvlJc w:val="left"/>
      <w:lvlText w:val="%1."/>
      <w:numFmt w:val="lowerLetter"/>
      <w:start w:val="3"/>
    </w:lvl>
    <w:lvl w:ilvl="1">
      <w:lvlJc w:val="left"/>
      <w:lvlText w:val="%2."/>
      <w:numFmt w:val="lowerRoman"/>
      <w:start w:val="1"/>
    </w:lvl>
  </w:abstractNum>
  <w:abstractNum w:abstractNumId="174">
    <w:nsid w:val="2E534A82"/>
    <w:multiLevelType w:val="hybridMultilevel"/>
    <w:lvl w:ilvl="0">
      <w:lvlJc w:val="left"/>
      <w:lvlText w:val="%1"/>
      <w:numFmt w:val="decimal"/>
      <w:start w:val="1"/>
    </w:lvl>
    <w:lvl w:ilvl="1">
      <w:lvlJc w:val="left"/>
      <w:lvlText w:val="%2."/>
      <w:numFmt w:val="lowerLetter"/>
      <w:start w:val="9"/>
    </w:lvl>
  </w:abstractNum>
  <w:abstractNum w:abstractNumId="175">
    <w:nsid w:val="26F2D364"/>
    <w:multiLevelType w:val="hybridMultilevel"/>
    <w:lvl w:ilvl="0">
      <w:lvlJc w:val="left"/>
      <w:lvlText w:val="%1."/>
      <w:numFmt w:val="decimal"/>
      <w:start w:val="3"/>
    </w:lvl>
    <w:lvl w:ilvl="1">
      <w:lvlJc w:val="left"/>
      <w:lvlText w:val="%2."/>
      <w:numFmt w:val="lowerLetter"/>
      <w:start w:val="1"/>
    </w:lvl>
  </w:abstractNum>
  <w:abstractNum w:abstractNumId="176">
    <w:nsid w:val="71C1AF98"/>
    <w:multiLevelType w:val="hybridMultilevel"/>
    <w:lvl w:ilvl="0">
      <w:lvlJc w:val="left"/>
      <w:lvlText w:val="%1."/>
      <w:numFmt w:val="lowerLetter"/>
      <w:start w:val="3"/>
    </w:lvl>
  </w:abstractNum>
  <w:abstractNum w:abstractNumId="177">
    <w:nsid w:val="3D00B9D9"/>
    <w:multiLevelType w:val="hybridMultilevel"/>
    <w:lvl w:ilvl="0">
      <w:lvlJc w:val="left"/>
      <w:lvlText w:val="%1."/>
      <w:numFmt w:val="lowerLetter"/>
      <w:start w:val="7"/>
    </w:lvl>
  </w:abstractNum>
  <w:abstractNum w:abstractNumId="178">
    <w:nsid w:val="15BCABA8"/>
    <w:multiLevelType w:val="hybridMultilevel"/>
    <w:lvl w:ilvl="0">
      <w:lvlJc w:val="left"/>
      <w:lvlText w:val="%1."/>
      <w:numFmt w:val="lowerLetter"/>
      <w:start w:val="11"/>
    </w:lvl>
  </w:abstractNum>
  <w:abstractNum w:abstractNumId="179">
    <w:nsid w:val="4E0B9A87"/>
    <w:multiLevelType w:val="hybridMultilevel"/>
    <w:lvl w:ilvl="0">
      <w:lvlJc w:val="left"/>
      <w:lvlText w:val="%1."/>
      <w:numFmt w:val="decimal"/>
      <w:start w:val="4"/>
    </w:lvl>
    <w:lvl w:ilvl="1">
      <w:lvlJc w:val="left"/>
      <w:lvlText w:val="%2."/>
      <w:numFmt w:val="lowerLetter"/>
      <w:start w:val="1"/>
    </w:lvl>
  </w:abstractNum>
  <w:abstractNum w:abstractNumId="180">
    <w:nsid w:val="434BAE75"/>
    <w:multiLevelType w:val="hybridMultilevel"/>
    <w:lvl w:ilvl="0">
      <w:lvlJc w:val="left"/>
      <w:lvlText w:val="%1."/>
      <w:numFmt w:val="lowerLetter"/>
      <w:start w:val="5"/>
    </w:lvl>
  </w:abstractNum>
  <w:abstractNum w:abstractNumId="181">
    <w:nsid w:val="4F38F26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2">
    <w:nsid w:val="4C502870"/>
    <w:multiLevelType w:val="hybridMultilevel"/>
    <w:lvl w:ilvl="0">
      <w:lvlJc w:val="left"/>
      <w:lvlText w:val="%1."/>
      <w:numFmt w:val="lowerLetter"/>
      <w:start w:val="2"/>
    </w:lvl>
    <w:lvl w:ilvl="1">
      <w:lvlJc w:val="left"/>
      <w:lvlText w:val="%2."/>
      <w:numFmt w:val="lowerRoman"/>
      <w:start w:val="1"/>
    </w:lvl>
  </w:abstractNum>
  <w:abstractNum w:abstractNumId="183">
    <w:nsid w:val="1DE8725A"/>
    <w:multiLevelType w:val="hybridMultilevel"/>
    <w:lvl w:ilvl="0">
      <w:lvlJc w:val="left"/>
      <w:lvlText w:val="%1"/>
      <w:numFmt w:val="decimal"/>
      <w:start w:val="1"/>
    </w:lvl>
    <w:lvl w:ilvl="1">
      <w:lvlJc w:val="left"/>
      <w:lvlText w:val="%2."/>
      <w:numFmt w:val="lowerLetter"/>
      <w:start w:val="4"/>
    </w:lvl>
  </w:abstractNum>
  <w:abstractNum w:abstractNumId="184">
    <w:nsid w:val="6A37288A"/>
    <w:multiLevelType w:val="hybridMultilevel"/>
    <w:lvl w:ilvl="0">
      <w:lvlJc w:val="left"/>
      <w:lvlText w:val="%1."/>
      <w:numFmt w:val="decimal"/>
      <w:start w:val="6"/>
    </w:lvl>
    <w:lvl w:ilvl="1">
      <w:lvlJc w:val="left"/>
      <w:lvlText w:val="%2."/>
      <w:numFmt w:val="lowerLetter"/>
      <w:start w:val="1"/>
    </w:lvl>
  </w:abstractNum>
  <w:abstractNum w:abstractNumId="185">
    <w:nsid w:val="8F8B73F"/>
    <w:multiLevelType w:val="hybridMultilevel"/>
    <w:lvl w:ilvl="0">
      <w:lvlJc w:val="left"/>
      <w:lvlText w:val="%1."/>
      <w:numFmt w:val="lowerLetter"/>
      <w:start w:val="2"/>
    </w:lvl>
    <w:lvl w:ilvl="1">
      <w:lvlJc w:val="left"/>
      <w:lvlText w:val="(%2)"/>
      <w:numFmt w:val="lowerRoman"/>
      <w:start w:val="1"/>
    </w:lvl>
  </w:abstractNum>
  <w:abstractNum w:abstractNumId="186">
    <w:nsid w:val="CA6B462"/>
    <w:multiLevelType w:val="hybridMultilevel"/>
    <w:lvl w:ilvl="0">
      <w:lvlJc w:val="left"/>
      <w:lvlText w:val="%1."/>
      <w:numFmt w:val="lowerLetter"/>
      <w:start w:val="3"/>
    </w:lvl>
  </w:abstractNum>
  <w:abstractNum w:abstractNumId="187">
    <w:nsid w:val="763CB680"/>
    <w:multiLevelType w:val="hybridMultilevel"/>
    <w:lvl w:ilvl="0">
      <w:lvlJc w:val="left"/>
      <w:lvlText w:val="%1."/>
      <w:numFmt w:val="lowerLetter"/>
      <w:start w:val="6"/>
    </w:lvl>
  </w:abstractNum>
  <w:abstractNum w:abstractNumId="188">
    <w:nsid w:val="15B7132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89">
    <w:nsid w:val="3DA97044"/>
    <w:multiLevelType w:val="hybridMultilevel"/>
    <w:lvl w:ilvl="0">
      <w:lvlJc w:val="left"/>
      <w:lvlText w:val="%1."/>
      <w:numFmt w:val="lowerRoman"/>
      <w:start w:val="4"/>
    </w:lvl>
  </w:abstractNum>
  <w:abstractNum w:abstractNumId="190">
    <w:nsid w:val="1CDCE2DE"/>
    <w:multiLevelType w:val="hybridMultilevel"/>
    <w:lvl w:ilvl="0">
      <w:lvlJc w:val="left"/>
      <w:lvlText w:val="%1."/>
      <w:numFmt w:val="lowerLetter"/>
      <w:start w:val="5"/>
    </w:lvl>
  </w:abstractNum>
  <w:abstractNum w:abstractNumId="191">
    <w:nsid w:val="69D3947C"/>
    <w:multiLevelType w:val="hybridMultilevel"/>
    <w:lvl w:ilvl="0">
      <w:lvlJc w:val="left"/>
      <w:lvlText w:val="(%1)"/>
      <w:numFmt w:val="lowerLetter"/>
      <w:start w:val="1"/>
    </w:lvl>
  </w:abstractNum>
  <w:abstractNum w:abstractNumId="192">
    <w:nsid w:val="2539DFA5"/>
    <w:multiLevelType w:val="hybridMultilevel"/>
    <w:lvl w:ilvl="0">
      <w:lvlJc w:val="left"/>
      <w:lvlText w:val="%1."/>
      <w:numFmt w:val="lowerLetter"/>
      <w:start w:val="6"/>
    </w:lvl>
  </w:abstractNum>
  <w:abstractNum w:abstractNumId="193">
    <w:nsid w:val="2DB88089"/>
    <w:multiLevelType w:val="hybridMultilevel"/>
    <w:lvl w:ilvl="0">
      <w:lvlJc w:val="left"/>
      <w:lvlText w:val="%1."/>
      <w:numFmt w:val="decimal"/>
      <w:start w:val="9"/>
    </w:lvl>
    <w:lvl w:ilvl="1">
      <w:lvlJc w:val="left"/>
      <w:lvlText w:val="%2."/>
      <w:numFmt w:val="lowerLetter"/>
      <w:start w:val="1"/>
    </w:lvl>
  </w:abstractNum>
  <w:abstractNum w:abstractNumId="194">
    <w:nsid w:val="706B674E"/>
    <w:multiLevelType w:val="hybridMultilevel"/>
    <w:lvl w:ilvl="0">
      <w:lvlJc w:val="left"/>
      <w:lvlText w:val="%1."/>
      <w:numFmt w:val="lowerLetter"/>
      <w:start w:val="4"/>
    </w:lvl>
  </w:abstractNum>
  <w:abstractNum w:abstractNumId="195">
    <w:nsid w:val="2C106A57"/>
    <w:multiLevelType w:val="hybridMultilevel"/>
    <w:lvl w:ilvl="0">
      <w:lvlJc w:val="left"/>
      <w:lvlText w:val="%1."/>
      <w:numFmt w:val="lowerLetter"/>
      <w:start w:val="7"/>
    </w:lvl>
  </w:abstractNum>
  <w:abstractNum w:abstractNumId="196">
    <w:nsid w:val="684EED59"/>
    <w:multiLevelType w:val="hybridMultilevel"/>
    <w:lvl w:ilvl="0">
      <w:lvlJc w:val="left"/>
      <w:lvlText w:val="%1."/>
      <w:numFmt w:val="lowerLetter"/>
      <w:start w:val="12"/>
    </w:lvl>
  </w:abstractNum>
  <w:abstractNum w:abstractNumId="197">
    <w:nsid w:val="545EE5D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34"/>
    </w:lvl>
    <w:lvl w:ilvl="4">
      <w:lvlJc w:val="left"/>
      <w:lvlText w:val="%5."/>
      <w:numFmt w:val="lowerRoman"/>
      <w:start w:val="1"/>
    </w:lvl>
  </w:abstractNum>
  <w:abstractNum w:abstractNumId="198">
    <w:nsid w:val="4A66051"/>
    <w:multiLevelType w:val="hybridMultilevel"/>
    <w:lvl w:ilvl="0">
      <w:lvlJc w:val="left"/>
      <w:lvlText w:val="%1"/>
      <w:numFmt w:val="lowerLetter"/>
      <w:start w:val="1"/>
    </w:lvl>
    <w:lvl w:ilvl="1">
      <w:lvlJc w:val="left"/>
      <w:lvlText w:val="%2."/>
      <w:numFmt w:val="lowerRoman"/>
      <w:start w:val="3"/>
    </w:lvl>
  </w:abstractNum>
  <w:abstractNum w:abstractNumId="199">
    <w:nsid w:val="20F4BDAD"/>
    <w:multiLevelType w:val="hybridMultilevel"/>
    <w:lvl w:ilvl="0">
      <w:lvlJc w:val="left"/>
      <w:lvlText w:val="%1."/>
      <w:numFmt w:val="lowerLetter"/>
      <w:start w:val="3"/>
    </w:lvl>
    <w:lvl w:ilvl="1">
      <w:lvlJc w:val="left"/>
      <w:lvlText w:val="%2."/>
      <w:numFmt w:val="lowerRoman"/>
      <w:start w:val="1"/>
    </w:lvl>
  </w:abstractNum>
  <w:abstractNum w:abstractNumId="200">
    <w:nsid w:val="639DEFAC"/>
    <w:multiLevelType w:val="hybridMultilevel"/>
    <w:lvl w:ilvl="0">
      <w:lvlJc w:val="left"/>
      <w:lvlText w:val="%1."/>
      <w:numFmt w:val="lowerRoman"/>
      <w:start w:val="1"/>
    </w:lvl>
  </w:abstractNum>
  <w:abstractNum w:abstractNumId="201">
    <w:nsid w:val="501F9786"/>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22"/>
    </w:lvl>
    <w:lvl w:ilvl="3">
      <w:lvlJc w:val="left"/>
      <w:lvlText w:val="(%4)"/>
      <w:numFmt w:val="upperLetter"/>
      <w:start w:val="1"/>
    </w:lvl>
  </w:abstractNum>
  <w:abstractNum w:abstractNumId="202">
    <w:nsid w:val="6B057295"/>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203">
    <w:nsid w:val="2771AC80"/>
    <w:multiLevelType w:val="hybridMultilevel"/>
    <w:lvl w:ilvl="0">
      <w:lvlJc w:val="left"/>
      <w:lvlText w:val="%1."/>
      <w:numFmt w:val="lowerLetter"/>
      <w:start w:val="8"/>
    </w:lvl>
  </w:abstractNum>
  <w:abstractNum w:abstractNumId="204">
    <w:nsid w:val="1C4A08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1"/>
    </w:lvl>
  </w:abstractNum>
  <w:abstractNum w:abstractNumId="205">
    <w:nsid w:val="1958BD17"/>
    <w:multiLevelType w:val="hybridMultilevel"/>
    <w:lvl w:ilvl="0">
      <w:lvlJc w:val="left"/>
      <w:lvlText w:val="%1."/>
      <w:numFmt w:val="decimal"/>
      <w:start w:val="4"/>
    </w:lvl>
    <w:lvl w:ilvl="1">
      <w:lvlJc w:val="left"/>
      <w:lvlText w:val="%2."/>
      <w:numFmt w:val="decimal"/>
      <w:start w:val="8"/>
    </w:lvl>
    <w:lvl w:ilvl="2">
      <w:lvlJc w:val="left"/>
      <w:lvlText w:val="%3."/>
      <w:numFmt w:val="lowerLetter"/>
      <w:start w:val="1"/>
    </w:lvl>
  </w:abstractNum>
  <w:abstractNum w:abstractNumId="206">
    <w:nsid w:val="4E647FE4"/>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207">
    <w:nsid w:val="E0BB885"/>
    <w:multiLevelType w:val="hybridMultilevel"/>
    <w:lvl w:ilvl="0">
      <w:lvlJc w:val="left"/>
      <w:lvlText w:val="(%1)"/>
      <w:numFmt w:val="decimal"/>
      <w:start w:val="1"/>
    </w:lvl>
  </w:abstractNum>
  <w:abstractNum w:abstractNumId="208">
    <w:nsid w:val="565976F1"/>
    <w:multiLevelType w:val="hybridMultilevel"/>
    <w:lvl w:ilvl="0">
      <w:lvlJc w:val="left"/>
      <w:lvlText w:val="%1."/>
      <w:numFmt w:val="decimal"/>
      <w:start w:val="1"/>
    </w:lvl>
    <w:lvl w:ilvl="1">
      <w:lvlJc w:val="left"/>
      <w:lvlText w:val="(%2)"/>
      <w:numFmt w:val="lowerLetter"/>
      <w:start w:val="1"/>
    </w:lvl>
  </w:abstractNum>
  <w:abstractNum w:abstractNumId="209">
    <w:nsid w:val="64212B8C"/>
    <w:multiLevelType w:val="hybridMultilevel"/>
    <w:lvl w:ilvl="0">
      <w:lvlJc w:val="left"/>
      <w:lvlText w:val="%1."/>
      <w:numFmt w:val="decimal"/>
      <w:start w:val="1"/>
    </w:lvl>
    <w:lvl w:ilvl="1">
      <w:lvlJc w:val="left"/>
      <w:lvlText w:val="(%2)"/>
      <w:numFmt w:val="lowerLetter"/>
      <w:start w:val="1"/>
    </w:lvl>
  </w:abstractNum>
  <w:abstractNum w:abstractNumId="210">
    <w:nsid w:val="5C17530C"/>
    <w:multiLevelType w:val="hybridMultilevel"/>
    <w:lvl w:ilvl="0">
      <w:lvlJc w:val="left"/>
      <w:lvlText w:val="%1."/>
      <w:numFmt w:val="decimal"/>
      <w:start w:val="1"/>
    </w:lvl>
  </w:abstractNum>
  <w:abstractNum w:abstractNumId="211">
    <w:nsid w:val="19A52566"/>
    <w:multiLevelType w:val="hybridMultilevel"/>
    <w:lvl w:ilvl="0">
      <w:lvlJc w:val="left"/>
      <w:lvlText w:val="•"/>
      <w:numFmt w:val="bullet"/>
      <w:start w:val="1"/>
    </w:lvl>
  </w:abstractNum>
  <w:abstractNum w:abstractNumId="212">
    <w:nsid w:val="335A1DF1"/>
    <w:multiLevelType w:val="hybridMultilevel"/>
    <w:lvl w:ilvl="0">
      <w:lvlJc w:val="left"/>
      <w:lvlText w:val="•"/>
      <w:numFmt w:val="bullet"/>
      <w:start w:val="1"/>
    </w:lvl>
  </w:abstractNum>
  <w:abstractNum w:abstractNumId="213">
    <w:nsid w:val="28677B7C"/>
    <w:multiLevelType w:val="hybridMultilevel"/>
    <w:lvl w:ilvl="0">
      <w:lvlJc w:val="left"/>
      <w:lvlText w:val="(%1)"/>
      <w:numFmt w:val="decimal"/>
      <w:start w:val="1"/>
    </w:lvl>
  </w:abstractNum>
  <w:abstractNum w:abstractNumId="214">
    <w:nsid w:val="378D97C0"/>
    <w:multiLevelType w:val="hybridMultilevel"/>
    <w:lvl w:ilvl="0">
      <w:lvlJc w:val="left"/>
      <w:lvlText w:val="(%1)"/>
      <w:numFmt w:val="decimal"/>
      <w:start w:val="1"/>
    </w:lvl>
  </w:abstractNum>
  <w:abstractNum w:abstractNumId="215">
    <w:nsid w:val="1D91467C"/>
    <w:multiLevelType w:val="hybridMultilevel"/>
    <w:lvl w:ilvl="0">
      <w:lvlJc w:val="left"/>
      <w:lvlText w:val="(%1)"/>
      <w:numFmt w:val="decimal"/>
      <w:start w:val="1"/>
    </w:lvl>
  </w:abstractNum>
  <w:abstractNum w:abstractNumId="216">
    <w:nsid w:val="316032BB"/>
    <w:multiLevelType w:val="hybridMultilevel"/>
    <w:lvl w:ilvl="0">
      <w:lvlJc w:val="left"/>
      <w:lvlText w:val="%1."/>
      <w:numFmt w:val="decimal"/>
      <w:start w:val="6"/>
    </w:lvl>
    <w:lvl w:ilvl="1">
      <w:lvlJc w:val="left"/>
      <w:lvlText w:val="(%2)"/>
      <w:numFmt w:val="lowerLetter"/>
      <w:start w:val="1"/>
    </w:lvl>
  </w:abstractNum>
  <w:abstractNum w:abstractNumId="217">
    <w:nsid w:val="44344C22"/>
    <w:multiLevelType w:val="hybridMultilevel"/>
    <w:lvl w:ilvl="0">
      <w:lvlJc w:val="left"/>
      <w:lvlText w:val="(%1)"/>
      <w:numFmt w:val="lowerLetter"/>
      <w:start w:val="5"/>
    </w:lvl>
  </w:abstractNum>
  <w:abstractNum w:abstractNumId="218">
    <w:nsid w:val="13CDFCFC"/>
    <w:multiLevelType w:val="hybridMultilevel"/>
    <w:lvl w:ilvl="0">
      <w:lvlJc w:val="left"/>
      <w:lvlText w:val="%1"/>
      <w:numFmt w:val="decimal"/>
      <w:start w:val="1"/>
    </w:lvl>
    <w:lvl w:ilvl="1">
      <w:lvlJc w:val="left"/>
      <w:lvlText w:val="(%2)"/>
      <w:numFmt w:val="lowerLetter"/>
      <w:start w:val="7"/>
    </w:lvl>
  </w:abstractNum>
  <w:abstractNum w:abstractNumId="219">
    <w:nsid w:val="471745E4"/>
    <w:multiLevelType w:val="hybridMultilevel"/>
    <w:lvl w:ilvl="0">
      <w:lvlJc w:val="left"/>
      <w:lvlText w:val="%1."/>
      <w:numFmt w:val="decimal"/>
      <w:start w:val="7"/>
    </w:lvl>
    <w:lvl w:ilvl="1">
      <w:lvlJc w:val="left"/>
      <w:lvlText w:val="(%2)"/>
      <w:numFmt w:val="lowerLetter"/>
      <w:start w:val="1"/>
    </w:lvl>
  </w:abstractNum>
  <w:abstractNum w:abstractNumId="220">
    <w:nsid w:val="1DDBC66"/>
    <w:multiLevelType w:val="hybridMultilevel"/>
    <w:lvl w:ilvl="0">
      <w:lvlJc w:val="left"/>
      <w:lvlText w:val="(%1)"/>
      <w:numFmt w:val="lowerLetter"/>
      <w:start w:val="2"/>
    </w:lvl>
  </w:abstractNum>
  <w:abstractNum w:abstractNumId="221">
    <w:nsid w:val="30AADFDA"/>
    <w:multiLevelType w:val="hybridMultilevel"/>
    <w:lvl w:ilvl="0">
      <w:lvlJc w:val="left"/>
      <w:lvlText w:val="(%1)"/>
      <w:numFmt w:val="lowerLetter"/>
      <w:start w:val="3"/>
    </w:lvl>
  </w:abstractNum>
  <w:abstractNum w:abstractNumId="222">
    <w:nsid w:val="30EADA61"/>
    <w:multiLevelType w:val="hybridMultilevel"/>
    <w:lvl w:ilvl="0">
      <w:lvlJc w:val="left"/>
      <w:lvlText w:val="(%1)"/>
      <w:numFmt w:val="lowerLetter"/>
      <w:start w:val="5"/>
    </w:lvl>
  </w:abstractNum>
  <w:abstractNum w:abstractNumId="223">
    <w:nsid w:val="27179C0B"/>
    <w:multiLevelType w:val="hybridMultilevel"/>
    <w:lvl w:ilvl="0">
      <w:lvlJc w:val="left"/>
      <w:lvlText w:val="(%1)"/>
      <w:numFmt w:val="decimal"/>
      <w:start w:val="1"/>
    </w:lvl>
  </w:abstractNum>
  <w:abstractNum w:abstractNumId="224">
    <w:nsid w:val="5E636063"/>
    <w:multiLevelType w:val="hybridMultilevel"/>
    <w:lvl w:ilvl="0">
      <w:lvlJc w:val="left"/>
      <w:lvlText w:val="•"/>
      <w:numFmt w:val="bullet"/>
      <w:start w:val="1"/>
    </w:lvl>
  </w:abstractNum>
  <w:abstractNum w:abstractNumId="225">
    <w:nsid w:val="215641AF"/>
    <w:multiLevelType w:val="hybridMultilevel"/>
    <w:lvl w:ilvl="0">
      <w:lvlJc w:val="left"/>
      <w:lvlText w:val="(%1)"/>
      <w:numFmt w:val="decimal"/>
      <w:start w:val="1"/>
    </w:lvl>
  </w:abstractNum>
  <w:abstractNum w:abstractNumId="226">
    <w:nsid w:val="53280662"/>
    <w:multiLevelType w:val="hybridMultilevel"/>
    <w:lvl w:ilvl="0">
      <w:lvlJc w:val="left"/>
      <w:lvlText w:val="(%1)"/>
      <w:numFmt w:val="decimal"/>
      <w:start w:val="1"/>
    </w:lvl>
  </w:abstractNum>
  <w:abstractNum w:abstractNumId="227">
    <w:nsid w:val="46B24DBC"/>
    <w:multiLevelType w:val="hybridMultilevel"/>
    <w:lvl w:ilvl="0">
      <w:lvlJc w:val="left"/>
      <w:lvlText w:val="(%1)"/>
      <w:numFmt w:val="decimal"/>
      <w:start w:val="1"/>
    </w:lvl>
  </w:abstractNum>
  <w:abstractNum w:abstractNumId="228">
    <w:nsid w:val="75B52783"/>
    <w:multiLevelType w:val="hybridMultilevel"/>
    <w:lvl w:ilvl="0">
      <w:lvlJc w:val="left"/>
      <w:lvlText w:val="(%1)"/>
      <w:numFmt w:val="decimal"/>
      <w:start w:val="1"/>
    </w:lvl>
  </w:abstractNum>
  <w:abstractNum w:abstractNumId="229">
    <w:nsid w:val="57CE66B4"/>
    <w:multiLevelType w:val="hybridMultilevel"/>
    <w:lvl w:ilvl="0">
      <w:lvlJc w:val="left"/>
      <w:lvlText w:val="%1:"/>
      <w:numFmt w:val="decimal"/>
      <w:start w:val="9"/>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70" Type="http://schemas.openxmlformats.org/officeDocument/2006/relationships/image" Target="media/image207.png"/><Relationship Id="rId271" Type="http://schemas.openxmlformats.org/officeDocument/2006/relationships/image" Target="media/image208.png"/><Relationship Id="rId279" Type="http://schemas.openxmlformats.org/officeDocument/2006/relationships/image" Target="media/image209.png"/><Relationship Id="rId280" Type="http://schemas.openxmlformats.org/officeDocument/2006/relationships/image" Target="media/image210.png"/><Relationship Id="rId281" Type="http://schemas.openxmlformats.org/officeDocument/2006/relationships/image" Target="media/image211.png"/><Relationship Id="rId282" Type="http://schemas.openxmlformats.org/officeDocument/2006/relationships/image" Target="media/image212.png"/><Relationship Id="rId283" Type="http://schemas.openxmlformats.org/officeDocument/2006/relationships/image" Target="media/image213.png"/><Relationship Id="rId284" Type="http://schemas.openxmlformats.org/officeDocument/2006/relationships/image" Target="media/image214.png"/><Relationship Id="rId285" Type="http://schemas.openxmlformats.org/officeDocument/2006/relationships/image" Target="media/image215.png"/><Relationship Id="rId286" Type="http://schemas.openxmlformats.org/officeDocument/2006/relationships/image" Target="media/image216.png"/><Relationship Id="rId287" Type="http://schemas.openxmlformats.org/officeDocument/2006/relationships/image" Target="media/image217.png"/><Relationship Id="rId288" Type="http://schemas.openxmlformats.org/officeDocument/2006/relationships/image" Target="media/image218.png"/><Relationship Id="rId289" Type="http://schemas.openxmlformats.org/officeDocument/2006/relationships/image" Target="media/image219.png"/><Relationship Id="rId290" Type="http://schemas.openxmlformats.org/officeDocument/2006/relationships/image" Target="media/image220.png"/><Relationship Id="rId291" Type="http://schemas.openxmlformats.org/officeDocument/2006/relationships/image" Target="media/image221.png"/><Relationship Id="rId292" Type="http://schemas.openxmlformats.org/officeDocument/2006/relationships/image" Target="media/image222.png"/><Relationship Id="rId293" Type="http://schemas.openxmlformats.org/officeDocument/2006/relationships/image" Target="media/image223.png"/><Relationship Id="rId294" Type="http://schemas.openxmlformats.org/officeDocument/2006/relationships/image" Target="media/image224.png"/><Relationship Id="rId295" Type="http://schemas.openxmlformats.org/officeDocument/2006/relationships/image" Target="media/image225.png"/><Relationship Id="rId296" Type="http://schemas.openxmlformats.org/officeDocument/2006/relationships/image" Target="media/image226.png"/><Relationship Id="rId297" Type="http://schemas.openxmlformats.org/officeDocument/2006/relationships/image" Target="media/image227.png"/><Relationship Id="rId298" Type="http://schemas.openxmlformats.org/officeDocument/2006/relationships/image" Target="media/image228.png"/><Relationship Id="rId299" Type="http://schemas.openxmlformats.org/officeDocument/2006/relationships/image" Target="media/image229.png"/><Relationship Id="rId300" Type="http://schemas.openxmlformats.org/officeDocument/2006/relationships/image" Target="media/image230.png"/><Relationship Id="rId301" Type="http://schemas.openxmlformats.org/officeDocument/2006/relationships/image" Target="media/image231.png"/><Relationship Id="rId302" Type="http://schemas.openxmlformats.org/officeDocument/2006/relationships/image" Target="media/image232.png"/><Relationship Id="rId303" Type="http://schemas.openxmlformats.org/officeDocument/2006/relationships/image" Target="media/image233.png"/><Relationship Id="rId304" Type="http://schemas.openxmlformats.org/officeDocument/2006/relationships/image" Target="media/image234.png"/><Relationship Id="rId305" Type="http://schemas.openxmlformats.org/officeDocument/2006/relationships/image" Target="media/image235.png"/><Relationship Id="rId306" Type="http://schemas.openxmlformats.org/officeDocument/2006/relationships/image" Target="media/image236.png"/><Relationship Id="rId307" Type="http://schemas.openxmlformats.org/officeDocument/2006/relationships/image" Target="media/image237.png"/><Relationship Id="rId308" Type="http://schemas.openxmlformats.org/officeDocument/2006/relationships/image" Target="media/image238.png"/><Relationship Id="rId309" Type="http://schemas.openxmlformats.org/officeDocument/2006/relationships/image" Target="media/image239.png"/><Relationship Id="rId310" Type="http://schemas.openxmlformats.org/officeDocument/2006/relationships/image" Target="media/image240.png"/><Relationship Id="rId311" Type="http://schemas.openxmlformats.org/officeDocument/2006/relationships/image" Target="media/image241.png"/><Relationship Id="rId312" Type="http://schemas.openxmlformats.org/officeDocument/2006/relationships/image" Target="media/image242.png"/><Relationship Id="rId313" Type="http://schemas.openxmlformats.org/officeDocument/2006/relationships/image" Target="media/image243.png"/><Relationship Id="rId314" Type="http://schemas.openxmlformats.org/officeDocument/2006/relationships/image" Target="media/image244.png"/><Relationship Id="rId315" Type="http://schemas.openxmlformats.org/officeDocument/2006/relationships/image" Target="media/image245.png"/><Relationship Id="rId316" Type="http://schemas.openxmlformats.org/officeDocument/2006/relationships/image" Target="media/image246.png"/><Relationship Id="rId317" Type="http://schemas.openxmlformats.org/officeDocument/2006/relationships/image" Target="media/image247.png"/><Relationship Id="rId318" Type="http://schemas.openxmlformats.org/officeDocument/2006/relationships/image" Target="media/image248.png"/><Relationship Id="rId319" Type="http://schemas.openxmlformats.org/officeDocument/2006/relationships/image" Target="media/image249.png"/><Relationship Id="rId320" Type="http://schemas.openxmlformats.org/officeDocument/2006/relationships/image" Target="media/image250.png"/><Relationship Id="rId321" Type="http://schemas.openxmlformats.org/officeDocument/2006/relationships/image" Target="media/image251.png"/><Relationship Id="rId322" Type="http://schemas.openxmlformats.org/officeDocument/2006/relationships/image" Target="media/image252.png"/><Relationship Id="rId323" Type="http://schemas.openxmlformats.org/officeDocument/2006/relationships/image" Target="media/image253.png"/><Relationship Id="rId324" Type="http://schemas.openxmlformats.org/officeDocument/2006/relationships/image" Target="media/image254.png"/><Relationship Id="rId325" Type="http://schemas.openxmlformats.org/officeDocument/2006/relationships/image" Target="media/image255.png"/><Relationship Id="rId326" Type="http://schemas.openxmlformats.org/officeDocument/2006/relationships/image" Target="media/image256.png"/><Relationship Id="rId327" Type="http://schemas.openxmlformats.org/officeDocument/2006/relationships/image" Target="media/image257.png"/><Relationship Id="rId328" Type="http://schemas.openxmlformats.org/officeDocument/2006/relationships/image" Target="media/image258.png"/><Relationship Id="rId329" Type="http://schemas.openxmlformats.org/officeDocument/2006/relationships/image" Target="media/image259.png"/><Relationship Id="rId330" Type="http://schemas.openxmlformats.org/officeDocument/2006/relationships/image" Target="media/image260.png"/><Relationship Id="rId331" Type="http://schemas.openxmlformats.org/officeDocument/2006/relationships/image" Target="media/image261.png"/><Relationship Id="rId332" Type="http://schemas.openxmlformats.org/officeDocument/2006/relationships/image" Target="media/image262.png"/><Relationship Id="rId333" Type="http://schemas.openxmlformats.org/officeDocument/2006/relationships/image" Target="media/image263.png"/><Relationship Id="rId334" Type="http://schemas.openxmlformats.org/officeDocument/2006/relationships/image" Target="media/image264.png"/><Relationship Id="rId335" Type="http://schemas.openxmlformats.org/officeDocument/2006/relationships/image" Target="media/image265.png"/><Relationship Id="rId336" Type="http://schemas.openxmlformats.org/officeDocument/2006/relationships/image" Target="media/image266.png"/><Relationship Id="rId337" Type="http://schemas.openxmlformats.org/officeDocument/2006/relationships/image" Target="media/image267.png"/><Relationship Id="rId338" Type="http://schemas.openxmlformats.org/officeDocument/2006/relationships/image" Target="media/image268.png"/><Relationship Id="rId339" Type="http://schemas.openxmlformats.org/officeDocument/2006/relationships/image" Target="media/image269.png"/><Relationship Id="rId340" Type="http://schemas.openxmlformats.org/officeDocument/2006/relationships/image" Target="media/image270.png"/><Relationship Id="rId341" Type="http://schemas.openxmlformats.org/officeDocument/2006/relationships/image" Target="media/image271.png"/><Relationship Id="rId342" Type="http://schemas.openxmlformats.org/officeDocument/2006/relationships/image" Target="media/image272.png"/><Relationship Id="rId343" Type="http://schemas.openxmlformats.org/officeDocument/2006/relationships/image" Target="media/image273.png"/><Relationship Id="rId344" Type="http://schemas.openxmlformats.org/officeDocument/2006/relationships/image" Target="media/image274.png"/><Relationship Id="rId345" Type="http://schemas.openxmlformats.org/officeDocument/2006/relationships/image" Target="media/image275.png"/><Relationship Id="rId346" Type="http://schemas.openxmlformats.org/officeDocument/2006/relationships/image" Target="media/image276.png"/><Relationship Id="rId347" Type="http://schemas.openxmlformats.org/officeDocument/2006/relationships/image" Target="media/image277.png"/><Relationship Id="rId348" Type="http://schemas.openxmlformats.org/officeDocument/2006/relationships/image" Target="media/image278.png"/><Relationship Id="rId349" Type="http://schemas.openxmlformats.org/officeDocument/2006/relationships/image" Target="media/image279.png"/><Relationship Id="rId350" Type="http://schemas.openxmlformats.org/officeDocument/2006/relationships/image" Target="media/image280.png"/><Relationship Id="rId351" Type="http://schemas.openxmlformats.org/officeDocument/2006/relationships/image" Target="media/image281.png"/><Relationship Id="rId352" Type="http://schemas.openxmlformats.org/officeDocument/2006/relationships/image" Target="media/image282.png"/><Relationship Id="rId353" Type="http://schemas.openxmlformats.org/officeDocument/2006/relationships/image" Target="media/image283.png"/><Relationship Id="rId354" Type="http://schemas.openxmlformats.org/officeDocument/2006/relationships/image" Target="media/image284.png"/><Relationship Id="rId355" Type="http://schemas.openxmlformats.org/officeDocument/2006/relationships/image" Target="media/image285.png"/><Relationship Id="rId356" Type="http://schemas.openxmlformats.org/officeDocument/2006/relationships/image" Target="media/image286.png"/><Relationship Id="rId357" Type="http://schemas.openxmlformats.org/officeDocument/2006/relationships/image" Target="media/image287.png"/><Relationship Id="rId358" Type="http://schemas.openxmlformats.org/officeDocument/2006/relationships/image" Target="media/image288.png"/><Relationship Id="rId359" Type="http://schemas.openxmlformats.org/officeDocument/2006/relationships/image" Target="media/image289.png"/><Relationship Id="rId360" Type="http://schemas.openxmlformats.org/officeDocument/2006/relationships/image" Target="media/image290.png"/><Relationship Id="rId361" Type="http://schemas.openxmlformats.org/officeDocument/2006/relationships/image" Target="media/image291.png"/><Relationship Id="rId362" Type="http://schemas.openxmlformats.org/officeDocument/2006/relationships/image" Target="media/image292.png"/><Relationship Id="rId363" Type="http://schemas.openxmlformats.org/officeDocument/2006/relationships/image" Target="media/image293.png"/><Relationship Id="rId364" Type="http://schemas.openxmlformats.org/officeDocument/2006/relationships/image" Target="media/image294.png"/><Relationship Id="rId365" Type="http://schemas.openxmlformats.org/officeDocument/2006/relationships/image" Target="media/image295.png"/><Relationship Id="rId366" Type="http://schemas.openxmlformats.org/officeDocument/2006/relationships/image" Target="media/image296.png"/><Relationship Id="rId367" Type="http://schemas.openxmlformats.org/officeDocument/2006/relationships/image" Target="media/image297.png"/><Relationship Id="rId368" Type="http://schemas.openxmlformats.org/officeDocument/2006/relationships/image" Target="media/image298.png"/><Relationship Id="rId369" Type="http://schemas.openxmlformats.org/officeDocument/2006/relationships/image" Target="media/image299.png"/><Relationship Id="rId370" Type="http://schemas.openxmlformats.org/officeDocument/2006/relationships/image" Target="media/image300.png"/><Relationship Id="rId371" Type="http://schemas.openxmlformats.org/officeDocument/2006/relationships/image" Target="media/image301.png"/><Relationship Id="rId372" Type="http://schemas.openxmlformats.org/officeDocument/2006/relationships/image" Target="media/image302.png"/><Relationship Id="rId373" Type="http://schemas.openxmlformats.org/officeDocument/2006/relationships/image" Target="media/image303.png"/><Relationship Id="rId374" Type="http://schemas.openxmlformats.org/officeDocument/2006/relationships/image" Target="media/image304.png"/><Relationship Id="rId375" Type="http://schemas.openxmlformats.org/officeDocument/2006/relationships/image" Target="media/image305.png"/><Relationship Id="rId376" Type="http://schemas.openxmlformats.org/officeDocument/2006/relationships/image" Target="media/image306.png"/><Relationship Id="rId377" Type="http://schemas.openxmlformats.org/officeDocument/2006/relationships/image" Target="media/image307.png"/><Relationship Id="rId378" Type="http://schemas.openxmlformats.org/officeDocument/2006/relationships/image" Target="media/image308.png"/><Relationship Id="rId379" Type="http://schemas.openxmlformats.org/officeDocument/2006/relationships/image" Target="media/image309.png"/><Relationship Id="rId380" Type="http://schemas.openxmlformats.org/officeDocument/2006/relationships/image" Target="media/image310.png"/><Relationship Id="rId381" Type="http://schemas.openxmlformats.org/officeDocument/2006/relationships/image" Target="media/image311.png"/><Relationship Id="rId382" Type="http://schemas.openxmlformats.org/officeDocument/2006/relationships/image" Target="media/image312.png"/><Relationship Id="rId383" Type="http://schemas.openxmlformats.org/officeDocument/2006/relationships/image" Target="media/image313.png"/><Relationship Id="rId384" Type="http://schemas.openxmlformats.org/officeDocument/2006/relationships/image" Target="media/image314.png"/><Relationship Id="rId385" Type="http://schemas.openxmlformats.org/officeDocument/2006/relationships/image" Target="media/image315.png"/><Relationship Id="rId386" Type="http://schemas.openxmlformats.org/officeDocument/2006/relationships/image" Target="media/image316.png"/><Relationship Id="rId387" Type="http://schemas.openxmlformats.org/officeDocument/2006/relationships/image" Target="media/image317.png"/><Relationship Id="rId388" Type="http://schemas.openxmlformats.org/officeDocument/2006/relationships/image" Target="media/image318.png"/><Relationship Id="rId389" Type="http://schemas.openxmlformats.org/officeDocument/2006/relationships/image" Target="media/image319.png"/><Relationship Id="rId390" Type="http://schemas.openxmlformats.org/officeDocument/2006/relationships/image" Target="media/image320.png"/><Relationship Id="rId391" Type="http://schemas.openxmlformats.org/officeDocument/2006/relationships/image" Target="media/image321.png"/><Relationship Id="rId392" Type="http://schemas.openxmlformats.org/officeDocument/2006/relationships/image" Target="media/image322.png"/><Relationship Id="rId393" Type="http://schemas.openxmlformats.org/officeDocument/2006/relationships/image" Target="media/image323.png"/><Relationship Id="rId394" Type="http://schemas.openxmlformats.org/officeDocument/2006/relationships/image" Target="media/image324.png"/><Relationship Id="rId395" Type="http://schemas.openxmlformats.org/officeDocument/2006/relationships/image" Target="media/image325.png"/><Relationship Id="rId396" Type="http://schemas.openxmlformats.org/officeDocument/2006/relationships/image" Target="media/image326.png"/><Relationship Id="rId397" Type="http://schemas.openxmlformats.org/officeDocument/2006/relationships/image" Target="media/image327.png"/><Relationship Id="rId398" Type="http://schemas.openxmlformats.org/officeDocument/2006/relationships/image" Target="media/image328.png"/><Relationship Id="rId399" Type="http://schemas.openxmlformats.org/officeDocument/2006/relationships/image" Target="media/image329.png"/><Relationship Id="rId400" Type="http://schemas.openxmlformats.org/officeDocument/2006/relationships/image" Target="media/image330.png"/><Relationship Id="rId401" Type="http://schemas.openxmlformats.org/officeDocument/2006/relationships/image" Target="media/image331.png"/><Relationship Id="rId402" Type="http://schemas.openxmlformats.org/officeDocument/2006/relationships/image" Target="media/image332.png"/><Relationship Id="rId403" Type="http://schemas.openxmlformats.org/officeDocument/2006/relationships/image" Target="media/image333.png"/><Relationship Id="rId404" Type="http://schemas.openxmlformats.org/officeDocument/2006/relationships/image" Target="media/image334.png"/><Relationship Id="rId405" Type="http://schemas.openxmlformats.org/officeDocument/2006/relationships/image" Target="media/image335.png"/><Relationship Id="rId406" Type="http://schemas.openxmlformats.org/officeDocument/2006/relationships/image" Target="media/image336.png"/><Relationship Id="rId407" Type="http://schemas.openxmlformats.org/officeDocument/2006/relationships/image" Target="media/image337.png"/><Relationship Id="rId408" Type="http://schemas.openxmlformats.org/officeDocument/2006/relationships/image" Target="media/image338.png"/><Relationship Id="rId409" Type="http://schemas.openxmlformats.org/officeDocument/2006/relationships/image" Target="media/image339.png"/><Relationship Id="rId410" Type="http://schemas.openxmlformats.org/officeDocument/2006/relationships/image" Target="media/image340.png"/><Relationship Id="rId411" Type="http://schemas.openxmlformats.org/officeDocument/2006/relationships/image" Target="media/image341.png"/><Relationship Id="rId412" Type="http://schemas.openxmlformats.org/officeDocument/2006/relationships/image" Target="media/image342.png"/><Relationship Id="rId413" Type="http://schemas.openxmlformats.org/officeDocument/2006/relationships/image" Target="media/image343.png"/><Relationship Id="rId414" Type="http://schemas.openxmlformats.org/officeDocument/2006/relationships/image" Target="media/image344.png"/><Relationship Id="rId415" Type="http://schemas.openxmlformats.org/officeDocument/2006/relationships/image" Target="media/image345.png"/><Relationship Id="rId416" Type="http://schemas.openxmlformats.org/officeDocument/2006/relationships/image" Target="media/image346.png"/><Relationship Id="rId417" Type="http://schemas.openxmlformats.org/officeDocument/2006/relationships/image" Target="media/image347.png"/><Relationship Id="rId418" Type="http://schemas.openxmlformats.org/officeDocument/2006/relationships/image" Target="media/image348.png"/><Relationship Id="rId419" Type="http://schemas.openxmlformats.org/officeDocument/2006/relationships/image" Target="media/image349.png"/><Relationship Id="rId420" Type="http://schemas.openxmlformats.org/officeDocument/2006/relationships/image" Target="media/image350.png"/><Relationship Id="rId421" Type="http://schemas.openxmlformats.org/officeDocument/2006/relationships/image" Target="media/image351.png"/><Relationship Id="rId422" Type="http://schemas.openxmlformats.org/officeDocument/2006/relationships/image" Target="media/image352.png"/><Relationship Id="rId423" Type="http://schemas.openxmlformats.org/officeDocument/2006/relationships/image" Target="media/image353.png"/><Relationship Id="rId424" Type="http://schemas.openxmlformats.org/officeDocument/2006/relationships/image" Target="media/image354.png"/><Relationship Id="rId425" Type="http://schemas.openxmlformats.org/officeDocument/2006/relationships/image" Target="media/image355.png"/><Relationship Id="rId426" Type="http://schemas.openxmlformats.org/officeDocument/2006/relationships/image" Target="media/image356.png"/><Relationship Id="rId427" Type="http://schemas.openxmlformats.org/officeDocument/2006/relationships/image" Target="media/image357.png"/><Relationship Id="rId428" Type="http://schemas.openxmlformats.org/officeDocument/2006/relationships/image" Target="media/image358.png"/><Relationship Id="rId429" Type="http://schemas.openxmlformats.org/officeDocument/2006/relationships/image" Target="media/image359.png"/><Relationship Id="rId430" Type="http://schemas.openxmlformats.org/officeDocument/2006/relationships/image" Target="media/image360.png"/><Relationship Id="rId431" Type="http://schemas.openxmlformats.org/officeDocument/2006/relationships/image" Target="media/image361.png"/><Relationship Id="rId432" Type="http://schemas.openxmlformats.org/officeDocument/2006/relationships/image" Target="media/image362.png"/><Relationship Id="rId433" Type="http://schemas.openxmlformats.org/officeDocument/2006/relationships/image" Target="media/image363.png"/><Relationship Id="rId434" Type="http://schemas.openxmlformats.org/officeDocument/2006/relationships/image" Target="media/image364.png"/><Relationship Id="rId435" Type="http://schemas.openxmlformats.org/officeDocument/2006/relationships/image" Target="media/image365.png"/><Relationship Id="rId436" Type="http://schemas.openxmlformats.org/officeDocument/2006/relationships/image" Target="media/image366.png"/><Relationship Id="rId437" Type="http://schemas.openxmlformats.org/officeDocument/2006/relationships/image" Target="media/image367.png"/><Relationship Id="rId438" Type="http://schemas.openxmlformats.org/officeDocument/2006/relationships/image" Target="media/image368.png"/><Relationship Id="rId439" Type="http://schemas.openxmlformats.org/officeDocument/2006/relationships/image" Target="media/image369.png"/><Relationship Id="rId440" Type="http://schemas.openxmlformats.org/officeDocument/2006/relationships/image" Target="media/image370.png"/><Relationship Id="rId441" Type="http://schemas.openxmlformats.org/officeDocument/2006/relationships/image" Target="media/image371.png"/><Relationship Id="rId442" Type="http://schemas.openxmlformats.org/officeDocument/2006/relationships/image" Target="media/image372.png"/><Relationship Id="rId443" Type="http://schemas.openxmlformats.org/officeDocument/2006/relationships/image" Target="media/image373.png"/><Relationship Id="rId444" Type="http://schemas.openxmlformats.org/officeDocument/2006/relationships/image" Target="media/image374.png"/><Relationship Id="rId445" Type="http://schemas.openxmlformats.org/officeDocument/2006/relationships/image" Target="media/image375.png"/><Relationship Id="rId446" Type="http://schemas.openxmlformats.org/officeDocument/2006/relationships/image" Target="media/image376.png"/><Relationship Id="rId447" Type="http://schemas.openxmlformats.org/officeDocument/2006/relationships/image" Target="media/image377.png"/><Relationship Id="rId448" Type="http://schemas.openxmlformats.org/officeDocument/2006/relationships/image" Target="media/image378.png"/><Relationship Id="rId449" Type="http://schemas.openxmlformats.org/officeDocument/2006/relationships/image" Target="media/image379.png"/><Relationship Id="rId450" Type="http://schemas.openxmlformats.org/officeDocument/2006/relationships/image" Target="media/image380.png"/><Relationship Id="rId451" Type="http://schemas.openxmlformats.org/officeDocument/2006/relationships/image" Target="media/image381.png"/><Relationship Id="rId452" Type="http://schemas.openxmlformats.org/officeDocument/2006/relationships/image" Target="media/image382.png"/><Relationship Id="rId453" Type="http://schemas.openxmlformats.org/officeDocument/2006/relationships/image" Target="media/image383.png"/><Relationship Id="rId454" Type="http://schemas.openxmlformats.org/officeDocument/2006/relationships/image" Target="media/image384.png"/><Relationship Id="rId455" Type="http://schemas.openxmlformats.org/officeDocument/2006/relationships/image" Target="media/image385.png"/><Relationship Id="rId456" Type="http://schemas.openxmlformats.org/officeDocument/2006/relationships/image" Target="media/image386.png"/><Relationship Id="rId457" Type="http://schemas.openxmlformats.org/officeDocument/2006/relationships/image" Target="media/image387.png"/><Relationship Id="rId458" Type="http://schemas.openxmlformats.org/officeDocument/2006/relationships/image" Target="media/image388.png"/><Relationship Id="rId459" Type="http://schemas.openxmlformats.org/officeDocument/2006/relationships/image" Target="media/image389.png"/><Relationship Id="rId460" Type="http://schemas.openxmlformats.org/officeDocument/2006/relationships/image" Target="media/image390.png"/><Relationship Id="rId461" Type="http://schemas.openxmlformats.org/officeDocument/2006/relationships/image" Target="media/image391.png"/><Relationship Id="rId462" Type="http://schemas.openxmlformats.org/officeDocument/2006/relationships/image" Target="media/image392.png"/><Relationship Id="rId463" Type="http://schemas.openxmlformats.org/officeDocument/2006/relationships/image" Target="media/image393.png"/><Relationship Id="rId464" Type="http://schemas.openxmlformats.org/officeDocument/2006/relationships/image" Target="media/image394.png"/><Relationship Id="rId465" Type="http://schemas.openxmlformats.org/officeDocument/2006/relationships/image" Target="media/image395.png"/><Relationship Id="rId466" Type="http://schemas.openxmlformats.org/officeDocument/2006/relationships/image" Target="media/image396.png"/><Relationship Id="rId467" Type="http://schemas.openxmlformats.org/officeDocument/2006/relationships/image" Target="media/image397.png"/><Relationship Id="rId208" Type="http://schemas.openxmlformats.org/officeDocument/2006/relationships/hyperlink" Target="http://www.sec.gov/Archives/edgar/data/1517022/000119312518206609/d819026dex21.htm" TargetMode="External"/><Relationship Id="rId209" Type="http://schemas.openxmlformats.org/officeDocument/2006/relationships/hyperlink" Target="http://www.sec.gov/Archives/edgar/data/1517022/000119312518288497/d631808dex21.htm" TargetMode="External"/><Relationship Id="rId210" Type="http://schemas.openxmlformats.org/officeDocument/2006/relationships/hyperlink" Target="http://www.sec.gov/Archives/edgar/data/1517022/000119312514121774/d700849dex31.htm" TargetMode="External"/><Relationship Id="rId211" Type="http://schemas.openxmlformats.org/officeDocument/2006/relationships/hyperlink" Target="http://www.sec.gov/Archives/edgar/data/1517022/000119312514121774/d700849dex32.htm" TargetMode="External"/><Relationship Id="rId212" Type="http://schemas.openxmlformats.org/officeDocument/2006/relationships/hyperlink" Target="http://www.sec.gov/Archives/edgar/data/1517022/000119312514081000/d629509dex41.htm" TargetMode="External"/><Relationship Id="rId213" Type="http://schemas.openxmlformats.org/officeDocument/2006/relationships/hyperlink" Target="http://www.sec.gov/Archives/edgar/data/1517022/000156459015001260/akba-ex44_20141231617.htm" TargetMode="External"/><Relationship Id="rId214" Type="http://schemas.openxmlformats.org/officeDocument/2006/relationships/hyperlink" Target="http://www.sec.gov/Archives/edgar/data/1517022/000156459017009841/akba-ex41_199.htm" TargetMode="External"/><Relationship Id="rId215" Type="http://schemas.openxmlformats.org/officeDocument/2006/relationships/hyperlink" Target="http://www.sec.gov/Archives/edgar/data/1517022/000156459017016542/akba-ex41_317.htm" TargetMode="External"/><Relationship Id="rId216" Type="http://schemas.openxmlformats.org/officeDocument/2006/relationships/hyperlink" Target="http://www.sec.gov/Archives/edgar/data/1517022/000156459018005286/akba-ex45_1095.htm" TargetMode="External"/><Relationship Id="rId219" Type="http://schemas.openxmlformats.org/officeDocument/2006/relationships/hyperlink" Target="http://www.sec.gov/Archives/edgar/data/1517022/000156459018005286/akba-ex101_385.htm" TargetMode="External"/><Relationship Id="rId220" Type="http://schemas.openxmlformats.org/officeDocument/2006/relationships/hyperlink" Target="http://www.sec.gov/Archives/edgar/data/1517022/000119312514055104/d629509dex102.htm" TargetMode="External"/><Relationship Id="rId221" Type="http://schemas.openxmlformats.org/officeDocument/2006/relationships/hyperlink" Target="http://www.sec.gov/Archives/edgar/data/1517022/000156459015001260/akba-ex103_20141231243.htm" TargetMode="External"/><Relationship Id="rId222" Type="http://schemas.openxmlformats.org/officeDocument/2006/relationships/hyperlink" Target="http://www.sec.gov/Archives/edgar/data/1517022/000156459016014700/akba-ex104_737.htm" TargetMode="External"/><Relationship Id="rId223" Type="http://schemas.openxmlformats.org/officeDocument/2006/relationships/hyperlink" Target="http://www.sec.gov/Archives/edgar/data/1517022/000156459016028609/akba-ex101_14.htm" TargetMode="External"/><Relationship Id="rId224" Type="http://schemas.openxmlformats.org/officeDocument/2006/relationships/hyperlink" Target="http://www.sec.gov/Archives/edgar/data/1517022/000156459018005286/akba-ex106_314.htm" TargetMode="External"/><Relationship Id="rId225" Type="http://schemas.openxmlformats.org/officeDocument/2006/relationships/hyperlink" Target="http://www.sec.gov/Archives/edgar/data/1517022/000119312514055104/d629509dex105.htm" TargetMode="External"/><Relationship Id="rId226" Type="http://schemas.openxmlformats.org/officeDocument/2006/relationships/hyperlink" Target="http://www.sec.gov/Archives/edgar/data/1517022/000119312514055104/d629509dex106.htm" TargetMode="External"/><Relationship Id="rId227" Type="http://schemas.openxmlformats.org/officeDocument/2006/relationships/hyperlink" Target="http://www.sec.gov/Archives/edgar/data/1517022/000119312514055104/d629509dex107.htm" TargetMode="External"/><Relationship Id="rId228" Type="http://schemas.openxmlformats.org/officeDocument/2006/relationships/hyperlink" Target="http://www.sec.gov/Archives/edgar/data/1517022/000119312514055104/d629509dex108.htm" TargetMode="External"/><Relationship Id="rId229" Type="http://schemas.openxmlformats.org/officeDocument/2006/relationships/hyperlink" Target="http://www.sec.gov/Archives/edgar/data/1517022/000119312514081000/d629509dex1024.htm" TargetMode="External"/><Relationship Id="rId230" Type="http://schemas.openxmlformats.org/officeDocument/2006/relationships/hyperlink" Target="http://www.sec.gov/Archives/edgar/data/1517022/000119312514081000/d629509dex1025.htm" TargetMode="External"/><Relationship Id="rId231" Type="http://schemas.openxmlformats.org/officeDocument/2006/relationships/hyperlink" Target="http://www.sec.gov/Archives/edgar/data/1517022/000156459018005286/akba-ex1013_315.htm" TargetMode="External"/><Relationship Id="rId232" Type="http://schemas.openxmlformats.org/officeDocument/2006/relationships/hyperlink" Target="http://www.sec.gov/Archives/edgar/data/1517022/000119312514081000/d629509dex1027.htm" TargetMode="External"/><Relationship Id="rId233" Type="http://schemas.openxmlformats.org/officeDocument/2006/relationships/hyperlink" Target="http://www.sec.gov/Archives/edgar/data/1517022/000119312514081000/d629509dex1029.htm" TargetMode="External"/><Relationship Id="rId234" Type="http://schemas.openxmlformats.org/officeDocument/2006/relationships/hyperlink" Target="http://www.sec.gov/Archives/edgar/data/1517022/000119312514081000/d629509dex1030.htm" TargetMode="External"/><Relationship Id="rId235" Type="http://schemas.openxmlformats.org/officeDocument/2006/relationships/hyperlink" Target="http://www.sec.gov/Archives/edgar/data/1517022/000119312514081000/d629509dex1031.htm" TargetMode="External"/><Relationship Id="rId236" Type="http://schemas.openxmlformats.org/officeDocument/2006/relationships/hyperlink" Target="http://www.sec.gov/Archives/edgar/data/1517022/000156459018005286/akba-ex1018_316.htm" TargetMode="External"/><Relationship Id="rId239" Type="http://schemas.openxmlformats.org/officeDocument/2006/relationships/hyperlink" Target="http://www.sec.gov/Archives/edgar/data/1517022/000119312518021657/d525382dex44.htm" TargetMode="External"/><Relationship Id="rId240" Type="http://schemas.openxmlformats.org/officeDocument/2006/relationships/hyperlink" Target="http://www.sec.gov/Archives/edgar/data/1517022/000119312518021657/d525382dex45.htm" TargetMode="External"/><Relationship Id="rId241" Type="http://schemas.openxmlformats.org/officeDocument/2006/relationships/hyperlink" Target="http://www.sec.gov/Archives/edgar/data/1517022/000156459015006991/akba-ex101_270.htm" TargetMode="External"/><Relationship Id="rId242" Type="http://schemas.openxmlformats.org/officeDocument/2006/relationships/hyperlink" Target="http://www.sec.gov/Archives/edgar/data/1517022/000156459016014700/akba-ex1029_738.htm" TargetMode="External"/><Relationship Id="rId243" Type="http://schemas.openxmlformats.org/officeDocument/2006/relationships/hyperlink" Target="http://www.sec.gov/Archives/edgar/data/1517022/000156459017022727/akba-ex101_154.htm" TargetMode="External"/><Relationship Id="rId244" Type="http://schemas.openxmlformats.org/officeDocument/2006/relationships/hyperlink" Target="http://www.sec.gov/Archives/edgar/data/1517022/000156459017003466/akba-ex1026_696.htm" TargetMode="External"/><Relationship Id="rId245" Type="http://schemas.openxmlformats.org/officeDocument/2006/relationships/hyperlink" Target="http://www.sec.gov/Archives/edgar/data/1517022/000156459017016542/akba-ex101_318.htm" TargetMode="External"/><Relationship Id="rId246" Type="http://schemas.openxmlformats.org/officeDocument/2006/relationships/hyperlink" Target="http://www.sec.gov/Archives/edgar/data/1517022/000156459017009841/akba-ex101_176.htm" TargetMode="External"/><Relationship Id="rId247" Type="http://schemas.openxmlformats.org/officeDocument/2006/relationships/hyperlink" Target="http://www.sec.gov/Archives/edgar/data/1517022/000156459017016542/akba-ex102_319.htm" TargetMode="External"/><Relationship Id="rId248" Type="http://schemas.openxmlformats.org/officeDocument/2006/relationships/hyperlink" Target="http://www.sec.gov/Archives/edgar/data/1517022/000156459018005286/akba-ex1028_386.htm" TargetMode="External"/><Relationship Id="rId249" Type="http://schemas.openxmlformats.org/officeDocument/2006/relationships/hyperlink" Target="http://www.sec.gov/Archives/edgar/data/1517022/000119312519017081/d694885dex44.htm" TargetMode="External"/><Relationship Id="rId250" Type="http://schemas.openxmlformats.org/officeDocument/2006/relationships/hyperlink" Target="http://www.sec.gov/Archives/edgar/data/1517022/000156459018020459/akba-ex101_13.htm" TargetMode="External"/><Relationship Id="rId251" Type="http://schemas.openxmlformats.org/officeDocument/2006/relationships/hyperlink" Target="http://www.sec.gov/Archives/edgar/data/1517022/000119312518348246/d655774dex101.htm" TargetMode="External"/><Relationship Id="rId252" Type="http://schemas.openxmlformats.org/officeDocument/2006/relationships/hyperlink" Target="http://www.sec.gov/Archives/edgar/data/1517022/000119312518206609/d819026dex101.htm" TargetMode="External"/><Relationship Id="rId253" Type="http://schemas.openxmlformats.org/officeDocument/2006/relationships/hyperlink" Target="http://www.sec.gov/Archives/edgar/data/1114220/000114420408027790/v113586_ex10-1.htm" TargetMode="External"/><Relationship Id="rId256" Type="http://schemas.openxmlformats.org/officeDocument/2006/relationships/hyperlink" Target="http://www.sec.gov/Archives/edgar/data/1114220/000114420409017660/v144562_ex10-16.htm" TargetMode="External"/><Relationship Id="rId257" Type="http://schemas.openxmlformats.org/officeDocument/2006/relationships/hyperlink" Target="http://www.sec.gov/Archives/edgar/data/1114220/000111422017000046/kerx-9302017x10qex101.htm" TargetMode="External"/><Relationship Id="rId258" Type="http://schemas.openxmlformats.org/officeDocument/2006/relationships/hyperlink" Target="http://www.sec.gov/Archives/edgar/data/1114220/000111422017000006/ex1012201610k.htm" TargetMode="External"/><Relationship Id="rId259" Type="http://schemas.openxmlformats.org/officeDocument/2006/relationships/hyperlink" Target="http://www.sec.gov/Archives/edgar/data/1114220/000111422017000046/kerx-9302017x10qex102.htm" TargetMode="External"/><Relationship Id="rId260" Type="http://schemas.openxmlformats.org/officeDocument/2006/relationships/hyperlink" Target="http://www.sec.gov/Archives/edgar/data/1114220/000111422018000029/kerx12312017-10kex1012.htm" TargetMode="External"/><Relationship Id="rId261" Type="http://schemas.openxmlformats.org/officeDocument/2006/relationships/hyperlink" Target="http://www.sec.gov/Archives/edgar/data/1114220/000111422018000029/kerx12312017-10kex1013.htm" TargetMode="External"/><Relationship Id="rId262" Type="http://schemas.openxmlformats.org/officeDocument/2006/relationships/hyperlink" Target="http://www.sec.gov/Archives/edgar/data/1114220/000111422017000006/ex1029201610k.htm" TargetMode="External"/><Relationship Id="rId263" Type="http://schemas.openxmlformats.org/officeDocument/2006/relationships/hyperlink" Target="http://www.sec.gov/Archives/edgar/data/1114220/000111422018000090/kerx-6302018x10qex106.htm" TargetMode="External"/><Relationship Id="rId264" Type="http://schemas.openxmlformats.org/officeDocument/2006/relationships/hyperlink" Target="http://www.sec.gov/Archives/edgar/data/1114220/000119312518222663/d564539dex101.htm" TargetMode="External"/><Relationship Id="rId265" Type="http://schemas.openxmlformats.org/officeDocument/2006/relationships/hyperlink" Target="http://www.sec.gov/Archives/edgar/data/1114220/000116923203003799/d55674_ex10-2.txt" TargetMode="External"/><Relationship Id="rId266" Type="http://schemas.openxmlformats.org/officeDocument/2006/relationships/hyperlink" Target="http://www.sec.gov/Archives/edgar/data/1114220/000095012304005423/y96277adef14a.txt" TargetMode="External"/><Relationship Id="rId267" Type="http://schemas.openxmlformats.org/officeDocument/2006/relationships/hyperlink" Target="http://www.sec.gov/Archives/edgar/data/1114220/000114420406031633/v049311_ex10-1.htm" TargetMode="External"/><Relationship Id="rId268" Type="http://schemas.openxmlformats.org/officeDocument/2006/relationships/hyperlink" Target="http://www.sec.gov/Archives/edgar/data/1114220/000114420407021569/v072240def14a.htm" TargetMode="External"/><Relationship Id="rId269" Type="http://schemas.openxmlformats.org/officeDocument/2006/relationships/hyperlink" Target="http://www.sec.gov/Archives/edgar/data/1114220/000119312516606473/d199697dex101.htm" TargetMode="External"/><Relationship Id="rId272" Type="http://schemas.openxmlformats.org/officeDocument/2006/relationships/hyperlink" Target="http://www.sec.gov/Archives/edgar/data/1114220/000119312518209734/d809910dex991.htm" TargetMode="External"/><Relationship Id="rId273" Type="http://schemas.openxmlformats.org/officeDocument/2006/relationships/hyperlink" Target="http://www.sec.gov/Archives/edgar/data/1114220/000119312516763698/d268086dex101.htm" TargetMode="External"/><Relationship Id="rId274" Type="http://schemas.openxmlformats.org/officeDocument/2006/relationships/hyperlink" Target="http://www.sec.gov/Archives/edgar/data/1114220/000111422018000050/keryx-3312018x10qex105.htm" TargetMode="External"/><Relationship Id="rId275" Type="http://schemas.openxmlformats.org/officeDocument/2006/relationships/hyperlink" Target="http://www.sec.gov/Archives/edgar/data/1114220/000111422018000104/kerx-9302018x10qex102.htm" TargetMode="External"/><Relationship Id="rId276" Type="http://schemas.openxmlformats.org/officeDocument/2006/relationships/hyperlink" Target="http://www.sec.gov/Archives/edgar/data/1114220/000119312516606473/d199697dex102.htm" TargetMode="External"/><Relationship Id="rId277" Type="http://schemas.openxmlformats.org/officeDocument/2006/relationships/hyperlink" Target="http://www.sec.gov/Archives/edgar/data/1114220/000119312514300926/d748370dex101.htm" TargetMode="External"/><Relationship Id="rId278" Type="http://schemas.openxmlformats.org/officeDocument/2006/relationships/hyperlink" Target="http://www.sec.gov/Archives/edgar/data/1517022/000119312516579940/d191851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2019-12-28T14:15:48Z</dcterms:created>
  <dcterms:modified xsi:type="dcterms:W3CDTF">2019-12-28T14:15:48Z</dcterms:modified>
</cp:coreProperties>
</file>