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509270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534670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4" w:lineRule="exact"/>
        <w:rPr>
          <w:sz w:val="24"/>
          <w:szCs w:val="24"/>
          <w:color w:val="auto"/>
        </w:rPr>
      </w:pPr>
    </w:p>
    <w:p>
      <w:pPr>
        <w:ind w:left="4360"/>
        <w:spacing w:after="0"/>
        <w:rPr>
          <w:sz w:val="20"/>
          <w:szCs w:val="20"/>
          <w:color w:val="auto"/>
        </w:rPr>
      </w:pPr>
      <w:r>
        <w:rPr>
          <w:rFonts w:ascii="Arial" w:cs="Arial" w:eastAsia="Arial" w:hAnsi="Arial"/>
          <w:sz w:val="22"/>
          <w:szCs w:val="22"/>
          <w:b w:val="1"/>
          <w:bCs w:val="1"/>
          <w:color w:val="auto"/>
        </w:rPr>
        <w:t>_____________________</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61" w:lineRule="exact"/>
        <w:rPr>
          <w:sz w:val="24"/>
          <w:szCs w:val="24"/>
          <w:color w:val="auto"/>
        </w:rPr>
      </w:pPr>
    </w:p>
    <w:p>
      <w:pPr>
        <w:ind w:left="4360"/>
        <w:spacing w:after="0"/>
        <w:rPr>
          <w:sz w:val="20"/>
          <w:szCs w:val="20"/>
          <w:color w:val="auto"/>
        </w:rPr>
      </w:pPr>
      <w:r>
        <w:rPr>
          <w:rFonts w:ascii="Arial" w:cs="Arial" w:eastAsia="Arial" w:hAnsi="Arial"/>
          <w:sz w:val="22"/>
          <w:szCs w:val="22"/>
          <w:b w:val="1"/>
          <w:bCs w:val="1"/>
          <w:color w:val="auto"/>
        </w:rPr>
        <w:t>_____________________</w:t>
      </w:r>
    </w:p>
    <w:p>
      <w:pPr>
        <w:spacing w:after="0" w:line="15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5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 xml:space="preserve">Date of Report (Date of earliest event reported): </w:t>
      </w:r>
      <w:r>
        <w:rPr>
          <w:rFonts w:ascii="Arial" w:cs="Arial" w:eastAsia="Arial" w:hAnsi="Arial"/>
          <w:sz w:val="22"/>
          <w:szCs w:val="22"/>
          <w:b w:val="1"/>
          <w:bCs w:val="1"/>
          <w:color w:val="auto"/>
        </w:rPr>
        <w:t>May 7, 2026</w:t>
      </w:r>
    </w:p>
    <w:p>
      <w:pPr>
        <w:spacing w:after="0" w:line="26" w:lineRule="exact"/>
        <w:rPr>
          <w:sz w:val="24"/>
          <w:szCs w:val="24"/>
          <w:color w:val="auto"/>
        </w:rPr>
      </w:pPr>
    </w:p>
    <w:p>
      <w:pPr>
        <w:ind w:left="4360"/>
        <w:spacing w:after="0"/>
        <w:rPr>
          <w:sz w:val="20"/>
          <w:szCs w:val="20"/>
          <w:color w:val="auto"/>
        </w:rPr>
      </w:pPr>
      <w:r>
        <w:rPr>
          <w:rFonts w:ascii="Arial" w:cs="Arial" w:eastAsia="Arial" w:hAnsi="Arial"/>
          <w:sz w:val="22"/>
          <w:szCs w:val="22"/>
          <w:b w:val="1"/>
          <w:bCs w:val="1"/>
          <w:color w:val="auto"/>
        </w:rPr>
        <w:t>_____________________</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AKEBIA THERAPEUTICS, INC.</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10" w:lineRule="exact"/>
        <w:rPr>
          <w:sz w:val="24"/>
          <w:szCs w:val="24"/>
          <w:color w:val="auto"/>
        </w:rPr>
      </w:pPr>
    </w:p>
    <w:p>
      <w:pPr>
        <w:ind w:left="4360"/>
        <w:spacing w:after="0"/>
        <w:rPr>
          <w:sz w:val="20"/>
          <w:szCs w:val="20"/>
          <w:color w:val="auto"/>
        </w:rPr>
      </w:pPr>
      <w:r>
        <w:rPr>
          <w:rFonts w:ascii="Arial" w:cs="Arial" w:eastAsia="Arial" w:hAnsi="Arial"/>
          <w:sz w:val="22"/>
          <w:szCs w:val="22"/>
          <w:b w:val="1"/>
          <w:bCs w:val="1"/>
          <w:color w:val="auto"/>
        </w:rPr>
        <w:t>_____________________</w:t>
      </w:r>
    </w:p>
    <w:p>
      <w:pPr>
        <w:spacing w:after="0" w:line="180" w:lineRule="exact"/>
        <w:rPr>
          <w:sz w:val="24"/>
          <w:szCs w:val="24"/>
          <w:color w:val="auto"/>
        </w:rPr>
      </w:pPr>
    </w:p>
    <w:tbl>
      <w:tblPr>
        <w:tblLayout w:type="fixed"/>
        <w:tblInd w:w="940" w:type="dxa"/>
        <w:tblCellMar>
          <w:top w:w="0" w:type="dxa"/>
          <w:left w:w="0" w:type="dxa"/>
          <w:bottom w:w="0" w:type="dxa"/>
          <w:right w:w="0" w:type="dxa"/>
        </w:tblCellMar>
      </w:tblPr>
      <w:tr>
        <w:trPr>
          <w:trHeight w:val="239"/>
        </w:trPr>
        <w:tc>
          <w:tcPr>
            <w:tcW w:w="3660" w:type="dxa"/>
            <w:vAlign w:val="bottom"/>
          </w:tcPr>
          <w:p>
            <w:pPr>
              <w:jc w:val="center"/>
              <w:ind w:right="1799"/>
              <w:spacing w:after="0"/>
              <w:rPr>
                <w:sz w:val="20"/>
                <w:szCs w:val="20"/>
                <w:color w:val="auto"/>
              </w:rPr>
            </w:pPr>
            <w:r>
              <w:rPr>
                <w:rFonts w:ascii="Arial" w:cs="Arial" w:eastAsia="Arial" w:hAnsi="Arial"/>
                <w:sz w:val="18"/>
                <w:szCs w:val="18"/>
                <w:b w:val="1"/>
                <w:bCs w:val="1"/>
                <w:color w:val="auto"/>
                <w:w w:val="98"/>
              </w:rPr>
              <w:t>Delaware</w:t>
            </w:r>
          </w:p>
        </w:tc>
        <w:tc>
          <w:tcPr>
            <w:tcW w:w="2500" w:type="dxa"/>
            <w:vAlign w:val="bottom"/>
          </w:tcPr>
          <w:p>
            <w:pPr>
              <w:jc w:val="center"/>
              <w:ind w:right="442"/>
              <w:spacing w:after="0"/>
              <w:rPr>
                <w:sz w:val="20"/>
                <w:szCs w:val="20"/>
                <w:color w:val="auto"/>
              </w:rPr>
            </w:pPr>
            <w:r>
              <w:rPr>
                <w:rFonts w:ascii="Arial" w:cs="Arial" w:eastAsia="Arial" w:hAnsi="Arial"/>
                <w:sz w:val="18"/>
                <w:szCs w:val="18"/>
                <w:b w:val="1"/>
                <w:bCs w:val="1"/>
                <w:color w:val="auto"/>
                <w:w w:val="99"/>
              </w:rPr>
              <w:t>001-36352</w:t>
            </w:r>
          </w:p>
        </w:tc>
        <w:tc>
          <w:tcPr>
            <w:tcW w:w="2880" w:type="dxa"/>
            <w:vAlign w:val="bottom"/>
          </w:tcPr>
          <w:p>
            <w:pPr>
              <w:jc w:val="center"/>
              <w:ind w:left="1601"/>
              <w:spacing w:after="0"/>
              <w:rPr>
                <w:sz w:val="20"/>
                <w:szCs w:val="20"/>
                <w:color w:val="auto"/>
              </w:rPr>
            </w:pPr>
            <w:r>
              <w:rPr>
                <w:rFonts w:ascii="Arial" w:cs="Arial" w:eastAsia="Arial" w:hAnsi="Arial"/>
                <w:sz w:val="18"/>
                <w:szCs w:val="18"/>
                <w:b w:val="1"/>
                <w:bCs w:val="1"/>
                <w:color w:val="auto"/>
                <w:w w:val="99"/>
              </w:rPr>
              <w:t>20-8756903</w:t>
            </w:r>
          </w:p>
        </w:tc>
        <w:tc>
          <w:tcPr>
            <w:tcW w:w="0" w:type="dxa"/>
            <w:vAlign w:val="bottom"/>
          </w:tcPr>
          <w:p>
            <w:pPr>
              <w:spacing w:after="0"/>
              <w:rPr>
                <w:sz w:val="1"/>
                <w:szCs w:val="1"/>
                <w:color w:val="auto"/>
              </w:rPr>
            </w:pPr>
          </w:p>
        </w:tc>
      </w:tr>
      <w:tr>
        <w:trPr>
          <w:trHeight w:val="148"/>
        </w:trPr>
        <w:tc>
          <w:tcPr>
            <w:tcW w:w="3660" w:type="dxa"/>
            <w:vAlign w:val="bottom"/>
          </w:tcPr>
          <w:p>
            <w:pPr>
              <w:jc w:val="center"/>
              <w:ind w:right="1799"/>
              <w:spacing w:after="0" w:line="149" w:lineRule="exact"/>
              <w:rPr>
                <w:sz w:val="20"/>
                <w:szCs w:val="20"/>
                <w:color w:val="auto"/>
              </w:rPr>
            </w:pPr>
            <w:r>
              <w:rPr>
                <w:rFonts w:ascii="Arial" w:cs="Arial" w:eastAsia="Arial" w:hAnsi="Arial"/>
                <w:sz w:val="14"/>
                <w:szCs w:val="14"/>
                <w:b w:val="1"/>
                <w:bCs w:val="1"/>
                <w:color w:val="auto"/>
              </w:rPr>
              <w:t>(State or other jurisdiction</w:t>
            </w:r>
          </w:p>
        </w:tc>
        <w:tc>
          <w:tcPr>
            <w:tcW w:w="2500" w:type="dxa"/>
            <w:vAlign w:val="bottom"/>
          </w:tcPr>
          <w:p>
            <w:pPr>
              <w:jc w:val="center"/>
              <w:ind w:right="422"/>
              <w:spacing w:after="0" w:line="149" w:lineRule="exact"/>
              <w:rPr>
                <w:sz w:val="20"/>
                <w:szCs w:val="20"/>
                <w:color w:val="auto"/>
              </w:rPr>
            </w:pPr>
            <w:r>
              <w:rPr>
                <w:rFonts w:ascii="Arial" w:cs="Arial" w:eastAsia="Arial" w:hAnsi="Arial"/>
                <w:sz w:val="14"/>
                <w:szCs w:val="14"/>
                <w:b w:val="1"/>
                <w:bCs w:val="1"/>
                <w:color w:val="auto"/>
              </w:rPr>
              <w:t>(Commission</w:t>
            </w:r>
          </w:p>
        </w:tc>
        <w:tc>
          <w:tcPr>
            <w:tcW w:w="2880" w:type="dxa"/>
            <w:vAlign w:val="bottom"/>
          </w:tcPr>
          <w:p>
            <w:pPr>
              <w:jc w:val="center"/>
              <w:ind w:left="1581"/>
              <w:spacing w:after="0" w:line="149" w:lineRule="exact"/>
              <w:rPr>
                <w:sz w:val="20"/>
                <w:szCs w:val="20"/>
                <w:color w:val="auto"/>
              </w:rPr>
            </w:pPr>
            <w:r>
              <w:rPr>
                <w:rFonts w:ascii="Arial" w:cs="Arial" w:eastAsia="Arial" w:hAnsi="Arial"/>
                <w:sz w:val="14"/>
                <w:szCs w:val="14"/>
                <w:b w:val="1"/>
                <w:bCs w:val="1"/>
                <w:color w:val="auto"/>
              </w:rPr>
              <w:t>(IRS Employer</w:t>
            </w:r>
          </w:p>
        </w:tc>
        <w:tc>
          <w:tcPr>
            <w:tcW w:w="0" w:type="dxa"/>
            <w:vAlign w:val="bottom"/>
          </w:tcPr>
          <w:p>
            <w:pPr>
              <w:spacing w:after="0"/>
              <w:rPr>
                <w:sz w:val="1"/>
                <w:szCs w:val="1"/>
                <w:color w:val="auto"/>
              </w:rPr>
            </w:pPr>
          </w:p>
        </w:tc>
      </w:tr>
      <w:tr>
        <w:trPr>
          <w:trHeight w:val="196"/>
        </w:trPr>
        <w:tc>
          <w:tcPr>
            <w:tcW w:w="3660" w:type="dxa"/>
            <w:vAlign w:val="bottom"/>
          </w:tcPr>
          <w:p>
            <w:pPr>
              <w:jc w:val="center"/>
              <w:ind w:right="1799"/>
              <w:spacing w:after="0"/>
              <w:rPr>
                <w:sz w:val="20"/>
                <w:szCs w:val="20"/>
                <w:color w:val="auto"/>
              </w:rPr>
            </w:pPr>
            <w:r>
              <w:rPr>
                <w:rFonts w:ascii="Arial" w:cs="Arial" w:eastAsia="Arial" w:hAnsi="Arial"/>
                <w:sz w:val="14"/>
                <w:szCs w:val="14"/>
                <w:b w:val="1"/>
                <w:bCs w:val="1"/>
                <w:color w:val="auto"/>
              </w:rPr>
              <w:t>of incorporation)</w:t>
            </w:r>
          </w:p>
        </w:tc>
        <w:tc>
          <w:tcPr>
            <w:tcW w:w="2500" w:type="dxa"/>
            <w:vAlign w:val="bottom"/>
          </w:tcPr>
          <w:p>
            <w:pPr>
              <w:jc w:val="center"/>
              <w:ind w:right="422"/>
              <w:spacing w:after="0"/>
              <w:rPr>
                <w:sz w:val="20"/>
                <w:szCs w:val="20"/>
                <w:color w:val="auto"/>
              </w:rPr>
            </w:pPr>
            <w:r>
              <w:rPr>
                <w:rFonts w:ascii="Arial" w:cs="Arial" w:eastAsia="Arial" w:hAnsi="Arial"/>
                <w:sz w:val="14"/>
                <w:szCs w:val="14"/>
                <w:b w:val="1"/>
                <w:bCs w:val="1"/>
                <w:color w:val="auto"/>
              </w:rPr>
              <w:t>File Number)</w:t>
            </w:r>
          </w:p>
        </w:tc>
        <w:tc>
          <w:tcPr>
            <w:tcW w:w="2880" w:type="dxa"/>
            <w:vAlign w:val="bottom"/>
          </w:tcPr>
          <w:p>
            <w:pPr>
              <w:jc w:val="center"/>
              <w:ind w:left="1581"/>
              <w:spacing w:after="0"/>
              <w:rPr>
                <w:sz w:val="20"/>
                <w:szCs w:val="20"/>
                <w:color w:val="auto"/>
              </w:rPr>
            </w:pPr>
            <w:r>
              <w:rPr>
                <w:rFonts w:ascii="Arial" w:cs="Arial" w:eastAsia="Arial" w:hAnsi="Arial"/>
                <w:sz w:val="14"/>
                <w:szCs w:val="14"/>
                <w:b w:val="1"/>
                <w:bCs w:val="1"/>
                <w:color w:val="auto"/>
              </w:rPr>
              <w:t>Identification No.)</w:t>
            </w:r>
          </w:p>
        </w:tc>
        <w:tc>
          <w:tcPr>
            <w:tcW w:w="0" w:type="dxa"/>
            <w:vAlign w:val="bottom"/>
          </w:tcPr>
          <w:p>
            <w:pPr>
              <w:spacing w:after="0"/>
              <w:rPr>
                <w:sz w:val="1"/>
                <w:szCs w:val="1"/>
                <w:color w:val="auto"/>
              </w:rPr>
            </w:pPr>
          </w:p>
        </w:tc>
      </w:tr>
      <w:tr>
        <w:trPr>
          <w:trHeight w:val="434"/>
        </w:trPr>
        <w:tc>
          <w:tcPr>
            <w:tcW w:w="3660" w:type="dxa"/>
            <w:vAlign w:val="bottom"/>
          </w:tcPr>
          <w:p>
            <w:pPr>
              <w:jc w:val="center"/>
              <w:spacing w:after="0"/>
              <w:rPr>
                <w:sz w:val="20"/>
                <w:szCs w:val="20"/>
                <w:color w:val="auto"/>
              </w:rPr>
            </w:pPr>
            <w:r>
              <w:rPr>
                <w:rFonts w:ascii="Arial" w:cs="Arial" w:eastAsia="Arial" w:hAnsi="Arial"/>
                <w:sz w:val="18"/>
                <w:szCs w:val="18"/>
                <w:b w:val="1"/>
                <w:bCs w:val="1"/>
                <w:color w:val="auto"/>
                <w:w w:val="99"/>
              </w:rPr>
              <w:t>245 First Street</w:t>
            </w:r>
          </w:p>
        </w:tc>
        <w:tc>
          <w:tcPr>
            <w:tcW w:w="2500" w:type="dxa"/>
            <w:vAlign w:val="bottom"/>
          </w:tcPr>
          <w:p>
            <w:pPr>
              <w:spacing w:after="0"/>
              <w:rPr>
                <w:sz w:val="24"/>
                <w:szCs w:val="24"/>
                <w:color w:val="auto"/>
              </w:rPr>
            </w:pPr>
          </w:p>
        </w:tc>
        <w:tc>
          <w:tcPr>
            <w:tcW w:w="2880" w:type="dxa"/>
            <w:vAlign w:val="bottom"/>
            <w:vMerge w:val="restart"/>
          </w:tcPr>
          <w:p>
            <w:pPr>
              <w:jc w:val="right"/>
              <w:ind w:right="1161"/>
              <w:spacing w:after="0"/>
              <w:rPr>
                <w:sz w:val="20"/>
                <w:szCs w:val="20"/>
                <w:color w:val="auto"/>
              </w:rPr>
            </w:pPr>
            <w:r>
              <w:rPr>
                <w:rFonts w:ascii="Arial" w:cs="Arial" w:eastAsia="Arial" w:hAnsi="Arial"/>
                <w:sz w:val="18"/>
                <w:szCs w:val="18"/>
                <w:b w:val="1"/>
                <w:bCs w:val="1"/>
                <w:color w:val="auto"/>
              </w:rPr>
              <w:t>02142</w:t>
            </w:r>
          </w:p>
        </w:tc>
        <w:tc>
          <w:tcPr>
            <w:tcW w:w="0" w:type="dxa"/>
            <w:vAlign w:val="bottom"/>
          </w:tcPr>
          <w:p>
            <w:pPr>
              <w:spacing w:after="0"/>
              <w:rPr>
                <w:sz w:val="1"/>
                <w:szCs w:val="1"/>
                <w:color w:val="auto"/>
              </w:rPr>
            </w:pPr>
          </w:p>
        </w:tc>
      </w:tr>
      <w:tr>
        <w:trPr>
          <w:trHeight w:val="247"/>
        </w:trPr>
        <w:tc>
          <w:tcPr>
            <w:tcW w:w="3660" w:type="dxa"/>
            <w:vAlign w:val="bottom"/>
          </w:tcPr>
          <w:p>
            <w:pPr>
              <w:jc w:val="center"/>
              <w:spacing w:after="0"/>
              <w:rPr>
                <w:sz w:val="20"/>
                <w:szCs w:val="20"/>
                <w:color w:val="auto"/>
              </w:rPr>
            </w:pPr>
            <w:r>
              <w:rPr>
                <w:rFonts w:ascii="Arial" w:cs="Arial" w:eastAsia="Arial" w:hAnsi="Arial"/>
                <w:sz w:val="18"/>
                <w:szCs w:val="18"/>
                <w:b w:val="1"/>
                <w:bCs w:val="1"/>
                <w:color w:val="auto"/>
              </w:rPr>
              <w:t>Cambridge, Massachusetts</w:t>
            </w:r>
          </w:p>
        </w:tc>
        <w:tc>
          <w:tcPr>
            <w:tcW w:w="2500" w:type="dxa"/>
            <w:vAlign w:val="bottom"/>
          </w:tcPr>
          <w:p>
            <w:pPr>
              <w:spacing w:after="0"/>
              <w:rPr>
                <w:sz w:val="21"/>
                <w:szCs w:val="21"/>
                <w:color w:val="auto"/>
              </w:rPr>
            </w:pPr>
          </w:p>
        </w:tc>
        <w:tc>
          <w:tcPr>
            <w:tcW w:w="28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3660" w:type="dxa"/>
            <w:vAlign w:val="bottom"/>
          </w:tcPr>
          <w:p>
            <w:pPr>
              <w:jc w:val="center"/>
              <w:spacing w:after="0"/>
              <w:rPr>
                <w:sz w:val="20"/>
                <w:szCs w:val="20"/>
                <w:color w:val="auto"/>
              </w:rPr>
            </w:pPr>
            <w:r>
              <w:rPr>
                <w:rFonts w:ascii="Arial" w:cs="Arial" w:eastAsia="Arial" w:hAnsi="Arial"/>
                <w:sz w:val="14"/>
                <w:szCs w:val="14"/>
                <w:b w:val="1"/>
                <w:bCs w:val="1"/>
                <w:color w:val="auto"/>
              </w:rPr>
              <w:t>(Address of principal executive offices)</w:t>
            </w:r>
          </w:p>
        </w:tc>
        <w:tc>
          <w:tcPr>
            <w:tcW w:w="2500" w:type="dxa"/>
            <w:vAlign w:val="bottom"/>
          </w:tcPr>
          <w:p>
            <w:pPr>
              <w:spacing w:after="0"/>
              <w:rPr>
                <w:sz w:val="17"/>
                <w:szCs w:val="17"/>
                <w:color w:val="auto"/>
              </w:rPr>
            </w:pPr>
          </w:p>
        </w:tc>
        <w:tc>
          <w:tcPr>
            <w:tcW w:w="2880" w:type="dxa"/>
            <w:vAlign w:val="bottom"/>
          </w:tcPr>
          <w:p>
            <w:pPr>
              <w:jc w:val="center"/>
              <w:ind w:right="21"/>
              <w:spacing w:after="0"/>
              <w:rPr>
                <w:sz w:val="20"/>
                <w:szCs w:val="20"/>
                <w:color w:val="auto"/>
              </w:rPr>
            </w:pPr>
            <w:r>
              <w:rPr>
                <w:rFonts w:ascii="Arial" w:cs="Arial" w:eastAsia="Arial" w:hAnsi="Arial"/>
                <w:sz w:val="14"/>
                <w:szCs w:val="14"/>
                <w:b w:val="1"/>
                <w:bCs w:val="1"/>
                <w:color w:val="auto"/>
              </w:rPr>
              <w:t>(Zip Code)</w:t>
            </w:r>
          </w:p>
        </w:tc>
        <w:tc>
          <w:tcPr>
            <w:tcW w:w="0" w:type="dxa"/>
            <w:vAlign w:val="bottom"/>
          </w:tcPr>
          <w:p>
            <w:pPr>
              <w:spacing w:after="0"/>
              <w:rPr>
                <w:sz w:val="1"/>
                <w:szCs w:val="1"/>
                <w:color w:val="auto"/>
              </w:rPr>
            </w:pPr>
          </w:p>
        </w:tc>
      </w:tr>
    </w:tbl>
    <w:p>
      <w:pPr>
        <w:spacing w:after="0" w:line="25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Registrant’s telephone number, including area code: (617) 871-2098</w:t>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10" w:lineRule="exact"/>
        <w:rPr>
          <w:sz w:val="24"/>
          <w:szCs w:val="24"/>
          <w:color w:val="auto"/>
        </w:rPr>
      </w:pPr>
    </w:p>
    <w:p>
      <w:pPr>
        <w:ind w:left="4360"/>
        <w:spacing w:after="0"/>
        <w:rPr>
          <w:sz w:val="20"/>
          <w:szCs w:val="20"/>
          <w:color w:val="auto"/>
        </w:rPr>
      </w:pPr>
      <w:r>
        <w:rPr>
          <w:rFonts w:ascii="Arial" w:cs="Arial" w:eastAsia="Arial" w:hAnsi="Arial"/>
          <w:sz w:val="22"/>
          <w:szCs w:val="22"/>
          <w:b w:val="1"/>
          <w:bCs w:val="1"/>
          <w:color w:val="auto"/>
        </w:rPr>
        <w:t>_____________________</w:t>
      </w:r>
    </w:p>
    <w:p>
      <w:pPr>
        <w:spacing w:after="0" w:line="168" w:lineRule="exact"/>
        <w:rPr>
          <w:sz w:val="24"/>
          <w:szCs w:val="24"/>
          <w:color w:val="auto"/>
        </w:rPr>
      </w:pPr>
    </w:p>
    <w:p>
      <w:pPr>
        <w:ind w:right="140"/>
        <w:spacing w:after="0" w:line="28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2" w:lineRule="exact"/>
        <w:rPr>
          <w:sz w:val="24"/>
          <w:szCs w:val="24"/>
          <w:color w:val="auto"/>
        </w:rPr>
      </w:pPr>
    </w:p>
    <w:p>
      <w:pPr>
        <w:ind w:left="1380" w:hanging="733"/>
        <w:spacing w:after="0"/>
        <w:tabs>
          <w:tab w:leader="none" w:pos="1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1380" w:hanging="733"/>
        <w:spacing w:after="0"/>
        <w:tabs>
          <w:tab w:leader="none" w:pos="1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1380" w:hanging="733"/>
        <w:spacing w:after="0"/>
        <w:tabs>
          <w:tab w:leader="none" w:pos="1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1380" w:hanging="733"/>
        <w:spacing w:after="0"/>
        <w:tabs>
          <w:tab w:leader="none" w:pos="1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9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Title of each class</w:t>
            </w:r>
          </w:p>
        </w:tc>
        <w:tc>
          <w:tcPr>
            <w:tcW w:w="33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Trading</w:t>
            </w:r>
          </w:p>
        </w:tc>
        <w:tc>
          <w:tcPr>
            <w:tcW w:w="3680" w:type="dxa"/>
            <w:vAlign w:val="bottom"/>
          </w:tcPr>
          <w:p>
            <w:pPr>
              <w:jc w:val="center"/>
              <w:spacing w:after="0"/>
              <w:rPr>
                <w:sz w:val="20"/>
                <w:szCs w:val="20"/>
                <w:color w:val="auto"/>
              </w:rPr>
            </w:pPr>
            <w:r>
              <w:rPr>
                <w:rFonts w:ascii="Arial" w:cs="Arial" w:eastAsia="Arial" w:hAnsi="Arial"/>
                <w:sz w:val="14"/>
                <w:szCs w:val="14"/>
                <w:b w:val="1"/>
                <w:bCs w:val="1"/>
                <w:color w:val="auto"/>
              </w:rPr>
              <w:t>Name of each exchange</w:t>
            </w:r>
          </w:p>
        </w:tc>
        <w:tc>
          <w:tcPr>
            <w:tcW w:w="0" w:type="dxa"/>
            <w:vAlign w:val="bottom"/>
          </w:tcPr>
          <w:p>
            <w:pPr>
              <w:spacing w:after="0"/>
              <w:rPr>
                <w:sz w:val="1"/>
                <w:szCs w:val="1"/>
                <w:color w:val="auto"/>
              </w:rPr>
            </w:pPr>
          </w:p>
        </w:tc>
      </w:tr>
      <w:tr>
        <w:trPr>
          <w:trHeight w:val="185"/>
        </w:trPr>
        <w:tc>
          <w:tcPr>
            <w:tcW w:w="4240" w:type="dxa"/>
            <w:vAlign w:val="bottom"/>
            <w:gridSpan w:val="2"/>
            <w:vMerge w:val="continue"/>
          </w:tcPr>
          <w:p>
            <w:pPr>
              <w:spacing w:after="0"/>
              <w:rPr>
                <w:sz w:val="16"/>
                <w:szCs w:val="16"/>
                <w:color w:val="auto"/>
              </w:rPr>
            </w:pPr>
          </w:p>
        </w:tc>
        <w:tc>
          <w:tcPr>
            <w:tcW w:w="33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symbol(s)</w:t>
            </w:r>
          </w:p>
        </w:tc>
        <w:tc>
          <w:tcPr>
            <w:tcW w:w="3680" w:type="dxa"/>
            <w:vAlign w:val="bottom"/>
          </w:tcPr>
          <w:p>
            <w:pPr>
              <w:jc w:val="center"/>
              <w:spacing w:after="0"/>
              <w:rPr>
                <w:sz w:val="20"/>
                <w:szCs w:val="20"/>
                <w:color w:val="auto"/>
              </w:rPr>
            </w:pPr>
            <w:r>
              <w:rPr>
                <w:rFonts w:ascii="Arial" w:cs="Arial" w:eastAsia="Arial" w:hAnsi="Arial"/>
                <w:sz w:val="14"/>
                <w:szCs w:val="14"/>
                <w:b w:val="1"/>
                <w:bCs w:val="1"/>
                <w:color w:val="auto"/>
              </w:rPr>
              <w:t>on which registered</w:t>
            </w:r>
          </w:p>
        </w:tc>
        <w:tc>
          <w:tcPr>
            <w:tcW w:w="0" w:type="dxa"/>
            <w:vAlign w:val="bottom"/>
          </w:tcPr>
          <w:p>
            <w:pPr>
              <w:spacing w:after="0"/>
              <w:rPr>
                <w:sz w:val="1"/>
                <w:szCs w:val="1"/>
                <w:color w:val="auto"/>
              </w:rPr>
            </w:pPr>
          </w:p>
        </w:tc>
      </w:tr>
      <w:tr>
        <w:trPr>
          <w:trHeight w:val="216"/>
        </w:trPr>
        <w:tc>
          <w:tcPr>
            <w:tcW w:w="41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Common Stock, par value $0.00001 per share</w:t>
            </w:r>
          </w:p>
        </w:tc>
        <w:tc>
          <w:tcPr>
            <w:tcW w:w="80" w:type="dxa"/>
            <w:vAlign w:val="bottom"/>
          </w:tcPr>
          <w:p>
            <w:pPr>
              <w:spacing w:after="0"/>
              <w:rPr>
                <w:sz w:val="18"/>
                <w:szCs w:val="18"/>
                <w:color w:val="auto"/>
              </w:rPr>
            </w:pPr>
          </w:p>
        </w:tc>
        <w:tc>
          <w:tcPr>
            <w:tcW w:w="32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AKBA</w:t>
            </w:r>
          </w:p>
        </w:tc>
        <w:tc>
          <w:tcPr>
            <w:tcW w:w="80" w:type="dxa"/>
            <w:vAlign w:val="bottom"/>
          </w:tcPr>
          <w:p>
            <w:pPr>
              <w:spacing w:after="0"/>
              <w:rPr>
                <w:sz w:val="18"/>
                <w:szCs w:val="18"/>
                <w:color w:val="auto"/>
              </w:rPr>
            </w:pPr>
          </w:p>
        </w:tc>
        <w:tc>
          <w:tcPr>
            <w:tcW w:w="368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The Nasdaq Capital Market</w:t>
            </w:r>
          </w:p>
        </w:tc>
        <w:tc>
          <w:tcPr>
            <w:tcW w:w="0" w:type="dxa"/>
            <w:vAlign w:val="bottom"/>
          </w:tcPr>
          <w:p>
            <w:pPr>
              <w:spacing w:after="0"/>
              <w:rPr>
                <w:sz w:val="1"/>
                <w:szCs w:val="1"/>
                <w:color w:val="auto"/>
              </w:rPr>
            </w:pPr>
          </w:p>
        </w:tc>
      </w:tr>
    </w:tbl>
    <w:p>
      <w:pPr>
        <w:spacing w:after="0" w:line="245" w:lineRule="exact"/>
        <w:rPr>
          <w:sz w:val="24"/>
          <w:szCs w:val="24"/>
          <w:color w:val="auto"/>
        </w:rPr>
      </w:pPr>
    </w:p>
    <w:p>
      <w:pPr>
        <w:ind w:right="660"/>
        <w:spacing w:after="0" w:line="28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13" w:lineRule="exact"/>
        <w:rPr>
          <w:sz w:val="24"/>
          <w:szCs w:val="24"/>
          <w:color w:val="auto"/>
        </w:rPr>
      </w:pPr>
    </w:p>
    <w:p>
      <w:pPr>
        <w:ind w:left="8500"/>
        <w:spacing w:after="0" w:line="207" w:lineRule="exact"/>
        <w:tabs>
          <w:tab w:leader="none" w:pos="1096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319" w:lineRule="exact"/>
        <w:rPr>
          <w:sz w:val="24"/>
          <w:szCs w:val="24"/>
          <w:color w:val="auto"/>
        </w:rPr>
      </w:pPr>
    </w:p>
    <w:p>
      <w:pPr>
        <w:ind w:right="200"/>
        <w:spacing w:after="0" w:line="23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604520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73" w:right="339" w:bottom="1440" w:gutter="0" w:footer="0" w:header="0"/>
        </w:sectPr>
      </w:pPr>
    </w:p>
    <w:bookmarkStart w:id="1" w:name="page2"/>
    <w:bookmarkEnd w:id="1"/>
    <w:p>
      <w:pPr>
        <w:spacing w:after="0"/>
        <w:tabs>
          <w:tab w:leader="none" w:pos="1000" w:val="left"/>
        </w:tabs>
        <w:rPr>
          <w:sz w:val="20"/>
          <w:szCs w:val="20"/>
          <w:color w:val="auto"/>
        </w:rPr>
      </w:pPr>
      <w:r>
        <w:rPr>
          <w:rFonts w:ascii="Arial" w:cs="Arial" w:eastAsia="Arial" w:hAnsi="Arial"/>
          <w:sz w:val="18"/>
          <w:szCs w:val="18"/>
          <w:b w:val="1"/>
          <w:bCs w:val="1"/>
          <w:color w:val="auto"/>
        </w:rPr>
        <w:t>Item 2.02.</w:t>
        <w:tab/>
        <w:t>Results of Operations and Financial Condition.</w:t>
      </w:r>
    </w:p>
    <w:p>
      <w:pPr>
        <w:spacing w:after="0" w:line="2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May 7, 2026, Akebia Therapeutics, Inc. (the “Company”) issued a press release announcing its financial results for the first quarter ended March 31, 2026 and recent business highlights. A copy of the Company’s press release containing this information is furnished as Exhibit 99.1 to this Current Report on Form 8-K (“Report”) and is incorporated herein by reference.</w:t>
      </w:r>
    </w:p>
    <w:p>
      <w:pPr>
        <w:spacing w:after="0" w:line="209"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The information in this Report (including Item 2.02 and Exhibit 99.1) shall not be deemed “filed” for purposes of Section 18 of the Securities Exchange Act of 1934, as amended (the “Exchange Act”), or otherwise subject to the liabilities of that section, nor shall it be deemed incorporated by reference in any filing under the Exchange Act or the Securities Act of 1933, as amended, except as expressly set forth by specific reference in such a filing.</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440" w:type="dxa"/>
            <w:vAlign w:val="bottom"/>
          </w:tcPr>
          <w:p>
            <w:pPr>
              <w:spacing w:after="0"/>
              <w:rPr>
                <w:sz w:val="20"/>
                <w:szCs w:val="20"/>
                <w:color w:val="auto"/>
              </w:rPr>
            </w:pPr>
            <w:r>
              <w:rPr>
                <w:rFonts w:ascii="Arial" w:cs="Arial" w:eastAsia="Arial" w:hAnsi="Arial"/>
                <w:sz w:val="18"/>
                <w:szCs w:val="18"/>
                <w:color w:val="auto"/>
              </w:rPr>
              <w:t>(d) Exhibits</w:t>
            </w:r>
          </w:p>
        </w:tc>
        <w:tc>
          <w:tcPr>
            <w:tcW w:w="9800" w:type="dxa"/>
            <w:vAlign w:val="bottom"/>
          </w:tcPr>
          <w:p>
            <w:pPr>
              <w:spacing w:after="0"/>
              <w:rPr>
                <w:sz w:val="20"/>
                <w:szCs w:val="20"/>
                <w:color w:val="auto"/>
              </w:rPr>
            </w:pPr>
          </w:p>
        </w:tc>
      </w:tr>
      <w:tr>
        <w:trPr>
          <w:trHeight w:val="534"/>
        </w:trPr>
        <w:tc>
          <w:tcPr>
            <w:tcW w:w="1440" w:type="dxa"/>
            <w:vAlign w:val="bottom"/>
          </w:tcPr>
          <w:p>
            <w:pPr>
              <w:ind w:left="20"/>
              <w:spacing w:after="0"/>
              <w:rPr>
                <w:sz w:val="20"/>
                <w:szCs w:val="20"/>
                <w:color w:val="auto"/>
              </w:rPr>
            </w:pPr>
            <w:r>
              <w:rPr>
                <w:rFonts w:ascii="Arial" w:cs="Arial" w:eastAsia="Arial" w:hAnsi="Arial"/>
                <w:sz w:val="18"/>
                <w:szCs w:val="18"/>
                <w:b w:val="1"/>
                <w:bCs w:val="1"/>
                <w:color w:val="auto"/>
              </w:rPr>
              <w:t>Exhibit No.</w:t>
            </w:r>
          </w:p>
        </w:tc>
        <w:tc>
          <w:tcPr>
            <w:tcW w:w="9800" w:type="dxa"/>
            <w:vAlign w:val="bottom"/>
          </w:tcPr>
          <w:p>
            <w:pPr>
              <w:ind w:left="480"/>
              <w:spacing w:after="0"/>
              <w:rPr>
                <w:sz w:val="20"/>
                <w:szCs w:val="20"/>
                <w:color w:val="auto"/>
              </w:rPr>
            </w:pPr>
            <w:r>
              <w:rPr>
                <w:rFonts w:ascii="Arial" w:cs="Arial" w:eastAsia="Arial" w:hAnsi="Arial"/>
                <w:sz w:val="18"/>
                <w:szCs w:val="18"/>
                <w:b w:val="1"/>
                <w:bCs w:val="1"/>
                <w:color w:val="auto"/>
              </w:rPr>
              <w:t>Description</w:t>
            </w:r>
          </w:p>
        </w:tc>
      </w:tr>
      <w:tr>
        <w:trPr>
          <w:trHeight w:val="249"/>
        </w:trPr>
        <w:tc>
          <w:tcPr>
            <w:tcW w:w="1440" w:type="dxa"/>
            <w:vAlign w:val="bottom"/>
          </w:tcPr>
          <w:p>
            <w:pPr>
              <w:ind w:left="20"/>
              <w:spacing w:after="0"/>
              <w:rPr>
                <w:sz w:val="20"/>
                <w:szCs w:val="20"/>
                <w:color w:val="auto"/>
              </w:rPr>
            </w:pPr>
            <w:r>
              <w:rPr>
                <w:rFonts w:ascii="Arial" w:cs="Arial" w:eastAsia="Arial" w:hAnsi="Arial"/>
                <w:sz w:val="18"/>
                <w:szCs w:val="18"/>
                <w:color w:val="auto"/>
              </w:rPr>
              <w:t>99.1</w:t>
            </w:r>
          </w:p>
        </w:tc>
        <w:tc>
          <w:tcPr>
            <w:tcW w:w="9800" w:type="dxa"/>
            <w:vAlign w:val="bottom"/>
          </w:tcPr>
          <w:p>
            <w:pPr>
              <w:ind w:left="480"/>
              <w:spacing w:after="0"/>
              <w:rPr>
                <w:sz w:val="20"/>
                <w:szCs w:val="20"/>
                <w:color w:val="auto"/>
              </w:rPr>
            </w:pPr>
            <w:r>
              <w:rPr>
                <w:rFonts w:ascii="Arial" w:cs="Arial" w:eastAsia="Arial" w:hAnsi="Arial"/>
                <w:sz w:val="18"/>
                <w:szCs w:val="18"/>
                <w:color w:val="auto"/>
              </w:rPr>
              <w:t>Press Release, dated May 7, 2026, issued by Akebia Therapeutics, Inc.</w:t>
            </w:r>
          </w:p>
        </w:tc>
      </w:tr>
      <w:tr>
        <w:trPr>
          <w:trHeight w:val="257"/>
        </w:trPr>
        <w:tc>
          <w:tcPr>
            <w:tcW w:w="1440" w:type="dxa"/>
            <w:vAlign w:val="bottom"/>
          </w:tcPr>
          <w:p>
            <w:pPr>
              <w:ind w:left="20"/>
              <w:spacing w:after="0"/>
              <w:rPr>
                <w:sz w:val="20"/>
                <w:szCs w:val="20"/>
                <w:color w:val="auto"/>
              </w:rPr>
            </w:pPr>
            <w:r>
              <w:rPr>
                <w:rFonts w:ascii="Arial" w:cs="Arial" w:eastAsia="Arial" w:hAnsi="Arial"/>
                <w:sz w:val="18"/>
                <w:szCs w:val="18"/>
                <w:color w:val="auto"/>
              </w:rPr>
              <w:t>104</w:t>
            </w:r>
          </w:p>
        </w:tc>
        <w:tc>
          <w:tcPr>
            <w:tcW w:w="9800" w:type="dxa"/>
            <w:vAlign w:val="bottom"/>
          </w:tcPr>
          <w:p>
            <w:pPr>
              <w:ind w:left="480"/>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799"/>
        </w:trPr>
        <w:tc>
          <w:tcPr>
            <w:tcW w:w="1440" w:type="dxa"/>
            <w:vAlign w:val="bottom"/>
            <w:tcBorders>
              <w:bottom w:val="single" w:sz="8" w:color="9A9A9A"/>
            </w:tcBorders>
          </w:tcPr>
          <w:p>
            <w:pPr>
              <w:spacing w:after="0"/>
              <w:rPr>
                <w:sz w:val="24"/>
                <w:szCs w:val="24"/>
                <w:color w:val="auto"/>
              </w:rPr>
            </w:pPr>
          </w:p>
        </w:tc>
        <w:tc>
          <w:tcPr>
            <w:tcW w:w="9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17" w:right="339" w:bottom="1440" w:gutter="0" w:footer="0" w:header="0"/>
        </w:sectPr>
      </w:pPr>
    </w:p>
    <w:bookmarkStart w:id="2" w:name="page3"/>
    <w:bookmarkEnd w:id="2"/>
    <w:p>
      <w:pPr>
        <w:spacing w:after="0"/>
        <w:rPr>
          <w:sz w:val="20"/>
          <w:szCs w:val="20"/>
          <w:color w:val="auto"/>
        </w:rPr>
      </w:pPr>
      <w:r>
        <w:rPr>
          <w:rFonts w:ascii="Arial" w:cs="Arial" w:eastAsia="Arial" w:hAnsi="Arial"/>
          <w:sz w:val="20"/>
          <w:szCs w:val="20"/>
          <w:b w:val="1"/>
          <w:bCs w:val="1"/>
          <w:color w:val="auto"/>
        </w:rPr>
        <w:t>SIGNATURE</w:t>
      </w:r>
    </w:p>
    <w:p>
      <w:pPr>
        <w:spacing w:after="0" w:line="153"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72"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33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340" w:type="dxa"/>
            <w:vAlign w:val="bottom"/>
          </w:tcPr>
          <w:p>
            <w:pPr>
              <w:ind w:left="20"/>
              <w:spacing w:after="0"/>
              <w:rPr>
                <w:sz w:val="20"/>
                <w:szCs w:val="20"/>
                <w:color w:val="auto"/>
              </w:rPr>
            </w:pPr>
            <w:r>
              <w:rPr>
                <w:rFonts w:ascii="Arial" w:cs="Arial" w:eastAsia="Arial" w:hAnsi="Arial"/>
                <w:sz w:val="18"/>
                <w:szCs w:val="18"/>
                <w:color w:val="auto"/>
              </w:rPr>
              <w:t>AKEBIA THERAPEUTICS, INC.</w:t>
            </w:r>
          </w:p>
        </w:tc>
      </w:tr>
      <w:tr>
        <w:trPr>
          <w:trHeight w:val="495"/>
        </w:trPr>
        <w:tc>
          <w:tcPr>
            <w:tcW w:w="3340" w:type="dxa"/>
            <w:vAlign w:val="bottom"/>
          </w:tcPr>
          <w:p>
            <w:pPr>
              <w:spacing w:after="0"/>
              <w:rPr>
                <w:sz w:val="20"/>
                <w:szCs w:val="20"/>
                <w:color w:val="auto"/>
              </w:rPr>
            </w:pPr>
            <w:r>
              <w:rPr>
                <w:rFonts w:ascii="Arial" w:cs="Arial" w:eastAsia="Arial" w:hAnsi="Arial"/>
                <w:sz w:val="18"/>
                <w:szCs w:val="18"/>
                <w:color w:val="auto"/>
              </w:rPr>
              <w:t>Date: May 7, 2026</w:t>
            </w:r>
          </w:p>
        </w:tc>
        <w:tc>
          <w:tcPr>
            <w:tcW w:w="2540" w:type="dxa"/>
            <w:vAlign w:val="bottom"/>
          </w:tcPr>
          <w:p>
            <w:pPr>
              <w:ind w:left="1880"/>
              <w:spacing w:after="0"/>
              <w:rPr>
                <w:sz w:val="20"/>
                <w:szCs w:val="20"/>
                <w:color w:val="auto"/>
              </w:rPr>
            </w:pPr>
            <w:r>
              <w:rPr>
                <w:rFonts w:ascii="Arial" w:cs="Arial" w:eastAsia="Arial" w:hAnsi="Arial"/>
                <w:sz w:val="18"/>
                <w:szCs w:val="18"/>
                <w:color w:val="auto"/>
              </w:rPr>
              <w:t>By:</w:t>
            </w:r>
          </w:p>
        </w:tc>
        <w:tc>
          <w:tcPr>
            <w:tcW w:w="53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John P. Butler</w:t>
            </w:r>
          </w:p>
        </w:tc>
      </w:tr>
      <w:tr>
        <w:trPr>
          <w:trHeight w:val="218"/>
        </w:trPr>
        <w:tc>
          <w:tcPr>
            <w:tcW w:w="33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340" w:type="dxa"/>
            <w:vAlign w:val="bottom"/>
          </w:tcPr>
          <w:p>
            <w:pPr>
              <w:ind w:left="20"/>
              <w:spacing w:after="0"/>
              <w:rPr>
                <w:sz w:val="20"/>
                <w:szCs w:val="20"/>
                <w:color w:val="auto"/>
              </w:rPr>
            </w:pPr>
            <w:r>
              <w:rPr>
                <w:rFonts w:ascii="Arial" w:cs="Arial" w:eastAsia="Arial" w:hAnsi="Arial"/>
                <w:sz w:val="18"/>
                <w:szCs w:val="18"/>
                <w:color w:val="auto"/>
              </w:rPr>
              <w:t>Name: John P. Butler</w:t>
            </w:r>
          </w:p>
        </w:tc>
      </w:tr>
      <w:tr>
        <w:trPr>
          <w:trHeight w:val="239"/>
        </w:trPr>
        <w:tc>
          <w:tcPr>
            <w:tcW w:w="33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340" w:type="dxa"/>
            <w:vAlign w:val="bottom"/>
          </w:tcPr>
          <w:p>
            <w:pPr>
              <w:ind w:left="20"/>
              <w:spacing w:after="0"/>
              <w:rPr>
                <w:sz w:val="20"/>
                <w:szCs w:val="20"/>
                <w:color w:val="auto"/>
              </w:rPr>
            </w:pPr>
            <w:r>
              <w:rPr>
                <w:rFonts w:ascii="Arial" w:cs="Arial" w:eastAsia="Arial" w:hAnsi="Arial"/>
                <w:sz w:val="18"/>
                <w:szCs w:val="18"/>
                <w:color w:val="auto"/>
              </w:rPr>
              <w:t>Title: President and Chief Executive Officer</w:t>
            </w:r>
          </w:p>
        </w:tc>
      </w:tr>
    </w:tbl>
    <w:p>
      <w:pPr>
        <w:sectPr>
          <w:pgSz w:w="11900" w:h="16838" w:orient="portrait"/>
          <w:cols w:equalWidth="0" w:num="1">
            <w:col w:w="11240"/>
          </w:cols>
          <w:pgMar w:left="320" w:top="588"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Akebia Therapeutics Reports First Quarter 2026 Financial Results and Commercial and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Pipeline Highlights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Q1 2026 Vafseo® (vadadustat) net product revenues grew to $15.8 million; Q1 2026 total net product revenues of $52.0 million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Number of patients treated with Vafseo increased 60% in Q1 2026 compared to Q4 2025</w:t>
      </w:r>
    </w:p>
    <w:p>
      <w:pPr>
        <w:spacing w:after="0" w:line="229" w:lineRule="exact"/>
        <w:rPr>
          <w:sz w:val="20"/>
          <w:szCs w:val="20"/>
          <w:color w:val="auto"/>
        </w:rPr>
      </w:pPr>
    </w:p>
    <w:p>
      <w:pPr>
        <w:jc w:val="center"/>
        <w:spacing w:after="0" w:line="243" w:lineRule="auto"/>
        <w:rPr>
          <w:sz w:val="20"/>
          <w:szCs w:val="20"/>
          <w:color w:val="auto"/>
        </w:rPr>
      </w:pPr>
      <w:r>
        <w:rPr>
          <w:rFonts w:ascii="Arial" w:cs="Arial" w:eastAsia="Arial" w:hAnsi="Arial"/>
          <w:sz w:val="20"/>
          <w:szCs w:val="20"/>
          <w:i w:val="1"/>
          <w:iCs w:val="1"/>
          <w:color w:val="auto"/>
        </w:rPr>
        <w:t>Akebia hosted virtual R&amp;D Day highlighting robust kidney disease pipeline, outlining clinical trial plans and timing of expected data catalysts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Patient enrollment continues to progress in praliciguat Phase 2 clinical trial in focal segmental glomerulosclerosis (FSGS)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Akebia to host conference call on May 7, 2026, at 8:00 a.m. EST</w:t>
      </w:r>
    </w:p>
    <w:p>
      <w:pPr>
        <w:spacing w:after="0" w:line="337"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CAMBRIDGE, Mass.—May 7, 2026—Akebia Therapeutics®, Inc. (Nasdaq: AKBA), a biopharmaceutical company with the purpose to better the lives of people impacted by kidney disease, today reported financial results for the first quarter ended March 31, 2026 and shared recent business highlights related to the commercial launch of Vafseo® (vadadustat), now in its second year, as well as its advancing pipeline.</w:t>
      </w:r>
    </w:p>
    <w:p>
      <w:pPr>
        <w:spacing w:after="0" w:line="7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number of patients on Vafseo increased through the start of the year, and we are further encouraged by trends suggesting continued growth as we leverage improved patient access and adherence as dialysis organizations implement observed dosing protocols,” said John P. Butler, Chief Executive Officer of Akebia. “Increasing the breadth and depth of Vafseo prescribing, complemented by our efforts to generate data that will potentially demonstrate its additional clinical benefits, is critical to achieving our goal to make Vafseo standard of care for patients on dialysis. Separately, I’m pleased with the progress made to advance our clinical pipeline of kidney disease programs, now with two clinical programs enrolling, including a Phase 2 clinical trial of praliciguat in FSGS. We remain on track with plans to initiate a Phase 2 open-label rare kidney disease basket study in the second half of 2026, evaluating AKB-097 in IgA nephropathy, lupus nephritis and C3 glomerulopathy. These efforts were recently highlighted as part of our virtual R&amp;D Day, where key medical experts reinforced the potential of our expanding pipeline.”</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Vafseo Q1 2026 Commercial Results:</w:t>
      </w:r>
    </w:p>
    <w:p>
      <w:pPr>
        <w:spacing w:after="0" w:line="123" w:lineRule="exact"/>
        <w:rPr>
          <w:sz w:val="20"/>
          <w:szCs w:val="20"/>
          <w:color w:val="auto"/>
        </w:rPr>
      </w:pPr>
    </w:p>
    <w:p>
      <w:pPr>
        <w:ind w:left="620" w:hanging="288"/>
        <w:spacing w:after="0"/>
        <w:tabs>
          <w:tab w:leader="none" w:pos="620" w:val="left"/>
        </w:tabs>
        <w:numPr>
          <w:ilvl w:val="0"/>
          <w:numId w:val="2"/>
        </w:numPr>
        <w:rPr>
          <w:rFonts w:ascii="Arial" w:cs="Arial" w:eastAsia="Arial" w:hAnsi="Arial"/>
          <w:sz w:val="20"/>
          <w:szCs w:val="20"/>
          <w:color w:val="auto"/>
        </w:rPr>
      </w:pPr>
      <w:r>
        <w:rPr>
          <w:rFonts w:ascii="Arial" w:cs="Arial" w:eastAsia="Arial" w:hAnsi="Arial"/>
          <w:sz w:val="20"/>
          <w:szCs w:val="20"/>
          <w:color w:val="auto"/>
        </w:rPr>
        <w:t>Vafseo net product revenues grew to $15.8 million in Q1. Inventory weeks on hand was relatively flat versus Q4 2025.</w:t>
      </w:r>
    </w:p>
    <w:p>
      <w:pPr>
        <w:spacing w:after="0" w:line="53" w:lineRule="exact"/>
        <w:rPr>
          <w:rFonts w:ascii="Arial" w:cs="Arial" w:eastAsia="Arial" w:hAnsi="Arial"/>
          <w:sz w:val="20"/>
          <w:szCs w:val="20"/>
          <w:color w:val="auto"/>
        </w:rPr>
      </w:pPr>
    </w:p>
    <w:p>
      <w:pPr>
        <w:ind w:left="660" w:right="40" w:hanging="328"/>
        <w:spacing w:after="0" w:line="253" w:lineRule="auto"/>
        <w:tabs>
          <w:tab w:leader="none" w:pos="621" w:val="left"/>
        </w:tabs>
        <w:numPr>
          <w:ilvl w:val="0"/>
          <w:numId w:val="2"/>
        </w:numPr>
        <w:rPr>
          <w:rFonts w:ascii="Arial" w:cs="Arial" w:eastAsia="Arial" w:hAnsi="Arial"/>
          <w:sz w:val="20"/>
          <w:szCs w:val="20"/>
          <w:color w:val="auto"/>
        </w:rPr>
      </w:pPr>
      <w:r>
        <w:rPr>
          <w:rFonts w:ascii="Arial" w:cs="Arial" w:eastAsia="Arial" w:hAnsi="Arial"/>
          <w:sz w:val="20"/>
          <w:szCs w:val="20"/>
          <w:color w:val="auto"/>
        </w:rPr>
        <w:t>Total number of prescribers increased to approximately 1,025 in Q1, representing an increase of approximately 28% over the number of prescribers in Q4 2025.</w:t>
      </w:r>
    </w:p>
    <w:p>
      <w:pPr>
        <w:spacing w:after="0" w:line="1" w:lineRule="exact"/>
        <w:rPr>
          <w:rFonts w:ascii="Arial" w:cs="Arial" w:eastAsia="Arial" w:hAnsi="Arial"/>
          <w:sz w:val="20"/>
          <w:szCs w:val="20"/>
          <w:color w:val="auto"/>
        </w:rPr>
      </w:pPr>
    </w:p>
    <w:p>
      <w:pPr>
        <w:jc w:val="both"/>
        <w:ind w:left="660" w:right="100" w:hanging="328"/>
        <w:spacing w:after="0" w:line="248" w:lineRule="auto"/>
        <w:tabs>
          <w:tab w:leader="none" w:pos="621" w:val="left"/>
        </w:tabs>
        <w:numPr>
          <w:ilvl w:val="0"/>
          <w:numId w:val="2"/>
        </w:numPr>
        <w:rPr>
          <w:rFonts w:ascii="Arial" w:cs="Arial" w:eastAsia="Arial" w:hAnsi="Arial"/>
          <w:sz w:val="20"/>
          <w:szCs w:val="20"/>
          <w:color w:val="auto"/>
        </w:rPr>
      </w:pPr>
      <w:r>
        <w:rPr>
          <w:rFonts w:ascii="Arial" w:cs="Arial" w:eastAsia="Arial" w:hAnsi="Arial"/>
          <w:sz w:val="20"/>
          <w:szCs w:val="20"/>
          <w:color w:val="auto"/>
        </w:rPr>
        <w:t>Total number of patients on Vafseo increased approximately 60% at the end of Q1 compared to the end of Q4 2025. The number of new patient starts in Q1 was the highest in any quarter since the initial quarter of launch. The majority of new patients began in March.</w:t>
      </w:r>
    </w:p>
    <w:p>
      <w:pPr>
        <w:spacing w:after="0" w:line="16" w:lineRule="exact"/>
        <w:rPr>
          <w:rFonts w:ascii="Arial" w:cs="Arial" w:eastAsia="Arial" w:hAnsi="Arial"/>
          <w:sz w:val="20"/>
          <w:szCs w:val="20"/>
          <w:color w:val="auto"/>
        </w:rPr>
      </w:pPr>
    </w:p>
    <w:p>
      <w:pPr>
        <w:ind w:left="660" w:hanging="328"/>
        <w:spacing w:after="0" w:line="253" w:lineRule="auto"/>
        <w:tabs>
          <w:tab w:leader="none" w:pos="621" w:val="left"/>
        </w:tabs>
        <w:numPr>
          <w:ilvl w:val="0"/>
          <w:numId w:val="2"/>
        </w:numPr>
        <w:rPr>
          <w:rFonts w:ascii="Arial" w:cs="Arial" w:eastAsia="Arial" w:hAnsi="Arial"/>
          <w:sz w:val="20"/>
          <w:szCs w:val="20"/>
          <w:color w:val="auto"/>
        </w:rPr>
      </w:pPr>
      <w:r>
        <w:rPr>
          <w:rFonts w:ascii="Arial" w:cs="Arial" w:eastAsia="Arial" w:hAnsi="Arial"/>
          <w:sz w:val="20"/>
          <w:szCs w:val="20"/>
          <w:color w:val="auto"/>
        </w:rPr>
        <w:t>Approximately 20% of patients and 30% of prescribers in Q1 2026 were from dialysis organizations other than U.S. Renal Care, representing improved diversification in the patient and prescriber base in Q1.</w:t>
      </w:r>
    </w:p>
    <w:p>
      <w:pPr>
        <w:spacing w:after="0" w:line="1" w:lineRule="exact"/>
        <w:rPr>
          <w:rFonts w:ascii="Arial" w:cs="Arial" w:eastAsia="Arial" w:hAnsi="Arial"/>
          <w:sz w:val="20"/>
          <w:szCs w:val="20"/>
          <w:color w:val="auto"/>
        </w:rPr>
      </w:pPr>
    </w:p>
    <w:p>
      <w:pPr>
        <w:ind w:left="660" w:right="440" w:hanging="328"/>
        <w:spacing w:after="0" w:line="271" w:lineRule="auto"/>
        <w:tabs>
          <w:tab w:leader="none" w:pos="621" w:val="left"/>
        </w:tabs>
        <w:numPr>
          <w:ilvl w:val="0"/>
          <w:numId w:val="2"/>
        </w:numPr>
        <w:rPr>
          <w:rFonts w:ascii="Arial" w:cs="Arial" w:eastAsia="Arial" w:hAnsi="Arial"/>
          <w:sz w:val="20"/>
          <w:szCs w:val="20"/>
          <w:color w:val="auto"/>
        </w:rPr>
      </w:pPr>
      <w:r>
        <w:rPr>
          <w:rFonts w:ascii="Arial" w:cs="Arial" w:eastAsia="Arial" w:hAnsi="Arial"/>
          <w:sz w:val="20"/>
          <w:szCs w:val="20"/>
          <w:color w:val="auto"/>
        </w:rPr>
        <w:t>First refill adherence rates through the end of March were approximately 86% for patients treated under an observed dosing protocol where we have historically received patient level</w:t>
      </w:r>
    </w:p>
    <w:p>
      <w:pPr>
        <w:sectPr>
          <w:pgSz w:w="11900" w:h="16838" w:orient="portrait"/>
          <w:cols w:equalWidth="0" w:num="1">
            <w:col w:w="11240"/>
          </w:cols>
          <w:pgMar w:left="320" w:top="494"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data. In Q1, approximately two thirds of all patients were treated under an observed dosing protocol.</w:t>
      </w:r>
    </w:p>
    <w:p>
      <w:pPr>
        <w:spacing w:after="0" w:line="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Akebia continues to build a body of evidence to potentially demonstrate additional clinical benefits of Vafseo.</w:t>
      </w:r>
    </w:p>
    <w:p>
      <w:pPr>
        <w:spacing w:after="0" w:line="137" w:lineRule="exact"/>
        <w:rPr>
          <w:sz w:val="20"/>
          <w:szCs w:val="20"/>
          <w:color w:val="auto"/>
        </w:rPr>
      </w:pPr>
    </w:p>
    <w:p>
      <w:pPr>
        <w:ind w:left="660" w:right="280" w:hanging="328"/>
        <w:spacing w:after="0" w:line="235"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20"/>
          <w:szCs w:val="20"/>
          <w:color w:val="auto"/>
        </w:rPr>
        <w:t>In February, Akebia presented an economic analysis on cost of hospitalizations for patients treated with vadadustat vs darbepoetin alfa at the Annual Dialysis Conference. As reported in a poster titled, “Cost comparison analysis of hospitalizations for vadadustat versus darbepoetin alfa based on the INNO2VATE trials,” of the patients treated with vadadustat versus darbepoetin alfa, 7.7% had fewer hospitalization events annually; 16.0% had fewer hospitalization days; and, based on Medicare cost data, 14.8% had lower annual hospitalization costs per patient.</w:t>
      </w:r>
    </w:p>
    <w:p>
      <w:pPr>
        <w:spacing w:after="0" w:line="26" w:lineRule="exact"/>
        <w:rPr>
          <w:rFonts w:ascii="Arial" w:cs="Arial" w:eastAsia="Arial" w:hAnsi="Arial"/>
          <w:sz w:val="22"/>
          <w:szCs w:val="22"/>
          <w:color w:val="auto"/>
        </w:rPr>
      </w:pPr>
    </w:p>
    <w:p>
      <w:pPr>
        <w:ind w:left="660" w:right="80" w:hanging="328"/>
        <w:spacing w:after="0" w:line="237" w:lineRule="auto"/>
        <w:tabs>
          <w:tab w:leader="none" w:pos="621" w:val="left"/>
        </w:tabs>
        <w:numPr>
          <w:ilvl w:val="0"/>
          <w:numId w:val="3"/>
        </w:numPr>
        <w:rPr>
          <w:rFonts w:ascii="Arial" w:cs="Arial" w:eastAsia="Arial" w:hAnsi="Arial"/>
          <w:sz w:val="20"/>
          <w:szCs w:val="20"/>
          <w:color w:val="auto"/>
        </w:rPr>
      </w:pPr>
      <w:r>
        <w:rPr>
          <w:rFonts w:ascii="Arial" w:cs="Arial" w:eastAsia="Arial" w:hAnsi="Arial"/>
          <w:sz w:val="20"/>
          <w:szCs w:val="20"/>
          <w:color w:val="auto"/>
        </w:rPr>
        <w:t>The Journal of the American Society of Nephrology, a leading, peer-reviewed journal in nephrology, published post-hoc win statistics analysis of all-cause mortality and hospitalization from Akebia’s global Phase 3 INNO2VATE program. As reported in the Research Letter titled, “Comparing Vadadustat and Darbepoetin in Maintenance Dialysis with CKD-Related Anemia,” vadadustat demonstrated statistically significant better outcomes relative to the erythropoiesis-stimulating agent (ESA), darbepoetin alfa, on a hierarchical composite endpoint of all-cause mortality and hospitalization in patients with anemia due to chronic kidney disease receiving dialysis.</w:t>
      </w:r>
    </w:p>
    <w:p>
      <w:pPr>
        <w:spacing w:after="0" w:line="14" w:lineRule="exact"/>
        <w:rPr>
          <w:rFonts w:ascii="Arial" w:cs="Arial" w:eastAsia="Arial" w:hAnsi="Arial"/>
          <w:sz w:val="20"/>
          <w:szCs w:val="20"/>
          <w:color w:val="auto"/>
        </w:rPr>
      </w:pPr>
    </w:p>
    <w:p>
      <w:pPr>
        <w:ind w:left="660" w:right="180" w:hanging="328"/>
        <w:spacing w:after="0"/>
        <w:tabs>
          <w:tab w:leader="none" w:pos="621" w:val="left"/>
        </w:tabs>
        <w:numPr>
          <w:ilvl w:val="0"/>
          <w:numId w:val="3"/>
        </w:numPr>
        <w:rPr>
          <w:rFonts w:ascii="Arial" w:cs="Arial" w:eastAsia="Arial" w:hAnsi="Arial"/>
          <w:sz w:val="20"/>
          <w:szCs w:val="20"/>
          <w:color w:val="auto"/>
        </w:rPr>
      </w:pPr>
      <w:r>
        <w:rPr>
          <w:rFonts w:ascii="Arial" w:cs="Arial" w:eastAsia="Arial" w:hAnsi="Arial"/>
          <w:sz w:val="20"/>
          <w:szCs w:val="20"/>
          <w:color w:val="auto"/>
        </w:rPr>
        <w:t>Akebia expects topline data from VOCAL, a Phase 3b trial evaluating three times weekly (TIW) dosing of Vafseo versus ESAs, in Q4 2026 and topline data from VOICE, a large Phase IV trial of over 2,100 patients evaluating Vafseo TIW against standard-of-care ESAs using a hierarchical composite endpoint of all-cause mortality and all-cause hospitalization, in early 2027.</w:t>
      </w:r>
    </w:p>
    <w:p>
      <w:pPr>
        <w:spacing w:after="0" w:line="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Progress on Kidney Disease Pipeline:</w:t>
      </w:r>
    </w:p>
    <w:p>
      <w:pPr>
        <w:spacing w:after="0" w:line="110" w:lineRule="exact"/>
        <w:rPr>
          <w:sz w:val="20"/>
          <w:szCs w:val="20"/>
          <w:color w:val="auto"/>
        </w:rPr>
      </w:pPr>
    </w:p>
    <w:p>
      <w:pPr>
        <w:ind w:left="660" w:right="240" w:hanging="328"/>
        <w:spacing w:after="0" w:line="248" w:lineRule="auto"/>
        <w:tabs>
          <w:tab w:leader="none" w:pos="621" w:val="left"/>
        </w:tabs>
        <w:numPr>
          <w:ilvl w:val="0"/>
          <w:numId w:val="4"/>
        </w:numPr>
        <w:rPr>
          <w:rFonts w:ascii="Arial" w:cs="Arial" w:eastAsia="Arial" w:hAnsi="Arial"/>
          <w:sz w:val="20"/>
          <w:szCs w:val="20"/>
          <w:color w:val="auto"/>
        </w:rPr>
      </w:pPr>
      <w:r>
        <w:rPr>
          <w:rFonts w:ascii="Arial" w:cs="Arial" w:eastAsia="Arial" w:hAnsi="Arial"/>
          <w:sz w:val="20"/>
          <w:szCs w:val="20"/>
          <w:color w:val="auto"/>
        </w:rPr>
        <w:t>In January, Akebia announced the dosing of the first patient in a Phase 2 clinical trial of praliciguat, an oral, once-daily soluble guanylate cyclase (sGC) stimulator being evaluated for the treatment of biopsy-confirmed FSGS, a rare kidney disease. Akebia expects to enroll up to approximately 60 patients in this trial.</w:t>
      </w:r>
    </w:p>
    <w:p>
      <w:pPr>
        <w:spacing w:after="0" w:line="16" w:lineRule="exact"/>
        <w:rPr>
          <w:rFonts w:ascii="Arial" w:cs="Arial" w:eastAsia="Arial" w:hAnsi="Arial"/>
          <w:sz w:val="20"/>
          <w:szCs w:val="20"/>
          <w:color w:val="auto"/>
        </w:rPr>
      </w:pPr>
    </w:p>
    <w:p>
      <w:pPr>
        <w:ind w:left="660" w:right="140" w:hanging="328"/>
        <w:spacing w:after="0" w:line="248" w:lineRule="auto"/>
        <w:tabs>
          <w:tab w:leader="none" w:pos="621" w:val="left"/>
        </w:tabs>
        <w:numPr>
          <w:ilvl w:val="0"/>
          <w:numId w:val="4"/>
        </w:numPr>
        <w:rPr>
          <w:rFonts w:ascii="Arial" w:cs="Arial" w:eastAsia="Arial" w:hAnsi="Arial"/>
          <w:sz w:val="20"/>
          <w:szCs w:val="20"/>
          <w:color w:val="auto"/>
        </w:rPr>
      </w:pPr>
      <w:r>
        <w:rPr>
          <w:rFonts w:ascii="Arial" w:cs="Arial" w:eastAsia="Arial" w:hAnsi="Arial"/>
          <w:sz w:val="20"/>
          <w:szCs w:val="20"/>
          <w:color w:val="auto"/>
        </w:rPr>
        <w:t>In April 2026, Akebia held a virtual R&amp;D Day highlighting its robust kidney disease pipeline. The event featured scientific experts, James A. Tumlin, MD (NephroNet), V. Michael Holers, MD (University of Colorado, Anschutz), and Jonathan Barratt, MD. PhD, FRCP (University of Leicester). A replay of the event is available here.</w:t>
      </w:r>
    </w:p>
    <w:p>
      <w:pPr>
        <w:spacing w:after="0" w:line="2" w:lineRule="exact"/>
        <w:rPr>
          <w:rFonts w:ascii="Arial" w:cs="Arial" w:eastAsia="Arial" w:hAnsi="Arial"/>
          <w:sz w:val="20"/>
          <w:szCs w:val="20"/>
          <w:color w:val="auto"/>
        </w:rPr>
      </w:pPr>
    </w:p>
    <w:p>
      <w:pPr>
        <w:ind w:left="1300" w:right="40" w:hanging="320"/>
        <w:spacing w:after="0" w:line="248" w:lineRule="auto"/>
        <w:tabs>
          <w:tab w:leader="none" w:pos="1261" w:val="left"/>
        </w:tabs>
        <w:numPr>
          <w:ilvl w:val="1"/>
          <w:numId w:val="4"/>
        </w:numPr>
        <w:rPr>
          <w:rFonts w:ascii="Arial" w:cs="Arial" w:eastAsia="Arial" w:hAnsi="Arial"/>
          <w:sz w:val="20"/>
          <w:szCs w:val="20"/>
          <w:color w:val="auto"/>
        </w:rPr>
      </w:pPr>
      <w:r>
        <w:rPr>
          <w:rFonts w:ascii="Arial" w:cs="Arial" w:eastAsia="Arial" w:hAnsi="Arial"/>
          <w:sz w:val="20"/>
          <w:szCs w:val="20"/>
          <w:color w:val="auto"/>
        </w:rPr>
        <w:t>Among highlights, Akebia confirmed plans to initiate a Phase 2 open-label basket study to evaluate AKB-097 in IgA nephropathy, lupus nephritis and C3 glomerulopathy. Akebia expects to initiate the study in the second half of 2026 with initial data expected in 2027.</w:t>
      </w:r>
    </w:p>
    <w:p>
      <w:pPr>
        <w:spacing w:after="0" w:line="2" w:lineRule="exact"/>
        <w:rPr>
          <w:rFonts w:ascii="Arial" w:cs="Arial" w:eastAsia="Arial" w:hAnsi="Arial"/>
          <w:sz w:val="20"/>
          <w:szCs w:val="20"/>
          <w:color w:val="auto"/>
        </w:rPr>
      </w:pPr>
    </w:p>
    <w:p>
      <w:pPr>
        <w:ind w:left="660" w:right="120" w:hanging="328"/>
        <w:spacing w:after="0" w:line="298" w:lineRule="auto"/>
        <w:tabs>
          <w:tab w:leader="none" w:pos="621" w:val="left"/>
        </w:tabs>
        <w:numPr>
          <w:ilvl w:val="0"/>
          <w:numId w:val="4"/>
        </w:numPr>
        <w:rPr>
          <w:rFonts w:ascii="Arial" w:cs="Arial" w:eastAsia="Arial" w:hAnsi="Arial"/>
          <w:sz w:val="19"/>
          <w:szCs w:val="19"/>
          <w:color w:val="auto"/>
        </w:rPr>
      </w:pPr>
      <w:r>
        <w:rPr>
          <w:rFonts w:ascii="Arial" w:cs="Arial" w:eastAsia="Arial" w:hAnsi="Arial"/>
          <w:sz w:val="19"/>
          <w:szCs w:val="19"/>
          <w:color w:val="auto"/>
        </w:rPr>
        <w:t>In April 2026, Akebia initiated a Phase 1 study of AKB-9090 in up to 70 healthy volunteers with topline data expected in early 2027. The initial target indication for AKB-9090 is the prevention of cardiac surgery-associated acute kidney injury.</w:t>
      </w:r>
    </w:p>
    <w:p>
      <w:pPr>
        <w:spacing w:after="0" w:line="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Results</w:t>
      </w:r>
    </w:p>
    <w:p>
      <w:pPr>
        <w:spacing w:after="0" w:line="121" w:lineRule="exact"/>
        <w:rPr>
          <w:sz w:val="20"/>
          <w:szCs w:val="20"/>
          <w:color w:val="auto"/>
        </w:rPr>
      </w:pPr>
    </w:p>
    <w:p>
      <w:pPr>
        <w:jc w:val="both"/>
        <w:ind w:left="660" w:right="180" w:hanging="328"/>
        <w:spacing w:after="0" w:line="249" w:lineRule="auto"/>
        <w:tabs>
          <w:tab w:leader="none" w:pos="621" w:val="left"/>
        </w:tabs>
        <w:numPr>
          <w:ilvl w:val="0"/>
          <w:numId w:val="5"/>
        </w:numPr>
        <w:rPr>
          <w:rFonts w:ascii="Arial" w:cs="Arial" w:eastAsia="Arial" w:hAnsi="Arial"/>
          <w:sz w:val="20"/>
          <w:szCs w:val="20"/>
          <w:color w:val="auto"/>
        </w:rPr>
      </w:pPr>
      <w:r>
        <w:rPr>
          <w:rFonts w:ascii="Arial" w:cs="Arial" w:eastAsia="Arial" w:hAnsi="Arial"/>
          <w:sz w:val="20"/>
          <w:szCs w:val="20"/>
          <w:b w:val="1"/>
          <w:bCs w:val="1"/>
          <w:color w:val="auto"/>
        </w:rPr>
        <w:t xml:space="preserve">Revenues: </w:t>
      </w:r>
      <w:r>
        <w:rPr>
          <w:rFonts w:ascii="Arial" w:cs="Arial" w:eastAsia="Arial" w:hAnsi="Arial"/>
          <w:sz w:val="20"/>
          <w:szCs w:val="20"/>
          <w:color w:val="auto"/>
        </w:rPr>
        <w:t>Total revenues were $53.5 million in the first quarter of 2026 compared to $57.3 million in the first quarter of</w:t>
      </w:r>
      <w:r>
        <w:rPr>
          <w:rFonts w:ascii="Arial" w:cs="Arial" w:eastAsia="Arial" w:hAnsi="Arial"/>
          <w:sz w:val="20"/>
          <w:szCs w:val="20"/>
          <w:b w:val="1"/>
          <w:bCs w:val="1"/>
          <w:color w:val="auto"/>
        </w:rPr>
        <w:t xml:space="preserve"> </w:t>
      </w:r>
      <w:r>
        <w:rPr>
          <w:rFonts w:ascii="Arial" w:cs="Arial" w:eastAsia="Arial" w:hAnsi="Arial"/>
          <w:sz w:val="20"/>
          <w:szCs w:val="20"/>
          <w:color w:val="auto"/>
        </w:rPr>
        <w:t>2025. This decrease was driven by lower Auryxia® (ferric citrate) revenues which were partially offset by higher Vafseo revenues.</w:t>
      </w:r>
    </w:p>
    <w:p>
      <w:pPr>
        <w:spacing w:after="0" w:line="1" w:lineRule="exact"/>
        <w:rPr>
          <w:rFonts w:ascii="Arial" w:cs="Arial" w:eastAsia="Arial" w:hAnsi="Arial"/>
          <w:sz w:val="20"/>
          <w:szCs w:val="20"/>
          <w:color w:val="auto"/>
        </w:rPr>
      </w:pPr>
    </w:p>
    <w:p>
      <w:pPr>
        <w:ind w:left="1300" w:right="220" w:hanging="320"/>
        <w:spacing w:after="0" w:line="257" w:lineRule="auto"/>
        <w:tabs>
          <w:tab w:leader="none" w:pos="1303" w:val="left"/>
        </w:tabs>
        <w:numPr>
          <w:ilvl w:val="1"/>
          <w:numId w:val="5"/>
        </w:numPr>
        <w:rPr>
          <w:rFonts w:ascii="Arial" w:cs="Arial" w:eastAsia="Arial" w:hAnsi="Arial"/>
          <w:sz w:val="20"/>
          <w:szCs w:val="20"/>
          <w:color w:val="auto"/>
        </w:rPr>
      </w:pPr>
      <w:r>
        <w:rPr>
          <w:rFonts w:ascii="Arial" w:cs="Arial" w:eastAsia="Arial" w:hAnsi="Arial"/>
          <w:sz w:val="20"/>
          <w:szCs w:val="20"/>
          <w:color w:val="auto"/>
        </w:rPr>
        <w:t>Vafseo net product revenues were $15.8 million in the first quarter of 2026 compared to $12.0 million in the first quarter of 2025.</w:t>
      </w:r>
    </w:p>
    <w:p>
      <w:pPr>
        <w:spacing w:after="0" w:line="6" w:lineRule="exact"/>
        <w:rPr>
          <w:rFonts w:ascii="Arial" w:cs="Arial" w:eastAsia="Arial" w:hAnsi="Arial"/>
          <w:sz w:val="20"/>
          <w:szCs w:val="20"/>
          <w:color w:val="auto"/>
        </w:rPr>
      </w:pPr>
    </w:p>
    <w:p>
      <w:pPr>
        <w:ind w:left="1300" w:right="280" w:hanging="320"/>
        <w:spacing w:after="0" w:line="257" w:lineRule="auto"/>
        <w:tabs>
          <w:tab w:leader="none" w:pos="1303" w:val="left"/>
        </w:tabs>
        <w:numPr>
          <w:ilvl w:val="1"/>
          <w:numId w:val="5"/>
        </w:numPr>
        <w:rPr>
          <w:rFonts w:ascii="Arial" w:cs="Arial" w:eastAsia="Arial" w:hAnsi="Arial"/>
          <w:sz w:val="20"/>
          <w:szCs w:val="20"/>
          <w:color w:val="auto"/>
        </w:rPr>
      </w:pPr>
      <w:r>
        <w:rPr>
          <w:rFonts w:ascii="Arial" w:cs="Arial" w:eastAsia="Arial" w:hAnsi="Arial"/>
          <w:sz w:val="20"/>
          <w:szCs w:val="20"/>
          <w:color w:val="auto"/>
        </w:rPr>
        <w:t>Auryxia net product revenues were $36.2 million in the first quarter of 2026 as compared to $43.8 million in the first quarter of 2025. We continue to expect generic</w:t>
      </w:r>
    </w:p>
    <w:p>
      <w:pPr>
        <w:sectPr>
          <w:pgSz w:w="11900" w:h="16838" w:orient="portrait"/>
          <w:cols w:equalWidth="0" w:num="1">
            <w:col w:w="11240"/>
          </w:cols>
          <w:pgMar w:left="320" w:top="602"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1300" w:right="680"/>
        <w:spacing w:after="0" w:line="257" w:lineRule="auto"/>
        <w:rPr>
          <w:sz w:val="20"/>
          <w:szCs w:val="20"/>
          <w:color w:val="auto"/>
        </w:rPr>
      </w:pPr>
      <w:r>
        <w:rPr>
          <w:rFonts w:ascii="Arial" w:cs="Arial" w:eastAsia="Arial" w:hAnsi="Arial"/>
          <w:sz w:val="20"/>
          <w:szCs w:val="20"/>
          <w:color w:val="auto"/>
        </w:rPr>
        <w:t>competition for Auryxia to expand this year and therefore expect Auryxia revenues to decrease in 2026 as compared to 2025 Auryxia revenues.</w:t>
      </w:r>
    </w:p>
    <w:p>
      <w:pPr>
        <w:spacing w:after="0" w:line="7" w:lineRule="exact"/>
        <w:rPr>
          <w:sz w:val="20"/>
          <w:szCs w:val="20"/>
          <w:color w:val="auto"/>
        </w:rPr>
      </w:pPr>
    </w:p>
    <w:p>
      <w:pPr>
        <w:ind w:left="1300" w:right="200" w:hanging="320"/>
        <w:spacing w:after="0" w:line="257" w:lineRule="auto"/>
        <w:tabs>
          <w:tab w:leader="none" w:pos="1303" w:val="left"/>
        </w:tabs>
        <w:numPr>
          <w:ilvl w:val="1"/>
          <w:numId w:val="6"/>
        </w:numPr>
        <w:rPr>
          <w:rFonts w:ascii="Arial" w:cs="Arial" w:eastAsia="Arial" w:hAnsi="Arial"/>
          <w:sz w:val="20"/>
          <w:szCs w:val="20"/>
          <w:color w:val="auto"/>
        </w:rPr>
      </w:pPr>
      <w:r>
        <w:rPr>
          <w:rFonts w:ascii="Arial" w:cs="Arial" w:eastAsia="Arial" w:hAnsi="Arial"/>
          <w:sz w:val="20"/>
          <w:szCs w:val="20"/>
          <w:color w:val="auto"/>
        </w:rPr>
        <w:t>License, collaboration and other revenues were $1.6 million in the first quarter of 2026 compared to $1.5 million in the first quarter of 2025.</w:t>
      </w:r>
    </w:p>
    <w:p>
      <w:pPr>
        <w:spacing w:after="0" w:line="4" w:lineRule="exact"/>
        <w:rPr>
          <w:rFonts w:ascii="Arial" w:cs="Arial" w:eastAsia="Arial" w:hAnsi="Arial"/>
          <w:sz w:val="20"/>
          <w:szCs w:val="20"/>
          <w:color w:val="auto"/>
        </w:rPr>
      </w:pPr>
    </w:p>
    <w:p>
      <w:pPr>
        <w:ind w:left="660" w:right="20" w:hanging="328"/>
        <w:spacing w:after="0" w:line="238" w:lineRule="auto"/>
        <w:tabs>
          <w:tab w:leader="none" w:pos="621" w:val="left"/>
        </w:tabs>
        <w:numPr>
          <w:ilvl w:val="0"/>
          <w:numId w:val="6"/>
        </w:numPr>
        <w:rPr>
          <w:rFonts w:ascii="Arial" w:cs="Arial" w:eastAsia="Arial" w:hAnsi="Arial"/>
          <w:sz w:val="20"/>
          <w:szCs w:val="20"/>
          <w:color w:val="auto"/>
        </w:rPr>
      </w:pPr>
      <w:r>
        <w:rPr>
          <w:rFonts w:ascii="Arial" w:cs="Arial" w:eastAsia="Arial" w:hAnsi="Arial"/>
          <w:sz w:val="20"/>
          <w:szCs w:val="20"/>
          <w:b w:val="1"/>
          <w:bCs w:val="1"/>
          <w:color w:val="auto"/>
        </w:rPr>
        <w:t xml:space="preserve">Cost of Goods Sold: </w:t>
      </w:r>
      <w:r>
        <w:rPr>
          <w:rFonts w:ascii="Arial" w:cs="Arial" w:eastAsia="Arial" w:hAnsi="Arial"/>
          <w:sz w:val="20"/>
          <w:szCs w:val="20"/>
          <w:color w:val="auto"/>
        </w:rPr>
        <w:t>Cost of goods sold was $12.3 million in the first quarter of 2026 compared to $7.6 million in the first</w:t>
      </w:r>
      <w:r>
        <w:rPr>
          <w:rFonts w:ascii="Arial" w:cs="Arial" w:eastAsia="Arial" w:hAnsi="Arial"/>
          <w:sz w:val="20"/>
          <w:szCs w:val="20"/>
          <w:b w:val="1"/>
          <w:bCs w:val="1"/>
          <w:color w:val="auto"/>
        </w:rPr>
        <w:t xml:space="preserve"> </w:t>
      </w:r>
      <w:r>
        <w:rPr>
          <w:rFonts w:ascii="Arial" w:cs="Arial" w:eastAsia="Arial" w:hAnsi="Arial"/>
          <w:sz w:val="20"/>
          <w:szCs w:val="20"/>
          <w:color w:val="auto"/>
        </w:rPr>
        <w:t>quarter of 2025. This increase was primarily due to an increase in inventory write-downs including as a result of excess, obsolescence and scrap during the first quarter of 2026. Of note, Vafseo-related COGS in both periods was derived from pre-launch inventory, which does not include the full cost of manufacturing as a portion of those inventory-related expenses were recorded as research and development expenses in the period incurred prior to Vafseo’s approval in the U.S.</w:t>
      </w:r>
    </w:p>
    <w:p>
      <w:pPr>
        <w:spacing w:after="0" w:line="22" w:lineRule="exact"/>
        <w:rPr>
          <w:rFonts w:ascii="Arial" w:cs="Arial" w:eastAsia="Arial" w:hAnsi="Arial"/>
          <w:sz w:val="20"/>
          <w:szCs w:val="20"/>
          <w:color w:val="auto"/>
        </w:rPr>
      </w:pPr>
    </w:p>
    <w:p>
      <w:pPr>
        <w:ind w:left="660" w:right="60" w:hanging="328"/>
        <w:spacing w:after="0" w:line="234" w:lineRule="auto"/>
        <w:tabs>
          <w:tab w:leader="none" w:pos="628" w:val="left"/>
        </w:tabs>
        <w:numPr>
          <w:ilvl w:val="0"/>
          <w:numId w:val="6"/>
        </w:numPr>
        <w:rPr>
          <w:rFonts w:ascii="Arial" w:cs="Arial" w:eastAsia="Arial" w:hAnsi="Arial"/>
          <w:sz w:val="22"/>
          <w:szCs w:val="22"/>
          <w:color w:val="auto"/>
        </w:rPr>
      </w:pPr>
      <w:r>
        <w:rPr>
          <w:rFonts w:ascii="Arial" w:cs="Arial" w:eastAsia="Arial" w:hAnsi="Arial"/>
          <w:sz w:val="20"/>
          <w:szCs w:val="20"/>
          <w:b w:val="1"/>
          <w:bCs w:val="1"/>
          <w:color w:val="auto"/>
        </w:rPr>
        <w:t xml:space="preserve">Research &amp; Development Expenses: </w:t>
      </w:r>
      <w:r>
        <w:rPr>
          <w:rFonts w:ascii="Arial" w:cs="Arial" w:eastAsia="Arial" w:hAnsi="Arial"/>
          <w:sz w:val="20"/>
          <w:szCs w:val="20"/>
          <w:color w:val="auto"/>
        </w:rPr>
        <w:t>Research and development expenses were $14.8 million in the first quarter of</w:t>
      </w:r>
      <w:r>
        <w:rPr>
          <w:rFonts w:ascii="Arial" w:cs="Arial" w:eastAsia="Arial" w:hAnsi="Arial"/>
          <w:sz w:val="20"/>
          <w:szCs w:val="20"/>
          <w:b w:val="1"/>
          <w:bCs w:val="1"/>
          <w:color w:val="auto"/>
        </w:rPr>
        <w:t xml:space="preserve"> </w:t>
      </w:r>
      <w:r>
        <w:rPr>
          <w:rFonts w:ascii="Arial" w:cs="Arial" w:eastAsia="Arial" w:hAnsi="Arial"/>
          <w:sz w:val="20"/>
          <w:szCs w:val="20"/>
          <w:color w:val="auto"/>
        </w:rPr>
        <w:t>2026 compared to $9.8 million in the first quarter of 2025. The increase in expenses was driven by increased clinical trial activities related to praliciguat and AKB-9090 as well as higher headcount-related costs.</w:t>
      </w:r>
    </w:p>
    <w:p>
      <w:pPr>
        <w:spacing w:after="0" w:line="20" w:lineRule="exact"/>
        <w:rPr>
          <w:rFonts w:ascii="Arial" w:cs="Arial" w:eastAsia="Arial" w:hAnsi="Arial"/>
          <w:sz w:val="22"/>
          <w:szCs w:val="22"/>
          <w:color w:val="auto"/>
        </w:rPr>
      </w:pPr>
    </w:p>
    <w:p>
      <w:pPr>
        <w:ind w:left="660" w:right="120" w:hanging="328"/>
        <w:spacing w:after="0" w:line="250" w:lineRule="auto"/>
        <w:tabs>
          <w:tab w:leader="none" w:pos="628" w:val="left"/>
        </w:tabs>
        <w:numPr>
          <w:ilvl w:val="0"/>
          <w:numId w:val="6"/>
        </w:numPr>
        <w:rPr>
          <w:rFonts w:ascii="Arial" w:cs="Arial" w:eastAsia="Arial" w:hAnsi="Arial"/>
          <w:sz w:val="22"/>
          <w:szCs w:val="22"/>
          <w:color w:val="auto"/>
        </w:rPr>
      </w:pPr>
      <w:r>
        <w:rPr>
          <w:rFonts w:ascii="Arial" w:cs="Arial" w:eastAsia="Arial" w:hAnsi="Arial"/>
          <w:sz w:val="20"/>
          <w:szCs w:val="20"/>
          <w:b w:val="1"/>
          <w:bCs w:val="1"/>
          <w:color w:val="auto"/>
        </w:rPr>
        <w:t xml:space="preserve">SG&amp;A Expenses: </w:t>
      </w:r>
      <w:r>
        <w:rPr>
          <w:rFonts w:ascii="Arial" w:cs="Arial" w:eastAsia="Arial" w:hAnsi="Arial"/>
          <w:sz w:val="20"/>
          <w:szCs w:val="20"/>
          <w:color w:val="auto"/>
        </w:rPr>
        <w:t>Selling, general and administrative expenses were $30.4 million in the first quarter of 2026 compared</w:t>
      </w:r>
      <w:r>
        <w:rPr>
          <w:rFonts w:ascii="Arial" w:cs="Arial" w:eastAsia="Arial" w:hAnsi="Arial"/>
          <w:sz w:val="20"/>
          <w:szCs w:val="20"/>
          <w:b w:val="1"/>
          <w:bCs w:val="1"/>
          <w:color w:val="auto"/>
        </w:rPr>
        <w:t xml:space="preserve"> </w:t>
      </w:r>
      <w:r>
        <w:rPr>
          <w:rFonts w:ascii="Arial" w:cs="Arial" w:eastAsia="Arial" w:hAnsi="Arial"/>
          <w:sz w:val="20"/>
          <w:szCs w:val="20"/>
          <w:color w:val="auto"/>
        </w:rPr>
        <w:t>to $25.7 million in the first quarter of 2025. This increase was driven by higher headcount-related costs.</w:t>
      </w:r>
    </w:p>
    <w:p>
      <w:pPr>
        <w:spacing w:after="0" w:line="23" w:lineRule="exact"/>
        <w:rPr>
          <w:rFonts w:ascii="Arial" w:cs="Arial" w:eastAsia="Arial" w:hAnsi="Arial"/>
          <w:sz w:val="22"/>
          <w:szCs w:val="22"/>
          <w:color w:val="auto"/>
        </w:rPr>
      </w:pPr>
    </w:p>
    <w:p>
      <w:pPr>
        <w:ind w:left="660" w:right="300" w:hanging="328"/>
        <w:spacing w:after="0" w:line="238" w:lineRule="auto"/>
        <w:tabs>
          <w:tab w:leader="none" w:pos="628" w:val="left"/>
        </w:tabs>
        <w:numPr>
          <w:ilvl w:val="0"/>
          <w:numId w:val="6"/>
        </w:numPr>
        <w:rPr>
          <w:rFonts w:ascii="Arial" w:cs="Arial" w:eastAsia="Arial" w:hAnsi="Arial"/>
          <w:sz w:val="22"/>
          <w:szCs w:val="22"/>
          <w:color w:val="auto"/>
        </w:rPr>
      </w:pPr>
      <w:r>
        <w:rPr>
          <w:rFonts w:ascii="Arial" w:cs="Arial" w:eastAsia="Arial" w:hAnsi="Arial"/>
          <w:sz w:val="20"/>
          <w:szCs w:val="20"/>
          <w:b w:val="1"/>
          <w:bCs w:val="1"/>
          <w:color w:val="auto"/>
        </w:rPr>
        <w:t xml:space="preserve">Net Income (Loss): </w:t>
      </w:r>
      <w:r>
        <w:rPr>
          <w:rFonts w:ascii="Arial" w:cs="Arial" w:eastAsia="Arial" w:hAnsi="Arial"/>
          <w:sz w:val="20"/>
          <w:szCs w:val="20"/>
          <w:color w:val="auto"/>
        </w:rPr>
        <w:t>Net loss was $9.1 million in the first quarter of 2026 compared to net income of $6.1 million in the</w:t>
      </w:r>
      <w:r>
        <w:rPr>
          <w:rFonts w:ascii="Arial" w:cs="Arial" w:eastAsia="Arial" w:hAnsi="Arial"/>
          <w:sz w:val="20"/>
          <w:szCs w:val="20"/>
          <w:b w:val="1"/>
          <w:bCs w:val="1"/>
          <w:color w:val="auto"/>
        </w:rPr>
        <w:t xml:space="preserve"> </w:t>
      </w:r>
      <w:r>
        <w:rPr>
          <w:rFonts w:ascii="Arial" w:cs="Arial" w:eastAsia="Arial" w:hAnsi="Arial"/>
          <w:sz w:val="20"/>
          <w:szCs w:val="20"/>
          <w:color w:val="auto"/>
        </w:rPr>
        <w:t>first quarter of 2025. The change to a net loss in the first quarter of 2026 resulted from lower revenues and higher expenses during the quarter as compared to the first quarter of 2025.</w:t>
      </w:r>
    </w:p>
    <w:p>
      <w:pPr>
        <w:spacing w:after="0" w:line="18" w:lineRule="exact"/>
        <w:rPr>
          <w:rFonts w:ascii="Arial" w:cs="Arial" w:eastAsia="Arial" w:hAnsi="Arial"/>
          <w:sz w:val="22"/>
          <w:szCs w:val="22"/>
          <w:color w:val="auto"/>
        </w:rPr>
      </w:pPr>
    </w:p>
    <w:p>
      <w:pPr>
        <w:ind w:left="620" w:hanging="288"/>
        <w:spacing w:after="0"/>
        <w:tabs>
          <w:tab w:leader="none" w:pos="620" w:val="left"/>
        </w:tabs>
        <w:numPr>
          <w:ilvl w:val="0"/>
          <w:numId w:val="6"/>
        </w:numPr>
        <w:rPr>
          <w:rFonts w:ascii="Arial" w:cs="Arial" w:eastAsia="Arial" w:hAnsi="Arial"/>
          <w:sz w:val="22"/>
          <w:szCs w:val="22"/>
          <w:color w:val="auto"/>
        </w:rPr>
      </w:pPr>
      <w:r>
        <w:rPr>
          <w:rFonts w:ascii="Arial" w:cs="Arial" w:eastAsia="Arial" w:hAnsi="Arial"/>
          <w:sz w:val="20"/>
          <w:szCs w:val="20"/>
          <w:b w:val="1"/>
          <w:bCs w:val="1"/>
          <w:color w:val="auto"/>
        </w:rPr>
        <w:t xml:space="preserve">Cash Position: </w:t>
      </w:r>
      <w:r>
        <w:rPr>
          <w:rFonts w:ascii="Arial" w:cs="Arial" w:eastAsia="Arial" w:hAnsi="Arial"/>
          <w:sz w:val="20"/>
          <w:szCs w:val="20"/>
          <w:color w:val="auto"/>
        </w:rPr>
        <w:t>Cash and cash equivalents as of March 31, 2026 were approximately $162.6 million as compared to</w:t>
      </w:r>
    </w:p>
    <w:p>
      <w:pPr>
        <w:ind w:left="660" w:right="360"/>
        <w:spacing w:after="0" w:line="253" w:lineRule="auto"/>
        <w:rPr>
          <w:sz w:val="20"/>
          <w:szCs w:val="20"/>
          <w:color w:val="auto"/>
        </w:rPr>
      </w:pPr>
      <w:r>
        <w:rPr>
          <w:rFonts w:ascii="Arial" w:cs="Arial" w:eastAsia="Arial" w:hAnsi="Arial"/>
          <w:sz w:val="20"/>
          <w:szCs w:val="20"/>
          <w:color w:val="auto"/>
        </w:rPr>
        <w:t>$184.8 million as of December 31, 2025. Akebia expects its existing cash resources and cash from operations will be sufficient to fund its current operating plan for at least two years.</w:t>
      </w:r>
    </w:p>
    <w:p>
      <w:pPr>
        <w:spacing w:after="0" w:line="4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w:t>
      </w:r>
    </w:p>
    <w:p>
      <w:pPr>
        <w:spacing w:after="0" w:line="123"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Akebia will host a conference call on Thursday, May 7 at 8:00 a.m. EDT to discuss first quarter 2026 earnings. To access the call, please register by clicking on this Registration Link, and you will be provided with dial in details. To avoid delays and ensure timely connection, we encourage dialing into the conference call 15 minutes ahead of the scheduled start time.</w:t>
      </w:r>
    </w:p>
    <w:p>
      <w:pPr>
        <w:spacing w:after="0" w:line="57"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A live webcast of the conference call will be available via the “Investors” section of Akebia's website at: https://ir.akebia.com/. An online archive of the webcast can be accessed via the Investors section of Akebia's website at https://ir.akebia.com approximately two hours after the event.</w:t>
      </w:r>
    </w:p>
    <w:p>
      <w:pPr>
        <w:spacing w:after="0" w:line="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Akebia Therapeutics</w:t>
      </w:r>
    </w:p>
    <w:p>
      <w:pPr>
        <w:spacing w:after="0" w:line="123"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Akebia Therapeutics, Inc. is a fully integrated biopharmaceutical company with the purpose to better the lives of people impacted by kidney disease. Akebia was founded in 2007 and is headquartered in Cambridge, Massachusetts. For more information, please visit our website at www.akebia.com, which does not form a part of this release.</w:t>
      </w:r>
    </w:p>
    <w:p>
      <w:pPr>
        <w:spacing w:after="0" w:line="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Vafseo® (vadadustat) tablets</w:t>
      </w:r>
    </w:p>
    <w:p>
      <w:pPr>
        <w:spacing w:after="0" w:line="110"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Vafseo® (vadadustat) tablets is a once-daily oral hypoxia-inducible factor prolyl hydroxylase inhibitor that activates the physiologic response to hypoxia to stimulate endogenous production of erythropoietin, increasing hemoglobin and red blood cell production to manage anemia. Vafseo is approved for use in 37 countries.</w:t>
      </w:r>
    </w:p>
    <w:p>
      <w:pPr>
        <w:sectPr>
          <w:pgSz w:w="11900" w:h="16838" w:orient="portrait"/>
          <w:cols w:equalWidth="0" w:num="1">
            <w:col w:w="11240"/>
          </w:cols>
          <w:pgMar w:left="320" w:top="602" w:right="339" w:bottom="1440" w:gutter="0" w:footer="0" w:header="0"/>
        </w:sectPr>
      </w:pPr>
    </w:p>
    <w:bookmarkStart w:id="6" w:name="page7"/>
    <w:bookmarkEnd w:id="6"/>
    <w:p>
      <w:pPr>
        <w:jc w:val="right"/>
        <w:spacing w:after="0"/>
        <w:rPr>
          <w:sz w:val="20"/>
          <w:szCs w:val="20"/>
          <w:color w:val="auto"/>
        </w:rPr>
      </w:pPr>
      <w:r>
        <w:rPr>
          <w:rFonts w:ascii="Arial" w:cs="Arial" w:eastAsia="Arial" w:hAnsi="Arial"/>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INDICATION</w:t>
      </w:r>
    </w:p>
    <w:p>
      <w:pPr>
        <w:spacing w:after="0" w:line="231" w:lineRule="exact"/>
        <w:rPr>
          <w:sz w:val="20"/>
          <w:szCs w:val="20"/>
          <w:color w:val="auto"/>
        </w:rPr>
      </w:pPr>
    </w:p>
    <w:p>
      <w:pPr>
        <w:ind w:right="660"/>
        <w:spacing w:after="0" w:line="271" w:lineRule="auto"/>
        <w:rPr>
          <w:sz w:val="20"/>
          <w:szCs w:val="20"/>
          <w:color w:val="auto"/>
        </w:rPr>
      </w:pPr>
      <w:r>
        <w:rPr>
          <w:rFonts w:ascii="Arial" w:cs="Arial" w:eastAsia="Arial" w:hAnsi="Arial"/>
          <w:sz w:val="20"/>
          <w:szCs w:val="20"/>
          <w:color w:val="auto"/>
        </w:rPr>
        <w:t>VAFSEO is indicated for the treatment of anemia due to chronic kidney disease (CKD) in adults who have been receiving dialysis for at least three months.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Limitations of Use</w:t>
      </w:r>
    </w:p>
    <w:p>
      <w:pPr>
        <w:spacing w:after="0" w:line="15" w:lineRule="exact"/>
        <w:rPr>
          <w:sz w:val="20"/>
          <w:szCs w:val="20"/>
          <w:color w:val="auto"/>
        </w:rPr>
      </w:pPr>
    </w:p>
    <w:p>
      <w:pPr>
        <w:ind w:left="620" w:hanging="288"/>
        <w:spacing w:after="0"/>
        <w:tabs>
          <w:tab w:leader="none" w:pos="620" w:val="left"/>
        </w:tabs>
        <w:numPr>
          <w:ilvl w:val="0"/>
          <w:numId w:val="7"/>
        </w:numPr>
        <w:rPr>
          <w:rFonts w:ascii="Arial" w:cs="Arial" w:eastAsia="Arial" w:hAnsi="Arial"/>
          <w:sz w:val="22"/>
          <w:szCs w:val="22"/>
          <w:color w:val="auto"/>
        </w:rPr>
      </w:pPr>
      <w:r>
        <w:rPr>
          <w:rFonts w:ascii="Arial" w:cs="Arial" w:eastAsia="Arial" w:hAnsi="Arial"/>
          <w:sz w:val="20"/>
          <w:szCs w:val="20"/>
          <w:color w:val="auto"/>
        </w:rPr>
        <w:t>VAFSEO has not been shown to improve quality of life, fatigue, or patient well-being.</w:t>
      </w:r>
    </w:p>
    <w:p>
      <w:pPr>
        <w:spacing w:after="0" w:line="6" w:lineRule="exact"/>
        <w:rPr>
          <w:rFonts w:ascii="Arial" w:cs="Arial" w:eastAsia="Arial" w:hAnsi="Arial"/>
          <w:sz w:val="22"/>
          <w:szCs w:val="22"/>
          <w:color w:val="auto"/>
        </w:rPr>
      </w:pPr>
    </w:p>
    <w:p>
      <w:pPr>
        <w:ind w:left="620" w:hanging="288"/>
        <w:spacing w:after="0" w:line="230" w:lineRule="auto"/>
        <w:tabs>
          <w:tab w:leader="none" w:pos="620" w:val="left"/>
        </w:tabs>
        <w:numPr>
          <w:ilvl w:val="0"/>
          <w:numId w:val="7"/>
        </w:numPr>
        <w:rPr>
          <w:rFonts w:ascii="Arial" w:cs="Arial" w:eastAsia="Arial" w:hAnsi="Arial"/>
          <w:sz w:val="22"/>
          <w:szCs w:val="22"/>
          <w:color w:val="auto"/>
        </w:rPr>
      </w:pPr>
      <w:r>
        <w:rPr>
          <w:rFonts w:ascii="Arial" w:cs="Arial" w:eastAsia="Arial" w:hAnsi="Arial"/>
          <w:sz w:val="20"/>
          <w:szCs w:val="20"/>
          <w:color w:val="auto"/>
        </w:rPr>
        <w:t>VAFSEO is not indicated for use:</w:t>
      </w:r>
    </w:p>
    <w:p>
      <w:pPr>
        <w:ind w:left="1280" w:hanging="300"/>
        <w:spacing w:after="0" w:line="217" w:lineRule="auto"/>
        <w:tabs>
          <w:tab w:leader="none" w:pos="1280" w:val="left"/>
        </w:tabs>
        <w:numPr>
          <w:ilvl w:val="1"/>
          <w:numId w:val="7"/>
        </w:numPr>
        <w:rPr>
          <w:rFonts w:ascii="Arial" w:cs="Arial" w:eastAsia="Arial" w:hAnsi="Arial"/>
          <w:sz w:val="22"/>
          <w:szCs w:val="22"/>
          <w:color w:val="auto"/>
        </w:rPr>
      </w:pPr>
      <w:r>
        <w:rPr>
          <w:rFonts w:ascii="Arial" w:cs="Arial" w:eastAsia="Arial" w:hAnsi="Arial"/>
          <w:sz w:val="20"/>
          <w:szCs w:val="20"/>
          <w:color w:val="auto"/>
        </w:rPr>
        <w:t>As a substitute for red blood cell transfusions in patients who require immediate correction of anemia.</w:t>
      </w:r>
    </w:p>
    <w:p>
      <w:pPr>
        <w:ind w:left="1280" w:hanging="300"/>
        <w:spacing w:after="0" w:line="230" w:lineRule="auto"/>
        <w:tabs>
          <w:tab w:leader="none" w:pos="1280" w:val="left"/>
        </w:tabs>
        <w:numPr>
          <w:ilvl w:val="1"/>
          <w:numId w:val="7"/>
        </w:numPr>
        <w:rPr>
          <w:rFonts w:ascii="Arial" w:cs="Arial" w:eastAsia="Arial" w:hAnsi="Arial"/>
          <w:sz w:val="22"/>
          <w:szCs w:val="22"/>
          <w:color w:val="auto"/>
        </w:rPr>
      </w:pPr>
      <w:r>
        <w:rPr>
          <w:rFonts w:ascii="Arial" w:cs="Arial" w:eastAsia="Arial" w:hAnsi="Arial"/>
          <w:sz w:val="20"/>
          <w:szCs w:val="20"/>
          <w:color w:val="auto"/>
        </w:rPr>
        <w:t>In patients with anemia due to CKD not on dialysis.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IMPORTANT SAFETY INFORMATION about VAFSEO (vadadustat) tablets</w:t>
      </w:r>
    </w:p>
    <w:p>
      <w:pPr>
        <w:spacing w:after="0" w:line="243" w:lineRule="exact"/>
        <w:rPr>
          <w:sz w:val="20"/>
          <w:szCs w:val="20"/>
          <w:color w:val="auto"/>
        </w:rPr>
      </w:pPr>
    </w:p>
    <w:p>
      <w:pPr>
        <w:jc w:val="center"/>
        <w:ind w:left="340" w:right="100"/>
        <w:spacing w:after="0" w:line="270" w:lineRule="auto"/>
        <w:rPr>
          <w:sz w:val="20"/>
          <w:szCs w:val="20"/>
          <w:color w:val="auto"/>
        </w:rPr>
      </w:pPr>
      <w:r>
        <w:rPr>
          <w:rFonts w:ascii="Arial" w:cs="Arial" w:eastAsia="Arial" w:hAnsi="Arial"/>
          <w:sz w:val="20"/>
          <w:szCs w:val="20"/>
          <w:b w:val="1"/>
          <w:bCs w:val="1"/>
          <w:color w:val="auto"/>
        </w:rPr>
        <w:t>WARNING: INCREASED RISK OF DEATH, MYOCARDIAL INFARCTION, STROKE, VENOUS THROMBOEMBOLISM, and THROMBOSIS OF VASCULAR ACCESS.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VAFSEO increases the risk of thrombotic vascular events, including major adverse cardiovascular events (MACE).</w:t>
      </w:r>
    </w:p>
    <w:p>
      <w:pPr>
        <w:spacing w:after="0" w:line="229" w:lineRule="exact"/>
        <w:rPr>
          <w:sz w:val="20"/>
          <w:szCs w:val="20"/>
          <w:color w:val="auto"/>
        </w:rPr>
      </w:pPr>
    </w:p>
    <w:p>
      <w:pPr>
        <w:ind w:right="20"/>
        <w:spacing w:after="0" w:line="254" w:lineRule="auto"/>
        <w:rPr>
          <w:sz w:val="20"/>
          <w:szCs w:val="20"/>
          <w:color w:val="auto"/>
        </w:rPr>
      </w:pPr>
      <w:r>
        <w:rPr>
          <w:rFonts w:ascii="Arial" w:cs="Arial" w:eastAsia="Arial" w:hAnsi="Arial"/>
          <w:sz w:val="20"/>
          <w:szCs w:val="20"/>
          <w:b w:val="1"/>
          <w:bCs w:val="1"/>
          <w:color w:val="auto"/>
        </w:rPr>
        <w:t>Targeting a hemoglobin level greater than 11 g/dL is expected to further increase the risk of death and arterial and venous thrombotic events, as occurs with erythropoietin stimulating agents (ESAs), which also increase erythropoietin levels.</w:t>
      </w:r>
    </w:p>
    <w:p>
      <w:pPr>
        <w:spacing w:after="0" w:line="174" w:lineRule="exact"/>
        <w:rPr>
          <w:sz w:val="20"/>
          <w:szCs w:val="20"/>
          <w:color w:val="auto"/>
        </w:rPr>
      </w:pPr>
    </w:p>
    <w:p>
      <w:pPr>
        <w:ind w:right="540"/>
        <w:spacing w:after="0" w:line="284" w:lineRule="auto"/>
        <w:rPr>
          <w:sz w:val="20"/>
          <w:szCs w:val="20"/>
          <w:color w:val="auto"/>
        </w:rPr>
      </w:pPr>
      <w:r>
        <w:rPr>
          <w:rFonts w:ascii="Arial" w:cs="Arial" w:eastAsia="Arial" w:hAnsi="Arial"/>
          <w:sz w:val="20"/>
          <w:szCs w:val="20"/>
          <w:b w:val="1"/>
          <w:bCs w:val="1"/>
          <w:color w:val="auto"/>
        </w:rPr>
        <w:t>No trial has identified a hemoglobin target level, dose of VAFSEO, or dosing strategy that does not increase these risks.</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Use the lowest dose of VAFSEO sufficient to reduce the need for red blood cell transfusions.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CONTRAINDICATIONS</w:t>
      </w:r>
    </w:p>
    <w:p>
      <w:pPr>
        <w:spacing w:after="0" w:line="3" w:lineRule="exact"/>
        <w:rPr>
          <w:sz w:val="20"/>
          <w:szCs w:val="20"/>
          <w:color w:val="auto"/>
        </w:rPr>
      </w:pPr>
    </w:p>
    <w:p>
      <w:pPr>
        <w:ind w:left="620" w:hanging="288"/>
        <w:spacing w:after="0"/>
        <w:tabs>
          <w:tab w:leader="none" w:pos="620" w:val="left"/>
        </w:tabs>
        <w:numPr>
          <w:ilvl w:val="0"/>
          <w:numId w:val="8"/>
        </w:numPr>
        <w:rPr>
          <w:rFonts w:ascii="Arial" w:cs="Arial" w:eastAsia="Arial" w:hAnsi="Arial"/>
          <w:sz w:val="22"/>
          <w:szCs w:val="22"/>
          <w:color w:val="auto"/>
        </w:rPr>
      </w:pPr>
      <w:r>
        <w:rPr>
          <w:rFonts w:ascii="Arial" w:cs="Arial" w:eastAsia="Arial" w:hAnsi="Arial"/>
          <w:sz w:val="20"/>
          <w:szCs w:val="20"/>
          <w:color w:val="auto"/>
        </w:rPr>
        <w:t>Known hypersensitivity to VAFSEO or any of its components</w:t>
      </w:r>
    </w:p>
    <w:p>
      <w:pPr>
        <w:spacing w:after="0" w:line="6" w:lineRule="exact"/>
        <w:rPr>
          <w:rFonts w:ascii="Arial" w:cs="Arial" w:eastAsia="Arial" w:hAnsi="Arial"/>
          <w:sz w:val="22"/>
          <w:szCs w:val="22"/>
          <w:color w:val="auto"/>
        </w:rPr>
      </w:pPr>
    </w:p>
    <w:p>
      <w:pPr>
        <w:ind w:left="620" w:hanging="288"/>
        <w:spacing w:after="0" w:line="230" w:lineRule="auto"/>
        <w:tabs>
          <w:tab w:leader="none" w:pos="620" w:val="left"/>
        </w:tabs>
        <w:numPr>
          <w:ilvl w:val="0"/>
          <w:numId w:val="8"/>
        </w:numPr>
        <w:rPr>
          <w:rFonts w:ascii="Arial" w:cs="Arial" w:eastAsia="Arial" w:hAnsi="Arial"/>
          <w:sz w:val="22"/>
          <w:szCs w:val="22"/>
          <w:color w:val="auto"/>
        </w:rPr>
      </w:pPr>
      <w:r>
        <w:rPr>
          <w:rFonts w:ascii="Arial" w:cs="Arial" w:eastAsia="Arial" w:hAnsi="Arial"/>
          <w:sz w:val="20"/>
          <w:szCs w:val="20"/>
          <w:color w:val="auto"/>
        </w:rPr>
        <w:t>Uncontrolled hypertension</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WARNINGS AND PRECAUTIONS</w:t>
      </w:r>
    </w:p>
    <w:p>
      <w:pPr>
        <w:spacing w:after="0" w:line="3" w:lineRule="exact"/>
        <w:rPr>
          <w:sz w:val="20"/>
          <w:szCs w:val="20"/>
          <w:color w:val="auto"/>
        </w:rPr>
      </w:pPr>
    </w:p>
    <w:p>
      <w:pPr>
        <w:ind w:left="660" w:right="600" w:hanging="328"/>
        <w:spacing w:after="0" w:line="236" w:lineRule="auto"/>
        <w:tabs>
          <w:tab w:leader="none" w:pos="628" w:val="left"/>
        </w:tabs>
        <w:numPr>
          <w:ilvl w:val="0"/>
          <w:numId w:val="9"/>
        </w:numPr>
        <w:rPr>
          <w:rFonts w:ascii="Arial" w:cs="Arial" w:eastAsia="Arial" w:hAnsi="Arial"/>
          <w:sz w:val="22"/>
          <w:szCs w:val="22"/>
          <w:color w:val="auto"/>
        </w:rPr>
      </w:pPr>
      <w:r>
        <w:rPr>
          <w:rFonts w:ascii="Arial" w:cs="Arial" w:eastAsia="Arial" w:hAnsi="Arial"/>
          <w:sz w:val="20"/>
          <w:szCs w:val="20"/>
          <w:b w:val="1"/>
          <w:bCs w:val="1"/>
          <w:color w:val="auto"/>
        </w:rPr>
        <w:t>Increased Risk of Death, Myocardial Infarction (MI), Stroke, Venous Thromboembolism, and Thrombosis of Vascular Access</w:t>
      </w:r>
    </w:p>
    <w:p>
      <w:pPr>
        <w:ind w:left="660" w:right="2060"/>
        <w:spacing w:after="0" w:line="234" w:lineRule="auto"/>
        <w:rPr>
          <w:rFonts w:ascii="Arial" w:cs="Arial" w:eastAsia="Arial" w:hAnsi="Arial"/>
          <w:sz w:val="22"/>
          <w:szCs w:val="22"/>
          <w:color w:val="auto"/>
        </w:rPr>
      </w:pPr>
      <w:r>
        <w:rPr>
          <w:rFonts w:ascii="Arial" w:cs="Arial" w:eastAsia="Arial" w:hAnsi="Arial"/>
          <w:sz w:val="20"/>
          <w:szCs w:val="20"/>
          <w:color w:val="auto"/>
        </w:rPr>
        <w:t>A rise in hemoglobin (Hb) levels greater than 1 g/dL over 2 weeks can increase these risks. Avoid in patients with a history of MI, cerebrovascular event, or acute coronary syndrome within the 3 months prior to starting VAFSEO. Targeting a Hb level of greater than 11 g/dL is expected to further increase the risk of death and arterial and venous thrombotic events. Use the lowest effective dose to reduce the need for red blood cell (RBC) transfusions. Adhere to dosing and Hb monitoring recommendations to avoid excessive erythropoiesis.</w:t>
      </w:r>
    </w:p>
    <w:p>
      <w:pPr>
        <w:spacing w:after="0" w:line="210" w:lineRule="exact"/>
        <w:rPr>
          <w:rFonts w:ascii="Arial" w:cs="Arial" w:eastAsia="Arial" w:hAnsi="Arial"/>
          <w:sz w:val="22"/>
          <w:szCs w:val="22"/>
          <w:color w:val="auto"/>
        </w:rPr>
      </w:pPr>
    </w:p>
    <w:p>
      <w:pPr>
        <w:ind w:left="620" w:hanging="288"/>
        <w:spacing w:after="0"/>
        <w:tabs>
          <w:tab w:leader="none" w:pos="620" w:val="left"/>
        </w:tabs>
        <w:numPr>
          <w:ilvl w:val="0"/>
          <w:numId w:val="9"/>
        </w:numPr>
        <w:rPr>
          <w:rFonts w:ascii="Arial" w:cs="Arial" w:eastAsia="Arial" w:hAnsi="Arial"/>
          <w:sz w:val="22"/>
          <w:szCs w:val="22"/>
          <w:color w:val="auto"/>
        </w:rPr>
      </w:pPr>
      <w:r>
        <w:rPr>
          <w:rFonts w:ascii="Arial" w:cs="Arial" w:eastAsia="Arial" w:hAnsi="Arial"/>
          <w:sz w:val="20"/>
          <w:szCs w:val="20"/>
          <w:b w:val="1"/>
          <w:bCs w:val="1"/>
          <w:color w:val="auto"/>
        </w:rPr>
        <w:t>Hepatotoxicity</w:t>
      </w:r>
    </w:p>
    <w:p>
      <w:pPr>
        <w:ind w:left="660"/>
        <w:spacing w:after="0" w:line="222" w:lineRule="auto"/>
        <w:rPr>
          <w:sz w:val="20"/>
          <w:szCs w:val="20"/>
          <w:color w:val="auto"/>
        </w:rPr>
      </w:pPr>
      <w:r>
        <w:rPr>
          <w:rFonts w:ascii="Arial" w:cs="Arial" w:eastAsia="Arial" w:hAnsi="Arial"/>
          <w:sz w:val="20"/>
          <w:szCs w:val="20"/>
          <w:color w:val="auto"/>
        </w:rPr>
        <w:t>Hepatocellular injury attributed to VAFSEO was reported in less than 1% of patients, including</w:t>
      </w:r>
    </w:p>
    <w:p>
      <w:pPr>
        <w:jc w:val="both"/>
        <w:ind w:left="660" w:right="2020"/>
        <w:spacing w:after="0" w:line="242" w:lineRule="auto"/>
        <w:rPr>
          <w:sz w:val="20"/>
          <w:szCs w:val="20"/>
          <w:color w:val="auto"/>
        </w:rPr>
      </w:pPr>
      <w:r>
        <w:rPr>
          <w:rFonts w:ascii="Arial" w:cs="Arial" w:eastAsia="Arial" w:hAnsi="Arial"/>
          <w:sz w:val="20"/>
          <w:szCs w:val="20"/>
          <w:color w:val="auto"/>
        </w:rPr>
        <w:t xml:space="preserve">one severe case with jaundice. </w:t>
      </w:r>
      <w:r>
        <w:rPr>
          <w:rFonts w:ascii="Arial" w:cs="Arial" w:eastAsia="Arial" w:hAnsi="Arial"/>
          <w:sz w:val="21"/>
          <w:szCs w:val="21"/>
          <w:color w:val="auto"/>
        </w:rPr>
        <w:t>Elevated serum ALT, AST, and bilirubin levels were observed</w:t>
      </w:r>
      <w:r>
        <w:rPr>
          <w:rFonts w:ascii="Arial" w:cs="Arial" w:eastAsia="Arial" w:hAnsi="Arial"/>
          <w:sz w:val="20"/>
          <w:szCs w:val="20"/>
          <w:color w:val="auto"/>
        </w:rPr>
        <w:t xml:space="preserve"> </w:t>
      </w:r>
      <w:r>
        <w:rPr>
          <w:rFonts w:ascii="Arial" w:cs="Arial" w:eastAsia="Arial" w:hAnsi="Arial"/>
          <w:sz w:val="21"/>
          <w:szCs w:val="21"/>
          <w:color w:val="auto"/>
        </w:rPr>
        <w:t>in 1.8%, 1.8%, and 0.3% of CKD patients treated with VAFSEO</w:t>
      </w:r>
      <w:r>
        <w:rPr>
          <w:rFonts w:ascii="Arial" w:cs="Arial" w:eastAsia="Arial" w:hAnsi="Arial"/>
          <w:sz w:val="19"/>
          <w:szCs w:val="19"/>
          <w:color w:val="auto"/>
        </w:rPr>
        <w:t>, respectively. Measure ALT,</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AST, and bilirubin before treatment and monthly for the first 6 months, then as clinically</w:t>
      </w:r>
    </w:p>
    <w:p>
      <w:pPr>
        <w:ind w:left="660" w:right="2000"/>
        <w:spacing w:after="0" w:line="239" w:lineRule="auto"/>
        <w:rPr>
          <w:sz w:val="20"/>
          <w:szCs w:val="20"/>
          <w:color w:val="auto"/>
        </w:rPr>
      </w:pPr>
      <w:r>
        <w:rPr>
          <w:rFonts w:ascii="Arial" w:cs="Arial" w:eastAsia="Arial" w:hAnsi="Arial"/>
          <w:sz w:val="20"/>
          <w:szCs w:val="20"/>
          <w:color w:val="auto"/>
        </w:rPr>
        <w:t>indicated. Discontinue VAFSEO if ALT or AST is persistently elevated or accompanied by elevated bilirubin. Not recommended in patients with cirrhosis or active, acute liver disease.</w:t>
      </w:r>
    </w:p>
    <w:p>
      <w:pPr>
        <w:sectPr>
          <w:pgSz w:w="11900" w:h="16838" w:orient="portrait"/>
          <w:cols w:equalWidth="0" w:num="1">
            <w:col w:w="11240"/>
          </w:cols>
          <w:pgMar w:left="320" w:top="602" w:right="339" w:bottom="1440" w:gutter="0" w:footer="0" w:header="0"/>
        </w:sectPr>
      </w:pPr>
    </w:p>
    <w:bookmarkStart w:id="7" w:name="page8"/>
    <w:bookmarkEnd w:id="7"/>
    <w:p>
      <w:pPr>
        <w:jc w:val="right"/>
        <w:spacing w:after="0"/>
        <w:rPr>
          <w:sz w:val="20"/>
          <w:szCs w:val="20"/>
          <w:color w:val="auto"/>
        </w:rPr>
      </w:pPr>
      <w:r>
        <w:rPr>
          <w:rFonts w:ascii="Arial" w:cs="Arial" w:eastAsia="Arial" w:hAnsi="Arial"/>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20" w:hanging="288"/>
        <w:spacing w:after="0"/>
        <w:tabs>
          <w:tab w:leader="none" w:pos="620" w:val="left"/>
        </w:tabs>
        <w:numPr>
          <w:ilvl w:val="0"/>
          <w:numId w:val="10"/>
        </w:numPr>
        <w:rPr>
          <w:rFonts w:ascii="Arial" w:cs="Arial" w:eastAsia="Arial" w:hAnsi="Arial"/>
          <w:sz w:val="22"/>
          <w:szCs w:val="22"/>
          <w:color w:val="auto"/>
        </w:rPr>
      </w:pPr>
      <w:r>
        <w:rPr>
          <w:rFonts w:ascii="Arial" w:cs="Arial" w:eastAsia="Arial" w:hAnsi="Arial"/>
          <w:sz w:val="20"/>
          <w:szCs w:val="20"/>
          <w:b w:val="1"/>
          <w:bCs w:val="1"/>
          <w:color w:val="auto"/>
        </w:rPr>
        <w:t>Hypertension</w:t>
      </w:r>
    </w:p>
    <w:p>
      <w:pPr>
        <w:ind w:left="660" w:right="2320"/>
        <w:spacing w:after="0" w:line="242" w:lineRule="auto"/>
        <w:rPr>
          <w:sz w:val="20"/>
          <w:szCs w:val="20"/>
          <w:color w:val="auto"/>
        </w:rPr>
      </w:pPr>
      <w:r>
        <w:rPr>
          <w:rFonts w:ascii="Arial" w:cs="Arial" w:eastAsia="Arial" w:hAnsi="Arial"/>
          <w:sz w:val="19"/>
          <w:szCs w:val="19"/>
          <w:color w:val="auto"/>
        </w:rPr>
        <w:t>Worsening of hypertension was reported in 14% of VAFSEO and 17% of darbepoetin alfa patients. Serious worsening of hypertension was reported in 2.7% of VAFSEO and 3% of darbepoetin alfa patients. Cases of hypertensive crisis, including hypertensive encephalopathy</w:t>
      </w:r>
    </w:p>
    <w:p>
      <w:pPr>
        <w:spacing w:after="0" w:line="1" w:lineRule="exact"/>
        <w:rPr>
          <w:sz w:val="20"/>
          <w:szCs w:val="20"/>
          <w:color w:val="auto"/>
        </w:rPr>
      </w:pPr>
    </w:p>
    <w:p>
      <w:pPr>
        <w:ind w:left="660" w:right="220"/>
        <w:spacing w:after="0" w:line="253" w:lineRule="auto"/>
        <w:rPr>
          <w:sz w:val="20"/>
          <w:szCs w:val="20"/>
          <w:color w:val="auto"/>
        </w:rPr>
      </w:pPr>
      <w:r>
        <w:rPr>
          <w:rFonts w:ascii="Arial" w:cs="Arial" w:eastAsia="Arial" w:hAnsi="Arial"/>
          <w:sz w:val="20"/>
          <w:szCs w:val="20"/>
          <w:color w:val="auto"/>
        </w:rPr>
        <w:t>and seizures, have also been reported in patients receiving VAFSEO. Monitor blood pressure. Adjust anti-hypertensive therapy as needed.</w:t>
      </w:r>
    </w:p>
    <w:p>
      <w:pPr>
        <w:spacing w:after="0" w:line="194" w:lineRule="exact"/>
        <w:rPr>
          <w:sz w:val="20"/>
          <w:szCs w:val="20"/>
          <w:color w:val="auto"/>
        </w:rPr>
      </w:pPr>
    </w:p>
    <w:p>
      <w:pPr>
        <w:ind w:left="620" w:hanging="288"/>
        <w:spacing w:after="0"/>
        <w:tabs>
          <w:tab w:leader="none" w:pos="620" w:val="left"/>
        </w:tabs>
        <w:numPr>
          <w:ilvl w:val="0"/>
          <w:numId w:val="11"/>
        </w:numPr>
        <w:rPr>
          <w:rFonts w:ascii="Arial" w:cs="Arial" w:eastAsia="Arial" w:hAnsi="Arial"/>
          <w:sz w:val="22"/>
          <w:szCs w:val="22"/>
          <w:color w:val="auto"/>
        </w:rPr>
      </w:pPr>
      <w:r>
        <w:rPr>
          <w:rFonts w:ascii="Arial" w:cs="Arial" w:eastAsia="Arial" w:hAnsi="Arial"/>
          <w:sz w:val="20"/>
          <w:szCs w:val="20"/>
          <w:b w:val="1"/>
          <w:bCs w:val="1"/>
          <w:color w:val="auto"/>
        </w:rPr>
        <w:t>Seizures</w:t>
      </w:r>
    </w:p>
    <w:p>
      <w:pPr>
        <w:ind w:left="660" w:right="2340"/>
        <w:spacing w:after="0" w:line="239" w:lineRule="auto"/>
        <w:rPr>
          <w:sz w:val="20"/>
          <w:szCs w:val="20"/>
          <w:color w:val="auto"/>
        </w:rPr>
      </w:pPr>
      <w:r>
        <w:rPr>
          <w:rFonts w:ascii="Arial" w:cs="Arial" w:eastAsia="Arial" w:hAnsi="Arial"/>
          <w:sz w:val="20"/>
          <w:szCs w:val="20"/>
          <w:color w:val="auto"/>
        </w:rPr>
        <w:t>Seizures occurred in 1.6% of VAFSEO and 1.6% of darbepoetin alfa patients. Monitor for new-onset seizures, premonitory symptoms, or change in seizure frequency.</w:t>
      </w:r>
    </w:p>
    <w:p>
      <w:pPr>
        <w:spacing w:after="0" w:line="220" w:lineRule="exact"/>
        <w:rPr>
          <w:sz w:val="20"/>
          <w:szCs w:val="20"/>
          <w:color w:val="auto"/>
        </w:rPr>
      </w:pPr>
    </w:p>
    <w:p>
      <w:pPr>
        <w:ind w:left="620" w:hanging="288"/>
        <w:spacing w:after="0"/>
        <w:tabs>
          <w:tab w:leader="none" w:pos="620" w:val="left"/>
        </w:tabs>
        <w:numPr>
          <w:ilvl w:val="0"/>
          <w:numId w:val="12"/>
        </w:numPr>
        <w:rPr>
          <w:rFonts w:ascii="Arial" w:cs="Arial" w:eastAsia="Arial" w:hAnsi="Arial"/>
          <w:sz w:val="22"/>
          <w:szCs w:val="22"/>
          <w:color w:val="auto"/>
        </w:rPr>
      </w:pPr>
      <w:r>
        <w:rPr>
          <w:rFonts w:ascii="Arial" w:cs="Arial" w:eastAsia="Arial" w:hAnsi="Arial"/>
          <w:sz w:val="20"/>
          <w:szCs w:val="20"/>
          <w:b w:val="1"/>
          <w:bCs w:val="1"/>
          <w:color w:val="auto"/>
        </w:rPr>
        <w:t>Gastrointestinal (GI) Erosion</w:t>
      </w:r>
    </w:p>
    <w:p>
      <w:pPr>
        <w:ind w:left="660" w:right="2120"/>
        <w:spacing w:after="0" w:line="233" w:lineRule="auto"/>
        <w:rPr>
          <w:sz w:val="20"/>
          <w:szCs w:val="20"/>
          <w:color w:val="auto"/>
        </w:rPr>
      </w:pPr>
      <w:r>
        <w:rPr>
          <w:rFonts w:ascii="Arial" w:cs="Arial" w:eastAsia="Arial" w:hAnsi="Arial"/>
          <w:sz w:val="20"/>
          <w:szCs w:val="20"/>
          <w:color w:val="auto"/>
        </w:rPr>
        <w:t>Gastric or esophageal erosions occurred in 6.4% of VAFSEO and 5.3% of darbepoetin alfa patients. Serious GI erosions, including GI bleeding and the need for RBC transfusions, were reported in 3.4% of VAFSEO and 3.3% of darbepoetin alfa patients. Consider this risk in patients at increased risk of GI erosion. Advise patients about signs of erosions and GI bleeding and urge them to seek prompt medical care if present.</w:t>
      </w:r>
    </w:p>
    <w:p>
      <w:pPr>
        <w:spacing w:after="0" w:line="224" w:lineRule="exact"/>
        <w:rPr>
          <w:sz w:val="20"/>
          <w:szCs w:val="20"/>
          <w:color w:val="auto"/>
        </w:rPr>
      </w:pPr>
    </w:p>
    <w:p>
      <w:pPr>
        <w:ind w:left="620" w:hanging="288"/>
        <w:spacing w:after="0"/>
        <w:tabs>
          <w:tab w:leader="none" w:pos="620" w:val="left"/>
        </w:tabs>
        <w:numPr>
          <w:ilvl w:val="0"/>
          <w:numId w:val="13"/>
        </w:numPr>
        <w:rPr>
          <w:rFonts w:ascii="Arial" w:cs="Arial" w:eastAsia="Arial" w:hAnsi="Arial"/>
          <w:sz w:val="22"/>
          <w:szCs w:val="22"/>
          <w:color w:val="auto"/>
        </w:rPr>
      </w:pPr>
      <w:r>
        <w:rPr>
          <w:rFonts w:ascii="Arial" w:cs="Arial" w:eastAsia="Arial" w:hAnsi="Arial"/>
          <w:sz w:val="20"/>
          <w:szCs w:val="20"/>
          <w:b w:val="1"/>
          <w:bCs w:val="1"/>
          <w:color w:val="auto"/>
        </w:rPr>
        <w:t>Serious Adverse Reactions in Patients with Anemia Due to CKD and Not on Dialysis</w:t>
      </w:r>
    </w:p>
    <w:p>
      <w:pPr>
        <w:ind w:left="660" w:right="2040"/>
        <w:spacing w:after="0" w:line="233" w:lineRule="auto"/>
        <w:rPr>
          <w:sz w:val="20"/>
          <w:szCs w:val="20"/>
          <w:color w:val="auto"/>
        </w:rPr>
      </w:pPr>
      <w:r>
        <w:rPr>
          <w:rFonts w:ascii="Arial" w:cs="Arial" w:eastAsia="Arial" w:hAnsi="Arial"/>
          <w:sz w:val="20"/>
          <w:szCs w:val="20"/>
          <w:color w:val="auto"/>
        </w:rPr>
        <w:t>The safety of VAFSEO has not been established for the treatment of anemia due to CKD in adults not on dialysis and its use is not recommended in this setting. In large clinical trials in adults with anemia of CKD who were not on dialysis, an increased risk of mortality, stroke, MI, serious acute kidney injury, serious hepatic injury, and serious GI erosions was observed in patients treated with VAFSEO compared to darbepoetin alfa.</w:t>
      </w:r>
    </w:p>
    <w:p>
      <w:pPr>
        <w:spacing w:after="0" w:line="224" w:lineRule="exact"/>
        <w:rPr>
          <w:sz w:val="20"/>
          <w:szCs w:val="20"/>
          <w:color w:val="auto"/>
        </w:rPr>
      </w:pPr>
    </w:p>
    <w:p>
      <w:pPr>
        <w:ind w:left="620" w:hanging="288"/>
        <w:spacing w:after="0"/>
        <w:tabs>
          <w:tab w:leader="none" w:pos="620" w:val="left"/>
        </w:tabs>
        <w:numPr>
          <w:ilvl w:val="0"/>
          <w:numId w:val="14"/>
        </w:numPr>
        <w:rPr>
          <w:rFonts w:ascii="Arial" w:cs="Arial" w:eastAsia="Arial" w:hAnsi="Arial"/>
          <w:sz w:val="22"/>
          <w:szCs w:val="22"/>
          <w:color w:val="auto"/>
        </w:rPr>
      </w:pPr>
      <w:r>
        <w:rPr>
          <w:rFonts w:ascii="Arial" w:cs="Arial" w:eastAsia="Arial" w:hAnsi="Arial"/>
          <w:sz w:val="20"/>
          <w:szCs w:val="20"/>
          <w:b w:val="1"/>
          <w:bCs w:val="1"/>
          <w:color w:val="auto"/>
        </w:rPr>
        <w:t>Malignancy</w:t>
      </w:r>
    </w:p>
    <w:p>
      <w:pPr>
        <w:ind w:left="660" w:right="2480"/>
        <w:spacing w:after="0" w:line="239" w:lineRule="auto"/>
        <w:rPr>
          <w:sz w:val="20"/>
          <w:szCs w:val="20"/>
          <w:color w:val="auto"/>
        </w:rPr>
      </w:pPr>
      <w:r>
        <w:rPr>
          <w:rFonts w:ascii="Arial" w:cs="Arial" w:eastAsia="Arial" w:hAnsi="Arial"/>
          <w:sz w:val="20"/>
          <w:szCs w:val="20"/>
          <w:color w:val="auto"/>
        </w:rPr>
        <w:t>VAFSEO has not been studied and is not recommended in patients with active malignancies. Malignancies were observed in 2.2% of VAFSEO and 3.0% of darbepoetin alfa patients. No evidence of increased carcinogenicity was observed in animal studies.</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ADVERSE REACTIONS</w:t>
      </w:r>
    </w:p>
    <w:p>
      <w:pPr>
        <w:spacing w:after="0" w:line="3" w:lineRule="exact"/>
        <w:rPr>
          <w:sz w:val="20"/>
          <w:szCs w:val="20"/>
          <w:color w:val="auto"/>
        </w:rPr>
      </w:pPr>
    </w:p>
    <w:p>
      <w:pPr>
        <w:ind w:left="620" w:hanging="288"/>
        <w:spacing w:after="0"/>
        <w:tabs>
          <w:tab w:leader="none" w:pos="620" w:val="left"/>
        </w:tabs>
        <w:numPr>
          <w:ilvl w:val="0"/>
          <w:numId w:val="15"/>
        </w:numPr>
        <w:rPr>
          <w:rFonts w:ascii="Arial" w:cs="Arial" w:eastAsia="Arial" w:hAnsi="Arial"/>
          <w:sz w:val="22"/>
          <w:szCs w:val="22"/>
          <w:color w:val="auto"/>
        </w:rPr>
      </w:pPr>
      <w:r>
        <w:rPr>
          <w:rFonts w:ascii="Arial" w:cs="Arial" w:eastAsia="Arial" w:hAnsi="Arial"/>
          <w:sz w:val="20"/>
          <w:szCs w:val="20"/>
          <w:color w:val="auto"/>
        </w:rPr>
        <w:t>The most common adverse reactions (occurring at ≥ 10%) were hypertension and diarrhea.</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DRUG INTERACTIONS</w:t>
      </w:r>
    </w:p>
    <w:p>
      <w:pPr>
        <w:spacing w:after="0" w:line="17" w:lineRule="exact"/>
        <w:rPr>
          <w:sz w:val="20"/>
          <w:szCs w:val="20"/>
          <w:color w:val="auto"/>
        </w:rPr>
      </w:pPr>
    </w:p>
    <w:p>
      <w:pPr>
        <w:ind w:left="660" w:right="600" w:hanging="328"/>
        <w:spacing w:after="0" w:line="236" w:lineRule="auto"/>
        <w:tabs>
          <w:tab w:leader="none" w:pos="628" w:val="left"/>
        </w:tabs>
        <w:numPr>
          <w:ilvl w:val="0"/>
          <w:numId w:val="16"/>
        </w:numPr>
        <w:rPr>
          <w:rFonts w:ascii="Arial" w:cs="Arial" w:eastAsia="Arial" w:hAnsi="Arial"/>
          <w:sz w:val="22"/>
          <w:szCs w:val="22"/>
          <w:color w:val="auto"/>
        </w:rPr>
      </w:pPr>
      <w:r>
        <w:rPr>
          <w:rFonts w:ascii="Arial" w:cs="Arial" w:eastAsia="Arial" w:hAnsi="Arial"/>
          <w:sz w:val="20"/>
          <w:szCs w:val="20"/>
          <w:b w:val="1"/>
          <w:bCs w:val="1"/>
          <w:color w:val="auto"/>
        </w:rPr>
        <w:t xml:space="preserve">Iron supplements and iron-containing phosphate binders: </w:t>
      </w:r>
      <w:r>
        <w:rPr>
          <w:rFonts w:ascii="Arial" w:cs="Arial" w:eastAsia="Arial" w:hAnsi="Arial"/>
          <w:sz w:val="20"/>
          <w:szCs w:val="20"/>
          <w:color w:val="auto"/>
        </w:rPr>
        <w:t>Administer VAFSEO at least 1 hour before products</w:t>
      </w:r>
      <w:r>
        <w:rPr>
          <w:rFonts w:ascii="Arial" w:cs="Arial" w:eastAsia="Arial" w:hAnsi="Arial"/>
          <w:sz w:val="20"/>
          <w:szCs w:val="20"/>
          <w:b w:val="1"/>
          <w:bCs w:val="1"/>
          <w:color w:val="auto"/>
        </w:rPr>
        <w:t xml:space="preserve"> </w:t>
      </w:r>
      <w:r>
        <w:rPr>
          <w:rFonts w:ascii="Arial" w:cs="Arial" w:eastAsia="Arial" w:hAnsi="Arial"/>
          <w:sz w:val="20"/>
          <w:szCs w:val="20"/>
          <w:color w:val="auto"/>
        </w:rPr>
        <w:t>containing iron.</w:t>
      </w:r>
    </w:p>
    <w:p>
      <w:pPr>
        <w:ind w:left="660" w:right="840" w:hanging="328"/>
        <w:spacing w:after="0" w:line="228" w:lineRule="auto"/>
        <w:tabs>
          <w:tab w:leader="none" w:pos="628" w:val="left"/>
        </w:tabs>
        <w:numPr>
          <w:ilvl w:val="0"/>
          <w:numId w:val="16"/>
        </w:numPr>
        <w:rPr>
          <w:rFonts w:ascii="Arial" w:cs="Arial" w:eastAsia="Arial" w:hAnsi="Arial"/>
          <w:sz w:val="22"/>
          <w:szCs w:val="22"/>
          <w:color w:val="auto"/>
        </w:rPr>
      </w:pPr>
      <w:r>
        <w:rPr>
          <w:rFonts w:ascii="Arial" w:cs="Arial" w:eastAsia="Arial" w:hAnsi="Arial"/>
          <w:sz w:val="20"/>
          <w:szCs w:val="20"/>
          <w:b w:val="1"/>
          <w:bCs w:val="1"/>
          <w:color w:val="auto"/>
        </w:rPr>
        <w:t>Non-iron-containing phosphate binders</w:t>
      </w:r>
      <w:r>
        <w:rPr>
          <w:rFonts w:ascii="Arial" w:cs="Arial" w:eastAsia="Arial" w:hAnsi="Arial"/>
          <w:sz w:val="20"/>
          <w:szCs w:val="20"/>
          <w:color w:val="auto"/>
        </w:rPr>
        <w:t>: Administer VAFSEO at least 1 hour before or 2 hours after non-iron-containing phosphate binders.</w:t>
      </w:r>
    </w:p>
    <w:p>
      <w:pPr>
        <w:ind w:left="620" w:hanging="288"/>
        <w:spacing w:after="0" w:line="215" w:lineRule="auto"/>
        <w:tabs>
          <w:tab w:leader="none" w:pos="620" w:val="left"/>
        </w:tabs>
        <w:numPr>
          <w:ilvl w:val="0"/>
          <w:numId w:val="16"/>
        </w:numPr>
        <w:rPr>
          <w:rFonts w:ascii="Arial" w:cs="Arial" w:eastAsia="Arial" w:hAnsi="Arial"/>
          <w:sz w:val="22"/>
          <w:szCs w:val="22"/>
          <w:color w:val="auto"/>
        </w:rPr>
      </w:pPr>
      <w:r>
        <w:rPr>
          <w:rFonts w:ascii="Arial" w:cs="Arial" w:eastAsia="Arial" w:hAnsi="Arial"/>
          <w:sz w:val="20"/>
          <w:szCs w:val="20"/>
          <w:b w:val="1"/>
          <w:bCs w:val="1"/>
          <w:color w:val="auto"/>
        </w:rPr>
        <w:t>BCRP substrates</w:t>
      </w:r>
      <w:r>
        <w:rPr>
          <w:rFonts w:ascii="Arial" w:cs="Arial" w:eastAsia="Arial" w:hAnsi="Arial"/>
          <w:sz w:val="20"/>
          <w:szCs w:val="20"/>
          <w:color w:val="auto"/>
        </w:rPr>
        <w:t>: Monitor for signs of substrate adverse reactions and consider dose reduction.</w:t>
      </w:r>
    </w:p>
    <w:p>
      <w:pPr>
        <w:ind w:left="660" w:right="160" w:hanging="328"/>
        <w:spacing w:after="0" w:line="251" w:lineRule="auto"/>
        <w:tabs>
          <w:tab w:leader="none" w:pos="628" w:val="left"/>
        </w:tabs>
        <w:numPr>
          <w:ilvl w:val="0"/>
          <w:numId w:val="16"/>
        </w:numPr>
        <w:rPr>
          <w:rFonts w:ascii="Arial" w:cs="Arial" w:eastAsia="Arial" w:hAnsi="Arial"/>
          <w:sz w:val="22"/>
          <w:szCs w:val="22"/>
          <w:color w:val="auto"/>
        </w:rPr>
      </w:pPr>
      <w:r>
        <w:rPr>
          <w:rFonts w:ascii="Arial" w:cs="Arial" w:eastAsia="Arial" w:hAnsi="Arial"/>
          <w:sz w:val="20"/>
          <w:szCs w:val="20"/>
          <w:b w:val="1"/>
          <w:bCs w:val="1"/>
          <w:color w:val="auto"/>
        </w:rPr>
        <w:t>Statins</w:t>
      </w:r>
      <w:r>
        <w:rPr>
          <w:rFonts w:ascii="Arial" w:cs="Arial" w:eastAsia="Arial" w:hAnsi="Arial"/>
          <w:sz w:val="20"/>
          <w:szCs w:val="20"/>
          <w:color w:val="auto"/>
        </w:rPr>
        <w:t>: Monitor for statin-related adverse reactions. Limit the daily dose of simvastatin to 20 mg and</w:t>
      </w:r>
      <w:r>
        <w:rPr>
          <w:rFonts w:ascii="Arial" w:cs="Arial" w:eastAsia="Arial" w:hAnsi="Arial"/>
          <w:sz w:val="20"/>
          <w:szCs w:val="20"/>
          <w:b w:val="1"/>
          <w:bCs w:val="1"/>
          <w:color w:val="auto"/>
        </w:rPr>
        <w:t xml:space="preserve"> </w:t>
      </w:r>
      <w:r>
        <w:rPr>
          <w:rFonts w:ascii="Arial" w:cs="Arial" w:eastAsia="Arial" w:hAnsi="Arial"/>
          <w:sz w:val="21"/>
          <w:szCs w:val="21"/>
          <w:color w:val="auto"/>
        </w:rPr>
        <w:t>rosuvastatin to 5</w:t>
      </w:r>
      <w:r>
        <w:rPr>
          <w:rFonts w:ascii="Arial" w:cs="Arial" w:eastAsia="Arial" w:hAnsi="Arial"/>
          <w:sz w:val="20"/>
          <w:szCs w:val="20"/>
          <w:b w:val="1"/>
          <w:bCs w:val="1"/>
          <w:color w:val="auto"/>
        </w:rPr>
        <w:t xml:space="preserve"> </w:t>
      </w:r>
      <w:r>
        <w:rPr>
          <w:rFonts w:ascii="Arial" w:cs="Arial" w:eastAsia="Arial" w:hAnsi="Arial"/>
          <w:sz w:val="21"/>
          <w:szCs w:val="21"/>
          <w:color w:val="auto"/>
        </w:rPr>
        <w:t>mg.</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USE IN SPECIFIC POPULATIONS</w:t>
      </w:r>
    </w:p>
    <w:p>
      <w:pPr>
        <w:spacing w:after="0" w:line="17" w:lineRule="exact"/>
        <w:rPr>
          <w:sz w:val="20"/>
          <w:szCs w:val="20"/>
          <w:color w:val="auto"/>
        </w:rPr>
      </w:pPr>
    </w:p>
    <w:p>
      <w:pPr>
        <w:ind w:left="660" w:right="60" w:hanging="328"/>
        <w:spacing w:after="0" w:line="236" w:lineRule="auto"/>
        <w:tabs>
          <w:tab w:leader="none" w:pos="628" w:val="left"/>
        </w:tabs>
        <w:numPr>
          <w:ilvl w:val="0"/>
          <w:numId w:val="17"/>
        </w:numPr>
        <w:rPr>
          <w:rFonts w:ascii="Arial" w:cs="Arial" w:eastAsia="Arial" w:hAnsi="Arial"/>
          <w:sz w:val="22"/>
          <w:szCs w:val="22"/>
          <w:color w:val="auto"/>
        </w:rPr>
      </w:pPr>
      <w:r>
        <w:rPr>
          <w:rFonts w:ascii="Arial" w:cs="Arial" w:eastAsia="Arial" w:hAnsi="Arial"/>
          <w:sz w:val="20"/>
          <w:szCs w:val="20"/>
          <w:color w:val="auto"/>
        </w:rPr>
        <w:t>Pregnancy: May cause fetal harm. A pregnancy exposure registry is available to monitor outcomes in women exposed to VAFSEO during pregnancy. Report pregnancies to 1-844-445-3799.</w:t>
      </w:r>
    </w:p>
    <w:p>
      <w:pPr>
        <w:ind w:left="620" w:hanging="288"/>
        <w:spacing w:after="0" w:line="230" w:lineRule="auto"/>
        <w:tabs>
          <w:tab w:leader="none" w:pos="620" w:val="left"/>
        </w:tabs>
        <w:numPr>
          <w:ilvl w:val="0"/>
          <w:numId w:val="17"/>
        </w:numPr>
        <w:rPr>
          <w:rFonts w:ascii="Arial" w:cs="Arial" w:eastAsia="Arial" w:hAnsi="Arial"/>
          <w:sz w:val="22"/>
          <w:szCs w:val="22"/>
          <w:color w:val="auto"/>
        </w:rPr>
      </w:pPr>
      <w:r>
        <w:rPr>
          <w:rFonts w:ascii="Arial" w:cs="Arial" w:eastAsia="Arial" w:hAnsi="Arial"/>
          <w:sz w:val="20"/>
          <w:szCs w:val="20"/>
          <w:color w:val="auto"/>
        </w:rPr>
        <w:t>Lactation: Breastfeeding not recommended until two days after the final dose.</w:t>
      </w:r>
    </w:p>
    <w:p>
      <w:pPr>
        <w:ind w:left="620" w:hanging="288"/>
        <w:spacing w:after="0"/>
        <w:tabs>
          <w:tab w:leader="none" w:pos="620" w:val="left"/>
        </w:tabs>
        <w:numPr>
          <w:ilvl w:val="0"/>
          <w:numId w:val="17"/>
        </w:numPr>
        <w:rPr>
          <w:rFonts w:ascii="Arial" w:cs="Arial" w:eastAsia="Arial" w:hAnsi="Arial"/>
          <w:sz w:val="22"/>
          <w:szCs w:val="22"/>
          <w:color w:val="auto"/>
        </w:rPr>
      </w:pPr>
      <w:r>
        <w:rPr>
          <w:rFonts w:ascii="Arial" w:cs="Arial" w:eastAsia="Arial" w:hAnsi="Arial"/>
          <w:sz w:val="20"/>
          <w:szCs w:val="20"/>
          <w:color w:val="auto"/>
        </w:rPr>
        <w:t>Hepatic Impairment</w:t>
      </w:r>
      <w:r>
        <w:rPr>
          <w:rFonts w:ascii="Arial" w:cs="Arial" w:eastAsia="Arial" w:hAnsi="Arial"/>
          <w:sz w:val="21"/>
          <w:szCs w:val="21"/>
          <w:b w:val="1"/>
          <w:bCs w:val="1"/>
          <w:color w:val="auto"/>
        </w:rPr>
        <w:t>:</w:t>
      </w:r>
      <w:r>
        <w:rPr>
          <w:rFonts w:ascii="Arial" w:cs="Arial" w:eastAsia="Arial" w:hAnsi="Arial"/>
          <w:sz w:val="20"/>
          <w:szCs w:val="20"/>
          <w:color w:val="auto"/>
        </w:rPr>
        <w:t xml:space="preserve"> Not recommended in patients with cirrhosis or active, acute liver disease.</w:t>
      </w:r>
    </w:p>
    <w:p>
      <w:pPr>
        <w:sectPr>
          <w:pgSz w:w="11900" w:h="16838" w:orient="portrait"/>
          <w:cols w:equalWidth="0" w:num="1">
            <w:col w:w="11240"/>
          </w:cols>
          <w:pgMar w:left="320" w:top="602" w:right="339" w:bottom="1440" w:gutter="0" w:footer="0" w:header="0"/>
        </w:sectPr>
      </w:pPr>
    </w:p>
    <w:bookmarkStart w:id="8" w:name="page9"/>
    <w:bookmarkEnd w:id="8"/>
    <w:p>
      <w:pPr>
        <w:jc w:val="right"/>
        <w:spacing w:after="0"/>
        <w:rPr>
          <w:sz w:val="20"/>
          <w:szCs w:val="20"/>
          <w:color w:val="auto"/>
        </w:rPr>
      </w:pPr>
      <w:r>
        <w:rPr>
          <w:rFonts w:ascii="Arial" w:cs="Arial" w:eastAsia="Arial" w:hAnsi="Arial"/>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920"/>
        <w:spacing w:after="0" w:line="291" w:lineRule="auto"/>
        <w:rPr>
          <w:sz w:val="20"/>
          <w:szCs w:val="20"/>
          <w:color w:val="auto"/>
        </w:rPr>
      </w:pPr>
      <w:r>
        <w:rPr>
          <w:rFonts w:ascii="Arial" w:cs="Arial" w:eastAsia="Arial" w:hAnsi="Arial"/>
          <w:sz w:val="20"/>
          <w:szCs w:val="20"/>
          <w:b w:val="1"/>
          <w:bCs w:val="1"/>
          <w:color w:val="auto"/>
        </w:rPr>
        <w:t xml:space="preserve">Please note that this information is not comprehensive. Please click </w:t>
      </w:r>
      <w:r>
        <w:rPr>
          <w:rFonts w:ascii="Arial" w:cs="Arial" w:eastAsia="Arial" w:hAnsi="Arial"/>
          <w:sz w:val="21"/>
          <w:szCs w:val="21"/>
          <w:b w:val="1"/>
          <w:bCs w:val="1"/>
          <w:u w:val="single" w:color="auto"/>
          <w:color w:val="auto"/>
        </w:rPr>
        <w:t>here</w:t>
      </w:r>
      <w:r>
        <w:rPr>
          <w:rFonts w:ascii="Arial" w:cs="Arial" w:eastAsia="Arial" w:hAnsi="Arial"/>
          <w:sz w:val="20"/>
          <w:szCs w:val="20"/>
          <w:b w:val="1"/>
          <w:bCs w:val="1"/>
          <w:color w:val="auto"/>
        </w:rPr>
        <w:t xml:space="preserve"> for the Full Prescribing Information, including BOXED WARNING and Medication Guide.</w:t>
      </w:r>
    </w:p>
    <w:p>
      <w:pPr>
        <w:spacing w:after="0" w:line="3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12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Statements in this presentation regarding Akebia Therapeutics, Inc.’s (“Akebia’s”) strategy, plans, prospects, expectations, beliefs, intentions and goals are forward-looking statements within the meaning of the U.S. Private Securities Litigation Reform Act of 1995, as amended, and include, but are not limited to, statements regarding: Akebia's plans, strategies and prospects for its business; Akebia’s beliefs regarding the continued growth of the number of patients on Vafseo and ability to leverage improved patient access and adherence; Akebia’s plans with respect to its U.S. commercial launch of Vafseo®, including the potential U.S. market opportunity and plans to increase the breadth and depth of Vafseo prescribing; Akebia’s plans for Vafseo to become standard of care for treatment of anemia due to CKD in dialysis, including its ability to continue to build on the body of evidence demonstrating Vafseo’s value potential, and progress towards that goal; Akebia’s expectations and beliefs about demand for Vafseo, including the number of patients with access to Vafseo and the focus of dialysis organizations; Akebia’s plans and expectations with respect to the VOCAL and VOICE trials, including the timing of top-line data; Akebia’s expectations with respect to the potential of its expanding pipeline; Akebia’s plans and expectations with respect to praliciguat and the Phase 2 trial, including the number of patients to be enrolled in the trial; Akebia’s plans and expectations with respect to AKB-097, including the timing of initiation of, and initial data from, an open label Phase 2 basket study and the indications to be evaluated; Akebia’s plans and expectations with respect to AKB-9090, including the timing of initiation of, and top-line data from, a Phase 1 trial and the indication to be evaluated; the sufficiency of, and the period in which Akebia expects to have, cash to fund its current operating plan.</w:t>
      </w:r>
    </w:p>
    <w:p>
      <w:pPr>
        <w:spacing w:after="0" w:line="200" w:lineRule="exact"/>
        <w:rPr>
          <w:sz w:val="20"/>
          <w:szCs w:val="20"/>
          <w:color w:val="auto"/>
        </w:rPr>
      </w:pPr>
    </w:p>
    <w:p>
      <w:pPr>
        <w:spacing w:after="0" w:line="22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terms "intend," "believe," "plan," "goal," "potential," "anticipate, "estimate," "expect," "future," "will," "continue," “could”, derivatives of these words, and similar references are intended to identify forward-looking statements, although not all forward-looking statements contain these identifying words. Actual results, performance or experience may differ materially from those expressed or implied by any forward-looking statement as a result of various risks, uncertainties and other factors, including, but not limited to, risks associated with: the potential therapeutic benefits, safety profile, and effectiveness of Vafseo and Akebia’s development candidates; the results of preclinical and clinical research; Akebia’s ability to initiate and enroll patients in its clinical trials; decisions made by health authorities, such as the FDA, with respect to regulatory filings and other interactions; the potential demand and market potential and acceptance of, as well as coverage and reimbursement related to Akebia’s commercial products , including estimates regarding the potential market opportunity; the competitive landscape for Akebia’s commercial products, including generic entrants and the timing thereof; the ability of Akebia to attract and retain qualified personnel; Akebia's ability to achieve and maintain profitability and to maintain operating expenses consistent with its operating plan; manufacturing, supply chain and quality matters and any recalls, write-downs, impairments or other related consequences or potential consequences; early termination of any of Akebia's collaborations; and changes in the geopolitical environment and uncertainty surrounding U.S. trade policy on tariffs. Other risks and uncertainties include those identified under the heading "Risk Factors" in Akebia's Report on Form 10-K for the year ended December 31, 2025, and other filings that Akebia may make with the U.S. Securities and Exchange Commission in the future. These forward-looking statements (except as otherwise noted) speak only as of the date of this presentation, and, except as required by law, Akebia does not undertake, and specifically disclaims, any obligation to update any forward-looking statements contained in this presentation.</w:t>
      </w:r>
    </w:p>
    <w:p>
      <w:pPr>
        <w:sectPr>
          <w:pgSz w:w="11900" w:h="16838" w:orient="portrait"/>
          <w:cols w:equalWidth="0" w:num="1">
            <w:col w:w="11240"/>
          </w:cols>
          <w:pgMar w:left="320" w:top="602" w:right="339" w:bottom="1440" w:gutter="0" w:footer="0" w:header="0"/>
        </w:sectPr>
      </w:pPr>
    </w:p>
    <w:bookmarkStart w:id="9" w:name="page10"/>
    <w:bookmarkEnd w:id="9"/>
    <w:p>
      <w:pPr>
        <w:jc w:val="right"/>
        <w:spacing w:after="0"/>
        <w:rPr>
          <w:sz w:val="20"/>
          <w:szCs w:val="20"/>
          <w:color w:val="auto"/>
        </w:rPr>
      </w:pPr>
      <w:r>
        <w:rPr>
          <w:rFonts w:ascii="Arial" w:cs="Arial" w:eastAsia="Arial" w:hAnsi="Arial"/>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right="880"/>
        <w:spacing w:after="0" w:line="352" w:lineRule="auto"/>
        <w:rPr>
          <w:sz w:val="20"/>
          <w:szCs w:val="20"/>
          <w:color w:val="auto"/>
        </w:rPr>
      </w:pPr>
      <w:r>
        <w:rPr>
          <w:rFonts w:ascii="Arial" w:cs="Arial" w:eastAsia="Arial" w:hAnsi="Arial"/>
          <w:sz w:val="20"/>
          <w:szCs w:val="20"/>
          <w:color w:val="auto"/>
        </w:rPr>
        <w:t xml:space="preserve">Akebia Therapeutics®, Auryxia® and Vafseo® are registered trademarks of Akebia Therapeutics, Inc. and its affiliates. </w:t>
      </w:r>
      <w:r>
        <w:rPr>
          <w:rFonts w:ascii="Arial" w:cs="Arial" w:eastAsia="Arial" w:hAnsi="Arial"/>
          <w:sz w:val="20"/>
          <w:szCs w:val="20"/>
          <w:b w:val="1"/>
          <w:bCs w:val="1"/>
          <w:color w:val="auto"/>
        </w:rPr>
        <w:t>Akebia Therapeutics Contact</w:t>
      </w:r>
    </w:p>
    <w:p>
      <w:pPr>
        <w:spacing w:after="0"/>
        <w:rPr>
          <w:sz w:val="20"/>
          <w:szCs w:val="20"/>
          <w:color w:val="auto"/>
        </w:rPr>
      </w:pPr>
      <w:r>
        <w:rPr>
          <w:rFonts w:ascii="Arial" w:cs="Arial" w:eastAsia="Arial" w:hAnsi="Arial"/>
          <w:sz w:val="20"/>
          <w:szCs w:val="20"/>
          <w:color w:val="auto"/>
        </w:rPr>
        <w:t>Mercedes Carrasco</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mcarrasco@akebia.com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AKEBIA THERAPEUTICS, INC.</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Condensed Consolidated Statements of Operations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94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3820" w:type="dxa"/>
            <w:vAlign w:val="bottom"/>
            <w:tcBorders>
              <w:bottom w:val="single" w:sz="8" w:color="auto"/>
            </w:tcBorders>
            <w:gridSpan w:val="4"/>
          </w:tcPr>
          <w:p>
            <w:pPr>
              <w:jc w:val="right"/>
              <w:ind w:right="879"/>
              <w:spacing w:after="0"/>
              <w:rPr>
                <w:sz w:val="20"/>
                <w:szCs w:val="20"/>
                <w:color w:val="auto"/>
              </w:rPr>
            </w:pPr>
            <w:r>
              <w:rPr>
                <w:rFonts w:ascii="Arial" w:cs="Arial" w:eastAsia="Arial" w:hAnsi="Arial"/>
                <w:sz w:val="16"/>
                <w:szCs w:val="16"/>
                <w:b w:val="1"/>
                <w:bCs w:val="1"/>
                <w:color w:val="auto"/>
              </w:rPr>
              <w:t>Three Months Ended March 31,</w:t>
            </w:r>
          </w:p>
        </w:tc>
      </w:tr>
      <w:tr>
        <w:trPr>
          <w:trHeight w:val="239"/>
        </w:trPr>
        <w:tc>
          <w:tcPr>
            <w:tcW w:w="69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thousands, except per share data)</w:t>
            </w:r>
          </w:p>
        </w:tc>
        <w:tc>
          <w:tcPr>
            <w:tcW w:w="4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2026</w:t>
            </w:r>
          </w:p>
        </w:tc>
        <w:tc>
          <w:tcPr>
            <w:tcW w:w="1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2025</w:t>
            </w:r>
          </w:p>
        </w:tc>
      </w:tr>
      <w:tr>
        <w:trPr>
          <w:trHeight w:val="237"/>
        </w:trPr>
        <w:tc>
          <w:tcPr>
            <w:tcW w:w="6940" w:type="dxa"/>
            <w:vAlign w:val="bottom"/>
          </w:tcPr>
          <w:p>
            <w:pPr>
              <w:ind w:left="20"/>
              <w:spacing w:after="0"/>
              <w:rPr>
                <w:sz w:val="20"/>
                <w:szCs w:val="20"/>
                <w:color w:val="auto"/>
              </w:rPr>
            </w:pPr>
            <w:r>
              <w:rPr>
                <w:rFonts w:ascii="Arial" w:cs="Arial" w:eastAsia="Arial" w:hAnsi="Arial"/>
                <w:sz w:val="16"/>
                <w:szCs w:val="16"/>
                <w:b w:val="1"/>
                <w:bCs w:val="1"/>
                <w:color w:val="auto"/>
              </w:rPr>
              <w:t>Revenues</w:t>
            </w:r>
          </w:p>
        </w:tc>
        <w:tc>
          <w:tcPr>
            <w:tcW w:w="4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47"/>
        </w:trPr>
        <w:tc>
          <w:tcPr>
            <w:tcW w:w="6940" w:type="dxa"/>
            <w:vAlign w:val="bottom"/>
            <w:shd w:val="clear" w:color="auto" w:fill="DBDBDB"/>
          </w:tcPr>
          <w:p>
            <w:pPr>
              <w:ind w:left="360"/>
              <w:spacing w:after="0"/>
              <w:rPr>
                <w:sz w:val="20"/>
                <w:szCs w:val="20"/>
                <w:color w:val="auto"/>
              </w:rPr>
            </w:pPr>
            <w:r>
              <w:rPr>
                <w:rFonts w:ascii="Arial" w:cs="Arial" w:eastAsia="Arial" w:hAnsi="Arial"/>
                <w:sz w:val="16"/>
                <w:szCs w:val="16"/>
                <w:color w:val="auto"/>
              </w:rPr>
              <w:t>Product revenue, net</w:t>
            </w:r>
          </w:p>
        </w:tc>
        <w:tc>
          <w:tcPr>
            <w:tcW w:w="480" w:type="dxa"/>
            <w:vAlign w:val="bottom"/>
            <w:shd w:val="clear" w:color="auto" w:fill="DBDBDB"/>
          </w:tcPr>
          <w:p>
            <w:pPr>
              <w:jc w:val="right"/>
              <w:ind w:right="299"/>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51,992</w:t>
            </w:r>
          </w:p>
        </w:tc>
        <w:tc>
          <w:tcPr>
            <w:tcW w:w="120" w:type="dxa"/>
            <w:vAlign w:val="bottom"/>
            <w:shd w:val="clear" w:color="auto" w:fill="DBDBDB"/>
          </w:tcPr>
          <w:p>
            <w:pPr>
              <w:spacing w:after="0"/>
              <w:rPr>
                <w:sz w:val="21"/>
                <w:szCs w:val="21"/>
                <w:color w:val="auto"/>
              </w:rPr>
            </w:pPr>
          </w:p>
        </w:tc>
        <w:tc>
          <w:tcPr>
            <w:tcW w:w="500" w:type="dxa"/>
            <w:vAlign w:val="bottom"/>
            <w:shd w:val="clear" w:color="auto" w:fill="DBDBDB"/>
          </w:tcPr>
          <w:p>
            <w:pPr>
              <w:jc w:val="right"/>
              <w:ind w:right="299"/>
              <w:spacing w:after="0"/>
              <w:rPr>
                <w:sz w:val="20"/>
                <w:szCs w:val="20"/>
                <w:color w:val="auto"/>
              </w:rPr>
            </w:pPr>
            <w:r>
              <w:rPr>
                <w:rFonts w:ascii="Arial" w:cs="Arial" w:eastAsia="Arial" w:hAnsi="Arial"/>
                <w:sz w:val="16"/>
                <w:szCs w:val="16"/>
                <w:color w:val="auto"/>
              </w:rPr>
              <w:t>$</w:t>
            </w:r>
          </w:p>
        </w:tc>
        <w:tc>
          <w:tcPr>
            <w:tcW w:w="16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55,791</w:t>
            </w:r>
          </w:p>
        </w:tc>
      </w:tr>
      <w:tr>
        <w:trPr>
          <w:trHeight w:val="237"/>
        </w:trPr>
        <w:tc>
          <w:tcPr>
            <w:tcW w:w="6940" w:type="dxa"/>
            <w:vAlign w:val="bottom"/>
            <w:tcBorders>
              <w:bottom w:val="single" w:sz="8" w:color="DBDBDB"/>
            </w:tcBorders>
          </w:tcPr>
          <w:p>
            <w:pPr>
              <w:ind w:left="360"/>
              <w:spacing w:after="0"/>
              <w:rPr>
                <w:sz w:val="20"/>
                <w:szCs w:val="20"/>
                <w:color w:val="auto"/>
              </w:rPr>
            </w:pPr>
            <w:r>
              <w:rPr>
                <w:rFonts w:ascii="Arial" w:cs="Arial" w:eastAsia="Arial" w:hAnsi="Arial"/>
                <w:sz w:val="16"/>
                <w:szCs w:val="16"/>
                <w:color w:val="auto"/>
              </w:rPr>
              <w:t>License, collaboration and other revenue</w:t>
            </w:r>
          </w:p>
        </w:tc>
        <w:tc>
          <w:tcPr>
            <w:tcW w:w="4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1,552</w:t>
            </w:r>
          </w:p>
        </w:tc>
        <w:tc>
          <w:tcPr>
            <w:tcW w:w="120" w:type="dxa"/>
            <w:vAlign w:val="bottom"/>
            <w:tcBorders>
              <w:bottom w:val="single" w:sz="8" w:color="DBDBDB"/>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1,545</w:t>
            </w:r>
          </w:p>
        </w:tc>
      </w:tr>
      <w:tr>
        <w:trPr>
          <w:trHeight w:val="243"/>
        </w:trPr>
        <w:tc>
          <w:tcPr>
            <w:tcW w:w="6940" w:type="dxa"/>
            <w:vAlign w:val="bottom"/>
            <w:shd w:val="clear" w:color="auto" w:fill="DBDBDB"/>
          </w:tcPr>
          <w:p>
            <w:pPr>
              <w:ind w:left="480"/>
              <w:spacing w:after="0"/>
              <w:rPr>
                <w:sz w:val="20"/>
                <w:szCs w:val="20"/>
                <w:color w:val="auto"/>
              </w:rPr>
            </w:pPr>
            <w:r>
              <w:rPr>
                <w:rFonts w:ascii="Arial" w:cs="Arial" w:eastAsia="Arial" w:hAnsi="Arial"/>
                <w:sz w:val="16"/>
                <w:szCs w:val="16"/>
                <w:color w:val="auto"/>
              </w:rPr>
              <w:t>Total revenues</w:t>
            </w:r>
          </w:p>
        </w:tc>
        <w:tc>
          <w:tcPr>
            <w:tcW w:w="480" w:type="dxa"/>
            <w:vAlign w:val="bottom"/>
            <w:shd w:val="clear" w:color="auto" w:fill="DBDBDB"/>
          </w:tcPr>
          <w:p>
            <w:pPr>
              <w:spacing w:after="0"/>
              <w:rPr>
                <w:sz w:val="21"/>
                <w:szCs w:val="21"/>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53,544</w:t>
            </w:r>
          </w:p>
        </w:tc>
        <w:tc>
          <w:tcPr>
            <w:tcW w:w="120" w:type="dxa"/>
            <w:vAlign w:val="bottom"/>
            <w:shd w:val="clear" w:color="auto" w:fill="DBDBDB"/>
          </w:tcPr>
          <w:p>
            <w:pPr>
              <w:spacing w:after="0"/>
              <w:rPr>
                <w:sz w:val="21"/>
                <w:szCs w:val="21"/>
                <w:color w:val="auto"/>
              </w:rPr>
            </w:pPr>
          </w:p>
        </w:tc>
        <w:tc>
          <w:tcPr>
            <w:tcW w:w="500" w:type="dxa"/>
            <w:vAlign w:val="bottom"/>
            <w:shd w:val="clear" w:color="auto" w:fill="DBDBDB"/>
          </w:tcPr>
          <w:p>
            <w:pPr>
              <w:spacing w:after="0"/>
              <w:rPr>
                <w:sz w:val="21"/>
                <w:szCs w:val="21"/>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57,336</w:t>
            </w:r>
          </w:p>
        </w:tc>
      </w:tr>
      <w:tr>
        <w:trPr>
          <w:trHeight w:val="239"/>
        </w:trPr>
        <w:tc>
          <w:tcPr>
            <w:tcW w:w="6940" w:type="dxa"/>
            <w:vAlign w:val="bottom"/>
          </w:tcPr>
          <w:p>
            <w:pPr>
              <w:ind w:left="20"/>
              <w:spacing w:after="0"/>
              <w:rPr>
                <w:sz w:val="20"/>
                <w:szCs w:val="20"/>
                <w:color w:val="auto"/>
              </w:rPr>
            </w:pPr>
            <w:r>
              <w:rPr>
                <w:rFonts w:ascii="Arial" w:cs="Arial" w:eastAsia="Arial" w:hAnsi="Arial"/>
                <w:sz w:val="16"/>
                <w:szCs w:val="16"/>
                <w:b w:val="1"/>
                <w:bCs w:val="1"/>
                <w:color w:val="auto"/>
              </w:rPr>
              <w:t>Cost of goods sold</w:t>
            </w:r>
          </w:p>
        </w:tc>
        <w:tc>
          <w:tcPr>
            <w:tcW w:w="4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47"/>
        </w:trPr>
        <w:tc>
          <w:tcPr>
            <w:tcW w:w="6940" w:type="dxa"/>
            <w:vAlign w:val="bottom"/>
            <w:shd w:val="clear" w:color="auto" w:fill="DBDBDB"/>
          </w:tcPr>
          <w:p>
            <w:pPr>
              <w:ind w:left="360"/>
              <w:spacing w:after="0"/>
              <w:rPr>
                <w:sz w:val="20"/>
                <w:szCs w:val="20"/>
                <w:color w:val="auto"/>
              </w:rPr>
            </w:pPr>
            <w:r>
              <w:rPr>
                <w:rFonts w:ascii="Arial" w:cs="Arial" w:eastAsia="Arial" w:hAnsi="Arial"/>
                <w:sz w:val="16"/>
                <w:szCs w:val="16"/>
                <w:color w:val="auto"/>
              </w:rPr>
              <w:t>Cost of product and other revenue</w:t>
            </w:r>
          </w:p>
        </w:tc>
        <w:tc>
          <w:tcPr>
            <w:tcW w:w="480" w:type="dxa"/>
            <w:vAlign w:val="bottom"/>
            <w:tcBorders>
              <w:bottom w:val="single" w:sz="8" w:color="auto"/>
            </w:tcBorders>
            <w:shd w:val="clear" w:color="auto" w:fill="DBDBDB"/>
          </w:tcPr>
          <w:p>
            <w:pPr>
              <w:spacing w:after="0"/>
              <w:rPr>
                <w:sz w:val="21"/>
                <w:szCs w:val="21"/>
                <w:color w:val="auto"/>
              </w:rPr>
            </w:pPr>
          </w:p>
        </w:tc>
        <w:tc>
          <w:tcPr>
            <w:tcW w:w="1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12,290</w:t>
            </w:r>
          </w:p>
        </w:tc>
        <w:tc>
          <w:tcPr>
            <w:tcW w:w="120" w:type="dxa"/>
            <w:vAlign w:val="bottom"/>
            <w:shd w:val="clear" w:color="auto" w:fill="DBDBDB"/>
          </w:tcPr>
          <w:p>
            <w:pPr>
              <w:spacing w:after="0"/>
              <w:rPr>
                <w:sz w:val="21"/>
                <w:szCs w:val="21"/>
                <w:color w:val="auto"/>
              </w:rPr>
            </w:pPr>
          </w:p>
        </w:tc>
        <w:tc>
          <w:tcPr>
            <w:tcW w:w="500" w:type="dxa"/>
            <w:vAlign w:val="bottom"/>
            <w:tcBorders>
              <w:bottom w:val="single" w:sz="8" w:color="auto"/>
            </w:tcBorders>
            <w:shd w:val="clear" w:color="auto" w:fill="DBDBDB"/>
          </w:tcPr>
          <w:p>
            <w:pPr>
              <w:spacing w:after="0"/>
              <w:rPr>
                <w:sz w:val="21"/>
                <w:szCs w:val="21"/>
                <w:color w:val="auto"/>
              </w:rPr>
            </w:pPr>
          </w:p>
        </w:tc>
        <w:tc>
          <w:tcPr>
            <w:tcW w:w="1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7,625</w:t>
            </w:r>
          </w:p>
        </w:tc>
      </w:tr>
      <w:tr>
        <w:trPr>
          <w:trHeight w:val="229"/>
        </w:trPr>
        <w:tc>
          <w:tcPr>
            <w:tcW w:w="6940" w:type="dxa"/>
            <w:vAlign w:val="bottom"/>
          </w:tcPr>
          <w:p>
            <w:pPr>
              <w:ind w:left="480"/>
              <w:spacing w:after="0"/>
              <w:rPr>
                <w:sz w:val="20"/>
                <w:szCs w:val="20"/>
                <w:color w:val="auto"/>
              </w:rPr>
            </w:pPr>
            <w:r>
              <w:rPr>
                <w:rFonts w:ascii="Arial" w:cs="Arial" w:eastAsia="Arial" w:hAnsi="Arial"/>
                <w:sz w:val="16"/>
                <w:szCs w:val="16"/>
                <w:color w:val="auto"/>
              </w:rPr>
              <w:t>Total cost of goods sold</w:t>
            </w:r>
          </w:p>
        </w:tc>
        <w:tc>
          <w:tcPr>
            <w:tcW w:w="4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12,290</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7,625</w:t>
            </w:r>
          </w:p>
        </w:tc>
      </w:tr>
      <w:tr>
        <w:trPr>
          <w:trHeight w:val="251"/>
        </w:trPr>
        <w:tc>
          <w:tcPr>
            <w:tcW w:w="694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Operating expenses</w:t>
            </w:r>
          </w:p>
        </w:tc>
        <w:tc>
          <w:tcPr>
            <w:tcW w:w="480" w:type="dxa"/>
            <w:vAlign w:val="bottom"/>
            <w:shd w:val="clear" w:color="auto" w:fill="DBDBDB"/>
          </w:tcPr>
          <w:p>
            <w:pPr>
              <w:spacing w:after="0"/>
              <w:rPr>
                <w:sz w:val="21"/>
                <w:szCs w:val="21"/>
                <w:color w:val="auto"/>
              </w:rPr>
            </w:pPr>
          </w:p>
        </w:tc>
        <w:tc>
          <w:tcPr>
            <w:tcW w:w="160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500" w:type="dxa"/>
            <w:vAlign w:val="bottom"/>
            <w:shd w:val="clear" w:color="auto" w:fill="DBDBDB"/>
          </w:tcPr>
          <w:p>
            <w:pPr>
              <w:spacing w:after="0"/>
              <w:rPr>
                <w:sz w:val="21"/>
                <w:szCs w:val="21"/>
                <w:color w:val="auto"/>
              </w:rPr>
            </w:pPr>
          </w:p>
        </w:tc>
        <w:tc>
          <w:tcPr>
            <w:tcW w:w="1600" w:type="dxa"/>
            <w:vAlign w:val="bottom"/>
            <w:shd w:val="clear" w:color="auto" w:fill="DBDBDB"/>
          </w:tcPr>
          <w:p>
            <w:pPr>
              <w:spacing w:after="0"/>
              <w:rPr>
                <w:sz w:val="21"/>
                <w:szCs w:val="21"/>
                <w:color w:val="auto"/>
              </w:rPr>
            </w:pPr>
          </w:p>
        </w:tc>
      </w:tr>
      <w:tr>
        <w:trPr>
          <w:trHeight w:val="235"/>
        </w:trPr>
        <w:tc>
          <w:tcPr>
            <w:tcW w:w="6940" w:type="dxa"/>
            <w:vAlign w:val="bottom"/>
          </w:tcPr>
          <w:p>
            <w:pPr>
              <w:ind w:left="360"/>
              <w:spacing w:after="0"/>
              <w:rPr>
                <w:sz w:val="20"/>
                <w:szCs w:val="20"/>
                <w:color w:val="auto"/>
              </w:rPr>
            </w:pPr>
            <w:r>
              <w:rPr>
                <w:rFonts w:ascii="Arial" w:cs="Arial" w:eastAsia="Arial" w:hAnsi="Arial"/>
                <w:sz w:val="16"/>
                <w:szCs w:val="16"/>
                <w:color w:val="auto"/>
              </w:rPr>
              <w:t>Research and development</w:t>
            </w:r>
          </w:p>
        </w:tc>
        <w:tc>
          <w:tcPr>
            <w:tcW w:w="4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14,807</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9,754</w:t>
            </w:r>
          </w:p>
        </w:tc>
      </w:tr>
      <w:tr>
        <w:trPr>
          <w:trHeight w:val="251"/>
        </w:trPr>
        <w:tc>
          <w:tcPr>
            <w:tcW w:w="6940" w:type="dxa"/>
            <w:vAlign w:val="bottom"/>
            <w:shd w:val="clear" w:color="auto" w:fill="DBDBDB"/>
          </w:tcPr>
          <w:p>
            <w:pPr>
              <w:ind w:left="360"/>
              <w:spacing w:after="0"/>
              <w:rPr>
                <w:sz w:val="20"/>
                <w:szCs w:val="20"/>
                <w:color w:val="auto"/>
              </w:rPr>
            </w:pPr>
            <w:r>
              <w:rPr>
                <w:rFonts w:ascii="Arial" w:cs="Arial" w:eastAsia="Arial" w:hAnsi="Arial"/>
                <w:sz w:val="16"/>
                <w:szCs w:val="16"/>
                <w:color w:val="auto"/>
              </w:rPr>
              <w:t>Selling, general and administrative</w:t>
            </w:r>
          </w:p>
        </w:tc>
        <w:tc>
          <w:tcPr>
            <w:tcW w:w="480" w:type="dxa"/>
            <w:vAlign w:val="bottom"/>
            <w:shd w:val="clear" w:color="auto" w:fill="DBDBDB"/>
          </w:tcPr>
          <w:p>
            <w:pPr>
              <w:spacing w:after="0"/>
              <w:rPr>
                <w:sz w:val="21"/>
                <w:szCs w:val="21"/>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30,436</w:t>
            </w:r>
          </w:p>
        </w:tc>
        <w:tc>
          <w:tcPr>
            <w:tcW w:w="120" w:type="dxa"/>
            <w:vAlign w:val="bottom"/>
            <w:shd w:val="clear" w:color="auto" w:fill="DBDBDB"/>
          </w:tcPr>
          <w:p>
            <w:pPr>
              <w:spacing w:after="0"/>
              <w:rPr>
                <w:sz w:val="21"/>
                <w:szCs w:val="21"/>
                <w:color w:val="auto"/>
              </w:rPr>
            </w:pPr>
          </w:p>
        </w:tc>
        <w:tc>
          <w:tcPr>
            <w:tcW w:w="500" w:type="dxa"/>
            <w:vAlign w:val="bottom"/>
            <w:shd w:val="clear" w:color="auto" w:fill="DBDBDB"/>
          </w:tcPr>
          <w:p>
            <w:pPr>
              <w:spacing w:after="0"/>
              <w:rPr>
                <w:sz w:val="21"/>
                <w:szCs w:val="21"/>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25,742</w:t>
            </w:r>
          </w:p>
        </w:tc>
      </w:tr>
      <w:tr>
        <w:trPr>
          <w:trHeight w:val="236"/>
        </w:trPr>
        <w:tc>
          <w:tcPr>
            <w:tcW w:w="6940" w:type="dxa"/>
            <w:vAlign w:val="bottom"/>
            <w:tcBorders>
              <w:bottom w:val="single" w:sz="8" w:color="DBDBDB"/>
            </w:tcBorders>
          </w:tcPr>
          <w:p>
            <w:pPr>
              <w:ind w:left="360"/>
              <w:spacing w:after="0"/>
              <w:rPr>
                <w:sz w:val="20"/>
                <w:szCs w:val="20"/>
                <w:color w:val="auto"/>
              </w:rPr>
            </w:pPr>
            <w:r>
              <w:rPr>
                <w:rFonts w:ascii="Arial" w:cs="Arial" w:eastAsia="Arial" w:hAnsi="Arial"/>
                <w:sz w:val="16"/>
                <w:szCs w:val="16"/>
                <w:color w:val="auto"/>
              </w:rPr>
              <w:t>License</w:t>
            </w:r>
          </w:p>
        </w:tc>
        <w:tc>
          <w:tcPr>
            <w:tcW w:w="4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707</w:t>
            </w:r>
          </w:p>
        </w:tc>
        <w:tc>
          <w:tcPr>
            <w:tcW w:w="120" w:type="dxa"/>
            <w:vAlign w:val="bottom"/>
            <w:tcBorders>
              <w:bottom w:val="single" w:sz="8" w:color="DBDBDB"/>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701</w:t>
            </w:r>
          </w:p>
        </w:tc>
      </w:tr>
      <w:tr>
        <w:trPr>
          <w:trHeight w:val="243"/>
        </w:trPr>
        <w:tc>
          <w:tcPr>
            <w:tcW w:w="6940" w:type="dxa"/>
            <w:vAlign w:val="bottom"/>
            <w:shd w:val="clear" w:color="auto" w:fill="DBDBDB"/>
          </w:tcPr>
          <w:p>
            <w:pPr>
              <w:ind w:left="480"/>
              <w:spacing w:after="0"/>
              <w:rPr>
                <w:sz w:val="20"/>
                <w:szCs w:val="20"/>
                <w:color w:val="auto"/>
              </w:rPr>
            </w:pPr>
            <w:r>
              <w:rPr>
                <w:rFonts w:ascii="Arial" w:cs="Arial" w:eastAsia="Arial" w:hAnsi="Arial"/>
                <w:sz w:val="16"/>
                <w:szCs w:val="16"/>
                <w:color w:val="auto"/>
              </w:rPr>
              <w:t>Total operating expenses</w:t>
            </w:r>
          </w:p>
        </w:tc>
        <w:tc>
          <w:tcPr>
            <w:tcW w:w="480" w:type="dxa"/>
            <w:vAlign w:val="bottom"/>
            <w:tcBorders>
              <w:bottom w:val="single" w:sz="8" w:color="auto"/>
            </w:tcBorders>
            <w:shd w:val="clear" w:color="auto" w:fill="DBDBDB"/>
          </w:tcPr>
          <w:p>
            <w:pPr>
              <w:spacing w:after="0"/>
              <w:rPr>
                <w:sz w:val="21"/>
                <w:szCs w:val="21"/>
                <w:color w:val="auto"/>
              </w:rPr>
            </w:pPr>
          </w:p>
        </w:tc>
        <w:tc>
          <w:tcPr>
            <w:tcW w:w="1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45,950</w:t>
            </w:r>
          </w:p>
        </w:tc>
        <w:tc>
          <w:tcPr>
            <w:tcW w:w="120" w:type="dxa"/>
            <w:vAlign w:val="bottom"/>
            <w:shd w:val="clear" w:color="auto" w:fill="DBDBDB"/>
          </w:tcPr>
          <w:p>
            <w:pPr>
              <w:spacing w:after="0"/>
              <w:rPr>
                <w:sz w:val="21"/>
                <w:szCs w:val="21"/>
                <w:color w:val="auto"/>
              </w:rPr>
            </w:pPr>
          </w:p>
        </w:tc>
        <w:tc>
          <w:tcPr>
            <w:tcW w:w="500" w:type="dxa"/>
            <w:vAlign w:val="bottom"/>
            <w:tcBorders>
              <w:bottom w:val="single" w:sz="8" w:color="auto"/>
            </w:tcBorders>
            <w:shd w:val="clear" w:color="auto" w:fill="DBDBDB"/>
          </w:tcPr>
          <w:p>
            <w:pPr>
              <w:spacing w:after="0"/>
              <w:rPr>
                <w:sz w:val="21"/>
                <w:szCs w:val="21"/>
                <w:color w:val="auto"/>
              </w:rPr>
            </w:pPr>
          </w:p>
        </w:tc>
        <w:tc>
          <w:tcPr>
            <w:tcW w:w="1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36,197</w:t>
            </w:r>
          </w:p>
        </w:tc>
      </w:tr>
      <w:tr>
        <w:trPr>
          <w:trHeight w:val="233"/>
        </w:trPr>
        <w:tc>
          <w:tcPr>
            <w:tcW w:w="6940" w:type="dxa"/>
            <w:vAlign w:val="bottom"/>
          </w:tcPr>
          <w:p>
            <w:pPr>
              <w:ind w:left="20"/>
              <w:spacing w:after="0"/>
              <w:rPr>
                <w:sz w:val="20"/>
                <w:szCs w:val="20"/>
                <w:color w:val="auto"/>
              </w:rPr>
            </w:pPr>
            <w:r>
              <w:rPr>
                <w:rFonts w:ascii="Arial" w:cs="Arial" w:eastAsia="Arial" w:hAnsi="Arial"/>
                <w:sz w:val="16"/>
                <w:szCs w:val="16"/>
                <w:b w:val="1"/>
                <w:bCs w:val="1"/>
                <w:color w:val="auto"/>
              </w:rPr>
              <w:t>Income (loss) from operations</w:t>
            </w:r>
          </w:p>
        </w:tc>
        <w:tc>
          <w:tcPr>
            <w:tcW w:w="4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b w:val="1"/>
                <w:bCs w:val="1"/>
                <w:color w:val="auto"/>
              </w:rPr>
              <w:t>(4,696)</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b w:val="1"/>
                <w:bCs w:val="1"/>
                <w:color w:val="auto"/>
              </w:rPr>
              <w:t>13,514</w:t>
            </w:r>
          </w:p>
        </w:tc>
      </w:tr>
      <w:tr>
        <w:trPr>
          <w:trHeight w:val="247"/>
        </w:trPr>
        <w:tc>
          <w:tcPr>
            <w:tcW w:w="6940" w:type="dxa"/>
            <w:vAlign w:val="bottom"/>
            <w:shd w:val="clear" w:color="auto" w:fill="DBDBDB"/>
          </w:tcPr>
          <w:p>
            <w:pPr>
              <w:ind w:left="20"/>
              <w:spacing w:after="0"/>
              <w:rPr>
                <w:sz w:val="20"/>
                <w:szCs w:val="20"/>
                <w:color w:val="auto"/>
              </w:rPr>
            </w:pPr>
            <w:r>
              <w:rPr>
                <w:rFonts w:ascii="Arial" w:cs="Arial" w:eastAsia="Arial" w:hAnsi="Arial"/>
                <w:sz w:val="16"/>
                <w:szCs w:val="16"/>
                <w:color w:val="auto"/>
              </w:rPr>
              <w:t>Other expense, net</w:t>
            </w:r>
          </w:p>
        </w:tc>
        <w:tc>
          <w:tcPr>
            <w:tcW w:w="480" w:type="dxa"/>
            <w:vAlign w:val="bottom"/>
            <w:shd w:val="clear" w:color="auto" w:fill="DBDBDB"/>
          </w:tcPr>
          <w:p>
            <w:pPr>
              <w:spacing w:after="0"/>
              <w:rPr>
                <w:sz w:val="21"/>
                <w:szCs w:val="21"/>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(4,688)</w:t>
            </w:r>
          </w:p>
        </w:tc>
        <w:tc>
          <w:tcPr>
            <w:tcW w:w="120" w:type="dxa"/>
            <w:vAlign w:val="bottom"/>
            <w:shd w:val="clear" w:color="auto" w:fill="DBDBDB"/>
          </w:tcPr>
          <w:p>
            <w:pPr>
              <w:spacing w:after="0"/>
              <w:rPr>
                <w:sz w:val="21"/>
                <w:szCs w:val="21"/>
                <w:color w:val="auto"/>
              </w:rPr>
            </w:pPr>
          </w:p>
        </w:tc>
        <w:tc>
          <w:tcPr>
            <w:tcW w:w="500" w:type="dxa"/>
            <w:vAlign w:val="bottom"/>
            <w:shd w:val="clear" w:color="auto" w:fill="DBDBDB"/>
          </w:tcPr>
          <w:p>
            <w:pPr>
              <w:spacing w:after="0"/>
              <w:rPr>
                <w:sz w:val="21"/>
                <w:szCs w:val="21"/>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(7,557)</w:t>
            </w:r>
          </w:p>
        </w:tc>
      </w:tr>
      <w:tr>
        <w:trPr>
          <w:trHeight w:val="236"/>
        </w:trPr>
        <w:tc>
          <w:tcPr>
            <w:tcW w:w="694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Change in fair value of warrant liability</w:t>
            </w:r>
          </w:p>
        </w:tc>
        <w:tc>
          <w:tcPr>
            <w:tcW w:w="4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456</w:t>
            </w:r>
          </w:p>
        </w:tc>
        <w:tc>
          <w:tcPr>
            <w:tcW w:w="120" w:type="dxa"/>
            <w:vAlign w:val="bottom"/>
            <w:tcBorders>
              <w:bottom w:val="single" w:sz="8" w:color="DBDBDB"/>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w:t>
            </w:r>
          </w:p>
        </w:tc>
      </w:tr>
      <w:tr>
        <w:trPr>
          <w:trHeight w:val="243"/>
        </w:trPr>
        <w:tc>
          <w:tcPr>
            <w:tcW w:w="694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Income (loss) before income taxes</w:t>
            </w:r>
          </w:p>
        </w:tc>
        <w:tc>
          <w:tcPr>
            <w:tcW w:w="480" w:type="dxa"/>
            <w:vAlign w:val="bottom"/>
            <w:shd w:val="clear" w:color="auto" w:fill="DBDBDB"/>
          </w:tcPr>
          <w:p>
            <w:pPr>
              <w:spacing w:after="0"/>
              <w:rPr>
                <w:sz w:val="21"/>
                <w:szCs w:val="21"/>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(8,928)</w:t>
            </w:r>
          </w:p>
        </w:tc>
        <w:tc>
          <w:tcPr>
            <w:tcW w:w="120" w:type="dxa"/>
            <w:vAlign w:val="bottom"/>
            <w:shd w:val="clear" w:color="auto" w:fill="DBDBDB"/>
          </w:tcPr>
          <w:p>
            <w:pPr>
              <w:spacing w:after="0"/>
              <w:rPr>
                <w:sz w:val="21"/>
                <w:szCs w:val="21"/>
                <w:color w:val="auto"/>
              </w:rPr>
            </w:pPr>
          </w:p>
        </w:tc>
        <w:tc>
          <w:tcPr>
            <w:tcW w:w="500" w:type="dxa"/>
            <w:vAlign w:val="bottom"/>
            <w:shd w:val="clear" w:color="auto" w:fill="DBDBDB"/>
          </w:tcPr>
          <w:p>
            <w:pPr>
              <w:spacing w:after="0"/>
              <w:rPr>
                <w:sz w:val="21"/>
                <w:szCs w:val="21"/>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6,112</w:t>
            </w:r>
          </w:p>
        </w:tc>
      </w:tr>
      <w:tr>
        <w:trPr>
          <w:trHeight w:val="236"/>
        </w:trPr>
        <w:tc>
          <w:tcPr>
            <w:tcW w:w="694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Income tax expense</w:t>
            </w:r>
          </w:p>
        </w:tc>
        <w:tc>
          <w:tcPr>
            <w:tcW w:w="4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w:t>
            </w:r>
          </w:p>
        </w:tc>
        <w:tc>
          <w:tcPr>
            <w:tcW w:w="120" w:type="dxa"/>
            <w:vAlign w:val="bottom"/>
            <w:tcBorders>
              <w:bottom w:val="single" w:sz="8" w:color="DBDBDB"/>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64"/>
        </w:trPr>
        <w:tc>
          <w:tcPr>
            <w:tcW w:w="69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b w:val="1"/>
                <w:bCs w:val="1"/>
                <w:color w:val="auto"/>
              </w:rPr>
              <w:t>Net income (loss)</w:t>
            </w:r>
          </w:p>
        </w:tc>
        <w:tc>
          <w:tcPr>
            <w:tcW w:w="480" w:type="dxa"/>
            <w:vAlign w:val="bottom"/>
            <w:tcBorders>
              <w:bottom w:val="single" w:sz="8" w:color="auto"/>
            </w:tcBorders>
            <w:shd w:val="clear" w:color="auto" w:fill="DBDBDB"/>
          </w:tcPr>
          <w:p>
            <w:pPr>
              <w:jc w:val="right"/>
              <w:ind w:right="299"/>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(9,054)</w:t>
            </w:r>
          </w:p>
        </w:tc>
        <w:tc>
          <w:tcPr>
            <w:tcW w:w="120" w:type="dxa"/>
            <w:vAlign w:val="bottom"/>
            <w:tcBorders>
              <w:bottom w:val="single" w:sz="8" w:color="DBDBDB"/>
            </w:tcBorders>
            <w:shd w:val="clear" w:color="auto" w:fill="DBDBDB"/>
          </w:tcPr>
          <w:p>
            <w:pPr>
              <w:spacing w:after="0"/>
              <w:rPr>
                <w:sz w:val="22"/>
                <w:szCs w:val="22"/>
                <w:color w:val="auto"/>
              </w:rPr>
            </w:pPr>
          </w:p>
        </w:tc>
        <w:tc>
          <w:tcPr>
            <w:tcW w:w="500" w:type="dxa"/>
            <w:vAlign w:val="bottom"/>
            <w:tcBorders>
              <w:bottom w:val="single" w:sz="8" w:color="auto"/>
            </w:tcBorders>
            <w:shd w:val="clear" w:color="auto" w:fill="DBDBDB"/>
          </w:tcPr>
          <w:p>
            <w:pPr>
              <w:jc w:val="right"/>
              <w:ind w:right="299"/>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6,112</w:t>
            </w:r>
          </w:p>
        </w:tc>
      </w:tr>
      <w:tr>
        <w:trPr>
          <w:trHeight w:val="20"/>
        </w:trPr>
        <w:tc>
          <w:tcPr>
            <w:tcW w:w="6940" w:type="dxa"/>
            <w:vAlign w:val="bottom"/>
            <w:tcBorders>
              <w:top w:val="single" w:sz="8" w:color="DBDBDB"/>
            </w:tcBorders>
          </w:tcPr>
          <w:p>
            <w:pPr>
              <w:spacing w:after="0" w:line="20" w:lineRule="exact"/>
              <w:rPr>
                <w:sz w:val="1"/>
                <w:szCs w:val="1"/>
                <w:color w:val="auto"/>
              </w:rPr>
            </w:pPr>
          </w:p>
        </w:tc>
        <w:tc>
          <w:tcPr>
            <w:tcW w:w="480" w:type="dxa"/>
            <w:vAlign w:val="bottom"/>
            <w:tcBorders>
              <w:top w:val="single" w:sz="8" w:color="DBDBDB"/>
              <w:bottom w:val="single" w:sz="8" w:color="auto"/>
            </w:tcBorders>
          </w:tcPr>
          <w:p>
            <w:pPr>
              <w:spacing w:after="0" w:line="20" w:lineRule="exact"/>
              <w:rPr>
                <w:sz w:val="1"/>
                <w:szCs w:val="1"/>
                <w:color w:val="auto"/>
              </w:rPr>
            </w:pPr>
          </w:p>
        </w:tc>
        <w:tc>
          <w:tcPr>
            <w:tcW w:w="160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500" w:type="dxa"/>
            <w:vAlign w:val="bottom"/>
            <w:tcBorders>
              <w:top w:val="single" w:sz="8" w:color="DBDBDB"/>
              <w:bottom w:val="single" w:sz="8" w:color="auto"/>
            </w:tcBorders>
          </w:tcPr>
          <w:p>
            <w:pPr>
              <w:spacing w:after="0" w:line="20" w:lineRule="exact"/>
              <w:rPr>
                <w:sz w:val="1"/>
                <w:szCs w:val="1"/>
                <w:color w:val="auto"/>
              </w:rPr>
            </w:pPr>
          </w:p>
        </w:tc>
        <w:tc>
          <w:tcPr>
            <w:tcW w:w="1600" w:type="dxa"/>
            <w:vAlign w:val="bottom"/>
            <w:tcBorders>
              <w:top w:val="single" w:sz="8" w:color="DBDBDB"/>
              <w:bottom w:val="single" w:sz="8" w:color="auto"/>
            </w:tcBorders>
          </w:tcPr>
          <w:p>
            <w:pPr>
              <w:spacing w:after="0" w:line="20" w:lineRule="exact"/>
              <w:rPr>
                <w:sz w:val="1"/>
                <w:szCs w:val="1"/>
                <w:color w:val="auto"/>
              </w:rPr>
            </w:pPr>
          </w:p>
        </w:tc>
      </w:tr>
      <w:tr>
        <w:trPr>
          <w:trHeight w:val="207"/>
        </w:trPr>
        <w:tc>
          <w:tcPr>
            <w:tcW w:w="6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43"/>
        </w:trPr>
        <w:tc>
          <w:tcPr>
            <w:tcW w:w="6940" w:type="dxa"/>
            <w:vAlign w:val="bottom"/>
            <w:shd w:val="clear" w:color="auto" w:fill="DBDBDB"/>
          </w:tcPr>
          <w:p>
            <w:pPr>
              <w:ind w:left="20"/>
              <w:spacing w:after="0"/>
              <w:rPr>
                <w:sz w:val="20"/>
                <w:szCs w:val="20"/>
                <w:color w:val="auto"/>
              </w:rPr>
            </w:pPr>
            <w:r>
              <w:rPr>
                <w:rFonts w:ascii="Arial" w:cs="Arial" w:eastAsia="Arial" w:hAnsi="Arial"/>
                <w:sz w:val="16"/>
                <w:szCs w:val="16"/>
                <w:color w:val="auto"/>
              </w:rPr>
              <w:t>Net income (loss) per share - basic</w:t>
            </w:r>
          </w:p>
        </w:tc>
        <w:tc>
          <w:tcPr>
            <w:tcW w:w="480" w:type="dxa"/>
            <w:vAlign w:val="bottom"/>
            <w:shd w:val="clear" w:color="auto" w:fill="DBDBDB"/>
          </w:tcPr>
          <w:p>
            <w:pPr>
              <w:spacing w:after="0"/>
              <w:rPr>
                <w:sz w:val="21"/>
                <w:szCs w:val="21"/>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$(0.03)</w:t>
            </w:r>
          </w:p>
        </w:tc>
        <w:tc>
          <w:tcPr>
            <w:tcW w:w="120" w:type="dxa"/>
            <w:vAlign w:val="bottom"/>
            <w:shd w:val="clear" w:color="auto" w:fill="DBDBDB"/>
          </w:tcPr>
          <w:p>
            <w:pPr>
              <w:spacing w:after="0"/>
              <w:rPr>
                <w:sz w:val="21"/>
                <w:szCs w:val="21"/>
                <w:color w:val="auto"/>
              </w:rPr>
            </w:pPr>
          </w:p>
        </w:tc>
        <w:tc>
          <w:tcPr>
            <w:tcW w:w="500" w:type="dxa"/>
            <w:vAlign w:val="bottom"/>
            <w:shd w:val="clear" w:color="auto" w:fill="DBDBDB"/>
          </w:tcPr>
          <w:p>
            <w:pPr>
              <w:spacing w:after="0"/>
              <w:rPr>
                <w:sz w:val="21"/>
                <w:szCs w:val="21"/>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$0.03</w:t>
            </w:r>
          </w:p>
        </w:tc>
      </w:tr>
      <w:tr>
        <w:trPr>
          <w:trHeight w:val="235"/>
        </w:trPr>
        <w:tc>
          <w:tcPr>
            <w:tcW w:w="6940" w:type="dxa"/>
            <w:vAlign w:val="bottom"/>
          </w:tcPr>
          <w:p>
            <w:pPr>
              <w:ind w:left="20"/>
              <w:spacing w:after="0"/>
              <w:rPr>
                <w:sz w:val="20"/>
                <w:szCs w:val="20"/>
                <w:color w:val="auto"/>
              </w:rPr>
            </w:pPr>
            <w:r>
              <w:rPr>
                <w:rFonts w:ascii="Arial" w:cs="Arial" w:eastAsia="Arial" w:hAnsi="Arial"/>
                <w:sz w:val="16"/>
                <w:szCs w:val="16"/>
                <w:color w:val="auto"/>
              </w:rPr>
              <w:t>Net income (loss) per share - diluted</w:t>
            </w:r>
          </w:p>
        </w:tc>
        <w:tc>
          <w:tcPr>
            <w:tcW w:w="4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$(0.03)</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$0.03</w:t>
            </w:r>
          </w:p>
        </w:tc>
      </w:tr>
      <w:tr>
        <w:trPr>
          <w:trHeight w:val="251"/>
        </w:trPr>
        <w:tc>
          <w:tcPr>
            <w:tcW w:w="6940" w:type="dxa"/>
            <w:vAlign w:val="bottom"/>
            <w:shd w:val="clear" w:color="auto" w:fill="DBDBDB"/>
          </w:tcPr>
          <w:p>
            <w:pPr>
              <w:ind w:left="20"/>
              <w:spacing w:after="0"/>
              <w:rPr>
                <w:sz w:val="20"/>
                <w:szCs w:val="20"/>
                <w:color w:val="auto"/>
              </w:rPr>
            </w:pPr>
            <w:r>
              <w:rPr>
                <w:rFonts w:ascii="Arial" w:cs="Arial" w:eastAsia="Arial" w:hAnsi="Arial"/>
                <w:sz w:val="16"/>
                <w:szCs w:val="16"/>
                <w:color w:val="auto"/>
              </w:rPr>
              <w:t>Weighted-average number of common shares - basic</w:t>
            </w:r>
          </w:p>
        </w:tc>
        <w:tc>
          <w:tcPr>
            <w:tcW w:w="480" w:type="dxa"/>
            <w:vAlign w:val="bottom"/>
            <w:shd w:val="clear" w:color="auto" w:fill="DBDBDB"/>
          </w:tcPr>
          <w:p>
            <w:pPr>
              <w:spacing w:after="0"/>
              <w:rPr>
                <w:sz w:val="21"/>
                <w:szCs w:val="21"/>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267,046,755</w:t>
            </w:r>
          </w:p>
        </w:tc>
        <w:tc>
          <w:tcPr>
            <w:tcW w:w="120" w:type="dxa"/>
            <w:vAlign w:val="bottom"/>
            <w:shd w:val="clear" w:color="auto" w:fill="DBDBDB"/>
          </w:tcPr>
          <w:p>
            <w:pPr>
              <w:spacing w:after="0"/>
              <w:rPr>
                <w:sz w:val="21"/>
                <w:szCs w:val="21"/>
                <w:color w:val="auto"/>
              </w:rPr>
            </w:pPr>
          </w:p>
        </w:tc>
        <w:tc>
          <w:tcPr>
            <w:tcW w:w="500" w:type="dxa"/>
            <w:vAlign w:val="bottom"/>
            <w:shd w:val="clear" w:color="auto" w:fill="DBDBDB"/>
          </w:tcPr>
          <w:p>
            <w:pPr>
              <w:spacing w:after="0"/>
              <w:rPr>
                <w:sz w:val="21"/>
                <w:szCs w:val="21"/>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235,497,720</w:t>
            </w:r>
          </w:p>
        </w:tc>
      </w:tr>
      <w:tr>
        <w:trPr>
          <w:trHeight w:val="228"/>
        </w:trPr>
        <w:tc>
          <w:tcPr>
            <w:tcW w:w="6940" w:type="dxa"/>
            <w:vAlign w:val="bottom"/>
          </w:tcPr>
          <w:p>
            <w:pPr>
              <w:ind w:left="20"/>
              <w:spacing w:after="0"/>
              <w:rPr>
                <w:sz w:val="20"/>
                <w:szCs w:val="20"/>
                <w:color w:val="auto"/>
              </w:rPr>
            </w:pPr>
            <w:r>
              <w:rPr>
                <w:rFonts w:ascii="Arial" w:cs="Arial" w:eastAsia="Arial" w:hAnsi="Arial"/>
                <w:sz w:val="16"/>
                <w:szCs w:val="16"/>
                <w:color w:val="auto"/>
              </w:rPr>
              <w:t>Weighted-average number of common shares - diluted</w:t>
            </w:r>
          </w:p>
        </w:tc>
        <w:tc>
          <w:tcPr>
            <w:tcW w:w="4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267,046,755</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241,602,853</w:t>
            </w:r>
          </w:p>
        </w:tc>
      </w:tr>
    </w:tbl>
    <w:p>
      <w:pPr>
        <w:sectPr>
          <w:pgSz w:w="11900" w:h="16838" w:orient="portrait"/>
          <w:cols w:equalWidth="0" w:num="1">
            <w:col w:w="11240"/>
          </w:cols>
          <w:pgMar w:left="320" w:top="602" w:right="339" w:bottom="1440" w:gutter="0" w:footer="0" w:header="0"/>
        </w:sectPr>
      </w:pPr>
    </w:p>
    <w:bookmarkStart w:id="10" w:name="page11"/>
    <w:bookmarkEnd w:id="10"/>
    <w:p>
      <w:pPr>
        <w:jc w:val="right"/>
        <w:spacing w:after="0"/>
        <w:rPr>
          <w:sz w:val="20"/>
          <w:szCs w:val="20"/>
          <w:color w:val="auto"/>
        </w:rPr>
      </w:pPr>
      <w:r>
        <w:rPr>
          <w:rFonts w:ascii="Arial" w:cs="Arial" w:eastAsia="Arial" w:hAnsi="Arial"/>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040" w:type="dxa"/>
            <w:vAlign w:val="bottom"/>
          </w:tcPr>
          <w:p>
            <w:pPr>
              <w:spacing w:after="0"/>
              <w:rPr>
                <w:sz w:val="19"/>
                <w:szCs w:val="19"/>
                <w:color w:val="auto"/>
              </w:rPr>
            </w:pPr>
          </w:p>
        </w:tc>
        <w:tc>
          <w:tcPr>
            <w:tcW w:w="4240" w:type="dxa"/>
            <w:vAlign w:val="bottom"/>
          </w:tcPr>
          <w:p>
            <w:pPr>
              <w:jc w:val="right"/>
              <w:ind w:right="39"/>
              <w:spacing w:after="0"/>
              <w:rPr>
                <w:sz w:val="20"/>
                <w:szCs w:val="20"/>
                <w:color w:val="auto"/>
              </w:rPr>
            </w:pPr>
            <w:r>
              <w:rPr>
                <w:rFonts w:ascii="Arial" w:cs="Arial" w:eastAsia="Arial" w:hAnsi="Arial"/>
                <w:sz w:val="16"/>
                <w:szCs w:val="16"/>
                <w:b w:val="1"/>
                <w:bCs w:val="1"/>
                <w:color w:val="auto"/>
              </w:rPr>
              <w:t>Unaudited Selected Balance Sheet Data</w:t>
            </w:r>
          </w:p>
        </w:tc>
        <w:tc>
          <w:tcPr>
            <w:tcW w:w="1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517"/>
        </w:trPr>
        <w:tc>
          <w:tcPr>
            <w:tcW w:w="30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42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March 31, 2026</w:t>
            </w:r>
          </w:p>
        </w:tc>
        <w:tc>
          <w:tcPr>
            <w:tcW w:w="3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December 31, 2025</w:t>
            </w:r>
          </w:p>
        </w:tc>
      </w:tr>
      <w:tr>
        <w:trPr>
          <w:trHeight w:val="240"/>
        </w:trPr>
        <w:tc>
          <w:tcPr>
            <w:tcW w:w="3040" w:type="dxa"/>
            <w:vAlign w:val="bottom"/>
            <w:shd w:val="clear" w:color="auto" w:fill="DBDBDB"/>
          </w:tcPr>
          <w:p>
            <w:pPr>
              <w:ind w:left="20"/>
              <w:spacing w:after="0"/>
              <w:rPr>
                <w:sz w:val="20"/>
                <w:szCs w:val="20"/>
                <w:color w:val="auto"/>
              </w:rPr>
            </w:pPr>
            <w:r>
              <w:rPr>
                <w:rFonts w:ascii="Arial" w:cs="Arial" w:eastAsia="Arial" w:hAnsi="Arial"/>
                <w:sz w:val="16"/>
                <w:szCs w:val="16"/>
                <w:color w:val="auto"/>
              </w:rPr>
              <w:t>Cash and cash equivalents</w:t>
            </w:r>
          </w:p>
        </w:tc>
        <w:tc>
          <w:tcPr>
            <w:tcW w:w="4240" w:type="dxa"/>
            <w:vAlign w:val="bottom"/>
            <w:shd w:val="clear" w:color="auto" w:fill="DBDBDB"/>
          </w:tcPr>
          <w:p>
            <w:pPr>
              <w:jc w:val="right"/>
              <w:ind w:right="139"/>
              <w:spacing w:after="0"/>
              <w:rPr>
                <w:sz w:val="20"/>
                <w:szCs w:val="20"/>
                <w:color w:val="auto"/>
              </w:rPr>
            </w:pPr>
            <w:r>
              <w:rPr>
                <w:rFonts w:ascii="Arial" w:cs="Arial" w:eastAsia="Arial" w:hAnsi="Arial"/>
                <w:sz w:val="16"/>
                <w:szCs w:val="16"/>
                <w:color w:val="auto"/>
              </w:rPr>
              <w:t>$</w:t>
            </w:r>
          </w:p>
        </w:tc>
        <w:tc>
          <w:tcPr>
            <w:tcW w:w="178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162,644</w:t>
            </w:r>
          </w:p>
        </w:tc>
        <w:tc>
          <w:tcPr>
            <w:tcW w:w="30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w:t>
            </w:r>
          </w:p>
        </w:tc>
        <w:tc>
          <w:tcPr>
            <w:tcW w:w="18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184,844</w:t>
            </w:r>
          </w:p>
        </w:tc>
      </w:tr>
      <w:tr>
        <w:trPr>
          <w:trHeight w:val="235"/>
        </w:trPr>
        <w:tc>
          <w:tcPr>
            <w:tcW w:w="3040" w:type="dxa"/>
            <w:vAlign w:val="bottom"/>
          </w:tcPr>
          <w:p>
            <w:pPr>
              <w:ind w:left="20"/>
              <w:spacing w:after="0"/>
              <w:rPr>
                <w:sz w:val="20"/>
                <w:szCs w:val="20"/>
                <w:color w:val="auto"/>
              </w:rPr>
            </w:pPr>
            <w:r>
              <w:rPr>
                <w:rFonts w:ascii="Arial" w:cs="Arial" w:eastAsia="Arial" w:hAnsi="Arial"/>
                <w:sz w:val="16"/>
                <w:szCs w:val="16"/>
                <w:color w:val="auto"/>
              </w:rPr>
              <w:t>Working capital</w:t>
            </w:r>
          </w:p>
        </w:tc>
        <w:tc>
          <w:tcPr>
            <w:tcW w:w="42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69,597</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80" w:type="dxa"/>
            <w:vAlign w:val="bottom"/>
          </w:tcPr>
          <w:p>
            <w:pPr>
              <w:jc w:val="right"/>
              <w:spacing w:after="0"/>
              <w:rPr>
                <w:sz w:val="20"/>
                <w:szCs w:val="20"/>
                <w:color w:val="auto"/>
              </w:rPr>
            </w:pPr>
            <w:r>
              <w:rPr>
                <w:rFonts w:ascii="Arial" w:cs="Arial" w:eastAsia="Arial" w:hAnsi="Arial"/>
                <w:sz w:val="16"/>
                <w:szCs w:val="16"/>
                <w:color w:val="auto"/>
              </w:rPr>
              <w:t>90,017</w:t>
            </w:r>
          </w:p>
        </w:tc>
      </w:tr>
      <w:tr>
        <w:trPr>
          <w:trHeight w:val="251"/>
        </w:trPr>
        <w:tc>
          <w:tcPr>
            <w:tcW w:w="3040" w:type="dxa"/>
            <w:vAlign w:val="bottom"/>
            <w:shd w:val="clear" w:color="auto" w:fill="DBDBDB"/>
          </w:tcPr>
          <w:p>
            <w:pPr>
              <w:ind w:left="20"/>
              <w:spacing w:after="0"/>
              <w:rPr>
                <w:sz w:val="20"/>
                <w:szCs w:val="20"/>
                <w:color w:val="auto"/>
              </w:rPr>
            </w:pPr>
            <w:r>
              <w:rPr>
                <w:rFonts w:ascii="Arial" w:cs="Arial" w:eastAsia="Arial" w:hAnsi="Arial"/>
                <w:sz w:val="16"/>
                <w:szCs w:val="16"/>
                <w:color w:val="auto"/>
              </w:rPr>
              <w:t>Total assets</w:t>
            </w:r>
          </w:p>
        </w:tc>
        <w:tc>
          <w:tcPr>
            <w:tcW w:w="4240" w:type="dxa"/>
            <w:vAlign w:val="bottom"/>
            <w:shd w:val="clear" w:color="auto" w:fill="DBDBDB"/>
          </w:tcPr>
          <w:p>
            <w:pPr>
              <w:jc w:val="right"/>
              <w:ind w:right="139"/>
              <w:spacing w:after="0"/>
              <w:rPr>
                <w:sz w:val="20"/>
                <w:szCs w:val="20"/>
                <w:color w:val="auto"/>
              </w:rPr>
            </w:pPr>
            <w:r>
              <w:rPr>
                <w:rFonts w:ascii="Arial" w:cs="Arial" w:eastAsia="Arial" w:hAnsi="Arial"/>
                <w:sz w:val="16"/>
                <w:szCs w:val="16"/>
                <w:color w:val="auto"/>
              </w:rPr>
              <w:t>$</w:t>
            </w:r>
          </w:p>
        </w:tc>
        <w:tc>
          <w:tcPr>
            <w:tcW w:w="178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362,520</w:t>
            </w:r>
          </w:p>
        </w:tc>
        <w:tc>
          <w:tcPr>
            <w:tcW w:w="30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w:t>
            </w:r>
          </w:p>
        </w:tc>
        <w:tc>
          <w:tcPr>
            <w:tcW w:w="18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376,565</w:t>
            </w:r>
          </w:p>
        </w:tc>
      </w:tr>
      <w:tr>
        <w:trPr>
          <w:trHeight w:val="228"/>
        </w:trPr>
        <w:tc>
          <w:tcPr>
            <w:tcW w:w="3040" w:type="dxa"/>
            <w:vAlign w:val="bottom"/>
          </w:tcPr>
          <w:p>
            <w:pPr>
              <w:ind w:left="20"/>
              <w:spacing w:after="0"/>
              <w:rPr>
                <w:sz w:val="20"/>
                <w:szCs w:val="20"/>
                <w:color w:val="auto"/>
              </w:rPr>
            </w:pPr>
            <w:r>
              <w:rPr>
                <w:rFonts w:ascii="Arial" w:cs="Arial" w:eastAsia="Arial" w:hAnsi="Arial"/>
                <w:sz w:val="16"/>
                <w:szCs w:val="16"/>
                <w:color w:val="auto"/>
              </w:rPr>
              <w:t>Total stockholders’ equity</w:t>
            </w:r>
          </w:p>
        </w:tc>
        <w:tc>
          <w:tcPr>
            <w:tcW w:w="42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27,375</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80" w:type="dxa"/>
            <w:vAlign w:val="bottom"/>
          </w:tcPr>
          <w:p>
            <w:pPr>
              <w:jc w:val="right"/>
              <w:spacing w:after="0"/>
              <w:rPr>
                <w:sz w:val="20"/>
                <w:szCs w:val="20"/>
                <w:color w:val="auto"/>
              </w:rPr>
            </w:pPr>
            <w:r>
              <w:rPr>
                <w:rFonts w:ascii="Arial" w:cs="Arial" w:eastAsia="Arial" w:hAnsi="Arial"/>
                <w:sz w:val="16"/>
                <w:szCs w:val="16"/>
                <w:color w:val="auto"/>
              </w:rPr>
              <w:t>32,610</w:t>
            </w:r>
          </w:p>
        </w:tc>
      </w:tr>
    </w:tbl>
    <w:p>
      <w:pPr>
        <w:spacing w:after="0" w:line="1" w:lineRule="exact"/>
        <w:rPr>
          <w:sz w:val="20"/>
          <w:szCs w:val="20"/>
          <w:color w:val="auto"/>
        </w:rPr>
      </w:pPr>
    </w:p>
    <w:sectPr>
      <w:pgSz w:w="11900" w:h="16838" w:orient="portrait"/>
      <w:cols w:equalWidth="0" w:num="1">
        <w:col w:w="11240"/>
      </w:cols>
      <w:pgMar w:left="320" w:top="6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lvl w:ilvl="1">
      <w:lvlJc w:val="left"/>
      <w:lvlText w:val="•"/>
      <w:numFmt w:val="bullet"/>
      <w:start w:val="1"/>
    </w:lvl>
  </w:abstractNum>
  <w:abstractNum w:abstractNumId="4">
    <w:nsid w:val="1F16E9E8"/>
    <w:multiLevelType w:val="hybridMultilevel"/>
    <w:lvl w:ilvl="0">
      <w:lvlJc w:val="left"/>
      <w:lvlText w:val="•"/>
      <w:numFmt w:val="bullet"/>
      <w:start w:val="1"/>
    </w:lvl>
    <w:lvl w:ilvl="1">
      <w:lvlJc w:val="left"/>
      <w:lvlText w:val="▪"/>
      <w:numFmt w:val="bullet"/>
      <w:start w:val="1"/>
    </w:lvl>
  </w:abstractNum>
  <w:abstractNum w:abstractNumId="5">
    <w:nsid w:val="1190CDE7"/>
    <w:multiLevelType w:val="hybridMultilevel"/>
    <w:lvl w:ilvl="0">
      <w:lvlJc w:val="left"/>
      <w:lvlText w:val="•"/>
      <w:numFmt w:val="bullet"/>
      <w:start w:val="1"/>
    </w:lvl>
    <w:lvl w:ilvl="1">
      <w:lvlJc w:val="left"/>
      <w:lvlText w:val="▪"/>
      <w:numFmt w:val="bullet"/>
      <w:start w:val="1"/>
    </w:lvl>
  </w:abstractNum>
  <w:abstractNum w:abstractNumId="6">
    <w:nsid w:val="66EF438D"/>
    <w:multiLevelType w:val="hybridMultilevel"/>
    <w:lvl w:ilvl="0">
      <w:lvlJc w:val="left"/>
      <w:lvlText w:val="•"/>
      <w:numFmt w:val="bullet"/>
      <w:start w:val="1"/>
    </w:lvl>
    <w:lvl w:ilvl="1">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
      <w:numFmt w:val="bullet"/>
      <w:start w:val="1"/>
    </w:lvl>
  </w:abstractNum>
  <w:abstractNum w:abstractNumId="14">
    <w:nsid w:val="6B68079A"/>
    <w:multiLevelType w:val="hybridMultilevel"/>
    <w:lvl w:ilvl="0">
      <w:lvlJc w:val="left"/>
      <w:lvlText w:val="•"/>
      <w:numFmt w:val="bullet"/>
      <w:start w:val="1"/>
    </w:lvl>
  </w:abstractNum>
  <w:abstractNum w:abstractNumId="15">
    <w:nsid w:val="4E6AFB66"/>
    <w:multiLevelType w:val="hybridMultilevel"/>
    <w:lvl w:ilvl="0">
      <w:lvlJc w:val="left"/>
      <w:lvlText w:val="•"/>
      <w:numFmt w:val="bullet"/>
      <w:start w:val="1"/>
    </w:lvl>
  </w:abstractNum>
  <w:abstractNum w:abstractNumId="16">
    <w:nsid w:val="25E45D3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2026-05-07T06:16:13Z</dcterms:created>
  <dcterms:modified xsi:type="dcterms:W3CDTF">2026-05-07T06:16:13Z</dcterms:modified>
</cp:coreProperties>
</file>