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Vickers Philip J.</w:t>
              </w:r>
            </w:hyperlink>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Akebia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AKBA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40" w:type="dxa"/>
            <w:vAlign w:val="bottom"/>
            <w:tcBorders>
              <w:bottom w:val="single" w:sz="8" w:color="0000EE"/>
            </w:tcBorders>
            <w:gridSpan w:val="2"/>
            <w:vMerge w:val="continue"/>
          </w:tcPr>
          <w:p>
            <w:pPr>
              <w:spacing w:after="0"/>
              <w:rPr>
                <w:sz w:val="5"/>
                <w:szCs w:val="5"/>
                <w:color w:val="auto"/>
              </w:rPr>
            </w:pPr>
          </w:p>
        </w:tc>
        <w:tc>
          <w:tcPr>
            <w:tcW w:w="10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40" w:type="dxa"/>
            <w:vAlign w:val="bottom"/>
            <w:gridSpan w:val="2"/>
          </w:tcPr>
          <w:p>
            <w:pPr>
              <w:spacing w:after="0"/>
              <w:rPr>
                <w:sz w:val="6"/>
                <w:szCs w:val="6"/>
                <w:color w:val="auto"/>
              </w:rPr>
            </w:pPr>
          </w:p>
        </w:tc>
        <w:tc>
          <w:tcPr>
            <w:tcW w:w="10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04/01/2026</w:t>
            </w:r>
          </w:p>
        </w:tc>
        <w:tc>
          <w:tcPr>
            <w:tcW w:w="1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AKEBIA THERAPEUTICS, INC</w:t>
            </w: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245 FIRST STREET</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02142</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214,400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04/01/2036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214,400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214,400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shares of the Issuer's common stock (the "Stock Option") was granted by the Issuer pursuant to the 2023 Plan, as provided by the Fifth Amended and Restated Non-Employee Director Compensation Program. The Stock Option will vest over three years: 33 1/3 % of the options will vest on the first anniversary of the grant date and the remaining 66 2/3 % will vest ratably on the first day of each calendar quarter thereafter, subject to the Reporting Person's continued service to the Issuer.</w:t>
      </w:r>
    </w:p>
    <w:p>
      <w:pPr>
        <w:sectPr>
          <w:pgSz w:w="11900" w:h="16838" w:orient="portrait"/>
          <w:cols w:equalWidth="0" w:num="1">
            <w:col w:w="11080"/>
          </w:cols>
          <w:pgMar w:left="460" w:top="216" w:right="359" w:bottom="1440" w:gutter="0" w:footer="0" w:header="0"/>
          <w:type w:val="continuous"/>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Carolyn M. Rucci,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-3175</wp:posOffset>
            </wp:positionV>
            <wp:extent cx="1311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Philip J. Vickers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139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5046" TargetMode="External"/><Relationship Id="rId14"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2026-04-03T15:14:01Z</dcterms:created>
  <dcterms:modified xsi:type="dcterms:W3CDTF">2026-04-03T15:14:01Z</dcterms:modified>
</cp:coreProperties>
</file>