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Spellman David 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AKEBIA THERAPEUTICS, INC.</w:t>
            </w: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245 FIRST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02142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Akebia Therapeutics,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AKBA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05/16/2023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CFO and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63,567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1.068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446,483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automatically by the Issuer pursuant to the Issuer's previously adopted "sell-to-cover" policy to cover tax withholding obligations in connection with the vesting and settlement of 100% of the reporting person's restricted stock units granted on June 8, 2022.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Carolyn Rucci,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in-fact for David A. Spellman</w:t>
            </w: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33204" TargetMode="External"/><Relationship Id="rId13" Type="http://schemas.openxmlformats.org/officeDocument/2006/relationships/hyperlink" Target="http://www.sec.gov/cgi-bin/browse-edgar?action=getcompany&amp;CIK=00015170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2023-05-18T17:23:58Z</dcterms:created>
  <dcterms:modified xsi:type="dcterms:W3CDTF">2023-05-18T17:23:58Z</dcterms:modified>
</cp:coreProperties>
</file>