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76"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SCHEDULE 14A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Proxy Statement Pursuant to Section 14(a) of the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(Amendment No. ) </w:t>
      </w:r>
    </w:p>
    <w:p>
      <w:pPr>
        <w:pStyle w:val="TextBody"/>
        <w:bidi w:val="0"/>
        <w:spacing w:lineRule="auto" w:line="276"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240" w:after="283"/>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Filed by a Party other than the Registrant </w:t>
      </w:r>
      <w:r>
        <w:rPr>
          <w:rFonts w:ascii="Wingdings;sans-serif" w:hAnsi="Wingdings;sans-serif"/>
          <w:b w:val="false"/>
          <w:color w:val="000000"/>
          <w:sz w:val="20"/>
        </w:rPr>
        <w:t>o</w:t>
      </w:r>
      <w:r>
        <w:rPr>
          <w:color w:val="000000"/>
        </w:rPr>
        <w:t xml:space="preserve"> </w:t>
      </w:r>
    </w:p>
    <w:p>
      <w:pPr>
        <w:pStyle w:val="TextBody"/>
        <w:bidi w:val="0"/>
        <w:spacing w:lineRule="auto" w:line="288"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 xml:space="preserve">Preliminary Proxy Statement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ans-serif" w:hAnsi="Times New Roman;sans-serif"/>
          <w:b/>
          <w:color w:val="000000"/>
          <w:sz w:val="20"/>
        </w:rPr>
        <w:t>Confidential, for Use of the Commission Only (as permitted by Rule 14a-6(e)(2))</w:t>
      </w:r>
      <w:r>
        <w:rPr>
          <w:color w:val="000000"/>
        </w:rPr>
        <w:t xml:space="preserve"> </w:t>
      </w:r>
    </w:p>
    <w:p>
      <w:pPr>
        <w:pStyle w:val="TextBody"/>
        <w:bidi w:val="0"/>
        <w:spacing w:lineRule="auto" w:line="288" w:before="240" w:after="283"/>
        <w:ind w:left="0" w:right="0" w:hanging="490"/>
        <w:jc w:val="left"/>
        <w:rPr/>
      </w:pP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 xml:space="preserve">Definitive Proxy Statement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 xml:space="preserve">Definitive Additional Materials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 xml:space="preserve">Soliciting Material under §240.14a-12 </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AKEBIA THERAPEUTICS,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(Name of Registrant as Specified In Its Charter)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(Name of Person(s) Filing Proxy Statement, if other than the Registrant)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Filing Fee (Check all boxes that apply): </w:t>
      </w:r>
    </w:p>
    <w:p>
      <w:pPr>
        <w:pStyle w:val="TextBody"/>
        <w:bidi w:val="0"/>
        <w:spacing w:lineRule="auto" w:line="288" w:before="240" w:after="283"/>
        <w:ind w:left="0" w:right="0" w:hanging="490"/>
        <w:jc w:val="left"/>
        <w:rPr/>
      </w:pP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 xml:space="preserve">No fee required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 xml:space="preserve">Fee paid previously with preliminary materials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 xml:space="preserve">Fee computed on table in exhibit required by Item 25(b) per Exchange Act Rules 14a-6(i)(1) and 0-11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952625" cy="647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52625" cy="647700"/>
                    </a:xfrm>
                    <a:prstGeom prst="rect">
                      <a:avLst/>
                    </a:prstGeom>
                  </pic:spPr>
                </pic:pic>
              </a:graphicData>
            </a:graphic>
          </wp:inline>
        </w:drawing>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Akebia Therapeutics,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245 First Street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Cambridge, MA 02142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NOTICE OF 2025 ANNUAL MEETING OF STOCKHOLDERS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Annual Meeting of Stockholders, or the Annual Meeting, of Akebia Therapeutics, Inc., or the Company or Akebia, will be held on Tuesday, June 10, 2025, at 10:00 a.m. Eastern Time in a virtual meeting format via live webcast. The purposes of the meeting are as follows: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1.Elect two Class II directors, John P. Butler and Myles Wolf, M.D., M.M.Sc., to serve until the 2028 annual meeting of stockholders and until their successors are duly elected and qualified, subject to their earlier death, resignation or removal;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2.Approve an amendment to the Akebia Therapeutics, Inc. 2023 Stock Incentive Plan to increase the number of shares of common stock available for issuance thereunder by 18,900,000 shares and to make certain other changes to the plan;</w:t>
      </w:r>
    </w:p>
    <w:p>
      <w:pPr>
        <w:pStyle w:val="TextBody"/>
        <w:bidi w:val="0"/>
        <w:spacing w:before="0" w:after="0"/>
        <w:ind w:left="0" w:right="0" w:hanging="180"/>
        <w:jc w:val="left"/>
        <w:rPr/>
      </w:pPr>
      <w:r>
        <w:rPr/>
      </w:r>
    </w:p>
    <w:p>
      <w:pPr>
        <w:pStyle w:val="TextBody"/>
        <w:bidi w:val="0"/>
        <w:spacing w:lineRule="auto" w:line="276"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3.Hold an advisory vote on the compensation of Akebia’s named executive officers; </w:t>
      </w:r>
    </w:p>
    <w:p>
      <w:pPr>
        <w:pStyle w:val="TextBody"/>
        <w:bidi w:val="0"/>
        <w:spacing w:before="0" w:after="0"/>
        <w:ind w:left="0" w:right="0" w:hanging="180"/>
        <w:jc w:val="left"/>
        <w:rPr/>
      </w:pPr>
      <w:r>
        <w:rPr/>
      </w:r>
    </w:p>
    <w:p>
      <w:pPr>
        <w:pStyle w:val="TextBody"/>
        <w:bidi w:val="0"/>
        <w:spacing w:lineRule="auto" w:line="276"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4.Ratify the appointment of Ernst &amp; Young LLP as our independent registered public accounting firm for the fiscal year ending December 31, 2025; and</w:t>
      </w:r>
    </w:p>
    <w:p>
      <w:pPr>
        <w:pStyle w:val="TextBody"/>
        <w:bidi w:val="0"/>
        <w:spacing w:before="0" w:after="0"/>
        <w:ind w:left="0" w:right="0" w:hanging="180"/>
        <w:jc w:val="left"/>
        <w:rPr/>
      </w:pPr>
      <w:r>
        <w:rPr/>
      </w:r>
    </w:p>
    <w:p>
      <w:pPr>
        <w:pStyle w:val="TextBody"/>
        <w:bidi w:val="0"/>
        <w:spacing w:lineRule="auto" w:line="276"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5.Transact such other business as may properly come before the Annual Meeting or at any and all adjournments or postponements thereof.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are referred to the accompanying proxy statement for more detailed information with respect to the matters to be considered at the Annual Meeting. Our Board of Directors recommends that you vote “FOR” each of the Class II director nominees (Proposal 1) and “FOR” each of Proposals 2, 3 and 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outstanding share of our common stock, par value $0.00001 per share (Nasdaq: AKBA), or our Common Stock, entitles the holder of record as of 5:00 p.m. Eastern Time on April 11, 2025, referred to as the record date, to receive notice of, and to vote at, the Annual Meeting or any adjournment or postponement of the Annual Meeting.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will be able to attend the Annual Meeting virtually, vote, submit questions and examine a list of the Company’s registered stockholders by visiting www.virtualshareholdermeeting.com/AKBA2025 and using your unique control number found on the proxy card. You will not be able to attend the Annual Meeting physically in person. If you have technical difficulties or trouble accessing the virtual meeting, there will be technicians ready to assist you. If you encounter any technical difficulties accessing the virtual meeting during the check-in or meeting time, please call the technical support number that will be posted on the virtual stockholder meeting log-in page. </w:t>
      </w:r>
    </w:p>
    <w:p>
      <w:pPr>
        <w:pStyle w:val="TextBody"/>
        <w:bidi w:val="0"/>
        <w:spacing w:lineRule="auto" w:line="288" w:before="240" w:after="283"/>
        <w:jc w:val="left"/>
        <w:rPr/>
      </w:pPr>
      <w:r>
        <w:rPr>
          <w:rFonts w:ascii="Times New Roman;sans-serif" w:hAnsi="Times New Roman;sans-serif"/>
          <w:b w:val="false"/>
          <w:color w:val="000000"/>
          <w:sz w:val="20"/>
        </w:rPr>
        <w:t>We are pleased to take advantage of Securities and Exchange Commission rules that allow companies to furnish their proxy materials over the Internet. This process allows us to provide our stockholders with the information they need on a more timely basis, while reducing the environmental impact and lowering the costs of printing and distributing our proxy materials. We are mailing to our stockholders a Notice of Internet Availability of Proxy Materials, or Notice, instead of a paper copy of our proxy materials and our 2024 Annual Report to Stockholders, or Annual Report, on or about April 29, 2025</w:t>
      </w:r>
      <w:r>
        <w:rPr>
          <w:rFonts w:ascii="Times New Roman;sans-serif" w:hAnsi="Times New Roman;sans-serif"/>
          <w:b w:val="false"/>
          <w:color w:val="000000"/>
          <w:sz w:val="19"/>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Notice contains instructions on how to access the proxy materials and Annual Report and to cast your vote via the Internet. The Notice also contains instructions on how to request a paper copy of our proxy materials and our Annual Report.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Your vote is important. Whether or not you attend the Annual Meeting virtually, we urge you to vote your shares by following the instructions in the Notice and in the accompanying proxy statement and submitting your proxy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Internet, telephone or, if paper materials are requested, by signing, dating and returning the proxy card in order to ensure the presence of a quorum. If you choose to attend the Annual Meeting, you may vote your shares during the Annual Meeting by following the instructions available on the meeting website at www.virtualshareholdermeeting.com/AKBA2025. If your shares are held by a bank, broker or other nominee, please refer to the materials provided by your bank, broker or other nominee for voting instructions. As always, we encourage you to vote your shares prior to the Annual Meeting.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stockholders are extended a cordial invitation to attend the Annual Meeting virtually. </w:t>
      </w:r>
    </w:p>
    <w:tbl>
      <w:tblPr>
        <w:tblW w:w="39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45"/>
        <w:gridCol w:w="945"/>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drawing>
                <wp:inline distT="0" distB="0" distL="0" distR="0">
                  <wp:extent cx="1971675" cy="9810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71675" cy="981075"/>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Cambridge, Massachusetts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April 29, 2025 </w:t>
      </w:r>
    </w:p>
    <w:p>
      <w:pPr>
        <w:pStyle w:val="TextBody"/>
        <w:bidi w:val="0"/>
        <w:spacing w:lineRule="auto" w:line="288" w:before="240" w:after="283"/>
        <w:jc w:val="left"/>
        <w:rPr/>
      </w:pPr>
      <w:r>
        <w:rPr>
          <w:rFonts w:ascii="Times New Roman;sans-serif" w:hAnsi="Times New Roman;sans-serif"/>
          <w:b/>
          <w:color w:val="000000"/>
          <w:sz w:val="20"/>
        </w:rPr>
        <w:t xml:space="preserve">Important Notice Regarding the Availability of Proxy Materials for the Annual Meeting: </w:t>
      </w:r>
      <w:r>
        <w:rPr>
          <w:rFonts w:ascii="Times New Roman;sans-serif" w:hAnsi="Times New Roman;sans-serif"/>
          <w:b w:val="false"/>
          <w:color w:val="000000"/>
          <w:sz w:val="20"/>
        </w:rPr>
        <w:t>The Notice of 2025 Annual Meeting of Stockholders, the</w:t>
      </w:r>
      <w:r>
        <w:rPr>
          <w:color w:val="000000"/>
        </w:rPr>
        <w:t xml:space="preserve"> </w:t>
      </w:r>
      <w:r>
        <w:rPr>
          <w:rFonts w:ascii="Times New Roman;sans-serif" w:hAnsi="Times New Roman;sans-serif"/>
          <w:b w:val="false"/>
          <w:color w:val="000000"/>
          <w:sz w:val="20"/>
        </w:rPr>
        <w:t xml:space="preserve">Proxy Statement and the Annual Report are available at </w:t>
      </w:r>
      <w:r>
        <w:rPr>
          <w:rFonts w:ascii="Times New Roman;sans-serif" w:hAnsi="Times New Roman;sans-serif"/>
          <w:b w:val="false"/>
          <w:i/>
          <w:color w:val="000000"/>
          <w:sz w:val="20"/>
        </w:rPr>
        <w:t>www.proxyvote.com</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tbl>
      <w:tblPr>
        <w:tblW w:w="10205" w:type="dxa"/>
        <w:jc w:val="center"/>
        <w:tblInd w:w="0" w:type="dxa"/>
        <w:tblLayout w:type="fixed"/>
        <w:tblCellMar>
          <w:top w:w="28" w:type="dxa"/>
          <w:left w:w="28" w:type="dxa"/>
          <w:bottom w:w="28" w:type="dxa"/>
          <w:right w:w="28" w:type="dxa"/>
        </w:tblCellMar>
      </w:tblPr>
      <w:tblGrid>
        <w:gridCol w:w="3576"/>
        <w:gridCol w:w="3050"/>
        <w:gridCol w:w="3053"/>
        <w:gridCol w:w="153"/>
        <w:gridCol w:w="153"/>
        <w:gridCol w:w="220"/>
      </w:tblGrid>
      <w:tr>
        <w:trPr/>
        <w:tc>
          <w:tcPr>
            <w:tcW w:w="3576"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Page </w:t>
            </w:r>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16">
              <w:r>
                <w:rPr>
                  <w:rStyle w:val="InternetLink"/>
                  <w:rFonts w:ascii="Times New Roman;sans-serif" w:hAnsi="Times New Roman;sans-serif"/>
                  <w:b w:val="false"/>
                  <w:color w:val="0000FF"/>
                  <w:sz w:val="20"/>
                  <w:u w:val="single"/>
                </w:rPr>
                <w:t>GENERAL INFORMATION</w:t>
              </w:r>
            </w:hyperlink>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6feda7793004864864bb7a70a7095e3_16">
              <w:r>
                <w:rPr>
                  <w:rStyle w:val="InternetLink"/>
                  <w:rFonts w:ascii="Times New Roman;sans-serif" w:hAnsi="Times New Roman;sans-serif"/>
                  <w:b w:val="false"/>
                  <w:strike w:val="false"/>
                  <w:dstrike w:val="false"/>
                  <w:color w:val="000000"/>
                  <w:sz w:val="20"/>
                  <w:u w:val="none"/>
                  <w:effect w:val="none"/>
                </w:rPr>
                <w:t>1</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19">
              <w:r>
                <w:rPr>
                  <w:rStyle w:val="InternetLink"/>
                  <w:rFonts w:ascii="Times New Roman;sans-serif" w:hAnsi="Times New Roman;sans-serif"/>
                  <w:b w:val="false"/>
                  <w:color w:val="0000FF"/>
                  <w:sz w:val="20"/>
                  <w:u w:val="single"/>
                </w:rPr>
                <w:t>OVERVIEW OF PROPOSALS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19">
              <w:r>
                <w:rPr>
                  <w:rStyle w:val="InternetLink"/>
                  <w:rFonts w:ascii="Times New Roman;sans-serif" w:hAnsi="Times New Roman;sans-serif"/>
                  <w:b w:val="false"/>
                  <w:strike w:val="false"/>
                  <w:dstrike w:val="false"/>
                  <w:color w:val="000000"/>
                  <w:sz w:val="20"/>
                  <w:u w:val="none"/>
                  <w:effect w:val="none"/>
                </w:rPr>
                <w:t>6</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22">
              <w:r>
                <w:rPr>
                  <w:rStyle w:val="InternetLink"/>
                  <w:rFonts w:ascii="Times New Roman;sans-serif" w:hAnsi="Times New Roman;sans-serif"/>
                  <w:b w:val="false"/>
                  <w:color w:val="0000FF"/>
                  <w:sz w:val="20"/>
                  <w:u w:val="single"/>
                </w:rPr>
                <w:t>PROPOSAL 1—ELECTION OF DIRECTORS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22">
              <w:r>
                <w:rPr>
                  <w:rStyle w:val="InternetLink"/>
                  <w:rFonts w:ascii="Times New Roman;sans-serif" w:hAnsi="Times New Roman;sans-serif"/>
                  <w:b w:val="false"/>
                  <w:strike w:val="false"/>
                  <w:dstrike w:val="false"/>
                  <w:color w:val="000000"/>
                  <w:sz w:val="20"/>
                  <w:u w:val="none"/>
                  <w:effect w:val="none"/>
                </w:rPr>
                <w:t>6</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25">
              <w:r>
                <w:rPr>
                  <w:rStyle w:val="InternetLink"/>
                  <w:rFonts w:ascii="Times New Roman;sans-serif" w:hAnsi="Times New Roman;sans-serif"/>
                  <w:b w:val="false"/>
                  <w:color w:val="0000FF"/>
                  <w:sz w:val="20"/>
                  <w:u w:val="single"/>
                </w:rPr>
                <w:t>DIRECTOR BIOGRAPHIES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25">
              <w:r>
                <w:rPr>
                  <w:rStyle w:val="InternetLink"/>
                  <w:rFonts w:ascii="Times New Roman;sans-serif" w:hAnsi="Times New Roman;sans-serif"/>
                  <w:b w:val="false"/>
                  <w:strike w:val="false"/>
                  <w:dstrike w:val="false"/>
                  <w:color w:val="000000"/>
                  <w:sz w:val="20"/>
                  <w:u w:val="none"/>
                  <w:effect w:val="none"/>
                </w:rPr>
                <w:t>7</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28">
              <w:r>
                <w:rPr>
                  <w:rStyle w:val="InternetLink"/>
                  <w:rFonts w:ascii="Times New Roman;sans-serif" w:hAnsi="Times New Roman;sans-serif"/>
                  <w:b w:val="false"/>
                  <w:color w:val="0000FF"/>
                  <w:sz w:val="20"/>
                  <w:u w:val="single"/>
                </w:rPr>
                <w:t>CORPORATE GOVERNANCE</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28">
              <w:r>
                <w:rPr>
                  <w:rStyle w:val="InternetLink"/>
                  <w:rFonts w:ascii="Times New Roman;sans-serif" w:hAnsi="Times New Roman;sans-serif"/>
                  <w:b w:val="false"/>
                  <w:strike w:val="false"/>
                  <w:dstrike w:val="false"/>
                  <w:color w:val="000000"/>
                  <w:sz w:val="20"/>
                  <w:u w:val="none"/>
                  <w:effect w:val="none"/>
                </w:rPr>
                <w:t>11</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31">
              <w:r>
                <w:rPr>
                  <w:rStyle w:val="InternetLink"/>
                  <w:rFonts w:ascii="Times New Roman;sans-serif" w:hAnsi="Times New Roman;sans-serif"/>
                  <w:b w:val="false"/>
                  <w:color w:val="0000FF"/>
                  <w:sz w:val="20"/>
                  <w:u w:val="single"/>
                </w:rPr>
                <w:t>DIRECTOR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31">
              <w:r>
                <w:rPr>
                  <w:rStyle w:val="InternetLink"/>
                  <w:rFonts w:ascii="Times New Roman;sans-serif" w:hAnsi="Times New Roman;sans-serif"/>
                  <w:b w:val="false"/>
                  <w:strike w:val="false"/>
                  <w:dstrike w:val="false"/>
                  <w:color w:val="000000"/>
                  <w:sz w:val="20"/>
                  <w:u w:val="none"/>
                  <w:effect w:val="none"/>
                </w:rPr>
                <w:t>19</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c6feda7793004864864bb7a70a7095e3_34">
              <w:r>
                <w:rPr>
                  <w:rStyle w:val="InternetLink"/>
                  <w:rFonts w:ascii="Times New Roman;sans-serif" w:hAnsi="Times New Roman;sans-serif"/>
                  <w:b w:val="false"/>
                  <w:color w:val="000080"/>
                  <w:sz w:val="20"/>
                  <w:u w:val="single"/>
                </w:rPr>
                <w:t xml:space="preserve">PROPOSAL 2—APPROVAL OF AN AMENDMENT TO THE AKEBIA THERAPEUTICS, INC. 2023 STOCK INCENTIVE PLAN TO INCREASE THE NUMBER OF SHARES OF COMMON STOCK AVAILABLE FOR ISSUANCE THEREUNDER BY </w:t>
              </w:r>
            </w:hyperlink>
            <w:hyperlink w:anchor="ic6feda7793004864864bb7a70a7095e3_34">
              <w:r>
                <w:rPr>
                  <w:rStyle w:val="InternetLink"/>
                  <w:rFonts w:ascii="Times New Roman;sans-serif" w:hAnsi="Times New Roman;sans-serif"/>
                  <w:b w:val="false"/>
                  <w:color w:val="000080"/>
                  <w:sz w:val="20"/>
                  <w:u w:val="single"/>
                </w:rPr>
                <w:t xml:space="preserve">18,900,000 </w:t>
              </w:r>
            </w:hyperlink>
            <w:hyperlink w:anchor="ic6feda7793004864864bb7a70a7095e3_34">
              <w:r>
                <w:rPr>
                  <w:rStyle w:val="InternetLink"/>
                  <w:rFonts w:ascii="Times New Roman;sans-serif" w:hAnsi="Times New Roman;sans-serif"/>
                  <w:b w:val="false"/>
                  <w:color w:val="000080"/>
                  <w:sz w:val="20"/>
                  <w:u w:val="single"/>
                </w:rPr>
                <w:t>SHARES</w:t>
              </w:r>
            </w:hyperlink>
            <w:hyperlink w:anchor="ic6feda7793004864864bb7a70a7095e3_34">
              <w:r>
                <w:rPr>
                  <w:rStyle w:val="InternetLink"/>
                  <w:rFonts w:ascii="Times New Roman;sans-serif" w:hAnsi="Times New Roman;sans-serif"/>
                  <w:b w:val="false"/>
                  <w:color w:val="000080"/>
                  <w:sz w:val="20"/>
                  <w:u w:val="single"/>
                </w:rPr>
                <w:t xml:space="preserve"> AND TO MAKE CERTAIN OTHER CHANGES TO THE PLAN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34">
              <w:r>
                <w:rPr>
                  <w:rStyle w:val="InternetLink"/>
                  <w:rFonts w:ascii="Times New Roman;sans-serif" w:hAnsi="Times New Roman;sans-serif"/>
                  <w:b w:val="false"/>
                  <w:strike w:val="false"/>
                  <w:dstrike w:val="false"/>
                  <w:color w:val="000000"/>
                  <w:sz w:val="20"/>
                  <w:u w:val="none"/>
                  <w:effect w:val="none"/>
                </w:rPr>
                <w:t>21</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37">
              <w:r>
                <w:rPr>
                  <w:rStyle w:val="InternetLink"/>
                  <w:rFonts w:ascii="Times New Roman;sans-serif" w:hAnsi="Times New Roman;sans-serif"/>
                  <w:b w:val="false"/>
                  <w:color w:val="0000FF"/>
                  <w:sz w:val="20"/>
                  <w:u w:val="single"/>
                </w:rPr>
                <w:t>PROPOSAL 3—ADVISORY VOTE ON THE COMPENSATION OF NAMED EXECUTIVE OFFICERS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37">
              <w:r>
                <w:rPr>
                  <w:rStyle w:val="InternetLink"/>
                  <w:rFonts w:ascii="Times New Roman;sans-serif" w:hAnsi="Times New Roman;sans-serif"/>
                  <w:b w:val="false"/>
                  <w:strike w:val="false"/>
                  <w:dstrike w:val="false"/>
                  <w:color w:val="000000"/>
                  <w:sz w:val="20"/>
                  <w:u w:val="none"/>
                  <w:effect w:val="none"/>
                </w:rPr>
                <w:t>38</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40">
              <w:r>
                <w:rPr>
                  <w:rStyle w:val="InternetLink"/>
                  <w:rFonts w:ascii="Times New Roman;sans-serif" w:hAnsi="Times New Roman;sans-serif"/>
                  <w:b w:val="false"/>
                  <w:color w:val="0000FF"/>
                  <w:sz w:val="20"/>
                  <w:u w:val="single"/>
                </w:rPr>
                <w:t>EXECUTIVE OFFICERS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40">
              <w:r>
                <w:rPr>
                  <w:rStyle w:val="InternetLink"/>
                  <w:rFonts w:ascii="Times New Roman;sans-serif" w:hAnsi="Times New Roman;sans-serif"/>
                  <w:b w:val="false"/>
                  <w:strike w:val="false"/>
                  <w:dstrike w:val="false"/>
                  <w:color w:val="000000"/>
                  <w:sz w:val="20"/>
                  <w:u w:val="none"/>
                  <w:effect w:val="none"/>
                </w:rPr>
                <w:t>39</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43">
              <w:r>
                <w:rPr>
                  <w:rStyle w:val="InternetLink"/>
                  <w:rFonts w:ascii="Times New Roman;sans-serif" w:hAnsi="Times New Roman;sans-serif"/>
                  <w:b w:val="false"/>
                  <w:color w:val="0000FF"/>
                  <w:sz w:val="20"/>
                  <w:u w:val="single"/>
                </w:rPr>
                <w:t>EXECUTIVE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43">
              <w:r>
                <w:rPr>
                  <w:rStyle w:val="InternetLink"/>
                  <w:rFonts w:ascii="Times New Roman;sans-serif" w:hAnsi="Times New Roman;sans-serif"/>
                  <w:b w:val="false"/>
                  <w:strike w:val="false"/>
                  <w:dstrike w:val="false"/>
                  <w:color w:val="000000"/>
                  <w:sz w:val="20"/>
                  <w:u w:val="none"/>
                  <w:effect w:val="none"/>
                </w:rPr>
                <w:t>40</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46">
              <w:r>
                <w:rPr>
                  <w:rStyle w:val="InternetLink"/>
                  <w:rFonts w:ascii="Times New Roman;sans-serif" w:hAnsi="Times New Roman;sans-serif"/>
                  <w:b w:val="false"/>
                  <w:color w:val="0000FF"/>
                  <w:sz w:val="20"/>
                  <w:u w:val="single"/>
                </w:rPr>
                <w:t>COMPENSATION COMMITTEE INTERLOCKS AND INSIDER PARTICIPATION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46">
              <w:r>
                <w:rPr>
                  <w:rStyle w:val="InternetLink"/>
                  <w:rFonts w:ascii="Times New Roman;sans-serif" w:hAnsi="Times New Roman;sans-serif"/>
                  <w:b w:val="false"/>
                  <w:strike w:val="false"/>
                  <w:dstrike w:val="false"/>
                  <w:color w:val="000000"/>
                  <w:sz w:val="20"/>
                  <w:u w:val="none"/>
                  <w:effect w:val="none"/>
                </w:rPr>
                <w:t>67</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49">
              <w:r>
                <w:rPr>
                  <w:rStyle w:val="InternetLink"/>
                  <w:rFonts w:ascii="Times New Roman;sans-serif" w:hAnsi="Times New Roman;sans-serif"/>
                  <w:b w:val="false"/>
                  <w:color w:val="0000FF"/>
                  <w:sz w:val="20"/>
                  <w:u w:val="single"/>
                </w:rPr>
                <w:t>PAY VERSUS PERFORMANCE</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49">
              <w:r>
                <w:rPr>
                  <w:rStyle w:val="InternetLink"/>
                  <w:rFonts w:ascii="Times New Roman;sans-serif" w:hAnsi="Times New Roman;sans-serif"/>
                  <w:b w:val="false"/>
                  <w:strike w:val="false"/>
                  <w:dstrike w:val="false"/>
                  <w:color w:val="000000"/>
                  <w:sz w:val="20"/>
                  <w:u w:val="none"/>
                  <w:effect w:val="none"/>
                </w:rPr>
                <w:t>68</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c6feda7793004864864bb7a70a7095e3_52">
              <w:r>
                <w:rPr>
                  <w:rStyle w:val="InternetLink"/>
                  <w:rFonts w:ascii="Times New Roman;sans-serif" w:hAnsi="Times New Roman;sans-serif"/>
                  <w:b w:val="false"/>
                  <w:color w:val="0000FF"/>
                  <w:sz w:val="20"/>
                  <w:u w:val="single"/>
                </w:rPr>
                <w:t>PROPOSAL 4—RATIFICATION OF SELECTION OF INDEPENDENT REGISTERED PUBLIC ACCOUNTING FIRM</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52">
              <w:r>
                <w:rPr>
                  <w:rStyle w:val="InternetLink"/>
                  <w:rFonts w:ascii="Times New Roman;sans-serif" w:hAnsi="Times New Roman;sans-serif"/>
                  <w:b w:val="false"/>
                  <w:strike w:val="false"/>
                  <w:dstrike w:val="false"/>
                  <w:color w:val="000000"/>
                  <w:sz w:val="20"/>
                  <w:u w:val="none"/>
                  <w:effect w:val="none"/>
                </w:rPr>
                <w:t>73</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55">
              <w:r>
                <w:rPr>
                  <w:rStyle w:val="InternetLink"/>
                  <w:rFonts w:ascii="Times New Roman;sans-serif" w:hAnsi="Times New Roman;sans-serif"/>
                  <w:b w:val="false"/>
                  <w:color w:val="0000FF"/>
                  <w:sz w:val="20"/>
                  <w:u w:val="single"/>
                </w:rPr>
                <w:t>AUDIT COMMITTEE REPORT</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55">
              <w:r>
                <w:rPr>
                  <w:rStyle w:val="InternetLink"/>
                  <w:rFonts w:ascii="Times New Roman;sans-serif" w:hAnsi="Times New Roman;sans-serif"/>
                  <w:b w:val="false"/>
                  <w:strike w:val="false"/>
                  <w:dstrike w:val="false"/>
                  <w:color w:val="000000"/>
                  <w:sz w:val="20"/>
                  <w:u w:val="none"/>
                  <w:effect w:val="none"/>
                </w:rPr>
                <w:t>75</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58">
              <w:r>
                <w:rPr>
                  <w:rStyle w:val="InternetLink"/>
                  <w:rFonts w:ascii="Times New Roman;sans-serif" w:hAnsi="Times New Roman;sans-serif"/>
                  <w:b w:val="false"/>
                  <w:color w:val="0000FF"/>
                  <w:sz w:val="20"/>
                  <w:u w:val="single"/>
                </w:rPr>
                <w:t>SECURITY OWNERSHIP OF CERTAIN BENEFICIAL OWNERS AND MANAGEMENT</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58">
              <w:r>
                <w:rPr>
                  <w:rStyle w:val="InternetLink"/>
                  <w:rFonts w:ascii="Times New Roman;sans-serif" w:hAnsi="Times New Roman;sans-serif"/>
                  <w:b w:val="false"/>
                  <w:strike w:val="false"/>
                  <w:dstrike w:val="false"/>
                  <w:color w:val="000000"/>
                  <w:sz w:val="20"/>
                  <w:u w:val="none"/>
                  <w:effect w:val="none"/>
                </w:rPr>
                <w:t>76</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385">
              <w:r>
                <w:rPr>
                  <w:rStyle w:val="InternetLink"/>
                  <w:rFonts w:ascii="Times New Roman;sans-serif" w:hAnsi="Times New Roman;sans-serif"/>
                  <w:b w:val="false"/>
                  <w:color w:val="000080"/>
                  <w:sz w:val="20"/>
                  <w:u w:val="single"/>
                </w:rPr>
                <w:t>D</w:t>
              </w:r>
            </w:hyperlink>
            <w:hyperlink w:anchor="ic6feda7793004864864bb7a70a7095e3_385">
              <w:r>
                <w:rPr>
                  <w:rStyle w:val="InternetLink"/>
                  <w:rFonts w:ascii="Times New Roman;sans-serif" w:hAnsi="Times New Roman;sans-serif"/>
                  <w:b w:val="false"/>
                  <w:color w:val="000080"/>
                  <w:sz w:val="20"/>
                  <w:u w:val="single"/>
                </w:rPr>
                <w:t>ELI</w:t>
              </w:r>
            </w:hyperlink>
            <w:hyperlink w:anchor="ic6feda7793004864864bb7a70a7095e3_385">
              <w:r>
                <w:rPr>
                  <w:rStyle w:val="InternetLink"/>
                  <w:rFonts w:ascii="Times New Roman;sans-serif" w:hAnsi="Times New Roman;sans-serif"/>
                  <w:b w:val="false"/>
                  <w:color w:val="000080"/>
                  <w:sz w:val="20"/>
                  <w:u w:val="single"/>
                </w:rPr>
                <w:t>N</w:t>
              </w:r>
            </w:hyperlink>
            <w:hyperlink w:anchor="ic6feda7793004864864bb7a70a7095e3_385">
              <w:r>
                <w:rPr>
                  <w:rStyle w:val="InternetLink"/>
                  <w:rFonts w:ascii="Times New Roman;sans-serif" w:hAnsi="Times New Roman;sans-serif"/>
                  <w:b w:val="false"/>
                  <w:color w:val="000080"/>
                  <w:sz w:val="20"/>
                  <w:u w:val="single"/>
                </w:rPr>
                <w:t>QUENT</w:t>
              </w:r>
            </w:hyperlink>
            <w:hyperlink w:anchor="ic6feda7793004864864bb7a70a7095e3_385">
              <w:r>
                <w:rPr>
                  <w:rStyle w:val="InternetLink"/>
                  <w:rFonts w:ascii="Times New Roman;sans-serif" w:hAnsi="Times New Roman;sans-serif"/>
                  <w:b w:val="false"/>
                  <w:color w:val="000080"/>
                  <w:sz w:val="20"/>
                  <w:u w:val="single"/>
                </w:rPr>
                <w:t xml:space="preserve"> SECTION 16(a) REPORTS</w:t>
              </w:r>
            </w:hyperlink>
            <w:r>
              <w:rPr>
                <w:color w:val="000000"/>
              </w:rPr>
              <w:t xml:space="preserve"> </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385">
              <w:r>
                <w:rPr>
                  <w:rStyle w:val="InternetLink"/>
                  <w:rFonts w:ascii="Times New Roman;sans-serif" w:hAnsi="Times New Roman;sans-serif"/>
                  <w:b w:val="false"/>
                  <w:strike w:val="false"/>
                  <w:dstrike w:val="false"/>
                  <w:color w:val="000000"/>
                  <w:sz w:val="20"/>
                  <w:u w:val="none"/>
                  <w:effect w:val="none"/>
                </w:rPr>
                <w:t>77</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61">
              <w:r>
                <w:rPr>
                  <w:rStyle w:val="InternetLink"/>
                  <w:rFonts w:ascii="Times New Roman;sans-serif" w:hAnsi="Times New Roman;sans-serif"/>
                  <w:b w:val="false"/>
                  <w:color w:val="0000FF"/>
                  <w:sz w:val="20"/>
                  <w:u w:val="single"/>
                </w:rPr>
                <w:t>CERTAIN RELATIONSHIPS AND RELATED PERSON TRANSACTIONS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61">
              <w:r>
                <w:rPr>
                  <w:rStyle w:val="InternetLink"/>
                  <w:rFonts w:ascii="Times New Roman;sans-serif" w:hAnsi="Times New Roman;sans-serif"/>
                  <w:b w:val="false"/>
                  <w:strike w:val="false"/>
                  <w:dstrike w:val="false"/>
                  <w:color w:val="000000"/>
                  <w:sz w:val="20"/>
                  <w:u w:val="none"/>
                  <w:effect w:val="none"/>
                </w:rPr>
                <w:t>78</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64">
              <w:r>
                <w:rPr>
                  <w:rStyle w:val="InternetLink"/>
                  <w:rFonts w:ascii="Times New Roman;sans-serif" w:hAnsi="Times New Roman;sans-serif"/>
                  <w:b w:val="false"/>
                  <w:color w:val="0000FF"/>
                  <w:sz w:val="20"/>
                  <w:u w:val="single"/>
                </w:rPr>
                <w:t>GENERAL MATTERS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feda7793004864864bb7a70a7095e3_64">
              <w:r>
                <w:rPr>
                  <w:rStyle w:val="InternetLink"/>
                  <w:rFonts w:ascii="Times New Roman;sans-serif" w:hAnsi="Times New Roman;sans-serif"/>
                  <w:b w:val="false"/>
                  <w:strike w:val="false"/>
                  <w:dstrike w:val="false"/>
                  <w:color w:val="000000"/>
                  <w:sz w:val="20"/>
                  <w:u w:val="none"/>
                  <w:effect w:val="none"/>
                </w:rPr>
                <w:t>80</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67">
              <w:r>
                <w:rPr>
                  <w:rStyle w:val="InternetLink"/>
                  <w:rFonts w:ascii="Times New Roman;sans-serif" w:hAnsi="Times New Roman;sans-serif"/>
                  <w:b w:val="false"/>
                  <w:color w:val="0000FF"/>
                  <w:sz w:val="20"/>
                  <w:u w:val="single"/>
                </w:rPr>
                <w:t>APPENDIX A: AMENDMENT NO. 1 TO 2023 STOCK INCENTIVE PLAN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rPr>
              <w:t>A-</w:t>
            </w:r>
            <w:hyperlink w:anchor="ic6feda7793004864864bb7a70a7095e3_67">
              <w:r>
                <w:rPr>
                  <w:rStyle w:val="InternetLink"/>
                  <w:rFonts w:ascii="Times New Roman;sans-serif" w:hAnsi="Times New Roman;sans-serif"/>
                  <w:b w:val="false"/>
                  <w:strike w:val="false"/>
                  <w:dstrike w:val="false"/>
                  <w:color w:val="000000"/>
                  <w:sz w:val="20"/>
                  <w:u w:val="none"/>
                  <w:effect w:val="none"/>
                </w:rPr>
                <w:t>1</w:t>
              </w:r>
            </w:hyperlink>
          </w:p>
        </w:tc>
      </w:tr>
      <w:tr>
        <w:trPr/>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feda7793004864864bb7a70a7095e3_70">
              <w:r>
                <w:rPr>
                  <w:rStyle w:val="InternetLink"/>
                  <w:rFonts w:ascii="Times New Roman;sans-serif" w:hAnsi="Times New Roman;sans-serif"/>
                  <w:b w:val="false"/>
                  <w:color w:val="0000FF"/>
                  <w:sz w:val="20"/>
                  <w:u w:val="single"/>
                </w:rPr>
                <w:t>APPENDIX B: 2023 STOCK INCENTIVE PLAN (AS AMENDED BY AMENDMENT NO. 1)</w:t>
              </w:r>
            </w:hyperlink>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B-1</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6"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 REGARDING FORWARD-LOOKING STATEMENTS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This Proxy Statement contains forward-looking statements that are being made pursuant to the provisions of the U.S. Private Securities Litigation Reform Act of 1995 with the intention of obtaining the benefits of the “safe harbor” provisions of that Act. All statements contained in this Proxy Statement other than statements of historical fact are forward-looking statements. These forward-looking statements may be accompanied by words such as “anticipate,” “believe,” “build,” “can,” “contemplate,” “continue,” “could,” “should,” “designed,” “estimate,” “project,” “expect,” “forecast,” “future,” “goal,” “intend,” “likely,” “may,” “plan,” “possible,” “potential,” “predict,” “strategy,” “seek,” “target,” “will,” “would,” and other words and terms of similar meaning, but the absence of these words does not necessarily mean that a statement is not forward-looking. These forward-looking statements include, but are not limited to, statements about: our plans with respect to commercializing Vafseo</w:t>
      </w:r>
      <w:r>
        <w:rPr>
          <w:rFonts w:ascii="Times New Roman;sans-serif" w:hAnsi="Times New Roman;sans-serif"/>
          <w:b w:val="false"/>
          <w:color w:val="000000"/>
          <w:sz w:val="16"/>
        </w:rPr>
        <w:t xml:space="preserve">® </w:t>
      </w:r>
      <w:r>
        <w:rPr>
          <w:rFonts w:ascii="Times New Roman;sans-serif" w:hAnsi="Times New Roman;sans-serif"/>
          <w:b w:val="false"/>
          <w:color w:val="000000"/>
          <w:sz w:val="20"/>
        </w:rPr>
        <w:t xml:space="preserve">(vadadustat); our ability to maintain contracts with dialysis organizations for the sale of </w:t>
      </w:r>
      <w:r>
        <w:rPr>
          <w:rFonts w:ascii="Times New Roman;sans-serif" w:hAnsi="Times New Roman;sans-serif"/>
          <w:b w:val="false"/>
          <w:color w:val="000000"/>
          <w:sz w:val="20"/>
          <w:shd w:fill="FFFFFF" w:val="clear"/>
        </w:rPr>
        <w:t>Auryxia</w:t>
      </w:r>
      <w:r>
        <w:rPr>
          <w:rFonts w:ascii="Times New Roman;sans-serif" w:hAnsi="Times New Roman;sans-serif"/>
          <w:b w:val="false"/>
          <w:color w:val="000000"/>
          <w:sz w:val="16"/>
          <w:shd w:fill="FFFFFF" w:val="clear"/>
        </w:rPr>
        <w:t>®</w:t>
      </w:r>
      <w:r>
        <w:rPr>
          <w:color w:val="000000"/>
          <w:shd w:fill="FFFFFF" w:val="clear"/>
        </w:rPr>
        <w:t xml:space="preserve"> </w:t>
      </w:r>
      <w:r>
        <w:rPr>
          <w:rFonts w:ascii="Times New Roman;sans-serif" w:hAnsi="Times New Roman;sans-serif"/>
          <w:b w:val="false"/>
          <w:color w:val="000000"/>
          <w:sz w:val="20"/>
          <w:shd w:fill="FFFFFF" w:val="clear"/>
        </w:rPr>
        <w:t>(ferric citrate) and Vafseo in the United States</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our pipeline and portfolio, including its potential, and our related research and development activities; the potential indications, demand and market opportunity, potential and acceptance of Auryxia and Vafseo, including the size of eligible patient populations</w:t>
      </w:r>
      <w:r>
        <w:rPr>
          <w:rFonts w:ascii="Times New Roman;sans-serif" w:hAnsi="Times New Roman;sans-serif"/>
          <w:b w:val="false"/>
          <w:color w:val="000000"/>
          <w:sz w:val="20"/>
        </w:rPr>
        <w:t>; the potential therapeutic applications of the hypoxia inducible factor pathway;</w:t>
      </w:r>
      <w:r>
        <w:rPr>
          <w:color w:val="000000"/>
          <w:shd w:fill="FFFFFF" w:val="clear"/>
        </w:rPr>
        <w:t xml:space="preserve"> </w:t>
      </w:r>
      <w:r>
        <w:rPr>
          <w:rFonts w:ascii="Times New Roman;sans-serif" w:hAnsi="Times New Roman;sans-serif"/>
          <w:b w:val="false"/>
          <w:color w:val="000000"/>
          <w:sz w:val="20"/>
          <w:shd w:fill="FFFFFF" w:val="clear"/>
        </w:rPr>
        <w:t>and delivering value broadly to the kidney community, as well as others who may benefit from our medicines, will result in delivering value for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or all of these forward-looking statements in this Proxy Statement may turn out to be inaccurate. These forward-looking statements involve risks and uncertainties, including those that are discussed in our Annual Report on Form 10-K as filed with the Securities and Exchange Commission on March 13, 2025 under the heading “Risk Factors Summary,” and the risk factors detailed further in Part I, Item 1A. “Risk Factors” included in our Annual Report on Form 10-K and in our Securities and Exchange Commission reports filed after this Proxy Statement, that could cause our actual results, financial condition, performance or achievements to be materially different from those indicated in these forward-looking statements. Given these risks and uncertainties, you should not place undue reliance on these forward-looking statements. Forward-looking statements speak only as of the date of this Proxy Statement. Except as required by law, we assume no obligation to publicly update or revise these forward-looking statements for any reason. Unless otherwise stated, our forward-looking statements do not reflect the potential impact of any future acquisitions, mergers, dispositions, joint ventures or investments we may make.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7"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Akebia Therapeutics,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245 First Street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Cambridge, MA 02142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PROXY STATEMENT FOR 2025 ANNUAL MEETING OF STOCKHOLDERS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GENERAL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Proxy Statement, along with the accompanying Notice of 2025 Annual Meeting of Stockholders, contains information about the 2025 Annual Meeting of Stockholders of Akebia Therapeutics, Inc., or the Annual Meeting, including any adjournments or postponements thereof. In this Proxy Statement, we refer to Akebia Therapeutics, Inc. as “Akebia,” “the Company,” “we” or “us.”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holding the Annual Meeting at 10:00 a.m. Eastern Time, on Tuesday, June 10, 2025. The Annual Meeting will be a virtual meeting via live webcast. You will be able to attend the Annual Meeting, vote and submit your questions during the Annual Meeting by visiting www.virtualshareholdermeeting.com/AKBA2025 and entering the control number included on the proxy card you receive.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Proxy Statement relates to the solicitation of proxies by our Board of Directors for use at the Annual Meeting.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Who is soliciting my proxy?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or the Board, of Akebia is soliciting your proxy to vote at the Annual Meeting, to be held virtually via live webcast on Tuesday, June 10, 2025 at 10:00 a.m. Eastern Time, and any adjournments thereof. This Proxy Statement and the accompanying Notice of 2025 Annual Meeting of Stockholders summarizes the purposes of the Annual Meeting and the information you need to know to vote at the Annual Meeting.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Why is the Company holding a virtual Annual Meeting?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Meeting will be held in a virtual meeting format only. You will not be able to attend the Annual Meeting in person physically. We believe that hosting a virtual meeting will facilitate stockholder attendance and participation at our Annual Meeting by enabling stockholders to participate remotely from any location. We have designed the virtual Annual Meeting to provide the same rights and opportunities to participate as stockholders would have at an in-person meeting, including the right to vote and ask questions through the virtual meeting platform.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How do I virtually attend the Annual Meeting?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host the Annual Meeting online via live webcast. To attend the Annual Meeting, go to www.virtualshareholdermeeting.com/AKBA2025 shortly before the Annual Meeting time, and follow the instructions for downloading the webcast. We encourage you to access the meeting prior to the start time. Online check-in will begin at 9:45 a.m. Eastern Time, and you should allow ample time to test your computer and for the check-in procedures. You need not attend the Annual Meeting in order to vote.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What happens if there are technical difficulties during the Annual Meeting?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have technicians ready to assist you with any technical difficulties you may have accessing the Annual Meeting, voting at the Annual Meeting or submitting questions at the Annual Meeting. If you encounter any difficulties accessing the virtual meeting website, please call the technical support number that will be posted on the Annual Meeting log-in page. </w:t>
      </w:r>
    </w:p>
    <w:p>
      <w:pPr>
        <w:pStyle w:val="TextBody"/>
        <w:bidi w:val="0"/>
        <w:spacing w:lineRule="auto" w:line="276"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When will this Proxy Statement and the accompanying materials be made available to stockholders?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to provide access to our proxy materials to our stockholders via the Internet. Accordingly, we will begin mailing a Notice of Internet Availability of Proxy Materials, or Notice, to all stockholders entitled to vote at the Annual Meeting on or about April 29, 2025. The proxy materials, including the Notice of 2025 Annual Meeting of Stockholders, the accompanying proxy card, this Proxy Statement and the 2024 Annual Report to Stockholders, or the Annual Report, will be made available to stockholders on the Internet on the same date. Please note that, while our proxy materials are available at the website referenced in this Proxy Statement, and the Proxy Statement and Annual Report are available on our website, no information contained on such websites is incorporated by reference in or considered to be a part of this document.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8"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Why did I receive a Notice of Internet Availability of Proxy Materials instead of a full set of proxy materials?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Pursuant to rules adopted by the </w:t>
      </w:r>
      <w:r>
        <w:rPr>
          <w:rFonts w:ascii="Times New Roman;sans-serif" w:hAnsi="Times New Roman;sans-serif"/>
          <w:b w:val="false"/>
          <w:color w:val="000000"/>
          <w:sz w:val="20"/>
        </w:rPr>
        <w:t xml:space="preserve">Securities and Exchange Commission, or </w:t>
      </w:r>
      <w:r>
        <w:rPr>
          <w:rFonts w:ascii="Times New Roman;sans-serif" w:hAnsi="Times New Roman;sans-serif"/>
          <w:b w:val="false"/>
          <w:color w:val="000000"/>
          <w:sz w:val="20"/>
          <w:shd w:fill="FFFFFF" w:val="clear"/>
        </w:rPr>
        <w:t>SEC,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of our common stock</w:t>
      </w:r>
      <w:r>
        <w:rPr>
          <w:rFonts w:ascii="Times New Roman;sans-serif" w:hAnsi="Times New Roman;sans-serif"/>
          <w:b w:val="false"/>
          <w:color w:val="000000"/>
          <w:sz w:val="20"/>
        </w:rPr>
        <w:t>, par value $0.00001 per share, or our Common Stock,</w:t>
      </w:r>
      <w:r>
        <w:rPr>
          <w:color w:val="000000"/>
          <w:shd w:fill="FFFFFF" w:val="clear"/>
        </w:rPr>
        <w:t xml:space="preserve"> </w:t>
      </w:r>
      <w:r>
        <w:rPr>
          <w:rFonts w:ascii="Times New Roman;sans-serif" w:hAnsi="Times New Roman;sans-serif"/>
          <w:b w:val="false"/>
          <w:color w:val="000000"/>
          <w:sz w:val="20"/>
          <w:shd w:fill="FFFFFF" w:val="clear"/>
        </w:rPr>
        <w:t xml:space="preserve">starting on or about April 29, 2025. The Notice provides instructions as to how stockholders may access and review our proxy materials, including the Notice of the 2025 Annual Meeting of Stockholders, this proxy statement, the proxy card and our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When is the record date for the Annual Meeting?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fixed the record date for the Annual Meeting as of 5:00 p.m. Eastern Time on April 11, 2025, referred to as the record date. Only stockholders who owned our Common Stock as of 5:00 p.m. Eastern Time on April 11, 2025 are entitled to vote at the Annual Meeting.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Why is the Company soliciting my vote?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is soliciting your vote for the Annual Meeting because you owned shares of our Common Stock as of 5:00 p.m. Eastern Time on the record date. We have made available to you on the Internet or have sent you by mail this Proxy Statement, the Notice of 2025 Annual Meeting of Stockholders, the proxy card and a copy of our Annual Report.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How many votes can be cast by all stockholders?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261,784,836 shares of our Common Stock were outstanding on April 11, 2025 and are entitled to be voted at the Annual Meeting. Each share of Common Stock is entitled to one vote on each matter properly presented at the Annual Meeting.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Who may attend the Annual Meeting?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Only stockholders as of the record date, their proxy holders and guests invited by the Company may attend the Annual Meeting virtually by accessing www.virtualshareholdermeeting.com/AKBA2025 and entering the unique control number found on the proxy card.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your shares are held by a bank, broker or other nominee, you can attend the Annual Meeting by contacting the bank, broker or other nominee who holds your shares to obtain a broker’s proxy card and using the control number found on the broker’s proxy card.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How do I vote?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stockholder of record and your shares are registered directly in your name, you may vote: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color w:val="000000"/>
          <w:sz w:val="20"/>
        </w:rPr>
        <w:t>By Internet</w:t>
      </w:r>
      <w:r>
        <w:rPr>
          <w:rFonts w:ascii="Times New Roman;sans-serif" w:hAnsi="Times New Roman;sans-serif"/>
          <w:b w:val="false"/>
          <w:color w:val="000000"/>
          <w:sz w:val="20"/>
        </w:rPr>
        <w:t>. You may vote by proxy via the Internet at</w:t>
      </w:r>
      <w:r>
        <w:rPr>
          <w:color w:val="000000"/>
        </w:rPr>
        <w:t xml:space="preserve"> </w:t>
      </w:r>
      <w:r>
        <w:rPr>
          <w:rFonts w:ascii="Times New Roman;sans-serif" w:hAnsi="Times New Roman;sans-serif"/>
          <w:b w:val="false"/>
          <w:i/>
          <w:color w:val="000000"/>
          <w:sz w:val="20"/>
        </w:rPr>
        <w:t>www.proxyvote.com</w:t>
      </w:r>
      <w:r>
        <w:rPr>
          <w:color w:val="000000"/>
        </w:rPr>
        <w:t xml:space="preserve"> </w:t>
      </w:r>
      <w:r>
        <w:rPr>
          <w:rFonts w:ascii="Times New Roman;sans-serif" w:hAnsi="Times New Roman;sans-serif"/>
          <w:b w:val="false"/>
          <w:color w:val="000000"/>
          <w:sz w:val="20"/>
        </w:rPr>
        <w:t>by following the instructions provided in the Notice or on the</w:t>
      </w:r>
      <w:r>
        <w:rPr>
          <w:color w:val="000000"/>
        </w:rPr>
        <w:t xml:space="preserve"> </w:t>
      </w:r>
      <w:r>
        <w:rPr>
          <w:rFonts w:ascii="Times New Roman;sans-serif" w:hAnsi="Times New Roman;sans-serif"/>
          <w:b w:val="false"/>
          <w:color w:val="000000"/>
          <w:sz w:val="20"/>
        </w:rPr>
        <w:t xml:space="preserve">proxy card.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color w:val="000000"/>
          <w:sz w:val="20"/>
        </w:rPr>
        <w:t>By Telephone</w:t>
      </w:r>
      <w:r>
        <w:rPr>
          <w:rFonts w:ascii="Times New Roman;sans-serif" w:hAnsi="Times New Roman;sans-serif"/>
          <w:b w:val="false"/>
          <w:color w:val="000000"/>
          <w:sz w:val="20"/>
        </w:rPr>
        <w:t>. If you live in the United States or Canada, you may vote by proxy by calling toll-free 1-800-690-6903 and by following the</w:t>
      </w:r>
      <w:r>
        <w:rPr>
          <w:color w:val="000000"/>
        </w:rPr>
        <w:t xml:space="preserve"> </w:t>
      </w:r>
      <w:r>
        <w:rPr>
          <w:rFonts w:ascii="Times New Roman;sans-serif" w:hAnsi="Times New Roman;sans-serif"/>
          <w:b w:val="false"/>
          <w:color w:val="000000"/>
          <w:sz w:val="20"/>
        </w:rPr>
        <w:t>instructions provided on the proxy card. You must have the control number that is on the proxy card when voting.</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color w:val="000000"/>
          <w:sz w:val="20"/>
        </w:rPr>
        <w:t>By Mail</w:t>
      </w:r>
      <w:r>
        <w:rPr>
          <w:rFonts w:ascii="Times New Roman;sans-serif" w:hAnsi="Times New Roman;sans-serif"/>
          <w:b w:val="false"/>
          <w:color w:val="000000"/>
          <w:sz w:val="20"/>
        </w:rPr>
        <w:t>. If paper materials were requested, complete and mail your proxy card, in the postage prepaid envelope you receive, to Vote Processing, c/o Broadridge, 51</w:t>
      </w:r>
      <w:r>
        <w:rPr>
          <w:color w:val="000000"/>
        </w:rPr>
        <w:t xml:space="preserve"> </w:t>
      </w:r>
      <w:r>
        <w:rPr>
          <w:rFonts w:ascii="Times New Roman;sans-serif" w:hAnsi="Times New Roman;sans-serif"/>
          <w:b w:val="false"/>
          <w:color w:val="000000"/>
          <w:sz w:val="20"/>
        </w:rPr>
        <w:t xml:space="preserve">Mercedes Way, Edgewood, NY 11717. Your proxy will be voted in accordance with your instructions. If you sign and return the enclosed proxy but do not specify how you want your shares voted, they will be voted in accordance with the recommendations of the Board of Directors and will be voted according to the discretion of the named proxy holders on the proxy card upon any other business that may properly be brought before the Annual Meeting and at all adjournments and postponements thereof.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color w:val="000000"/>
          <w:sz w:val="20"/>
        </w:rPr>
        <w:t>At the Virtual Annual Meeting</w:t>
      </w:r>
      <w:r>
        <w:rPr>
          <w:rFonts w:ascii="Times New Roman;sans-serif" w:hAnsi="Times New Roman;sans-serif"/>
          <w:b w:val="false"/>
          <w:color w:val="000000"/>
          <w:sz w:val="20"/>
        </w:rPr>
        <w:t xml:space="preserve">. The Annual Meeting will be held entirely online. To participate in the Annual Meeting, you will need the control number included on the proxy card. The Annual Meeting webcast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9"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 begin promptly at 10:00 a.m. Eastern Time. Online check-in will begin at 9:45 a.m. Eastern Time, and you should allow ample time for the check-in procedures.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your shares of Common Stock are held by a bank, broker or other nominee, you may vote: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By Internet or by Telephone</w:t>
      </w:r>
      <w:r>
        <w:rPr>
          <w:rFonts w:ascii="Times New Roman;sans-serif" w:hAnsi="Times New Roman;sans-serif"/>
          <w:b w:val="false"/>
          <w:color w:val="000000"/>
          <w:sz w:val="20"/>
        </w:rPr>
        <w:t>. You will receive instructions from your bank, broker or other nominee if you are permitted to vote by</w:t>
      </w:r>
      <w:r>
        <w:rPr>
          <w:color w:val="000000"/>
        </w:rPr>
        <w:t xml:space="preserve"> </w:t>
      </w:r>
      <w:r>
        <w:rPr>
          <w:rFonts w:ascii="Times New Roman;sans-serif" w:hAnsi="Times New Roman;sans-serif"/>
          <w:b w:val="false"/>
          <w:color w:val="000000"/>
          <w:sz w:val="20"/>
        </w:rPr>
        <w:t xml:space="preserve">Internet or telephone.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color w:val="000000"/>
          <w:sz w:val="20"/>
        </w:rPr>
        <w:t>By Mail</w:t>
      </w:r>
      <w:r>
        <w:rPr>
          <w:rFonts w:ascii="Times New Roman;sans-serif" w:hAnsi="Times New Roman;sans-serif"/>
          <w:b w:val="false"/>
          <w:color w:val="000000"/>
          <w:sz w:val="20"/>
        </w:rPr>
        <w:t xml:space="preserve">. You will receive instructions from your bank, broker or other nominee explaining how to vote your shares by mail.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color w:val="000000"/>
          <w:sz w:val="20"/>
        </w:rPr>
        <w:t>At the Virtual Annual Meeting</w:t>
      </w:r>
      <w:r>
        <w:rPr>
          <w:rFonts w:ascii="Times New Roman;sans-serif" w:hAnsi="Times New Roman;sans-serif"/>
          <w:b w:val="false"/>
          <w:color w:val="000000"/>
          <w:sz w:val="20"/>
        </w:rPr>
        <w:t xml:space="preserve">. The Annual Meeting will be held entirely online. To participate in the Annual Meeting, you will need to contact the bank, broker or other nominee who holds your shares to obtain a broker’s proxy card and use the control number found on the broker’s proxy card. The Annual Meeting webcast will begin promptly at 10:00 a.m. Eastern Time. Online check-in will begin at 9:45 a.m. Eastern Time, and you should allow ample time for the check-in procedures.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Will my shares be voted if I do not return my proxy?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your shares are registered directly in your name, your shares will not be voted if you do not vote over the Internet, by telephone, by mailing your proxy card or virtually at the Annual Meeting. </w:t>
      </w:r>
    </w:p>
    <w:p>
      <w:pPr>
        <w:pStyle w:val="TextBody"/>
        <w:bidi w:val="0"/>
        <w:spacing w:lineRule="auto" w:line="288" w:before="240" w:after="283"/>
        <w:jc w:val="left"/>
        <w:rPr/>
      </w:pPr>
      <w:r>
        <w:rPr>
          <w:rFonts w:ascii="Times New Roman;sans-serif" w:hAnsi="Times New Roman;sans-serif"/>
          <w:b w:val="false"/>
          <w:color w:val="000000"/>
          <w:sz w:val="20"/>
        </w:rPr>
        <w:t>If your shares are owned in “street name” through a bank, broker or other nominee, stock exchange rules allow your bank, broker or other nominee to vote on your behalf for certain matters if you do not provide voting instructions with respect to your shares. The election of the two Class II directors (Proposal 1), the approval of an amendment to the Akebia Therapeutics, Inc. 2023 Stock Incentive Plan to</w:t>
      </w:r>
      <w:r>
        <w:rPr>
          <w:color w:val="231F20"/>
        </w:rPr>
        <w:t xml:space="preserve"> </w:t>
      </w:r>
      <w:r>
        <w:rPr>
          <w:rFonts w:ascii="Times New Roman;sans-serif" w:hAnsi="Times New Roman;sans-serif"/>
          <w:b w:val="false"/>
          <w:color w:val="231F20"/>
          <w:sz w:val="20"/>
        </w:rPr>
        <w:t>increase the number of shares of Common Stock available for</w:t>
      </w:r>
      <w:r>
        <w:rPr>
          <w:color w:val="000000"/>
        </w:rPr>
        <w:t xml:space="preserve"> </w:t>
      </w:r>
      <w:r>
        <w:rPr>
          <w:rFonts w:ascii="Times New Roman;sans-serif" w:hAnsi="Times New Roman;sans-serif"/>
          <w:b w:val="false"/>
          <w:color w:val="000000"/>
          <w:sz w:val="20"/>
        </w:rPr>
        <w:t xml:space="preserve">issuance thereunder by 18,900,000 shares and to make certain other changes to the plan (Proposal 2) and the advisory vote on executive compensation (Proposal 3) are matters on which brokers do not have discretionary voting authority under applicable stock exchange rules. Accordingly, in the absence of proper voting instructions from you on those matters, the broker will not vote your shares (which is referred to as a broker non-vote). Broker non-votes are shares represented at the Annual Meeting held by banks, brokers or other nominees for which instructions have not been received from the beneficial owners or persons entitled to vote such shares and such banks, brokers or other nominees do not have discretionary voting power to vote such shares.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proposal to ratify the selection of Ernst &amp; Young LLP as the Company’s independent registered public accounting firm for the fiscal year ending December 31, 2025 (Proposal 4) is a proposal on which banks, brokers or other nominees are expected to have discretionary voting authority under applicable stock exchange rules. If they exercise this discretionary authority, no broker non-votes are expected to occur in connection with Proposal 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encourage you to vote or to provide voting instructions to your bank, broker or other nominee. This ensures that your shares will be voted at the Annual Meeting according to your instructions. </w:t>
      </w:r>
    </w:p>
    <w:p>
      <w:pPr>
        <w:pStyle w:val="TextBody"/>
        <w:bidi w:val="0"/>
        <w:spacing w:lineRule="auto" w:line="288" w:before="27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0"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How many votes are required for approval of different matters and what are the Board of Directors’ recommendations on how to vote my shares? </w:t>
      </w:r>
    </w:p>
    <w:tbl>
      <w:tblPr>
        <w:tblW w:w="10205" w:type="dxa"/>
        <w:jc w:val="left"/>
        <w:tblInd w:w="0" w:type="dxa"/>
        <w:tblLayout w:type="fixed"/>
        <w:tblCellMar>
          <w:top w:w="28" w:type="dxa"/>
          <w:left w:w="28" w:type="dxa"/>
          <w:bottom w:w="28" w:type="dxa"/>
          <w:right w:w="28" w:type="dxa"/>
        </w:tblCellMar>
      </w:tblPr>
      <w:tblGrid>
        <w:gridCol w:w="1218"/>
        <w:gridCol w:w="834"/>
        <w:gridCol w:w="837"/>
        <w:gridCol w:w="109"/>
        <w:gridCol w:w="109"/>
        <w:gridCol w:w="109"/>
        <w:gridCol w:w="395"/>
        <w:gridCol w:w="395"/>
        <w:gridCol w:w="399"/>
        <w:gridCol w:w="109"/>
        <w:gridCol w:w="109"/>
        <w:gridCol w:w="109"/>
        <w:gridCol w:w="387"/>
        <w:gridCol w:w="374"/>
        <w:gridCol w:w="378"/>
        <w:gridCol w:w="109"/>
        <w:gridCol w:w="109"/>
        <w:gridCol w:w="109"/>
        <w:gridCol w:w="335"/>
        <w:gridCol w:w="335"/>
        <w:gridCol w:w="336"/>
        <w:gridCol w:w="109"/>
        <w:gridCol w:w="109"/>
        <w:gridCol w:w="109"/>
        <w:gridCol w:w="290"/>
        <w:gridCol w:w="290"/>
        <w:gridCol w:w="291"/>
        <w:gridCol w:w="109"/>
        <w:gridCol w:w="109"/>
        <w:gridCol w:w="109"/>
        <w:gridCol w:w="431"/>
        <w:gridCol w:w="431"/>
        <w:gridCol w:w="614"/>
      </w:tblGrid>
      <w:tr>
        <w:trPr/>
        <w:tc>
          <w:tcPr>
            <w:tcW w:w="121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Voting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Votes</w:t>
            </w:r>
          </w:p>
          <w:p>
            <w:pPr>
              <w:pStyle w:val="TableContents"/>
              <w:bidi w:val="0"/>
              <w:spacing w:lineRule="auto" w:line="288" w:before="0" w:after="0"/>
              <w:jc w:val="center"/>
              <w:rPr/>
            </w:pPr>
            <w:r>
              <w:rPr>
                <w:rFonts w:ascii="Times New Roman;sans-serif" w:hAnsi="Times New Roman;sans-serif"/>
                <w:b/>
                <w:color w:val="000000"/>
                <w:sz w:val="16"/>
              </w:rPr>
              <w:t>Required</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Effect of</w:t>
            </w:r>
          </w:p>
          <w:p>
            <w:pPr>
              <w:pStyle w:val="TableContents"/>
              <w:bidi w:val="0"/>
              <w:spacing w:lineRule="auto" w:line="288" w:before="0" w:after="0"/>
              <w:jc w:val="center"/>
              <w:rPr/>
            </w:pPr>
            <w:r>
              <w:rPr>
                <w:rFonts w:ascii="Times New Roman;sans-serif" w:hAnsi="Times New Roman;sans-serif"/>
                <w:b/>
                <w:color w:val="000000"/>
                <w:sz w:val="16"/>
              </w:rPr>
              <w:t>Abstentions</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Effect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Broker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Non-Votes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Board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Recommendations</w:t>
            </w:r>
          </w:p>
        </w:tc>
      </w:tr>
      <w:tr>
        <w:trPr/>
        <w:tc>
          <w:tcPr>
            <w:tcW w:w="2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Election of Two Class II Directors (Proposal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All/</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Withhold All/</w:t>
            </w:r>
          </w:p>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For All</w:t>
            </w:r>
          </w:p>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Except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Plurality of votes cast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ALL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Approval of an amendment to the Akebia Therapeutics, Inc. 2023 Stock Incentive Plan to increase the number of shares of Common Stock available for issuance thereunder by 18,900,000 shares and to make certain other changes to the plan (Proposal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For/Against/</w:t>
              <w:br/>
              <w:t>Abstain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Majority of votes cast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r>
      <w:tr>
        <w:trPr/>
        <w:tc>
          <w:tcPr>
            <w:tcW w:w="288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Advisory Vote on Compensation of Named Executive Officers (Proposal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For/Against/</w:t>
              <w:b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Majority of votes cast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Ratification of Selection of Independent Registered Public Accounting Firm (Proposal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For/Against/</w:t>
              <w:br/>
              <w:t>Abstain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Majority of votes cast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b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r>
    </w:tbl>
    <w:p>
      <w:pPr>
        <w:pStyle w:val="TextBody"/>
        <w:bidi w:val="0"/>
        <w:spacing w:lineRule="auto" w:line="288" w:before="12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(1)A vote to withhold will have no effect on the outcome of Proposal 1.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(2)As an advisory vote, this proposal is not binding. The Board of Directors will take into consideration the outcome of this vote in determining executive compensation.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(3)As noted above, Proposal 4 is a proposal on which banks, brokers or other nominees are expected to have discretionary voting authority under applicable stock exchange rules. If they exercise this discretionary authority, no broker non-votes are expected to occur in connection with Proposal 4.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Who pays the cost of soliciting proxies?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will pay the cost of solicitation of proxies. This includes the charges and expenses of brokerage firms and other vendors for forwarding solicitation material to beneficial owners of our outstanding Common Stock. We may solicit proxies by mail, personal interview, telephone or via the Internet through our officers, directors and other management employees, who will receive no additional compensation for their services. We may also utilize the assistance of third parties in connection with our proxy solicitation efforts, and we would compensate such third parties for their efforts. We have engaged one such third party, Mackenzie Partners, Inc., to assist in the solicitation of proxies and provide related advice and informational support, for service fees of up to $8,500 and the reimbursement of certain expenses.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Can I change or revoke my vote?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stockholder of record, you may change or revoke your proxy at any time before it is voted at the Annual Meeting by notifying the Corporate Secretary in writing stating that you would like to revoke your proxy of a particular date, by mailing a signed proxy with a later date before the Annual Meeting, by transmitting a subsequent vote over the Internet by 11:59 p.m. Eastern Time on June 9, 2025, by transmitting a subsequent vote by telephone by 11:59 p.m. Eastern Time on June 9, 2025, or by attending the Annual Meeting and voting online during the Annual Meeting. Virtually attending the Annual Meeting alone, without voting online during the Annual Meeting, will not revoke your Internet vote, telephone vote or proxy submitted by mail, as the case may be.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your stock is held by a bank, broker or other nominee, you must contact your bank, broker or other nominee for instructions as to how to change your vote.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How is a quorum reached?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presence, in person or by proxy, of holders of at least a majority of the total number of outstanding shares entitled to vote is necessary to constitute a quorum for the transaction of business at the Annual Meeting. Shares present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1"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Annual Meeting will be considered shares of Common Stock represented in person or by proxy at the Annual Meeting. Abstentions and broker non-votes will be counted for purposes of determining whether a quorum is present for the transaction of business at the Annual Meeting.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Could other matters be decided at the Annual Meeting?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know of any other matters that may be presented for action at the Annual Meeting. Under our Second Amended and Restated Bylaws, or our Bylaws, the deadline for stockholders to notify us of any proposals or director nominations to be presented at the Annual Meeting has passed. Should any other business come before the Annual Meeting, the persons named in the accompanying proxy will have discretionary authority to vote the shares represented by such proxies in accordance with their best judgment. If you hold shares through a bank, broker or other nominee as described above, they will not be able to vote your shares on any other business that comes before the Annual Meeting unless they receive instructions from you with respect to such matter.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What happens if the Annual Meeting is postponed or adjourned?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Your proxy may be voted at the postponed or adjourned meeting. You will still be able to change your proxy until it is voted as provided in the section titled “Can I change or revoke my vote” above. If the Annual Meeting is adjourned or postponed for any reason, at any subsequent reconvening of the Annual Meeting your proxy will be voted in the same manner as it would have been voted at the original convening of the Annual Meeting unless you withdraw or revoke your proxy.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What does it mean if I receive more than one proxy card or voting instruction form?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 receive more than one proxy card or voting instruction form, it may be because you have multiple accounts at the transfer agent or with banks, brokers or other nominees. Please complete and return all proxy cards or voting instruction forms to ensure that all of your shares are voted.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Who should I call if I have any additional questions?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 hold your shares directly, please call our Corporate Secretary at (617) 871-2098. If your shares are held by a bank, broker or other nominee, please call the telephone number provided on your voting instruction form or contact your bank, broker or nominee holder directly.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Can I elect to receive electronic delivery of the Company’s proxy materials?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stockholders who previously elected to receive printed copies of our proxy materials can elect to view future proxy materials over the Internet instead of receiving paper copies in the mail. You can choose this option and access the information you need on a more timely basis, while reducing the environmental impact and lowering the costs of printing and distributing our proxy materials.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Where can I find the voting results?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announce the preliminary voting results at the Annual Meeting. The final voting results will be tallied by the inspector of election and published in a Current Report on Form 8-K, which we are required to file with the SEC within four business days following the Annual Meeting. </w:t>
      </w:r>
    </w:p>
    <w:p>
      <w:pPr>
        <w:pStyle w:val="TextBody"/>
        <w:bidi w:val="0"/>
        <w:spacing w:lineRule="auto" w:line="288" w:before="12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2"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OVERVIEW OF PROPOSALS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Proxy Statement contains four proposals requiring stockholder action. Proposal 1 requests the election of two directors to the Board of Directors. Proposal 2 requests approval of an amendment to the Akebia Therapeutics, Inc. 2023 Stock Incentive Plan to increase the number of shares of Common Stock available for issuance thereunder and to make certain other changes to the plan. Proposal 3 requests approval, on an advisory basis, of the compensation of our named executive officers. Proposal 4 requests the ratification of the appointment of Ernst &amp; Young LLP as our independent registered public accounting firm for the fiscal year ending December 31, 2025. All proposals are discussed in more detail in the pages that follow.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PROPOSAL 1—ELECTION OF DIRECTORS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currently consists of eight members and is divided into three classes. One class is elected each year at the annual meeting of stockholders for a term of three years. Vacancies on the Board of Directors are filled exclusively by the affirmative vote of a majority of the remaining directors, even if less than a quorum is present, and not by stockholders. A director elected by the Board of Directors to fill a vacancy in a class shall be elected for the unexpired term of his or her predecessor in office and until the director’s successor is duly elected and qualified, or until his or her earlier death, resignation or removal.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the Class II directors are scheduled to expire on the date of the Annual Meeting. Based on the recommendation of the Nominating and Corporate Governance Committee of the Board of Directors, the Board of Directors’ nominees for election by the stockholders as the Class II directors are two current Class II directors: John P. Butler and Myles Wolf, M.D., M.M.Sc. If elected, each Class II nominee will serve as a director until the 2028 annual meeting of stockholders and until his successor is duly elected and qualified, or until his earlier death, resignation or removal.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intended that the proxy in the form presented will be voted, unless otherwise indicated, for the election of the Class II director nominees to the Board of Directors. The Company has no reason to believe that any of the nominees will be unable to serve. In the event that one or more nominees is unexpectedly not available to serve, proxies may be voted for another person nominated as a substitute by the Board of Directors, or the Board of Directors may reduce the number of directors to be elected at the Annual Meeting.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Nominees for Directors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names of the nominees for Class II directors and certain information about each nominee are set forth below. </w:t>
      </w:r>
    </w:p>
    <w:tbl>
      <w:tblPr>
        <w:tblW w:w="9186" w:type="dxa"/>
        <w:jc w:val="center"/>
        <w:tblInd w:w="0" w:type="dxa"/>
        <w:tblLayout w:type="fixed"/>
        <w:tblCellMar>
          <w:top w:w="28" w:type="dxa"/>
          <w:left w:w="28" w:type="dxa"/>
          <w:bottom w:w="28" w:type="dxa"/>
          <w:right w:w="28" w:type="dxa"/>
        </w:tblCellMar>
      </w:tblPr>
      <w:tblGrid>
        <w:gridCol w:w="837"/>
        <w:gridCol w:w="734"/>
        <w:gridCol w:w="739"/>
        <w:gridCol w:w="109"/>
        <w:gridCol w:w="109"/>
        <w:gridCol w:w="109"/>
        <w:gridCol w:w="1559"/>
        <w:gridCol w:w="1559"/>
        <w:gridCol w:w="1561"/>
        <w:gridCol w:w="109"/>
        <w:gridCol w:w="109"/>
        <w:gridCol w:w="109"/>
        <w:gridCol w:w="240"/>
        <w:gridCol w:w="240"/>
        <w:gridCol w:w="241"/>
        <w:gridCol w:w="109"/>
        <w:gridCol w:w="109"/>
        <w:gridCol w:w="109"/>
        <w:gridCol w:w="144"/>
        <w:gridCol w:w="144"/>
        <w:gridCol w:w="207"/>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Positions and Offices Held with</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Akebia Therapeutics,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Director</w:t>
            </w:r>
          </w:p>
          <w:p>
            <w:pPr>
              <w:pStyle w:val="TableContents"/>
              <w:bidi w:val="0"/>
              <w:spacing w:lineRule="auto" w:line="276" w:before="0" w:after="0"/>
              <w:jc w:val="center"/>
              <w:rPr/>
            </w:pPr>
            <w:r>
              <w:rPr>
                <w:rFonts w:ascii="Times New Roman;sans-serif" w:hAnsi="Times New Roman;sans-serif"/>
                <w:b/>
                <w:color w:val="000000"/>
                <w:sz w:val="16"/>
              </w:rPr>
              <w:t>Since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Age</w:t>
            </w:r>
            <w:r>
              <w:rPr>
                <w:color w:val="000000"/>
              </w:rPr>
              <w:t xml:space="preserve"> </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 (Class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Myles Wolf M.D., M.M.Sc.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 (Class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Biographical information relating to each nominee for election as director and each continuing director is shown below. The Company believes that each director meets the qualifications established by the Nominating and Corporate Governance Committee of our Board of Directors.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BOARD OF DIRECTORS UNANIMOUSLY RECOMMENDS THAT YOU VOTE “FOR” EACH OF THESE NOMINEES FOR DIRECTOR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1 ON YOUR PROXY CARD)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3"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DIRECTOR BIOGRAPHIES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biographical information about the nominees for director is set forth below.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Class II Director Nominees </w:t>
      </w:r>
    </w:p>
    <w:p>
      <w:pPr>
        <w:pStyle w:val="TextBody"/>
        <w:bidi w:val="0"/>
        <w:spacing w:lineRule="auto" w:line="288" w:before="240" w:after="120"/>
        <w:jc w:val="left"/>
        <w:rPr/>
      </w:pPr>
      <w:r>
        <w:rPr>
          <w:rFonts w:ascii="Times New Roman;sans-serif" w:hAnsi="Times New Roman;sans-serif"/>
          <w:b/>
          <w:color w:val="000000"/>
          <w:sz w:val="20"/>
        </w:rPr>
        <w:t xml:space="preserve">John P. Butler </w:t>
      </w:r>
      <w:r>
        <w:rPr>
          <w:rFonts w:ascii="Times New Roman;sans-serif" w:hAnsi="Times New Roman;sans-serif"/>
          <w:b w:val="false"/>
          <w:color w:val="000000"/>
          <w:sz w:val="20"/>
        </w:rPr>
        <w:t>has served as a member of our Board of Directors since July 2013 and was appointed as the President and Chief Executive Officer of Akebia in September 2013. Prior to joining Akebia, from 2011 until 2013, Mr. Butler served as the Chief Executive Officer of Inspiration Biopharmaceuticals, Inc. where he led the transactions that resulted in the sale of its hemophilia assets to Cangene Corporation and Baxter International in early 2013. From 1997 to 2011, Mr. Butler held various positions at Genzyme Corporation, now Sanofi, a pharmaceutical company, most recently serving as President of the company’s rare genetic diseases business. From 2002 until 2010, Mr. Butler led Genzyme Corporation’s renal division. Prior to his work at Genzyme Corporation, Mr. Butler held sales and marketing positions at Amgen Inc. and Hoffmann-La Roche. From 2018 to 2023, Mr. Butler served on the board of directors of Zynerba Pharmaceuticals, Inc. (now part of Harmony Biosciences). From 2013 to 2016, Mr. Butler served on the board of directors of Relypsa, Inc. (now part of CSL Vifor). From 2015 to 2017, Mr. Butler served on the Board of Directors of Keryx Biopharmaceuticals, Inc., or Keryx, and was Chairman of Keryx’s Board of Directors from 2016 to 2017. In July 2023, Mr. Butler was appointed to the board of directors of WaveBreak Therapeutics, Inc. In 2024, Mr. Butler began serving on the Health Section Governing Board of Biotechnology Innovation Organization and was appointed to the board of trustees of the American Kidney Fund. Mr. Butler served as Chairperson of Kidney Care Partners from 2020 to 2024, and formerly served as Chairman of the Board of Trustees of the American Kidney Fund. Mr. Butler received a B.A. in chemistry from Manhattan University and an M.B.A. from Baruch College, City University of New York.</w:t>
      </w:r>
      <w:r>
        <w:rPr>
          <w:color w:val="000000"/>
        </w:rPr>
        <w:t xml:space="preserve"> </w:t>
      </w:r>
      <w:r>
        <w:rPr>
          <w:rFonts w:ascii="Times New Roman;sans-serif" w:hAnsi="Times New Roman;sans-serif"/>
          <w:b w:val="false"/>
          <w:color w:val="000000"/>
          <w:sz w:val="20"/>
        </w:rPr>
        <w:t xml:space="preserve">We believe that Mr. Butler is qualified to serve on our Board of Directors due to his industry experience in the biotechnology sector, particularly his experience working in the kidney disease area. </w:t>
      </w:r>
    </w:p>
    <w:p>
      <w:pPr>
        <w:pStyle w:val="TextBody"/>
        <w:bidi w:val="0"/>
        <w:spacing w:before="120" w:after="120"/>
        <w:jc w:val="left"/>
        <w:rPr/>
      </w:pPr>
      <w:r>
        <w:rPr/>
      </w:r>
    </w:p>
    <w:p>
      <w:pPr>
        <w:pStyle w:val="TextBody"/>
        <w:bidi w:val="0"/>
        <w:spacing w:lineRule="auto" w:line="288" w:before="120" w:after="120"/>
        <w:jc w:val="left"/>
        <w:rPr/>
      </w:pPr>
      <w:r>
        <w:rPr>
          <w:rFonts w:ascii="Times New Roman;sans-serif" w:hAnsi="Times New Roman;sans-serif"/>
          <w:b/>
          <w:color w:val="000000"/>
          <w:sz w:val="20"/>
        </w:rPr>
        <w:t xml:space="preserve">Myles Wolf, M.D., M.M.Sc., </w:t>
      </w:r>
      <w:r>
        <w:rPr>
          <w:rFonts w:ascii="Times New Roman;sans-serif" w:hAnsi="Times New Roman;sans-serif"/>
          <w:b w:val="false"/>
          <w:color w:val="000000"/>
          <w:sz w:val="20"/>
        </w:rPr>
        <w:t xml:space="preserve">has served as a member of our Board of Directors since April 2020. Dr. Wolf has significant experience advising biotechnology, pharmaceutical, and diagnostic firms on overall strategy, target identification, validation, and clinical drug development. He has served on standing scientific advisory boards for Akebia and Keryx. Since 2024, Dr. Wolf has served as Sanford I. Weill Professor and Chair of Medicine at Weill Cornell Medicine, and as Physician-in-Chief at New York Presbyterian Hospital. From 2016 to 2024, Dr. Wolf served as Chief of the Division of Nephrology and Charles Johnson, MD Professor of Medicine at Duke University School of Medicine. Since 2002, Dr. Wolf’s research has been supported by grants from the American Heart Association, National Kidney Foundation, American Society of Nephrology, and National Institutes of Health. The focus of his patient-oriented, epidemiological and basic laboratory research is disordered mineral metabolism across the spectrum of chronic kidney disease, including dialysis, kidney transplantation and earlier stages. Dr. Wolf’s research has been published in leading medical journals, including </w:t>
      </w:r>
      <w:r>
        <w:rPr>
          <w:rFonts w:ascii="Times New Roman;sans-serif" w:hAnsi="Times New Roman;sans-serif"/>
          <w:b w:val="false"/>
          <w:i/>
          <w:color w:val="000000"/>
          <w:sz w:val="20"/>
        </w:rPr>
        <w:t>The New England Journal of Medicine, The Journal of the American Medical Association (JAMA)</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The Journal of Clinical Investigation</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Circulation, Cell Metabolism</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Journal of the American Society of Nephrology</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Kidney International</w:t>
      </w:r>
      <w:r>
        <w:rPr>
          <w:rFonts w:ascii="Times New Roman;sans-serif" w:hAnsi="Times New Roman;sans-serif"/>
          <w:b w:val="false"/>
          <w:color w:val="000000"/>
          <w:sz w:val="20"/>
        </w:rPr>
        <w:t xml:space="preserve">, among others. Dr. Wolf has served on the editorial boards for Journal of the American Society of Nephrology, Clinical Journal of the American Society of Nephrology, Seminars in Nephrology, and Nature Reviews Nephrology, and as Editor of the “Mineral Metabolism” section of </w:t>
      </w:r>
      <w:r>
        <w:rPr>
          <w:rFonts w:ascii="Times New Roman;sans-serif" w:hAnsi="Times New Roman;sans-serif"/>
          <w:b w:val="false"/>
          <w:i/>
          <w:color w:val="000000"/>
          <w:sz w:val="20"/>
        </w:rPr>
        <w:t>Current Opinion in Nephrology and Hypertension</w:t>
      </w:r>
      <w:r>
        <w:rPr>
          <w:rFonts w:ascii="Times New Roman;sans-serif" w:hAnsi="Times New Roman;sans-serif"/>
          <w:b w:val="false"/>
          <w:color w:val="000000"/>
          <w:sz w:val="20"/>
        </w:rPr>
        <w:t xml:space="preserve">. In 2011, Dr. Wolf was elected to the American Society of Clinical Investigation and in 2017, he was elected to the Association of American Physicians. Dr. Wolf has been the recipient of several teaching, mentoring and research awards. Dr. Wolf earned his B.A. in biology from Johns Hopkins University, his M.D. from the State University of New York, Downstate, and his Master of Medical Sciences in Clinical and Physiological Investigation from Harvard Medical School. Dr. Wolf completed his internship and residency, and a fellowship in nephrology, at the Massachusetts General Hospital. Prior to joining Duke University in 2016, Dr. Wolf held faculty, leadership and administrative positions at Harvard Medical School, the University of Miami and Northwestern University. We believe that Dr. Wolf is qualified to serve on our Board of Directors due to his significant experience advising biotechnology, pharmaceutical, and diagnostic firms on overall strategy, target identification, validation, and clinical drug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4"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20" w:after="283"/>
        <w:jc w:val="left"/>
        <w:rPr>
          <w:rFonts w:ascii="Times New Roman;sans-serif" w:hAnsi="Times New Roman;sans-serif"/>
          <w:b/>
          <w:color w:val="000000"/>
          <w:sz w:val="20"/>
        </w:rPr>
      </w:pPr>
      <w:r>
        <w:rPr>
          <w:rFonts w:ascii="Times New Roman;sans-serif" w:hAnsi="Times New Roman;sans-serif"/>
          <w:b/>
          <w:color w:val="000000"/>
          <w:sz w:val="20"/>
        </w:rPr>
        <w:t xml:space="preserve">Current Directors Not Standing for Election at the Annual Meeting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 forth below is the biographical information for the members of the Board of Directors who are not standing for re-election at the Annual Meeting and whose terms of office will continue after the Annual Meeting. </w:t>
      </w:r>
    </w:p>
    <w:tbl>
      <w:tblPr>
        <w:tblW w:w="7816" w:type="dxa"/>
        <w:jc w:val="center"/>
        <w:tblInd w:w="0" w:type="dxa"/>
        <w:tblLayout w:type="fixed"/>
        <w:tblCellMar>
          <w:top w:w="28" w:type="dxa"/>
          <w:left w:w="28" w:type="dxa"/>
          <w:bottom w:w="28" w:type="dxa"/>
          <w:right w:w="28" w:type="dxa"/>
        </w:tblCellMar>
      </w:tblPr>
      <w:tblGrid>
        <w:gridCol w:w="749"/>
        <w:gridCol w:w="657"/>
        <w:gridCol w:w="663"/>
        <w:gridCol w:w="109"/>
        <w:gridCol w:w="109"/>
        <w:gridCol w:w="109"/>
        <w:gridCol w:w="614"/>
        <w:gridCol w:w="614"/>
        <w:gridCol w:w="616"/>
        <w:gridCol w:w="109"/>
        <w:gridCol w:w="109"/>
        <w:gridCol w:w="109"/>
        <w:gridCol w:w="240"/>
        <w:gridCol w:w="240"/>
        <w:gridCol w:w="241"/>
        <w:gridCol w:w="109"/>
        <w:gridCol w:w="109"/>
        <w:gridCol w:w="109"/>
        <w:gridCol w:w="459"/>
        <w:gridCol w:w="459"/>
        <w:gridCol w:w="461"/>
        <w:gridCol w:w="109"/>
        <w:gridCol w:w="109"/>
        <w:gridCol w:w="109"/>
        <w:gridCol w:w="144"/>
        <w:gridCol w:w="144"/>
        <w:gridCol w:w="207"/>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Positions and Offices</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Held with Akebia</w:t>
            </w:r>
          </w:p>
          <w:p>
            <w:pPr>
              <w:pStyle w:val="TableContents"/>
              <w:bidi w:val="0"/>
              <w:spacing w:lineRule="auto" w:line="276" w:before="0" w:after="0"/>
              <w:jc w:val="center"/>
              <w:rPr/>
            </w:pPr>
            <w:r>
              <w:rPr>
                <w:rFonts w:ascii="Times New Roman;sans-serif" w:hAnsi="Times New Roman;sans-serif"/>
                <w:b/>
                <w:color w:val="000000"/>
                <w:sz w:val="16"/>
              </w:rPr>
              <w:t>Therapeutics, Inc.</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Director</w:t>
            </w:r>
          </w:p>
          <w:p>
            <w:pPr>
              <w:pStyle w:val="TableContents"/>
              <w:bidi w:val="0"/>
              <w:spacing w:lineRule="auto" w:line="276" w:before="0" w:after="0"/>
              <w:jc w:val="center"/>
              <w:rPr/>
            </w:pPr>
            <w:r>
              <w:rPr>
                <w:rFonts w:ascii="Times New Roman;sans-serif" w:hAnsi="Times New Roman;sans-serif"/>
                <w:b/>
                <w:color w:val="000000"/>
                <w:sz w:val="16"/>
              </w:rPr>
              <w:t>Since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Class and Year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in Which Term</w:t>
            </w:r>
          </w:p>
          <w:p>
            <w:pPr>
              <w:pStyle w:val="TableContents"/>
              <w:bidi w:val="0"/>
              <w:spacing w:lineRule="auto" w:line="276" w:before="0" w:after="0"/>
              <w:jc w:val="center"/>
              <w:rPr/>
            </w:pPr>
            <w:r>
              <w:rPr>
                <w:rFonts w:ascii="Times New Roman;sans-serif" w:hAnsi="Times New Roman;sans-serif"/>
                <w:b/>
                <w:color w:val="000000"/>
                <w:sz w:val="16"/>
              </w:rPr>
              <w:t>Will Expire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Age</w:t>
            </w:r>
            <w:r>
              <w:rPr>
                <w:color w:val="000000"/>
              </w:rPr>
              <w:t xml:space="preserve"> </w:t>
            </w:r>
          </w:p>
        </w:tc>
      </w:tr>
      <w:tr>
        <w:trPr/>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Ronald E. Frieson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C. Gilman,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Cynthia Smith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Adrian Adams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Rogers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LeAnne M. Zumwalt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bl>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Class I Directors </w:t>
      </w:r>
    </w:p>
    <w:p>
      <w:pPr>
        <w:pStyle w:val="TextBody"/>
        <w:bidi w:val="0"/>
        <w:spacing w:lineRule="auto" w:line="288" w:before="120" w:after="60"/>
        <w:jc w:val="left"/>
        <w:rPr/>
      </w:pPr>
      <w:r>
        <w:rPr>
          <w:rFonts w:ascii="Times New Roman;sans-serif" w:hAnsi="Times New Roman;sans-serif"/>
          <w:b/>
          <w:color w:val="000000"/>
          <w:sz w:val="20"/>
        </w:rPr>
        <w:t>Ronald E. Frieson</w:t>
      </w:r>
      <w:r>
        <w:rPr>
          <w:color w:val="000000"/>
        </w:rPr>
        <w:t xml:space="preserve"> </w:t>
      </w:r>
      <w:r>
        <w:rPr>
          <w:rFonts w:ascii="Times New Roman;sans-serif" w:hAnsi="Times New Roman;sans-serif"/>
          <w:b w:val="false"/>
          <w:color w:val="000000"/>
          <w:sz w:val="20"/>
        </w:rPr>
        <w:t xml:space="preserve">has served as a member of our Board of Directors since November 2021. Since July 2020, Mr. Frieson has served as the Chief Operating Officer of Children’s Healthcare of Atlanta, or CHOA, a non-profit corporation whose mission focuses on bettering all aspects of children’s healthcare. Prior to serving as Chief Operating Officer, from 2015 to 2020, Mr. Frieson served as President, Foundation and External Affairs of CHOA. From 2008 to 2015, Mr. Frieson served as Chief Public Policy Officer of CHOA. Mr. Frieson also spent many years at BellSouth (acquired by AT&amp;T Inc. in 2006) in roles of increasing responsibility, most recently serving as President, Georgia Operations. Additionally, Mr. Frieson was the first Chief Diversity Officer for BellSouth. Mr. Frieson currently serves as a board member of Krimson Community Foundation and as an advisory board member for Truist Bank Atlanta. Mr. Frieson also serves as the Vice Chair of the Board of Trustees of Colorado Technical University and is a member of The University of Tennessee Foundation board. He previously served as a board member for Children’s Miracle Network and Zoo Atlanta. In addition, Mr. Frieson served on the Board of Trustees of the American Kidney Fund from 2006 to 2012. Mr. Frieson holds a bachelor’s degree in finance from the University of Tennessee and an M.B.A. in Information Systems from Georgia State University. We believe that Mr. Frieson is qualified to serve on our Board of Directors due to his more than 15 years of experience immersed in healthcare systems operations, his experience driving improved patient outcomes and enabling access to healthcare for underserved populations and his work on diversity initiatives.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Steven C. Gilman, Ph.D.,</w:t>
      </w:r>
      <w:r>
        <w:rPr>
          <w:color w:val="000000"/>
        </w:rPr>
        <w:t xml:space="preserve"> </w:t>
      </w:r>
      <w:r>
        <w:rPr>
          <w:rFonts w:ascii="Times New Roman;sans-serif" w:hAnsi="Times New Roman;sans-serif"/>
          <w:b w:val="false"/>
          <w:color w:val="000000"/>
          <w:sz w:val="20"/>
        </w:rPr>
        <w:t xml:space="preserve">has served as a member of our Board of Directors since the merger with Keryx in December 2018. Dr. Gilman served as a member of the board of directors of Keryx from 2016 until completion of the merger. Dr. Gilman previously served as Chairman of the board of directors and Chief Executive Officer of ContraFect Corporation, a public clinical-stage biotechnology company focused on the discovery and development of protein and antibody therapeutics for life-threatening, drug-resistant infectious diseases, from 2016 to 2019. From 2008 until 2015, Dr. Gilman served as Executive Vice President, Research &amp; Development and Chief Scientific Officer of Cubist Pharmaceuticals, a biopharmaceutical company developing antibiotics, until its acquisition by Merck &amp; Co. Prior to joining Cubist, he served as Chairman of the board of directors and Chief Executive Officer of ActivBiotics, Inc., a privately held biopharmaceutical company, from 2004 to 2008. Previously, Dr. Gilman worked at Millennium Pharmaceuticals, Inc., or Millennium, where he held a number of senior leadership roles including Vice President and General Manager of Inflammation. Prior to Millennium, he was group director at Pfizer Global Research and Development, where he was responsible for drug discovery of several therapeutic areas, including immunology and antibacterials. Dr. Gilman has also held scientific, business, and academic appointments at Wyeth, Cytogen Corporation, Temple Medical School, and Connecticut College. He currently serves on the boards of directors of SCYNEXIS, Inc. and, until April 30, 2025, Vericel Corporation. Dr. Gilman is also a board member of the Lakes Environmental Association. He is a past member of the board of directors of ContraFect Corporation, Momenta Pharmaceuticals, Inc., the Massachusetts Biotechnology Association, the Pennsylvania State University Biotechnology Advisory Board, and the Northeastern University Drug Discovery Advisory Board. Dr. Gilman received his M.S. and Ph.D. degrees in microbiology from Pennsylvania State University, his post-doctoral training at Scripps Clinic and Research Foundation and received a B.A. in microbiology from Miami University of Ohio. He has authored over 60 publications and is an inventor on seven patents. We believe that Dr. Gilman is qualified to serve on our Board of Directors due to his more than 30 years of scientific and development experience in the healthcare industry, including in senior leadership roles.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5"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Times New Roman;sans-serif" w:hAnsi="Times New Roman;sans-serif"/>
          <w:b/>
          <w:color w:val="000000"/>
          <w:sz w:val="20"/>
        </w:rPr>
        <w:t>Cynthia Smith</w:t>
      </w:r>
      <w:r>
        <w:rPr>
          <w:color w:val="000000"/>
        </w:rPr>
        <w:t xml:space="preserve"> </w:t>
      </w:r>
      <w:r>
        <w:rPr>
          <w:rFonts w:ascii="Times New Roman;sans-serif" w:hAnsi="Times New Roman;sans-serif"/>
          <w:b w:val="false"/>
          <w:color w:val="000000"/>
          <w:sz w:val="20"/>
        </w:rPr>
        <w:t xml:space="preserve">has served as a member of our Board of Directors since August 2018. Since 2016, she has served as a board member and strategic advisor for biotechnology companies. Previously, she served as Chief Commercial Officer and a member of the Executive Committee of ZS Pharma, Inc., a specialty pharmaceutical company developing therapies for kidney and liver diseases, from 2013 to 2016, where she led efforts to transition the company from a development stage company to a commercial enterprise. ZS Pharma, Inc. was acquired by AstraZeneca in 2015. Prior to ZS Pharma, Inc., Ms. Smith served as Vice President, Market Access and Commercial Development at Affymax, Inc., from 2008 to 2013. From 2000 to 2008, she held various senior leadership positions in market access, corporate strategy, government relations and external affairs at Merck &amp; Co. Before beginning her career in the biopharmaceutical industry, Ms. Smith served as a healthcare policy analyst in the Office of Management and Budget at the White House from 1995 to 2000. Ms. Smith currently serves on the boards of directors of Protara Therapeutics, Inc., Spero Therapeutics, Inc., Agios Pharmaceuticals, Inc., </w:t>
      </w:r>
      <w:r>
        <w:rPr>
          <w:rFonts w:ascii="Times New Roman;sans-serif" w:hAnsi="Times New Roman;sans-serif"/>
          <w:b w:val="false"/>
          <w:color w:val="000000"/>
          <w:sz w:val="20"/>
          <w:shd w:fill="FFFFFF" w:val="clear"/>
        </w:rPr>
        <w:t>Tvardi Therapeutics, Inc.</w:t>
      </w:r>
      <w:r>
        <w:rPr>
          <w:color w:val="000000"/>
        </w:rPr>
        <w:t xml:space="preserve"> </w:t>
      </w:r>
      <w:r>
        <w:rPr>
          <w:rFonts w:ascii="Times New Roman;sans-serif" w:hAnsi="Times New Roman;sans-serif"/>
          <w:b w:val="false"/>
          <w:color w:val="000000"/>
          <w:sz w:val="20"/>
        </w:rPr>
        <w:t xml:space="preserve">and the French-American Foundation, and she served on the board of directors of Nivalis Therapeutics, Inc. from 2016 to 2017 and of Dicerna Pharmaceuticals, Inc. from 2018 until its acquisition by Novo Nordisk in 2021. Ms. Smith earned a B.A. from the University of North Carolina at Chapel Hill, an M.B.A. from the Wharton School of the University of Pennsylvania, and an M.S. in public policy from the Eagleton Institute of Politics at Rutgers University. We believe that Ms. Smith is qualified to serve on our Board of Directors due to her over two decades of broad leadership experience within the biopharmaceutical industry.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Class III Directors </w:t>
      </w:r>
    </w:p>
    <w:p>
      <w:pPr>
        <w:pStyle w:val="TextBody"/>
        <w:bidi w:val="0"/>
        <w:spacing w:lineRule="auto" w:line="288" w:before="120" w:after="283"/>
        <w:jc w:val="left"/>
        <w:rPr/>
      </w:pPr>
      <w:r>
        <w:rPr>
          <w:rFonts w:ascii="Times New Roman;sans-serif" w:hAnsi="Times New Roman;sans-serif"/>
          <w:b/>
          <w:color w:val="000000"/>
          <w:sz w:val="20"/>
        </w:rPr>
        <w:t>Adrian Adams</w:t>
      </w:r>
      <w:r>
        <w:rPr>
          <w:color w:val="000000"/>
        </w:rPr>
        <w:t xml:space="preserve"> </w:t>
      </w:r>
      <w:r>
        <w:rPr>
          <w:rFonts w:ascii="Times New Roman;sans-serif" w:hAnsi="Times New Roman;sans-serif"/>
          <w:b w:val="false"/>
          <w:color w:val="000000"/>
          <w:sz w:val="20"/>
        </w:rPr>
        <w:t xml:space="preserve">has served as a member of our Board of Directors since completion of the merger with Keryx in December 2018. From January 2020 until November 2023, Mr. Adams served as Chief Executive Officer and Chairman of the board of Impel Pharmaceuticals, Inc., a public biotechnology company. From 2016 to 2019, Mr. Adams served as Chief Executive Officer of Aralez Pharmaceuticals Inc., or Aralez, a pharmaceutical company that focused on the development, acquisition, and commercialization of cardiovascular, pain and other therapies and was a member of the Aralez board of directors from 2016 to 2019. From 2015 to 2016, Mr. Adams was the Chief Executive Officer and served on the board of directors of POZEN, Inc., a pharmaceutical company which was combined with Tribute Pharmaceuticals Canada Inc. to become Aralez Pharmaceuticals Inc. in 2016. In 2018, Aralez voluntarily commenced restructuring proceedings in Canadian Court and its U.S.-based subsidiaries, including POZEN, Inc., filed voluntary petitions for relief under Chapter 11 of the U.S. Bankruptcy Code. Previously, Mr. Adams served as Chief Executive Officer, President and a director of Auxilium Pharmaceuticals, Inc., a specialty biopharmaceutical company, from 2011 until 2015, when it was acquired by Endo International plc. Prior to these roles, Mr. Adams served in several chief executive officer positions at several leading specialty pharmaceutical companies including Kos Pharmaceuticals, Inc., Sepracor, Inc., Inspire Pharmaceuticals, Inc. and Neurologix, Inc. Mr. Adams has also held general management and senior international and national marketing positions at Novartis, SmithKline Beecham and Imperial Chemical Industries (now part of AstraZeneca). Mr. Adams also serves as the Chairman of the board of directors at Talphera, Inc. Mr. Adams graduated from the Royal Institute of Chemistry at Salford University. We believe that Mr. Adams is qualified to serve on our Board of Directors due to his more than 30 years of experience in the pharmaceutical and biotechnology industries, including numerous roles as Chief Executive Officer. </w:t>
      </w:r>
    </w:p>
    <w:p>
      <w:pPr>
        <w:pStyle w:val="TextBody"/>
        <w:bidi w:val="0"/>
        <w:spacing w:before="0" w:after="0"/>
        <w:jc w:val="left"/>
        <w:rPr/>
      </w:pPr>
      <w:r>
        <w:rPr/>
      </w:r>
    </w:p>
    <w:p>
      <w:pPr>
        <w:pStyle w:val="TextBody"/>
        <w:bidi w:val="0"/>
        <w:spacing w:lineRule="auto" w:line="288" w:before="120" w:after="120"/>
        <w:jc w:val="left"/>
        <w:rPr/>
      </w:pPr>
      <w:r>
        <w:rPr>
          <w:rFonts w:ascii="Times New Roman;sans-serif" w:hAnsi="Times New Roman;sans-serif"/>
          <w:b/>
          <w:color w:val="000000"/>
          <w:sz w:val="20"/>
        </w:rPr>
        <w:t>Michael Rogers</w:t>
      </w:r>
      <w:r>
        <w:rPr>
          <w:color w:val="000000"/>
        </w:rPr>
        <w:t xml:space="preserve"> </w:t>
      </w:r>
      <w:r>
        <w:rPr>
          <w:rFonts w:ascii="Times New Roman;sans-serif" w:hAnsi="Times New Roman;sans-serif"/>
          <w:b w:val="false"/>
          <w:color w:val="000000"/>
          <w:sz w:val="20"/>
        </w:rPr>
        <w:t xml:space="preserve">has served as a member of our Board of Directors since completion of the merger with Keryx in December 2018. Mr. Rogers served as Chairman of the board of directors of Keryx from 2017 until completion of the merger, and a member of the board of directors of Keryx from 2016 until completion of the merger. From November 2020 until April 2024, he served as Chief Financial Officer of Apnimed, Inc., a clinical stage pharmaceutical company focused on developing oral medicines to treat Obstructive Sleep Apnea (OSA) and related disorders, and from April 2024 until October 2024, he served as a financial consultant for Apnimed, Inc. Mr. Rogers served as Chief Financial Officer of Aerpio Pharmaceuticals, Inc., or Aerpio, a pharmaceutical company that merged with Aadi BioScience, Inc., from 2017 until 2019. Prior to Aerpio, Mr. Rogers was Chief Financial Officer of Acorda Therapeutics, Inc., a public biotechnology company developing and commercializing therapies to treat neurological disorders, from 2013 to 2016. From 1999 to 2009, Mr. Rogers was the Chief Financial Officer of Indevus Pharmaceuticals, Inc. until the company’s sale to Endo Pharmaceuticals, Inc. He also served as Chief Financial Officer at BG Medicine, Inc. Advanced Health Corporation and Autoimmune Inc. Prior to his roles as Chief Financial Officer, Mr. Rogers was an investment banker at Lehman Brothers and PaineWebber, where he focused on life sciences companies. Mr. Rogers previously served on the board of directors for EyePoint Pharmaceuticals, Inc. (formerly pSivida Corp.), Coronado Biosciences, Inc. and for Aravive, Inc. Mr. Rogers received his B.A. from Union College and an M.B.A. from the Darden School of Business at the University of Virginia. We believe that Mr. Rogers is qualified to serve on our Board of Directors due to his more than 30 years of financial experience and executive leadership in the biotechnology industry. </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16"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Times New Roman;sans-serif" w:hAnsi="Times New Roman;sans-serif"/>
          <w:b/>
          <w:color w:val="000000"/>
          <w:sz w:val="20"/>
        </w:rPr>
        <w:t>LeAnne M. Zumwalt</w:t>
      </w:r>
      <w:r>
        <w:rPr>
          <w:color w:val="000000"/>
        </w:rPr>
        <w:t xml:space="preserve"> </w:t>
      </w:r>
      <w:r>
        <w:rPr>
          <w:rFonts w:ascii="Times New Roman;sans-serif" w:hAnsi="Times New Roman;sans-serif"/>
          <w:b w:val="false"/>
          <w:color w:val="000000"/>
          <w:sz w:val="20"/>
        </w:rPr>
        <w:t>has served as a member of our Board of Directors since February 2021. From January 2000 to January 2021, Ms. Zumwalt served in various roles at DaVita Inc., or DaVita, one of the largest providers of kidney care services in the United States. From July 2011 to January 2021, Ms. Zumwalt served as DaVita’s Group Vice President, Government Affairs, and from 2007 to 2020 also led DaVita’s purchasing operations. From 2000 to 2011, Ms. Zumwalt served as a Vice President of DaVita in many capacities, including as Vice President, Investor Relations from 2000 to 2009. From 1997 to 1999, Ms. Zumwalt served as the Chief Financial Officer of Vivra Specialty Partners, Inc., a privately held healthcare service and technology firm. From 1991 to 1997, Ms. Zumwalt held various executive positions, including Chief Financial Officer, at Vivra Incorporated, a publicly held provider of renal dialysis services and other healthcare services. Prior to joining Vivra Incorporated, Ms. Zumwalt was a Senior Manager at Ernst &amp; Young LLP. From 2018 to 2020, Ms. Zumwalt served on the board of directors of Adeptus Health Inc., a privately held healthcare services company, and from 2001 to 2017, Ms. Zumwalt served on the board of directors of The Advisory Board Company, which provided advice and best practices using research, technology, and consulting to improve healthcare and education institution performance. Ms. Zumwalt received her B.A. in Business Administration from Pacific Union College. We believe that Ms. Zumwalt is qualified to serve on our Board of Directors due to her extensive knowledge and expertise in the U.S. dialysis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17"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CORPORATE GOVERNANCE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Board Composition and Structure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Ninth Amended and Restated Certificate of Incorporation, as amended, or our Charter, states that the number of directors shall be fixed exclusively by our Board of Directors. Each director holds office until his or her successor is duly elected and qualified or until his or her death, resignation or removal. Our Charter provides that our directors may be removed only for cause by the affirmative vote of the holders of at least 75% of the voting power of the outstanding shares of capital stock of the Company entitled to vote generally in the election of directors, voting together as a single class, at a meeting of the stockholders called for that purpose. Any vacancy on the Board of Directors, including a vacancy that results from an increase in the number of directors, may be filled by a vote of the majority of the directors then in office, even if less than a quorum.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provides that our Board of Directors is divided into three classes of directors, with the classes as nearly equal in number as possible. Each of our directors previously identified serves in the class indicated. Subject to any earlier resignation or removal in accordance with the terms of our Charter and our Bylaws, our Class III directors will serve until the 2026 annual meeting of stockholders; our Class I directors will serve until the 2027 annual meeting of stockholders; and, if elected, our Class II directors will serve until the 2028 annual meeting of stockholders. Any additional directorships resulting from an increase in the number of directors will be apportioned by our Board of Directors among the three classes.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Director Nomination Process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recommends, and the Board of Directors nominates, candidates to stand for election as directors. While we do not have a formal policy on diversity, we believe that the backgrounds and qualifications of our directors, considered as a group, should provide a composite mix of experience, knowledge and abilities that will allow the Board of Directors to fulfill its responsibilities. Directors should possess strong personal and professional ethics, integrity and values; be business savvy and genuinely interested in the Company; and be committed to representing the long-term interests of our stockholders. The Board of Directors is intended to encompass a range of talents, ages, skills, and expertise sufficient to provide sound and prudent oversight with respect to the operations and interests of the business. Nominees are not discriminated against on any basis proscribed by law. The membership criteria applicable to our Board of Directors are set forth in the Company’s Corporate Governance Guidelines, and the Nominating and Corporate Governance Committee will consider such criteria in the context of the existing composition and needs of the Board of Directors and its committees.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Evaluation of Director Candidates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will make a preliminary review of a prospective candidate’s background, career experience and qualifications based on available information. If a consensus is reached by the Nominating and Corporate Governance Committee that a particular candidate would likely contribute positively to the Board of Directors’ mix of skills and experiences, the Nominating and Corporate Governance Committee will conduct interviews with the candidate and may invite other members of the Board of Directors or executives to interview the candidate to assess the candidate’s overall qualifications. The Nominating and Corporate Governance Committee will consider the candidate and make a recommendation to the full Board of Directors as to whether the candidate should be nominated for election. </w:t>
      </w:r>
    </w:p>
    <w:p>
      <w:pPr>
        <w:pStyle w:val="TextBody"/>
        <w:bidi w:val="0"/>
        <w:spacing w:lineRule="auto" w:line="288" w:before="270" w:after="283"/>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Stockholder Recommendations for Director Nominees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Nominating and Corporate Governance Committee does not have a written policy regarding director candidates recommended by stockholders but, assuming that biographical and background material has been provided on a timely basis, any recommendations received from stockholders, if made in accordance with the requirements set forth in our Charter and our Bylaws, will be evaluated in the same manner as potential nominees proposed by the Nominating and Corporate Governance Committee. The Nominating and Corporate Governance Committee will consider all candidates recommended by stockholders who comply with the foregoing procedures and satisfy the minimum qualifications for director nominees and have the attributes described in our Corporate Governance Guidelines. Our Bylaws provide that for stockholder nominations to the Board of Directors to be considered at an annual meeting of stockholders, the stockholder must have given timely notice thereof in writing to the Corporate Secretary and followed the procedures described below under “</w:t>
      </w:r>
      <w:r>
        <w:rPr>
          <w:rFonts w:ascii="Times New Roman;sans-serif" w:hAnsi="Times New Roman;sans-serif"/>
          <w:b w:val="false"/>
          <w:i/>
          <w:color w:val="000000"/>
          <w:sz w:val="20"/>
        </w:rPr>
        <w:t>General Matters—Stockholder Proposals and Nominations.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18"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Director Independence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Nasdaq Listing Rule 5605, a majority of a listed company’s board of directors must consist of independent directors. In addition, the Nasdaq Listing Rules require that, subject to specified exceptions, each member of a listed company’s Audit Committee, Compensation Committee and Nominating and Corporate Governance Committee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Nasdaq Listing Rule 5605(a)(2),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upon information requested from and provided by each director concerning his or her background, employment and affiliations, including family relationships, our Board of Directors has determined that each member of the Board except for Mr. Butler is an “independent director” as that term is defined under Nasdaq Listing Rule 5605(a)(2). Our Board of Directors also determined that each of the current members of our Audit Committee, our Compensation Committee and our Nominating and Corporate Governance Committee satisfies the independence standards for such committees established by the SEC and the Nasdaq Listing Rules, as applicable, including in the case of all members of the Audit Committee, the independence requirements contemplated by Rule 10A-3 under the Exchange Act and, in the case of all members of the Compensation Committee, the independence requirements contemplated by Rule 10C-1 under the Exchange Act. In making such determinations, our Board of Directors considered their background, employment and affiliations, including family relationships, the relationships that each such non-employee director has with the Company and all other facts and circumstances the committee deemed relevant in determining their independence.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family relationships among any of our directors or executive officers. No arrangements or understandings exist between any director or nominee for election as a director and any other person pursuant to whom such person is to be selected as a director or nominee for election as a director.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Board Meetings, Attendance and Overboarding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held seven meetings during the year ended December 31, 2024. Each of the incumbent directors attended at least 75% of the meetings of the Board of Directors and the committees of the Board of Directors on which he or she served during the year ended December 31, 2024 (in each case, which were held during the period for which he or she was a director and/or a member of the applicable committee). It is the policy of the Board of Directors to have a separate meeting session for the independent directors generally during every regularly scheduled meeting of the full Board of Directors. Any independent director may request a meeting of the independent directors at any time.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provided in our Corporate Governance Guidelines, all directors are expected to be able to dedicate the time and resources sufficient to ensure the diligent performance of his or her duties, including preparing for and attending meetings of the Board of Directors and applicable committee meetings as well as the annual meetings of stockholders. All of our directors attended our 2024 annual meeting of stockholders. Our Corporate Governance Guidelines also provide that a retirement age of 72 is generally considered appropriate for our directors, but our Board of Directors may decide to defer retirement in appropriate circumstances. Two of our directors, Adrian Adams and Steven C. Gilman, are 72 years of age or older. In March 2025, the Nominating and Corporate Governance Committee considered the contributions of Mr. Adams and Dr. Gilman to the Board of Directors and their ability to continue on the Board of Directors and recommended, and the Board of Directors agreed, that it was appropriate to defer retirement for Mr. Adams and Dr. Gilman.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Corporate Governance Guidelines also provide that directors should not serve on more than five boards of directors of public companies including the Board of Directors and that directors who are also executive officers of public companies should not serve on more than three boards of directors of public companies, including the board of directors of his or her own company. We also expect that each director will avoid circumstances that create an actual or perceived conflict of interest and we have a process in place to appropriately evaluate any perceived conflict of interest.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and Board of Directors regularly evaluate our directors’ commitments at other public companies to confirm compliance with our overboarding policy, discussed above, and to ensure that they are able to devote sufficient time to their duties at Akebia.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19"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Board Qualifications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qualifications of our directors should provide a well-balanced combination of experience, knowledge and abilities that will allow the Board of Directors to fulfill its responsibilities. We believe that our directors have a breadth of functional expertise, with strong public company and industry experience. Six of our eight directors have prior public company board experience and five of our eight directors are currently or were previously the chief executive officer or chief financial officer of a public company, primarily in the pharmaceutical or biotechnology space. Several of our directors have business development and acquisition experience and several have research, commercial and clinical development backgrounds, all of which are essential to our business and the future of the Company.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Board Leadership Structure and Role of the Board in Risk Oversight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Board Leadership Structure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general policy, our Board of Directors believes that separation of the positions of Chairperson of the Board of Directors and Chief Executive Officer reinforces the independence of the Board of Directors from management, creates an environment that encourages objective oversight of management’s performance and enhances the effectiveness of the Board of Directors as a whole. Accordingly, we currently separate the roles of Chief Executive Officer and Chairperson of the Board of Directors, with Mr. Butler serving as our President and Chief Executive Officer and Mr. Adams, who is an independent director, serving as Chairperson of the Board of Directors. As President and Chief Executive Officer, Mr. Butler is responsible for setting the strategic direction for our Company and the day-to-day leadership and performance of our Company, while Mr. Adams, as Chairperson of the Board of Directors, assists with developing the agenda for meetings of the Board of Directors, presides over such meetings of the Board of Directors, including executive sessions of the Board of Directors, facilitates communications between management and the Board of Directors, and performs oversight responsibilities. Our Board of Directors has four standing committees that are chaired by independent directors and consist entirely of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We believe this structure represents an appropriate allocation of roles and responsibilities for our Company at this time because it strikes an effective balance between management and independent leadership participation in our Board of Directors meetings.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Risk Oversight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plays an important role in risk oversight at the Company through its decision-making authority as well as through its oversight of management. In particular, the Board of Directors administers its risk oversight function through (1) the review and discussion of regular periodic reports by the Board of Directors and its committees on topics relating to the risks that the Company faces, (2) the required approval by the Board of Directors (or a committee of the Board of Directors) of significant transactions and certain other decisions, (3) the direct oversight of specific areas of the Company’s business by the Audit Committee, Compensation Committee, Nominating and Corporate Governance Committee and the Research &amp; Development Committee, and (4) periodic reports from management, the independent auditors and other outside consultants regarding various areas of potential risk including, among others, those relating to our internal control over financial reporting, compliance and cybersecurity matters. The Board of Directors also relies on management to bring significant matters impacting the Company to the attention of the Board of Directors.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Audit Committee’s charter, the Audit Committee is responsible for reviewing and discussing with management and the Company’s independent registered public accounting firm the Company’s system of internal controls, its critical accounting practices and its policies relating to risk assessment and management. As part of this process, the Audit Committee discusses the Company’s major financial, cybersecurity and compliance risk exposures and steps that management has taken to monitor and control such exposure, and oversees the Company’s efforts to remediate any control deficiencies. Oversight by the Audit Committee includes direct communication with the Company’s independent registered public accounting firm. In addition, the Audit Committee establishes, maintains and oversees procedures for the anonymous submission by Company employees of information regarding accounting or auditing matters. The Audit Committee also establishes, maintains and oversees the administration and operation of our Reporting and Compliance Investigations Policy. The Compensation Committee is responsible for overseeing the management of risks relating to our executive compensation plans and arrangements and assesses whether any of our compensation policies or programs has the potential to encourage excessive risk-taking. Our Compensation Committee also oversees risk management activities relating to management succession planning and our human capital management strategy and practices. Oversight by the Compensation Committee includes direct communication with our independent compensation consultants. The Nominating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0"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Corporate Governance Committee is responsible for overseeing the management of risks associated with the independence of our Board of Directors and potential conflicts of interest.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believes that any leadership structure that it adopts must allow it to effectively oversee the management of the risks relating to the Company’s operations. The Board of Directors acknowledges that there are different leadership structures that could allow it to effectively oversee the management of the risks relating to the Company’s operations and believes its current leadership structure enables it to effectively provide oversight with respect to such risks.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Board Committees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a standing Audit Committee, Compensation Committee, Nominating and Corporate Governance Committee, and Research &amp; Development Committee, each of which is comprised solely of independent directors and is described more fully below. Each such committee operates pursuant to a written charter, and each committee reviews and assesses the adequacy of its charter annually and submits proposed modifications, if any, to the Board of Directors for approval. The charters for the committees are available on our website (www.akebia.com) under “Investors” at “Corporate Governance &amp; Compliance.”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current composition of each committee of the Board of Directors. </w:t>
      </w:r>
    </w:p>
    <w:tbl>
      <w:tblPr>
        <w:tblW w:w="7996" w:type="dxa"/>
        <w:jc w:val="left"/>
        <w:tblInd w:w="0" w:type="dxa"/>
        <w:tblLayout w:type="fixed"/>
        <w:tblCellMar>
          <w:top w:w="28" w:type="dxa"/>
          <w:left w:w="28" w:type="dxa"/>
          <w:bottom w:w="28" w:type="dxa"/>
          <w:right w:w="28" w:type="dxa"/>
        </w:tblCellMar>
      </w:tblPr>
      <w:tblGrid>
        <w:gridCol w:w="933"/>
        <w:gridCol w:w="815"/>
        <w:gridCol w:w="832"/>
        <w:gridCol w:w="109"/>
        <w:gridCol w:w="109"/>
        <w:gridCol w:w="109"/>
        <w:gridCol w:w="189"/>
        <w:gridCol w:w="189"/>
        <w:gridCol w:w="191"/>
        <w:gridCol w:w="109"/>
        <w:gridCol w:w="109"/>
        <w:gridCol w:w="109"/>
        <w:gridCol w:w="399"/>
        <w:gridCol w:w="399"/>
        <w:gridCol w:w="401"/>
        <w:gridCol w:w="109"/>
        <w:gridCol w:w="109"/>
        <w:gridCol w:w="109"/>
        <w:gridCol w:w="395"/>
        <w:gridCol w:w="395"/>
        <w:gridCol w:w="396"/>
        <w:gridCol w:w="109"/>
        <w:gridCol w:w="109"/>
        <w:gridCol w:w="109"/>
        <w:gridCol w:w="338"/>
        <w:gridCol w:w="338"/>
        <w:gridCol w:w="478"/>
      </w:tblGrid>
      <w:tr>
        <w:trPr/>
        <w:tc>
          <w:tcPr>
            <w:tcW w:w="93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Audit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Compensation</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Nominating</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and Corporate</w:t>
            </w:r>
          </w:p>
          <w:p>
            <w:pPr>
              <w:pStyle w:val="TableContents"/>
              <w:bidi w:val="0"/>
              <w:spacing w:lineRule="auto" w:line="276" w:before="0" w:after="0"/>
              <w:jc w:val="center"/>
              <w:rPr/>
            </w:pPr>
            <w:r>
              <w:rPr>
                <w:rFonts w:ascii="Times New Roman;sans-serif" w:hAnsi="Times New Roman;sans-serif"/>
                <w:b/>
                <w:color w:val="000000"/>
                <w:sz w:val="16"/>
              </w:rPr>
              <w:t>Governance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Research &amp;</w:t>
            </w:r>
          </w:p>
          <w:p>
            <w:pPr>
              <w:pStyle w:val="TableContents"/>
              <w:bidi w:val="0"/>
              <w:spacing w:lineRule="auto" w:line="276" w:before="0" w:after="0"/>
              <w:jc w:val="center"/>
              <w:rPr/>
            </w:pPr>
            <w:r>
              <w:rPr>
                <w:rFonts w:ascii="Times New Roman;sans-serif" w:hAnsi="Times New Roman;sans-serif"/>
                <w:b/>
                <w:color w:val="000000"/>
                <w:sz w:val="16"/>
              </w:rPr>
              <w:t>Development</w:t>
            </w:r>
            <w:r>
              <w:rPr>
                <w:color w:val="000000"/>
              </w:rPr>
              <w:t xml:space="preserve"> </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Adrian Adams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Ronald E. Frieson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C. Gilman,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Cynthia Smith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Myles Wolf, M.D., M.M.Sc.(1)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LeAnne M. Zumwalt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12"/>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76"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Nominated for re-election in Proposal 1.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   Chairperson of the Committee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     Member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Audit Committee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established in accordance with Exchange Act requirements, is currently composed of Mr. Frieson, Mr. Rogers and Ms. Zumwalt, with Mr. Rogers serving as Chairperson. Our Board of Directors has determined that Mr. Frieson, Mr. Rogers and Ms. Zumwalt each meet the independence requirements of Rule 10A-3 under the Exchange Act and the applicable listing standards of The Nasdaq Capital Market. The Board of Directors has determined that Mr. Rogers is an “audit committee financial expert” within the meaning of the SEC regulations and the applicable listing standards of The Nasdaq Capital Market. The Audit Committee’s responsibilities include, among others: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overseeing our accounting and financial reporting processes and the audits of our financial statements;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overseeing the independent registered public accounting firm, which we also refer to as independent auditors, including appointing and reviewing the performance of such independent auditors;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internal controls;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risk assessment and risk management, including with respect to major financial, cybersecurity and compliance risk exposures;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establishing, maintaining and overseeing procedures for the confidential, anonymous submission of information regarding accounting or auditor matters;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overseeing our healthcare compliance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1"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recommending to our Board of Directors for approval all related person transactions and overseeing our Policy with Respect to Related Person Transactions;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pre-approving audit and permissible non-audit services to be provided by our independent auditor;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annually reviewing and reassessing the adequacy of the Audit Committee charter;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establishing, maintaining and overseeing our Code of Conduct;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conducting an annual performance self-evaluation to assess the Audit Committee’s purpose, duties and responsibilities.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Audit Committee met five times. The report of the Audit Committee is included in this Proxy Statement under “Audit Committee Report.”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Compensation Committee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is currently composed of Mr. Adams, Dr. Gilman and Ms. Smith, with Ms. Smith serving as Chairperson. Our Board of Directors has determined that each current member of the Compensation Committee is “independent” as defined under the applicable listing standards of The Nasdaq Capital Market and meets the independence criteria set forth in Rule 10C-1 under the Exchange Act. The Compensation Committee has the authority to delegate to subcommittees of the Compensation Committee any of the responsibilities of the full committee. The Compensation Committee’s responsibilities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approving individual and corporate goals and objectives applicable to our executives who are Senior Vice President and above and report directly to our Chief Executive Officer, or non-CEO Executives, and any other individuals whose compensation is required to be approved by the Compensation Committee pursuant to the rules of the Nasdaq Stock Market, or Nasdaq Officers, evaluating their performance in light of such goals and objectives and approving their compensation;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recommending for approval to the Board of Directors individual and corporate goals and objectives for our Chief Executive Officer, evaluating the performance of our Chief Executive Officer in light of such goals and objectives and his or her compensation;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engaging, compensating and overseeing the work of any compensation consultant, legal counsel or other advisor retained by the Compensation Committee;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conducting the independence assessment outlined in the Nasdaq Listing Rules with respect to any compensation consultant, legal counsel or other advisor retained by the Compensation Committee;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annually reviewing and reassessing the adequacy of the Compensation Committee charter;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making recommendations to the Board of Directors, and administering our incentive compensation plans;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approving any tax-qualified, non-discriminatory employee benefit plans and any parallel nonqualified plans for which stockholder approval is not sought and pursuant to which options or stock may be acquired by our officers, directors, employees or consultants;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making recommendations to the Board of Directors, and administering our equity-based plans;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making recommendations to the Board of Directors with respect to director compensation;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approving any proposed employment, severance, retention, change in control or similar agreements for our non-CEO Executives or Nasdaq Officers;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recommending for approval to the Board of Directors any proposed employment, severance, retention, change in control or similar agreements for our Chief Executive Officer;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discussing with management the Compensation Discussion and Analysis to be included in our annual proxy statement or our Annual Report on Form 10-K and preparing the annual Compensation Committee report to be included in our annual proxy statement;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overseeing and presenting to the Board of Directors our corporate succession plans for the Chief Executive Officer and other senior management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2"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overseeing and administering the implementation or revision of our compensation recovery or “clawback” policy;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conducting an annual self-evaluation to assess the Compensation Committee’s purpose, duties and responsibilities.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Compensation Committee met four times.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Nominating and Corporate Governance Committee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is currently composed of Mr. Frieson, Dr. Wolf and Ms. Zumwalt, with Mr. Frieson serving as Chairperson. Our Board of Directors has determined that each current member of the Nominating and Corporate Governance Committee is “independent” as defined under the applicable listing standards of The Nasdaq Capital Market. The Nominating and Corporate Governance Committee’s responsibilities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developing and recommending to the Board of Directors criteria for Board of Directors and committee membership;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establishing procedures for identifying and reviewing Board of Director candidates, including nominees recommended by stockholders;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identifying and reviewing individuals qualified to become members of the Board of Directors;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recommending to the Board of Directors the persons to be nominated for election as directors and appointed to each of the Board of Directors’ committees;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recommending to the Board of Directors a set of corporate governance principles;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and recommending to the Board of Directors the number, responsibilities and membership of the committees of the Board of Directors;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annually reviewing and assessing the adequacy of the Nominating and Corporate Governance Committee charter;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overseeing the Company’s director orientation and continuing education for existing directors;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overseeing the Company’s efforts with regard to corporate responsibility and sustainability, including the impact of environmental, social and governance issues on the Company;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making a final determination regarding a director’s change in job responsibilities or notification of an invitation to join a new board or other association, if there is disagreement;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conducting an annual self-evaluation to assess the Nominating and Corporate Governance Committee’s purpose, duties and responsibilities;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evaluating and making recommendations to the Board of Directors regarding stockholder proposals submitted for inclusion in our annual Proxy Statement;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recommending criteria for assessment of the performance of committees other than the Nominating and Corporate Governance Committee, and annually reviewing self-assessments of each other committee;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recommending criteria for assessment of the performance of the Board of Directors as a whole, and of individual directors, as well as reviewing and evaluating the responsibilities, performance, operations, size and composition of the Board of Directors and committees.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Nominating and Corporate Governance Committee met five times.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&amp; Development Committee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&amp; Development Committee is currently composed of Dr. Gilman, Ms. Smith and Dr. Wolf, with Dr. Wolf serving as Chairperson. The Research &amp; Development Committee’s responsibilities relate to the assessment of research and development at the Company, including: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research and development strategy and objectives;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emerging scientific trends and activities that are critical to the success of our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3"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 assessment of the suitability, competitiveness and progress of our product candidates;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contract manufacturing.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Research &amp; Development Committee met four times.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Environment, Social and Governance Matters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is responsible for oversight of the Company’s efforts with regard to environmental, social and governance, or ESG, matters, including the impact of ESG issues on the Company. Our ESG initiatives are centered around our commitments to the patients we serve, our employees, our communities and the world, and business ethics and values. We are committed to advancing policies and practices focused on these matters and the meaningful and positive change that initiatives in these areas can have on our communities.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commitment is to ensure that every employee is included, supported and treated equitably. In furtherance of this goal, we developed a team to support and guide Akebia as an inclusive and culturally intelligent workplace. Over the past four years this team has worked with executive leadership to identify areas for growth and education and move forward several initiatives that will enable us to continue to build an inclusive workplace and to work toward our aspiration to have a workforce comprised of individuals with different experiences, perspectives and backgrounds. In 2024, this team launched training focused on promoting equal opportunity and mitigating potential bias for all employees. Other initiatives include learning, coaching, cultural awareness activities and development opportunities for all of our employees.</w:t>
      </w:r>
    </w:p>
    <w:p>
      <w:pPr>
        <w:pStyle w:val="TextBody"/>
        <w:bidi w:val="0"/>
        <w:spacing w:lineRule="auto" w:line="288" w:before="120" w:after="283"/>
        <w:jc w:val="left"/>
        <w:rPr/>
      </w:pPr>
      <w:r>
        <w:rPr>
          <w:rFonts w:ascii="Times New Roman;sans-serif" w:hAnsi="Times New Roman;sans-serif"/>
          <w:b w:val="false"/>
          <w:color w:val="000000"/>
          <w:sz w:val="20"/>
        </w:rPr>
        <w:t>Our Cambridge office has a Fitwel Certification, a healthy building certification system, and is level two certified. Additionally, we consolidated our office footprint to reduce our use of energy and other resources and have initiated recycling programs, including single stream recycling and recycling cans at every desk. Furthermore, we offer a commuter benefit to all of our</w:t>
      </w:r>
      <w:r>
        <w:rPr>
          <w:color w:val="000000"/>
        </w:rPr>
        <w:t xml:space="preserve"> </w:t>
      </w:r>
      <w:r>
        <w:rPr>
          <w:rFonts w:ascii="Times New Roman;sans-serif" w:hAnsi="Times New Roman;sans-serif"/>
          <w:b w:val="false"/>
          <w:color w:val="000000"/>
          <w:sz w:val="20"/>
        </w:rPr>
        <w:t>hybrid and office-based employees to encourage employees to use public transportation and offer bicycle parking free of charge in the onsite garage.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support kidney patient communities where we live and work. In the U.S., we had a patient services program, Akebia Cares, designed to provide one-on-one support to help communicate individual benefits and available resources for patients today facing financial obstacles that keep them from accessing important medications. In 2024, we provided over $7.4 million worth of Auryxia for free to patients needing assistance. Our free drug program ended as of December 31, 2024, however, we continue to offer copay assistance for eligible patients.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have a cross-functional Sponsorship Review Committee that reviews and approves sponsorships and donations based on the relevance of each project to our purpose, business objectives and the communities we serve. We support and work closely with multiple kidney patient advocacy organizations. We believe our involvement with, and support of, patient advocacy programs demonstrates our commitment to our purpose of bettering the life of each person impacted by kidney disease.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support and oversight of our Board of Directors and the Nominating and Corporate Governance Committee, we plan to continue to review and advance our efforts related to ESG matters.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an Insider Trading Compliance Policy governing the purchase, sale and/or other dispositions of Company securities by our directors, officers, employees, and consultants. We believe the Insider Trading Compliance Policy is reasonably designed to promote compliance with insider trading laws, rules and regulations, and Nasdaq listing standards. We do not engage in transactions in our securities while in possession of material nonpublic information concerning our Company or our securities.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Insider Trading Compliance Policy, our directors, officers, employees and consultants are prohibited from engaging in any hedging transactions of our Common Stock, including through variable prepaid forward contracts, equity swaps, collars, exchange funds and similar devices. In addition, such persons are prohibited from holding our Common Stock in a margin account or pledge such shares as collateral for a loan. A copy of our Insider Trading Policy is filed as Exhibit 19.1 to our Annual Report on Form 10-K for the fiscal year ended December 31, 2024.</w:t>
      </w:r>
    </w:p>
    <w:p>
      <w:pPr>
        <w:pStyle w:val="TextBody"/>
        <w:bidi w:val="0"/>
        <w:spacing w:lineRule="auto" w:line="288" w:before="270" w:after="283"/>
        <w:jc w:val="left"/>
        <w:rPr>
          <w:color w:val="000000"/>
          <w:shd w:fill="FFFF00" w:val="clear"/>
        </w:rPr>
      </w:pPr>
      <w:r>
        <w:rPr>
          <w:color w:val="000000"/>
          <w:shd w:fill="FFFF00" w:val="clear"/>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Code of Conduct and Corporate Governance Guidelines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 Code of Conduct that applies to all of our employees, including those employees responsible for financial reporting and officers, directors, vendors, consultants, and contractors, as well as Corporate Governance Guidelines. These documents are available on our website (www.akebia.com) under “Investors” at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4"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Governance” or by requesting copies in writing from Corporate Secretary at our Cambridge, Massachusetts office. We intend to disclose amendments to the Code of Conduct, or any waivers of its requirements, on our website as may be required by law or the Nasdaq Listing Rules.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25"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DIRECTOR COMPENSATION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engaged with independent compensation consultant, Pearl Meyer &amp; Partners, LLC, or Pearl Meyer, to review our director compensation for 2024 and for 2025.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its charter, the Compensation Committee makes recommendations to the Board of Directors regarding director compensation. The Board of Directors discusses the Compensation Committee’s recommendations and has final approval authority with respect to director compensation. The Board of Directors adopted the Third Amended and Restated Non-Employee Director Compensation Program, effective January 1, 2024, or the Prior Director Compensation Program. Most recently, the Board of Directors adopted the Fourth Amended and Restated Non-Employee Director Compensation Program, effective January 27, 2025, or the Current Director Compensation Program, which superseded the Prior Director Compensation Program in its entirety and applies to all director compensation beginning January 27, 2025. The Prior Director Compensation Program and the Current Director Compensation Program may be referred to jointly in this Proxy Statement as the “Director Compensation Programs.”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and in accordance with, the Director Compensation Programs, each director of the Company during 2024 who was not an employee of the Company, which we refer to in this Proxy Statement as a “Non-Employee Director”, was paid cash compensation during the year ended December 31, 2024 as follows: </w:t>
      </w:r>
    </w:p>
    <w:tbl>
      <w:tblPr>
        <w:tblW w:w="5610" w:type="dxa"/>
        <w:jc w:val="center"/>
        <w:tblInd w:w="0" w:type="dxa"/>
        <w:tblLayout w:type="fixed"/>
        <w:tblCellMar>
          <w:top w:w="28" w:type="dxa"/>
          <w:left w:w="28" w:type="dxa"/>
          <w:bottom w:w="28" w:type="dxa"/>
          <w:right w:w="28" w:type="dxa"/>
        </w:tblCellMar>
      </w:tblPr>
      <w:tblGrid>
        <w:gridCol w:w="1642"/>
        <w:gridCol w:w="1441"/>
        <w:gridCol w:w="1446"/>
        <w:gridCol w:w="316"/>
        <w:gridCol w:w="316"/>
        <w:gridCol w:w="449"/>
      </w:tblGrid>
      <w:tr>
        <w:trPr/>
        <w:tc>
          <w:tcPr>
            <w:tcW w:w="164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Annual Cash</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Retainer</w:t>
            </w:r>
          </w:p>
          <w:p>
            <w:pPr>
              <w:pStyle w:val="TableContents"/>
              <w:bidi w:val="0"/>
              <w:spacing w:lineRule="auto" w:line="276" w:before="0" w:after="0"/>
              <w:jc w:val="center"/>
              <w:rPr/>
            </w:pPr>
            <w:r>
              <w:rPr>
                <w:rFonts w:ascii="Times New Roman;sans-serif" w:hAnsi="Times New Roman;sans-serif"/>
                <w:b/>
                <w:color w:val="000000"/>
                <w:sz w:val="16"/>
              </w:rPr>
              <w:t>($)</w:t>
            </w:r>
            <w:r>
              <w:rPr>
                <w:color w:val="000000"/>
              </w:rPr>
              <w:t xml:space="preserve"> </w:t>
            </w:r>
          </w:p>
        </w:tc>
      </w:tr>
      <w:tr>
        <w:trPr/>
        <w:tc>
          <w:tcPr>
            <w:tcW w:w="452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Board of Directors:</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Non-Employee Directors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Retainer for Chairperson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Audit Committee:</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Non-Chair Members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Chairperson</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Compensation Committee: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Non-Chair Members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Chairperson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Nominating and Corporate Governance Committee:</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Non-Chair Members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Chairperson</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Research &amp; Development Committee: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Non-Chair Members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Chairperson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Current Director Compensation Program, each Non-Employee Director is eligible to receive an option to purchase 214,400 shares of Common Stock (or 180,000 shares under the Prior Director Compensation Program) under the Akebia Therapeutics, Inc. 2023 Stock Incentive Plan, or the 2023 Plan, or any successor equity incentive plan thereto at the time of such Non-Employee Director’s initial appointment or election to the Board of Directors. We refer to such award throughout this Proxy Statement as an “Initial Award.” Each Initial Award granted under the Director Compensation Programs vests over three years, with 33 1/3% of the shares underlying the Initial Award vesting on the first anniversary of the date of grant and the remaining 66 2/3% of the shares underlying the Initial Award vesting ratably on the first day of each calendar quarter between the first anniversary of the date of grant and the third anniversary of the date of grant, subject to the Non-Employee Director’s continuous service through the applicable vesting date.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the Current Director Compensation Program, each Non-Employee Director who has served on the Board of Directors for at least six months as of the date of any annual meeting of stockholders and continues to serve on the Board of Directors immediately following such annual meeting of stockholders, will be eligible to receive, on the date of such annual meeting, an option to purchase 53,600 shares of Common Stock (or 45,000 shares under the Prior Director Compensation Program) and a grant of 35,700 restricted stock units, or RSUs (or 30,000 RSUs under the Prior Director Compensation Program). We refer to such grant of stock options and RSUs in this Proxy Statement as the “Subsequent Awards.” The Subsequent Awards (i) are granted subject to the terms of the 2023 Plan or any successor equity incentive plan and (ii) vest in full on the first anniversary of the grant date, subject to the Non-Employee Director’s continuous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26"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through the applicable vesting date. These stock options have a 10-year term and are granted with an exercise price equal to the fair market value of a share of Common Stock on the date of grant. Pursuant to the form of stock option agreement and form of RSU agreement for the Non-Employee Directors adopted by the Board of Directors under the 2023 Plan or any successor equity incentive plan, if, in connection with a change in control (as such term is defined in the applicable award agreement), the outstanding Initial Award and Subsequent Awards held by a Non-Employee Director is not assumed or continued, and a new equity award is not granted in substitution thereof by the acquirer or survivor of a change in control (or an affiliate of the acquirer or survivor) in accordance with the terms of the 2023 Plan or any successor equity incentive plan, any unvested portion of such Initial Award and Subsequent Awards will vest in full upon such change in control. </w:t>
      </w:r>
    </w:p>
    <w:p>
      <w:pPr>
        <w:pStyle w:val="TextBody"/>
        <w:bidi w:val="0"/>
        <w:spacing w:lineRule="auto" w:line="288" w:before="32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2024 Director Compensation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a summary of the compensation earned by each Non-Employee Director during the fiscal year ended December 31, 2024. Other than as set forth in the table below, we did not pay any cash compensation, make any equity awards or non-equity awards to, or pay any other compensation to any Non-Employee Director during the year ended December 31, 2024. Mr. Butler, our President and Chief Executive Officer, received no additional compensation for his service as a director and, consequently, is not included in the table below. The compensation received by Mr. Butler as an employee of the Company during 2024 is presented in the “2024 Summary Compensation Table” below. </w:t>
      </w:r>
    </w:p>
    <w:tbl>
      <w:tblPr>
        <w:tblW w:w="8040" w:type="dxa"/>
        <w:jc w:val="left"/>
        <w:tblInd w:w="0" w:type="dxa"/>
        <w:tblLayout w:type="fixed"/>
        <w:tblCellMar>
          <w:top w:w="28" w:type="dxa"/>
          <w:left w:w="28" w:type="dxa"/>
          <w:bottom w:w="28" w:type="dxa"/>
          <w:right w:w="28" w:type="dxa"/>
        </w:tblCellMar>
      </w:tblPr>
      <w:tblGrid>
        <w:gridCol w:w="1130"/>
        <w:gridCol w:w="762"/>
        <w:gridCol w:w="777"/>
        <w:gridCol w:w="330"/>
        <w:gridCol w:w="330"/>
        <w:gridCol w:w="331"/>
        <w:gridCol w:w="359"/>
        <w:gridCol w:w="359"/>
        <w:gridCol w:w="361"/>
        <w:gridCol w:w="359"/>
        <w:gridCol w:w="359"/>
        <w:gridCol w:w="361"/>
        <w:gridCol w:w="465"/>
        <w:gridCol w:w="465"/>
        <w:gridCol w:w="466"/>
        <w:gridCol w:w="241"/>
        <w:gridCol w:w="241"/>
        <w:gridCol w:w="344"/>
      </w:tblGrid>
      <w:tr>
        <w:trPr/>
        <w:tc>
          <w:tcPr>
            <w:tcW w:w="113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Fees Earned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 Paid in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Cash($)(1)</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Awards($)(2)</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Awards($)(2)</w:t>
            </w:r>
          </w:p>
        </w:tc>
        <w:tc>
          <w:tcPr>
            <w:tcW w:w="13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All Other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Compensation ($)</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Adrian Adams (3)</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92,500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40,733</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165,333</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Ronald E. Frieson (4)</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32,100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40,733</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142,833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C. Gilman, Ph.D. (5)</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40,733</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135,333</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Rogers (6)</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32,100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40,733</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142,833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Cynthia Smith (7)</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40,733</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142,833</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Myles Wolf, M.D., M.M.Sc.  (8)</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32,100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40,733</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137,833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LeAnne M. Zumwalt (9)</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40,733</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137,833</w:t>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(1)Amounts listed represent fees earned in cash during the year ended December 31, 2024.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amounts reported in the “Stock Awards” and “Option Awards” columns above represent the aggregate fair value amount of the RSUs and time-based stock options granted during the year ended December 31, 2024, respectively, computed as of the grant date of such RSUs and stock options, respectively, in accordance with Accounting Standards Codification, or ASC, Topic 718, not including any estimates of forfeitures. The assumptions used in calculating the grant date fair value of the RSUs and stock options are set forth in Note 14 to our financial statements included in our Annual Report on Form 10-K for the fiscal year ended December 31, 2024, which was filed with the SEC on March 13, 2025.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(3)As of December 31, 2024, Mr. Adams held options to purchase 195,400 shares of our Common Stock and 30,000 RSUs.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(4)As of December 31, 2024, Mr. Frieson held options to purchase 190,300 shares of our Common Stock and 30,000 RSUs.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(5)As of December 31, 2024, Dr. Gilman held options to purchase 247,803 shares of our Common Stock and 30,000 RSUs.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(6)As of December 31, 2024, Mr. Rogers held options to purchase 247,803 shares of our Common Stock and 30,000 RSUs.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(7)As of December 31, 2024, Ms. Smith held options to purchase 195,400 shares of our Common Stock and 30,000 RSUs.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(8)As of December 31, 2024, Dr. Wolf held options to purchase 210,400 shares of our Common Stock and 30,000 RSUs.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(9)As of December 31, 2024, Ms. Zumwalt held options to purchase 190,300 shares of our Common Stock and 30,000 RSUs.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27"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pPr>
      <w:r>
        <w:rPr>
          <w:rFonts w:ascii="Times New Roman;sans-serif" w:hAnsi="Times New Roman;sans-serif"/>
          <w:b/>
          <w:color w:val="000000"/>
          <w:sz w:val="20"/>
        </w:rPr>
        <w:t>PROPOSAL 2—APPROVAL OF AN AMENDMENT TO THE AKEBIA THERAPEUTICS, INC. 2023 STOCK INCENTIVE PLAN TO INCREASE THE NUMBER OF SHARES OF COMMON STOCK AVAILABLE FOR ISSUANCE THEREUNDER B</w:t>
      </w:r>
      <w:r>
        <w:rPr>
          <w:rFonts w:ascii="Times New Roman;sans-serif" w:hAnsi="Times New Roman;sans-serif"/>
          <w:b w:val="false"/>
          <w:color w:val="000000"/>
          <w:sz w:val="20"/>
        </w:rPr>
        <w:t>Y</w:t>
      </w:r>
      <w:r>
        <w:rPr>
          <w:color w:val="000000"/>
        </w:rPr>
        <w:t xml:space="preserve"> </w:t>
      </w:r>
      <w:r>
        <w:rPr>
          <w:rFonts w:ascii="Times New Roman;sans-serif" w:hAnsi="Times New Roman;sans-serif"/>
          <w:b/>
          <w:color w:val="000000"/>
          <w:sz w:val="20"/>
        </w:rPr>
        <w:t xml:space="preserve">18,900,000 </w:t>
      </w:r>
      <w:r>
        <w:rPr>
          <w:rFonts w:ascii="Times New Roman;sans-serif" w:hAnsi="Times New Roman;sans-serif"/>
          <w:b/>
          <w:color w:val="231F20"/>
          <w:sz w:val="20"/>
        </w:rPr>
        <w:t>SHARES AND TO MAKE CERTAIN OTHER CHANGES TO THE PLAN</w:t>
      </w:r>
      <w:r>
        <w:rPr>
          <w:color w:val="231F2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Why We Are Requesting Stockholder Approval For An Amendment to the 2023 Stock Incentive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approve an amendment to our 2023 Plan to (i) increase the number of shares of our Common Stock available for issuance under the 2023 Plan by 18,900,000 shares, (ii) provide that shares used to satisfy an option exercise price or to satisfy withholding applicable to an award will not return to the plan and (iii) to add minimum vesting provisions applicable to awards granted under the plan (collectively, these changes are referred to as the Amendment). We refer to the 2023 Plan, as so amended by the Amendment, as the Amended Plan. Our Board of Directors believes that our success depends, in large part, on our ability to maintain a competitive position by attracting, retaining and motivating key employees with experience and ability. Central to these objectives is our equity-based compensation program, which is consistent with our compensation philosophy and the compensatory practices of other pharmaceutical companies in our peer group and other companies that we compete with for talent. We and our Board of Directors understand that our equity-compensation needs must be balanced against the dilutive effect of such programs on our stockholders. To that end, and based on careful weighing of these considerations, as more fully described below, on April 28, 2025, upon the recommendation of the Compensation Committee, our Board of Directors adopted, subject to stockholder approval, an amendment to the 2023 Plan to increase the shares available for issuance under the plan, and to provide for counterbalancing, stockholder friendly provisions prohibiting the return of shares to the plan that were used to satisfy an option exercise price or tax withholding and adding a one-year minimum vesting requirement for awards granted under the plan, all subject to stockholder approval of such amendment.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requested an increase in the number of shares available for the grant of awards under the 2023 Plan at the 2024 annual meeting of stockholders which our stockholders did not approve. Accordingly, the share pool increase under the 2023 Plan did not occur in 2024. Our Compensation Committee once again in 2025 carefully considered the Company’s equity compensation needs, as well as the dilutive effect on our stockholders of an increase in the shares available for issuance under the 2023 Plan and determined that the increase is critical for the Company to retain and incent our talented employees in the current competitive environment. At the same time, our Compensation Committee sought to be responsive to stockholder sentiment regarding the dilution caused by the 2023 Plan. As a result, and based on a robust analysis of the considerations, upon the recommendation of the Compensation Committee, our Board of Directors adopted on April 28, 2025, subject to stockholder approval, the Amendment.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2023 Plan is our existing equity incentive plan, which was originally approved by our Board of Directors on April 27, 2023 and by our stockholders on June 6, 2023. When the 2023 Plan was adopted, we expected that the share pool under the 2023 Plan would allow us to continue to grant equity awards (other than to newly hired employees who receive grants pursuant to the inducement grant exception under Nasdaq Listing Rule 5635(c)(4) to the extent eligible) for approximately two years, with the actual duration of the share pool varying based on changes in participation, market practices and our stock price. In order to remain competitive in our equity grant program and practices, we are seeking stockholder support of a new share authorization as the remaining share pool under the 2023 Plan is insufficient to meet our equity compensation needs. The Amendment increases the number of shares of our Common Stock available for grant under the 2023 Plan by 18,900,000 shares, provides that shares used to satisfy an option exercise price or to satisfy withholding applicable to an award will not return to the plan and adds minimum vesting provisions applicable to awards granted under the plan. If the Amendment is approved, the new shares of our Common Stock reserved under the Amended Plan would represent approximately 7.22% of our 261,644,590 outstanding shares of our Common Stock as of March 31, 2025. Our Board of Directors believes the proposed dilution to stockholders as a result of the Amendment is judicious and sustainable and, importantly, critical to meet our business goals. In addition, as described below, the proposed dilution associated with the Amendment aligns with our peer group.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utilize the Amended Plan as we have utilized the 2023 Plan: specifically, to grant equity awards to our existing employees, non-employee directors, consultants, and advisors in order to incent, retain and reward those who are critical to our success. Our Compensation Committee determined the requested number of shares of our Common Stock for the Amendment based on projected annual equity awards to our employees and non-employee directors, employee recognition and promotion awards, and an assessment of the magnitude of the share reserve under the Amended Plan that our stockholders would likely find acceptable. If our stockholders approve the Amendment, subject to adjustment in the event of stock splits and other similar events, awards may be made under the Amended Plan for up to a number of shares of our Common Stock equal to the sum of: (i) 28,900,000 shares of our Common Stock and (ii) such additional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28"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our Common Stock (up to 24,361,685) as is equal to the sum of (A) the number of shares of our Common Stock reserved for issuance under our 2014 Incentive Plan, or the 2014 Plan, that remained available for the grant of awards under the 2014 Plan (including any shares of our Common Stock that remained available for grant under the 2014 Plan as a result of a plan that was assumed by us pursuant to Section 4(c) of the 2014 Plan) immediately prior to the date that the 2023 Plan was approved by our stockholders on June 6, 2023, or the original effective date, and (B) the number of shares of our Common Stock subject to awards granted under the 2014 Plan (including any shares of our Common Stock granted under the 2014 Plan as a result of a plan that was assumed by us pursuant to Section 4(c) of the 2014 Plan) that were outstanding as of the original effective date and which awards expire, terminate or are otherwise surrendered, cancelled, forfeited or repurchased by us at their original issuance price pursuant to a contractual repurchase right (subject, however, in the case of incentive stock options, to any limitations under the Internal Revenue Code of 1986, as amended, and any regulations thereunder, or the Code). The 2023 Plan does not include an evergreen provision and includes several features that are consistent with protecting the interests of our stockholders and sound corporate governance practices, as described below.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relied on the inducement grant exception under Nasdaq Listing Rule 5635(c)(4) to grant nonstatutory stock options, or Inducement Awards, to all of our newly hired employees who are eligible under the Nasdaq rules to receive such grants. We expect to continue using Inducement Awards for our option grants to all of our newly hired employees who are eligible under the Nasdaq rules to receive such grants, and the number of shares of our Common Stock available under the Amended Plan will be, if the Amendment is approved, carefully administered to enable us to make other new-hire equity grants as well as equity grants to our current employees under the Amended Plan.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includes information, as of March 31, 2025, regarding (i) all of our outstanding equity awards under all of our equity-based compensation plans and arrangements under which shares of our Common Stock may be issued (other than our Amended and Restated 2014 Employee Stock Purchase Plan, or the ESPP) and all of our outstanding Inducement Awards that were granted as stock options outside of our equity-based compensation plans; and (ii) the number of shares of our Common Stock that remain available under the 2023 Plan for future awards. </w:t>
      </w:r>
    </w:p>
    <w:tbl>
      <w:tblPr>
        <w:tblW w:w="10205" w:type="dxa"/>
        <w:jc w:val="left"/>
        <w:tblInd w:w="0" w:type="dxa"/>
        <w:tblLayout w:type="fixed"/>
        <w:tblCellMar>
          <w:top w:w="28" w:type="dxa"/>
          <w:left w:w="28" w:type="dxa"/>
          <w:bottom w:w="28" w:type="dxa"/>
          <w:right w:w="28" w:type="dxa"/>
        </w:tblCellMar>
      </w:tblPr>
      <w:tblGrid>
        <w:gridCol w:w="3455"/>
        <w:gridCol w:w="2777"/>
        <w:gridCol w:w="2785"/>
        <w:gridCol w:w="285"/>
        <w:gridCol w:w="691"/>
        <w:gridCol w:w="212"/>
      </w:tblGrid>
      <w:tr>
        <w:trPr/>
        <w:tc>
          <w:tcPr>
            <w:tcW w:w="3455"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9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Number of outstanding stock options</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18,466,697</w:t>
            </w:r>
          </w:p>
        </w:tc>
      </w:tr>
      <w:tr>
        <w:trPr/>
        <w:tc>
          <w:tcPr>
            <w:tcW w:w="9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exercise price of outstanding stock options </w:t>
            </w:r>
          </w:p>
        </w:tc>
        <w:tc>
          <w:tcPr>
            <w:tcW w:w="285"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 of outstanding stock options</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7.53 years</w:t>
            </w:r>
          </w:p>
        </w:tc>
      </w:tr>
      <w:tr>
        <w:trPr/>
        <w:tc>
          <w:tcPr>
            <w:tcW w:w="90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Number of outstanding RSUs</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7,108,175</w:t>
            </w:r>
          </w:p>
        </w:tc>
      </w:tr>
      <w:tr>
        <w:trPr/>
        <w:tc>
          <w:tcPr>
            <w:tcW w:w="9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Number of outstanding performance-based restricted stock units (“PSUs”) (1)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Number of outstanding stock appreciation rights (“SARs”)</w:t>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635,313</w:t>
            </w:r>
          </w:p>
        </w:tc>
      </w:tr>
      <w:tr>
        <w:trPr/>
        <w:tc>
          <w:tcPr>
            <w:tcW w:w="9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measurement price of outstanding SARs</w:t>
            </w:r>
          </w:p>
        </w:tc>
        <w:tc>
          <w:tcPr>
            <w:tcW w:w="285"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remaining contractual term of outstanding SARs </w:t>
            </w:r>
          </w:p>
        </w:tc>
        <w:tc>
          <w:tcPr>
            <w:tcW w:w="118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7.84 years</w:t>
            </w:r>
          </w:p>
        </w:tc>
      </w:tr>
      <w:tr>
        <w:trPr/>
        <w:tc>
          <w:tcPr>
            <w:tcW w:w="901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remaining available under the 2023 Plan for the grant of new awards (2)</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4,399,444</w:t>
            </w:r>
          </w:p>
        </w:tc>
      </w:tr>
      <w:tr>
        <w:trPr/>
        <w:tc>
          <w:tcPr>
            <w:tcW w:w="90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shares of our Common Stock requested for approval pursuant to the Amendment</w:t>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18,900,000</w:t>
            </w:r>
          </w:p>
        </w:tc>
      </w:tr>
      <w:tr>
        <w:trPr/>
        <w:tc>
          <w:tcPr>
            <w:tcW w:w="9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Estimated total number of shares of our Common Stock available for the grant of new awards under all equity-based compensation plans (other than the ESPP), assuming stockholder approval of the Amendment (3)</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23,299,444</w:t>
            </w:r>
          </w:p>
        </w:tc>
      </w:tr>
      <w:tr>
        <w:trPr/>
        <w:tc>
          <w:tcPr>
            <w:tcW w:w="90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shares of our Common Stock outstanding </w:t>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261,644,590</w:t>
            </w:r>
          </w:p>
        </w:tc>
      </w:tr>
    </w:tbl>
    <w:p>
      <w:pPr>
        <w:pStyle w:val="TextBody"/>
        <w:bidi w:val="0"/>
        <w:spacing w:lineRule="auto" w:line="288" w:before="20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(1)We may periodically grant PSUs to employees under the 2023 Plan and previously granted PSUs under the 2014 Plan. The PSUs granted by us generally vest in connection with the achievement of specified commercial, regulatory and corporate milestones. The PSUs also generally feature a time-based vesting component. The number of PSUs outstanding as of March 31, 2025 are reflected in the table above assuming satisfaction of certain regulatory milestones.</w:t>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(2)The number of shares of our Common Stock remaining available for issuance under the 2023 Plan as of March 31, 2025.</w:t>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(3)The number of shares of our Common Stock remaining available for issuance under all plans as of March 31, 2025 assuming approval of the Amendment.</w:t>
      </w:r>
    </w:p>
    <w:p>
      <w:pPr>
        <w:pStyle w:val="TextBody"/>
        <w:bidi w:val="0"/>
        <w:spacing w:lineRule="auto" w:line="288" w:before="200" w:after="283"/>
        <w:ind w:left="0" w:right="0" w:hanging="2"/>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were no outstanding shares of restricted stock or other stock-based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29"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 proposed share pool under the Amended Plan will allow us to continue to grant equity awards at our historic rates (other than to newly hired employees, who will receive Inducement Awards, to the extent eligible) for approximately two years, but the actual duration of the share pool may vary based on changes in participation, our stock price and market practice.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stock-based compensation programs have been integral to our success in the past and will be important to our ability to succeed in the future. If the Amendment is not approved by our stockholders, we will not be able to make long-term equity incentive awards that are sufficient to meet our needs and our inability to make market-based equity awards to retain talented employees in a highly competitive market could have an adverse impact on our business. Further, if the Amendment is not approved by our stockholders, it is likely that we will have to increase cash compensation, which will reduce the resources we are able to allocate to meet our business needs and objectives. Therefore, we consider approval of the Amendment vital to our future success.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this proposal to increase the number of shares of our Common Stock available for issuance under the plan is approved by our stockholders, we intend to register the additional shares by filing a Registration Statement on Form S-8 as soon as practicable following such approval.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Accordingly, our Board of Directors believes approval of the Amendment is in the best interests of the Company and its stockholders and recommends a vote “FOR” the approval of the Amendment.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remainder of this Proposal 2 includes: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Highlights of the Amended Plan;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Reasons Why Stockholders Should Approve the Amendment;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Information Regarding Overhang and Burn Rate;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Description of the Amended Plan.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Highlights of the Amended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Plan includes several features that are consistent with protecting the interests of our stockholders and sound corporate governance practices. These features are highlighted below, and are more fully described in the summary of the Amended Plan further below in this proposal.</w:t>
      </w:r>
    </w:p>
    <w:p>
      <w:pPr>
        <w:pStyle w:val="TextBody"/>
        <w:bidi w:val="0"/>
        <w:spacing w:lineRule="auto" w:line="288" w:before="240" w:after="283"/>
        <w:jc w:val="left"/>
        <w:rPr/>
      </w:pPr>
      <w:r>
        <w:rPr>
          <w:rFonts w:ascii="Times New Roman;sans-serif" w:hAnsi="Times New Roman;sans-serif"/>
          <w:b w:val="false"/>
          <w:i/>
          <w:color w:val="000000"/>
          <w:sz w:val="20"/>
        </w:rPr>
        <w:t xml:space="preserve">No Evergreen. </w:t>
      </w:r>
      <w:r>
        <w:rPr>
          <w:rFonts w:ascii="Times New Roman;sans-serif" w:hAnsi="Times New Roman;sans-serif"/>
          <w:b w:val="false"/>
          <w:color w:val="000000"/>
          <w:sz w:val="20"/>
        </w:rPr>
        <w:t>The Amended Plan does not include an “evergreen” or other provision that automatically increases the number of shares of our Common Stock available for grant under the plan, and therefore any increase to the maximum share reserve under the Amended Plan, including the increase proposed by the Amendment, is subject to approval by our stockholders, allowing our stockholders to have a say in our equity compensation programs.</w:t>
      </w:r>
    </w:p>
    <w:p>
      <w:pPr>
        <w:pStyle w:val="TextBody"/>
        <w:bidi w:val="0"/>
        <w:spacing w:lineRule="auto" w:line="288" w:before="240" w:after="283"/>
        <w:jc w:val="left"/>
        <w:rPr/>
      </w:pPr>
      <w:r>
        <w:rPr>
          <w:rFonts w:ascii="Times New Roman;sans-serif" w:hAnsi="Times New Roman;sans-serif"/>
          <w:b w:val="false"/>
          <w:i/>
          <w:color w:val="000000"/>
          <w:sz w:val="20"/>
        </w:rPr>
        <w:t>Clawback Policy</w:t>
      </w:r>
      <w:r>
        <w:rPr>
          <w:rFonts w:ascii="Times New Roman;sans-serif" w:hAnsi="Times New Roman;sans-serif"/>
          <w:b w:val="false"/>
          <w:color w:val="000000"/>
          <w:sz w:val="20"/>
        </w:rPr>
        <w:t>. In accepting an Award under the Amended Plan, a participant agrees to be bound by any clawback policy that we have in effect or may adopt in the future, including, for executive officers, the Compensation Recovery Policy we adopted in November 2023. For a description of such policy, see "</w:t>
      </w:r>
      <w:r>
        <w:rPr>
          <w:rFonts w:ascii="Times New Roman;sans-serif" w:hAnsi="Times New Roman;sans-serif"/>
          <w:b w:val="false"/>
          <w:i/>
          <w:color w:val="000000"/>
          <w:sz w:val="20"/>
        </w:rPr>
        <w:t>Executive Compensation—Clawback Polic</w:t>
      </w:r>
      <w:r>
        <w:rPr>
          <w:rFonts w:ascii="Times New Roman;sans-serif" w:hAnsi="Times New Roman;sans-serif"/>
          <w:b w:val="false"/>
          <w:color w:val="000000"/>
          <w:sz w:val="20"/>
        </w:rPr>
        <w:t>y".</w:t>
      </w:r>
    </w:p>
    <w:p>
      <w:pPr>
        <w:pStyle w:val="TextBody"/>
        <w:bidi w:val="0"/>
        <w:spacing w:lineRule="auto" w:line="288" w:before="240" w:after="283"/>
        <w:jc w:val="left"/>
        <w:rPr/>
      </w:pPr>
      <w:r>
        <w:rPr>
          <w:rFonts w:ascii="Times New Roman;sans-serif" w:hAnsi="Times New Roman;sans-serif"/>
          <w:b w:val="false"/>
          <w:i/>
          <w:color w:val="000000"/>
          <w:sz w:val="20"/>
        </w:rPr>
        <w:t xml:space="preserve">No Automatic Vesting of Awards on a Change in Control Event. </w:t>
      </w:r>
      <w:r>
        <w:rPr>
          <w:rFonts w:ascii="Times New Roman;sans-serif" w:hAnsi="Times New Roman;sans-serif"/>
          <w:b w:val="false"/>
          <w:color w:val="000000"/>
          <w:sz w:val="20"/>
        </w:rPr>
        <w:t xml:space="preserve">The Amended Plan does not provide for the automatic vesting of awards in connection with a change in control event. </w:t>
      </w:r>
    </w:p>
    <w:p>
      <w:pPr>
        <w:pStyle w:val="TextBody"/>
        <w:bidi w:val="0"/>
        <w:spacing w:lineRule="auto" w:line="288" w:before="240" w:after="283"/>
        <w:jc w:val="left"/>
        <w:rPr/>
      </w:pPr>
      <w:r>
        <w:rPr>
          <w:rFonts w:ascii="Times New Roman;sans-serif" w:hAnsi="Times New Roman;sans-serif"/>
          <w:b w:val="false"/>
          <w:i/>
          <w:color w:val="000000"/>
          <w:sz w:val="20"/>
        </w:rPr>
        <w:t xml:space="preserve">No Repricing of Awards. </w:t>
      </w:r>
      <w:r>
        <w:rPr>
          <w:rFonts w:ascii="Times New Roman;sans-serif" w:hAnsi="Times New Roman;sans-serif"/>
          <w:b w:val="false"/>
          <w:color w:val="000000"/>
          <w:sz w:val="20"/>
        </w:rPr>
        <w:t>The Amended Plan prohibits the direct or indirect repricing of stock options or SARs without stockholder approval.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Minimum Vesting Provisions</w:t>
      </w:r>
      <w:r>
        <w:rPr>
          <w:rFonts w:ascii="Times New Roman;sans-serif" w:hAnsi="Times New Roman;sans-serif"/>
          <w:b w:val="false"/>
          <w:color w:val="000000"/>
          <w:sz w:val="20"/>
        </w:rPr>
        <w:t>. Minimum vesting provisions of one year generally apply to all awards to participants, with the exception of awards for up to 5% of the shares of stock reserved under the Amended Plan.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No Liberal Share Recycling</w:t>
      </w:r>
      <w:r>
        <w:rPr>
          <w:rFonts w:ascii="Times New Roman;sans-serif" w:hAnsi="Times New Roman;sans-serif"/>
          <w:b w:val="false"/>
          <w:color w:val="000000"/>
          <w:sz w:val="20"/>
        </w:rPr>
        <w:t>. The Amended Plan prohibits the re-granting of (i) shares withheld or delivered to satisfy the exercise price of an award or to satisfy tax withholding obligations, (ii) shares that were subject to a stock appreciation right (“SAR”), and were not issued upon the net settlement or net exercise of such award, or (iii) shares repurchased on the open market using proceeds from the exercise of an award.</w:t>
      </w:r>
    </w:p>
    <w:p>
      <w:pPr>
        <w:pStyle w:val="TextBody"/>
        <w:bidi w:val="0"/>
        <w:spacing w:lineRule="auto" w:line="288" w:before="240" w:after="283"/>
        <w:jc w:val="left"/>
        <w:rPr/>
      </w:pPr>
      <w:r>
        <w:rPr>
          <w:rFonts w:ascii="Times New Roman;sans-serif" w:hAnsi="Times New Roman;sans-serif"/>
          <w:b w:val="false"/>
          <w:i/>
          <w:color w:val="000000"/>
          <w:sz w:val="20"/>
        </w:rPr>
        <w:t xml:space="preserve">No Discounted Options or SARs. </w:t>
      </w:r>
      <w:r>
        <w:rPr>
          <w:rFonts w:ascii="Times New Roman;sans-serif" w:hAnsi="Times New Roman;sans-serif"/>
          <w:b w:val="false"/>
          <w:color w:val="000000"/>
          <w:sz w:val="20"/>
        </w:rPr>
        <w:t>All stock options and SARs must have an exercise or measurement price that is at least equal to the fair market value of the underlying Common Stock on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0"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i/>
          <w:color w:val="000000"/>
          <w:sz w:val="20"/>
        </w:rPr>
        <w:t xml:space="preserve">No Reload Options or SARs. </w:t>
      </w:r>
      <w:r>
        <w:rPr>
          <w:rFonts w:ascii="Times New Roman;sans-serif" w:hAnsi="Times New Roman;sans-serif"/>
          <w:b w:val="false"/>
          <w:color w:val="000000"/>
          <w:sz w:val="20"/>
        </w:rPr>
        <w:t>No stock options or SARs granted under the Amended Plan may contain a provision entitling the award holder to the automatic grant of additional stock options or SARs in connection with any exercise of the original stock option or SAR.</w:t>
      </w:r>
    </w:p>
    <w:p>
      <w:pPr>
        <w:pStyle w:val="TextBody"/>
        <w:bidi w:val="0"/>
        <w:spacing w:lineRule="auto" w:line="288" w:before="240" w:after="283"/>
        <w:jc w:val="left"/>
        <w:rPr/>
      </w:pPr>
      <w:r>
        <w:rPr>
          <w:rFonts w:ascii="Times New Roman;sans-serif" w:hAnsi="Times New Roman;sans-serif"/>
          <w:b w:val="false"/>
          <w:i/>
          <w:color w:val="000000"/>
          <w:sz w:val="20"/>
        </w:rPr>
        <w:t xml:space="preserve">No Dividend Equivalents on Options or SARs. </w:t>
      </w:r>
      <w:r>
        <w:rPr>
          <w:rFonts w:ascii="Times New Roman;sans-serif" w:hAnsi="Times New Roman;sans-serif"/>
          <w:b w:val="false"/>
          <w:color w:val="000000"/>
          <w:sz w:val="20"/>
        </w:rPr>
        <w:t>No stock options or SARs granted under the Amended Plan may provide for the payment or accrual of dividend equivalents.</w:t>
      </w:r>
    </w:p>
    <w:p>
      <w:pPr>
        <w:pStyle w:val="TextBody"/>
        <w:bidi w:val="0"/>
        <w:spacing w:lineRule="auto" w:line="288" w:before="240" w:after="283"/>
        <w:jc w:val="left"/>
        <w:rPr/>
      </w:pPr>
      <w:r>
        <w:rPr>
          <w:rFonts w:ascii="Times New Roman;sans-serif" w:hAnsi="Times New Roman;sans-serif"/>
          <w:b w:val="false"/>
          <w:i/>
          <w:color w:val="000000"/>
          <w:sz w:val="20"/>
        </w:rPr>
        <w:t xml:space="preserve">Dividends and Dividend Equivalents on Restricted Stock, Restricted Stock Units and Other-Stock Based Awards Not Paid Until Award Vests. </w:t>
      </w:r>
      <w:r>
        <w:rPr>
          <w:rFonts w:ascii="Times New Roman;sans-serif" w:hAnsi="Times New Roman;sans-serif"/>
          <w:b w:val="false"/>
          <w:color w:val="000000"/>
          <w:sz w:val="20"/>
        </w:rPr>
        <w:t>Any dividends or dividend equivalents paid with respect to restricted stock, RSUs, performance awards or other stock-based awards will be subject to the same restrictions on transfer and forfeitability as the award with respect to which they are paid.</w:t>
      </w:r>
    </w:p>
    <w:p>
      <w:pPr>
        <w:pStyle w:val="TextBody"/>
        <w:bidi w:val="0"/>
        <w:spacing w:lineRule="auto" w:line="288" w:before="240" w:after="283"/>
        <w:jc w:val="left"/>
        <w:rPr/>
      </w:pPr>
      <w:r>
        <w:rPr>
          <w:rFonts w:ascii="Times New Roman;sans-serif" w:hAnsi="Times New Roman;sans-serif"/>
          <w:b w:val="false"/>
          <w:i/>
          <w:color w:val="000000"/>
          <w:sz w:val="20"/>
        </w:rPr>
        <w:t xml:space="preserve">Limit on Non-Employee Director Compensation. </w:t>
      </w:r>
      <w:r>
        <w:rPr>
          <w:rFonts w:ascii="Times New Roman;sans-serif" w:hAnsi="Times New Roman;sans-serif"/>
          <w:b w:val="false"/>
          <w:color w:val="000000"/>
          <w:sz w:val="20"/>
        </w:rPr>
        <w:t>The maximum aggregate amount of cash earned or paid and value of awards (calculated based on grant date fair value for financial reporting purposes) granted to any non-employee director in any calendar year may not exceed $750,000 in the case of an incumbent director. However, such maximum aggregate amount shall not exceed $1,000,000 in any calendar year for any individual non-employee director in such non-employee director’s initial year of election or appointment. Exceptions to these limitations may only be made by our Board of Directors in extraordinary circumstances provided that the non-employee director receiving any additional compensation does not participate in the decision to award such compensation.</w:t>
      </w:r>
      <w:r>
        <w:rPr>
          <w:color w:val="000000"/>
        </w:rPr>
        <w:t> </w:t>
      </w:r>
    </w:p>
    <w:p>
      <w:pPr>
        <w:pStyle w:val="TextBody"/>
        <w:bidi w:val="0"/>
        <w:spacing w:lineRule="auto" w:line="288" w:before="240" w:after="283"/>
        <w:jc w:val="left"/>
        <w:rPr/>
      </w:pPr>
      <w:r>
        <w:rPr>
          <w:rFonts w:ascii="Times New Roman;sans-serif" w:hAnsi="Times New Roman;sans-serif"/>
          <w:b w:val="false"/>
          <w:i/>
          <w:color w:val="000000"/>
          <w:sz w:val="20"/>
        </w:rPr>
        <w:t xml:space="preserve">Material Amendments Require Stockholder Approval. </w:t>
      </w:r>
      <w:r>
        <w:rPr>
          <w:rFonts w:ascii="Times New Roman;sans-serif" w:hAnsi="Times New Roman;sans-serif"/>
          <w:b w:val="false"/>
          <w:color w:val="000000"/>
          <w:sz w:val="20"/>
        </w:rPr>
        <w:t>Stockholder approval is required prior to an amendment of the Amended Plan that would (i) materially increase the number of shares of our Common Stock authorized (other than as provided under the Amended Plan with respect to certain corporate events or substitute awards), (ii) expand the types of awards that may be granted, or (iii) materially expand the class of participants eligible to participate.</w:t>
      </w:r>
    </w:p>
    <w:p>
      <w:pPr>
        <w:pStyle w:val="TextBody"/>
        <w:bidi w:val="0"/>
        <w:spacing w:lineRule="auto" w:line="288" w:before="240" w:after="283"/>
        <w:jc w:val="left"/>
        <w:rPr/>
      </w:pPr>
      <w:r>
        <w:rPr>
          <w:rFonts w:ascii="Times New Roman;sans-serif" w:hAnsi="Times New Roman;sans-serif"/>
          <w:b w:val="false"/>
          <w:i/>
          <w:color w:val="000000"/>
          <w:sz w:val="20"/>
        </w:rPr>
        <w:t xml:space="preserve">Administered by an Independent Committee. </w:t>
      </w:r>
      <w:r>
        <w:rPr>
          <w:rFonts w:ascii="Times New Roman;sans-serif" w:hAnsi="Times New Roman;sans-serif"/>
          <w:b w:val="false"/>
          <w:color w:val="000000"/>
          <w:sz w:val="20"/>
        </w:rPr>
        <w:t>The Amended Plan is administered by the Compensation Committee, as delegated by our Board of Directors. The Compensation Committee is made up entirely of independent directors.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Reasons Why Stockholders Should Approve the Amendment</w:t>
      </w:r>
    </w:p>
    <w:p>
      <w:pPr>
        <w:pStyle w:val="TextBody"/>
        <w:bidi w:val="0"/>
        <w:spacing w:lineRule="auto" w:line="288" w:before="180" w:after="283"/>
        <w:jc w:val="left"/>
        <w:rPr/>
      </w:pPr>
      <w:r>
        <w:rPr>
          <w:rFonts w:ascii="Times New Roman;sans-serif" w:hAnsi="Times New Roman;sans-serif"/>
          <w:b w:val="false"/>
          <w:i/>
          <w:color w:val="000000"/>
          <w:sz w:val="20"/>
        </w:rPr>
        <w:t>Incents, Retains and Motivates Talent.</w:t>
      </w:r>
      <w:r>
        <w:rPr>
          <w:color w:val="000000"/>
        </w:rPr>
        <w:t xml:space="preserve"> </w:t>
      </w:r>
      <w:r>
        <w:rPr>
          <w:rFonts w:ascii="Times New Roman;sans-serif" w:hAnsi="Times New Roman;sans-serif"/>
          <w:b w:val="false"/>
          <w:color w:val="000000"/>
          <w:sz w:val="20"/>
        </w:rPr>
        <w:t>It is critical to our success that we incent, retain and motivate the best talent in what is a tremendously competitive labor market. Our equity-based compensation program has always been and will continue to be a key component in our ability to pay market-competitive compensation to our employees. Equity incentive awards are crucial to our ability to motivate our employees to achieve our goals.</w:t>
      </w:r>
    </w:p>
    <w:p>
      <w:pPr>
        <w:pStyle w:val="TextBody"/>
        <w:bidi w:val="0"/>
        <w:spacing w:lineRule="auto" w:line="288" w:before="180" w:after="283"/>
        <w:jc w:val="left"/>
        <w:rPr/>
      </w:pPr>
      <w:r>
        <w:rPr>
          <w:rFonts w:ascii="Times New Roman;sans-serif" w:hAnsi="Times New Roman;sans-serif"/>
          <w:b w:val="false"/>
          <w:i/>
          <w:color w:val="000000"/>
          <w:sz w:val="20"/>
        </w:rPr>
        <w:t>Aligns with Our Pay-for-Performance Compensation Philosophy</w:t>
      </w:r>
      <w:r>
        <w:rPr>
          <w:rFonts w:ascii="Times New Roman;sans-serif" w:hAnsi="Times New Roman;sans-serif"/>
          <w:b w:val="false"/>
          <w:color w:val="000000"/>
          <w:sz w:val="20"/>
        </w:rPr>
        <w:t>. We believe that equity-based compensation is inherently performance-based. As the value of our stock appreciates, our employees receive greater compensation at the same time that our stockholders are receiving a greater return on their investment. Conversely, if the stock price does not appreciate following the grant of an equity award, then our employees would not receive any compensation in respect of stock options and would receive lower compensation than intended in respect of RSUs.</w:t>
      </w:r>
    </w:p>
    <w:p>
      <w:pPr>
        <w:pStyle w:val="TextBody"/>
        <w:bidi w:val="0"/>
        <w:spacing w:lineRule="auto" w:line="288" w:before="180" w:after="283"/>
        <w:jc w:val="left"/>
        <w:rPr/>
      </w:pPr>
      <w:r>
        <w:rPr>
          <w:rFonts w:ascii="Times New Roman;sans-serif" w:hAnsi="Times New Roman;sans-serif"/>
          <w:b w:val="false"/>
          <w:i/>
          <w:color w:val="000000"/>
          <w:sz w:val="20"/>
        </w:rPr>
        <w:t xml:space="preserve">Aligns Employee and Director Interests with Stockholder Interests. </w:t>
      </w:r>
      <w:r>
        <w:rPr>
          <w:rFonts w:ascii="Times New Roman;sans-serif" w:hAnsi="Times New Roman;sans-serif"/>
          <w:b w:val="false"/>
          <w:color w:val="000000"/>
          <w:sz w:val="20"/>
        </w:rPr>
        <w:t>Providing our employees and non-employee directors with compensation in the form of equity directly aligns the interests of those employees and non-employee directors with the interests of our stockholders. If the Amendment is approved by our stockholders, we will be able to continue granting equity-based incentives that foster this alignment between our employees and non-employee directors and our stockholders.</w:t>
      </w:r>
    </w:p>
    <w:p>
      <w:pPr>
        <w:pStyle w:val="TextBody"/>
        <w:bidi w:val="0"/>
        <w:spacing w:lineRule="auto" w:line="288" w:before="180" w:after="283"/>
        <w:jc w:val="left"/>
        <w:rPr/>
      </w:pPr>
      <w:r>
        <w:rPr>
          <w:rFonts w:ascii="Times New Roman;sans-serif" w:hAnsi="Times New Roman;sans-serif"/>
          <w:b w:val="false"/>
          <w:i/>
          <w:color w:val="000000"/>
          <w:sz w:val="20"/>
        </w:rPr>
        <w:t>Consistent with Stockholder Interests and Sound Corporate Governance</w:t>
      </w:r>
      <w:r>
        <w:rPr>
          <w:rFonts w:ascii="Times New Roman;sans-serif" w:hAnsi="Times New Roman;sans-serif"/>
          <w:b w:val="false"/>
          <w:color w:val="000000"/>
          <w:sz w:val="20"/>
        </w:rPr>
        <w:t xml:space="preserve">. As described under the heading “Highlights of the Amended Plan” and more thoroughly below, the Amended Plan was purposefully designed to include features that are consistent with the interests of our stockholders and sound corporate governance practices.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Information Regarding Overhang and Burn 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developing our share request for the Amendment and analyzing the impact of utilizing equity as a means of compensation on our stockholders, we considered both our “overhang” and our “burn rate.”</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Overhang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Overhang is a measure of potential dilution which we define as the sum of (i) the total number of shares of our Common Stock underlying all outstanding equity awards and (ii) the total number of shares of our Common Stock available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1"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of future equity awards, divided by the number of shares of our Common Stock outstanding. As of March 31, 2025, there were 26,560,685 shares of our Common Stock underlying all outstanding equity awards, 4,399,444 shares of our Common Stock remaining available under the 2023 Plan for future awards, and 261,644,590 shares of our Common Stock outstanding. Accordingly, our overhang at March 31, 2025 was 11.8%. If the 18,900,000 shares of our Common Stock proposed to be authorized for grant under the Amendment are included in the calculation, our overhang on March 31, 2025 would have been 19.1%.</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Importantly, our overhang continues to be low relative to our peer group. As shown in the below graph, as of March 31, 2025, our potential shareholder dilution was 10.2% compared to a 50% percentile of 14.8%, and our overhang (which includes our available share pool) was 11.8% as compared to a 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of 21.6%. If the 18,900,000 shares of our Common Stock proposed to be authorized for grant under the Amendment are included in the calculation, our overhang would have been 19.1% compared to a 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percentile of 21.6%. </w:t>
      </w:r>
    </w:p>
    <w:p>
      <w:pPr>
        <w:pStyle w:val="TextBody"/>
        <w:bidi w:val="0"/>
        <w:spacing w:before="0" w:after="0"/>
        <w:jc w:val="left"/>
        <w:rPr/>
      </w:pPr>
      <w:r>
        <w:rPr/>
      </w:r>
    </w:p>
    <w:p>
      <w:pPr>
        <w:pStyle w:val="TextBody"/>
        <w:bidi w:val="0"/>
        <w:spacing w:before="0" w:after="0"/>
        <w:jc w:val="left"/>
        <w:rPr/>
      </w:pPr>
      <w:r>
        <w:rPr/>
        <w:drawing>
          <wp:inline distT="0" distB="0" distL="0" distR="0">
            <wp:extent cx="6286500" cy="2152650"/>
            <wp:effectExtent l="0" t="0" r="0" b="0"/>
            <wp:docPr id="3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 descr=""/>
                    <pic:cNvPicPr>
                      <a:picLocks noChangeAspect="1" noChangeArrowheads="1"/>
                    </pic:cNvPicPr>
                  </pic:nvPicPr>
                  <pic:blipFill>
                    <a:blip r:embed="rId4"/>
                    <a:stretch>
                      <a:fillRect/>
                    </a:stretch>
                  </pic:blipFill>
                  <pic:spPr bwMode="auto">
                    <a:xfrm>
                      <a:off x="0" y="0"/>
                      <a:ext cx="6286500" cy="2152650"/>
                    </a:xfrm>
                    <a:prstGeom prst="rect">
                      <a:avLst/>
                    </a:prstGeom>
                  </pic:spPr>
                </pic:pic>
              </a:graphicData>
            </a:graphic>
          </wp:inline>
        </w:drawing>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(1)We define “Potential Shareholder Dilution” as the number of equity awards outstanding at the end of the year divided by the shares of our Common Stock outstanding at the end of the fiscal year.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(2)We define “Share Availability” as the number of equity awards available to grant at the end of the year divided by the shares of our Common Stock outstanding at the end of the fiscal year.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(3)We define “Total Overhang” as the sum of (a) the number of equity awards outstanding, and (b) the number of equity awards available to grant, each as of the end of the year, divided by the shares of our Common Stock outstanding at the end of the fiscal year.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Burn 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Burn rate provides a measure of the potential dilutive impact of our equity award program which we calculate by dividing the number of shares of our Common Stock subject to equity awards granted during the year (including Inducement Awards) by the basic weighted average number of shares of our Common Stock outstanding. Set forth below is a table that reflects our burn rate for the 2024, 2023, and 2022 calendar years as well as an average over those years.</w:t>
      </w:r>
    </w:p>
    <w:tbl>
      <w:tblPr>
        <w:tblW w:w="7076" w:type="dxa"/>
        <w:jc w:val="left"/>
        <w:tblInd w:w="0" w:type="dxa"/>
        <w:tblLayout w:type="fixed"/>
        <w:tblCellMar>
          <w:top w:w="28" w:type="dxa"/>
          <w:left w:w="28" w:type="dxa"/>
          <w:bottom w:w="28" w:type="dxa"/>
          <w:right w:w="28" w:type="dxa"/>
        </w:tblCellMar>
      </w:tblPr>
      <w:tblGrid>
        <w:gridCol w:w="631"/>
        <w:gridCol w:w="552"/>
        <w:gridCol w:w="556"/>
        <w:gridCol w:w="514"/>
        <w:gridCol w:w="514"/>
        <w:gridCol w:w="516"/>
        <w:gridCol w:w="729"/>
        <w:gridCol w:w="729"/>
        <w:gridCol w:w="731"/>
        <w:gridCol w:w="469"/>
        <w:gridCol w:w="469"/>
        <w:gridCol w:w="666"/>
      </w:tblGrid>
      <w:tr>
        <w:trPr/>
        <w:tc>
          <w:tcPr>
            <w:tcW w:w="6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Awards Granted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Basic Weighted Average</w:t>
              <w:br/>
              <w:t>Number of Shares of</w:t>
              <w:br/>
              <w:t>Common Stock</w:t>
              <w:br/>
              <w:t>Outstanding (#)</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Gross Burn Rate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Calendar Year</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9,337,450</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210,946,658</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4.43%</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7,647,888</w:t>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187,465,448</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4.08%</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9,925,008</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182,782,680</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5.43%</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Three-Year Average</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8,970,115</w:t>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193,731,595</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4.63%</w:t>
            </w:r>
          </w:p>
        </w:tc>
      </w:tr>
    </w:tbl>
    <w:p>
      <w:pPr>
        <w:pStyle w:val="TextBody"/>
        <w:bidi w:val="0"/>
        <w:spacing w:lineRule="auto" w:line="288" w:before="200" w:after="24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(1)We define “gross burn rate” as the number of equity awards granted during the year divided by the basic weighted average number of shares of our Common Stock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3"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addition, our burn rate was lower than our peer group for fiscal year 2024. The below graph shows that our 2024 equity usage was 4.4%, which was below the 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as compared to our peer group.</w:t>
      </w:r>
    </w:p>
    <w:p>
      <w:pPr>
        <w:pStyle w:val="TextBody"/>
        <w:bidi w:val="0"/>
        <w:spacing w:before="0" w:after="0"/>
        <w:jc w:val="left"/>
        <w:rPr/>
      </w:pPr>
      <w:r>
        <w:rPr/>
      </w:r>
    </w:p>
    <w:p>
      <w:pPr>
        <w:pStyle w:val="TextBody"/>
        <w:bidi w:val="0"/>
        <w:spacing w:before="0" w:after="0"/>
        <w:jc w:val="left"/>
        <w:rPr/>
      </w:pPr>
      <w:r>
        <w:rPr/>
        <w:drawing>
          <wp:inline distT="0" distB="0" distL="0" distR="0">
            <wp:extent cx="6286500" cy="2466975"/>
            <wp:effectExtent l="0" t="0" r="0" b="0"/>
            <wp:docPr id="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 descr=""/>
                    <pic:cNvPicPr>
                      <a:picLocks noChangeAspect="1" noChangeArrowheads="1"/>
                    </pic:cNvPicPr>
                  </pic:nvPicPr>
                  <pic:blipFill>
                    <a:blip r:embed="rId5"/>
                    <a:stretch>
                      <a:fillRect/>
                    </a:stretch>
                  </pic:blipFill>
                  <pic:spPr bwMode="auto">
                    <a:xfrm>
                      <a:off x="0" y="0"/>
                      <a:ext cx="6286500" cy="24669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Finally, in developing the share request for the Amendment, we considered that, as of March 31, 2025, 52% of our outstanding stock options had an exercise price greater than our stock price on March 31, 2025 and therefore had no intrinsic value. Thus, a significant portion of the outstanding equity awards that we have granted are not in fact currently serving to retain employees, exacerbating our equity compensation needs. Considering the current competitive talent market, we need to be able to offer market-competitive equity awards to existing employees through annual equity grants and employee recognition, retention and promotion grants.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the Amended Plan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summary of the Amended Plan. A copy of the Amendment is attached as Appendix A to this Proxy Statement. A copy of the Amended Plan is attached as Appendix B to this Proxy Statement. Please note that the following summary describes the Amended Plan as it is proposed to be amended by the Amendment, as opposed to the 2023 Plan. The Amended Plan is identical to our 2023 Plan other than that the Amended Plan, as it is proposed to be amended by the Amendment, increases the number of shares of our Common Stock available for the grant of awards under the 2023 Plan by 18,900,000 shares, provides that shares used to satisfy an option exercise price or to satisfy withholding applicable to an award will not return to the plan and adds minimum vesting provisions applicable to awards granted under the plan. References to our Board of Directors in this summary shall include the Compensation Committee or any similar committee or sub-committee or the Delegated Persons (as defined below) to the extent that our Board of Directors’ powers or authority under the Amended Plan have been delegated to such committee or Delegated Persons, in accordance with the Amended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proposal and except where the context otherwise requires, the term “Company” and similar terms shall include any of our present or future parent or subsidiary corporations as defined in Sections 424(e) or (f) of the Code and any other business venture (including, without limitation, joint venture or limited liability company) in which we have a controlling interest, as determined by our Board of Directors.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Types of Awards; Shares Available for Awards; Share Counting Rules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Plan provides for the grant of incentive stock options intended to qualify under Section 422 of the Code, nonstatutory stock options, SARs, restricted stock, RSUs, other stock-based awards and cash awards as described below, which we refer to, collectively, as awards or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adjustment in the event of stock splits, stock dividends and other similar events, awards may be made under the Amended Plan (any or all of which awards may be in the form of incentive stock options) for up to a number of shares of our Common Stock as is equal to the sum of: (i) 28,900,000 of our Common Stock; and (ii) such additional number of shares of our Common Stock (up to 24,361,685) as is equal to the sum of (x) the number of shares of our Common Stock reserved for issuance under our 2014 Plan that remained available for grant under the 2014 Plan (including any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35"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that remained available for grant under the 2014 Plan as a result of a plan that was assumed under Section 4(c) of the 2014 Plan) immediately prior to the original effective date, and (y) the number of shares of our Common Stock subject to awards granted under the 2014 Plan (including any shares of our Common Stock granted under the 2014 Plan as a result of a plan that was assumed under Section 4(c) of the 2014 Plan) that were outstanding as of the original effective date and which awards expire, terminate or are otherwise surrendered, cancelled, forfeited or repurchased by us at their original issuance price pursuant to a contractual repurchase right (subject, however, in the case of incentive stock options, to any limitations under the Code).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our Common Stock issued under the Amended Plan may consist in whole or in part of authorized but unissued shares or treasury shares.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Plan provides that the maximum aggregate amount of cash and value of awards (calculated based on grant date fair value for financial reporting purposes) granted to any individual non-employee director in any calendar year may not exceed $750,000 in the case of an incumbent director. However, such maximum aggregate amount shall not exceed $1,000,000 in any calendar year for any individual non-employee director in such non-employee director’s initial year of election or appointment. Moreover, fees paid by us on behalf of any non-employee director in connection with regulatory compliance and any amounts paid to a non-employee director as reimbursement of an expense will not count against this limit. Exceptions to this limitation may only be made by our Board of Directors in extraordinary circumstances, provided that any non-employee director receiving additional compensation does not participate in the decision to award such compensation. This limitation does not apply to cash or awards granted to a non-employee director in his or her capacity as an advisor or consultant to us.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counting the number of shares of our Common Stock available for the grant of awards under the Amended Plan, all shares of our Common Stock covered by SARs shall be counted against the number of shares of our Common Stock available for the grant of awards. However, SARs that may be settled only in cash will not be so counted. Similarly, to the extent that an RSU award may be settled only in cash, no shares of our Common Stock will be counted against the shares of our Common Stock available for the grant of awards under the Amended Plan. In addition, if we grant a SAR in tandem with a stock option for the same number of shares of our Common Stock and provide that only one such award may be exercised, or tandem SAR, only the shares of our Common Stock covered by the stock option, and not the shares of our Common Stock covered by the tandem SAR, will be so counted, and the expiration of one in connection with the other’s exercise will not restore shares of our Common Stock to the Amended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covered by awards under the Amended Plan that expire or are terminated, surrendered, or cancelled without having been fully exercised or are forfeited in whole or in part (including as the result of shares of our Common Stock subject to such award being repurchased by us at the original issuance price pursuant to a contractual repurchase right) or that result in any shares of our Common Stock not being issued (including as a result of an award being settled in cash rather than stock) will again be available for the grant of awards under the Amended Plan (subject, in the case of incentive stock options, to any limitations under the Code). In the case of the exercise of a SAR, the number of shares of our Common Stock counted against the shares of our Common Stock available for the grant of awards under the Amended Plan will be the full number of shares of our Common Stock subject to the SAR multiplied by the percentage of the SAR actually exercised, regardless of the number of shares of our Common Stock actually used to settle the SAR upon exercise, and the shares of our Common Stock covered by a tandem SAR will not again become available for grant upon the expiration or termination of the tandem SAR.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that are delivered (by actual delivery, attestation, or net exercise) to us by a participant to purchase shares of our Common Stock upon exercise of an award or to satisfy tax withholding obligations (including shares of our Common Stock retained from the award creating the tax obligation) will not be added back to the number of shares of our Common Stock available for the future grant of awards under the Amended Plan. Shares of our Common Stock repurchased by us on the open market using proceeds from the exercise of an award will not increase the number of shares of our Common Stock available for future grant of awards under the Amended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a merger or consolidation of an entity with us or our acquisition of property or stock of an entity, our Board of Directors may grant awards under the Amended Plan in substitution for any stock options or other stock or stock-based awards granted by such entity or an affiliate thereof on such terms as our Board of Directors determines appropriate in the circumstances, notwithstanding any limitation on awards contained in the Amended Plan. No such substitute awards shall count against the overall share limit contained in the Amended Plan, except as required by reason of Section 422 and related provisions of the Code.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36"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Descriptions of Awards</w:t>
      </w:r>
    </w:p>
    <w:p>
      <w:pPr>
        <w:pStyle w:val="TextBody"/>
        <w:bidi w:val="0"/>
        <w:spacing w:lineRule="auto" w:line="288" w:before="240" w:after="283"/>
        <w:jc w:val="left"/>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 xml:space="preserve">A participant who is awarded a stock option receives the right to purchase a specified number of shares of our Common Stock at a specified exercise price and subject to the other terms and conditions that are specified in connection with the stock option grant. A stock option that is not intended to be an “incentive stock option” is a “nonstatutory stock option.” Options may not be granted with an exercise price that is less than 100% of the fair market value of our Common Stock on the date of grant. If our Board of Directors approves the grant of a stock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participants who hold more than 10% of the total combined voting power of all classes of our stock or any of our subsidiaries. Under the terms of the Amended Plan, stock options may not be granted for a term in excess of ten years (and, under present law, five years in the case of incentive stock options granted to participants who hold greater than 10% of the total combined voting power of all classes of our stock or any of our subsidiaries).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Plan permits participants to pay the exercise price of stock options using one or more of the following manners of payment: (i) payment by cash or by check, (ii) except as may otherwise be provided in the applicable award agreement or approved by our Board of Directors, in connection with a “cashless exercise” through a broker, (iii) to the extent provided in the applicable award agreement or approved by our Board of Directors, and subject to certain conditions, by delivery to us (either by actual delivery or attestation) of shares of our Common Stock owned by the participant valued at their fair market value, (iv) to the extent provided in an applicable nonstatutory stock option award agreement or approved by our Board of Directors, by delivery of a notice of “net exercise” as a result of which we will retain a number of shares of our Common Stock otherwise issuable pursuant to the stock option equal to the aggregate exercise price for the portion of the stock option being exercised divided by the fair market value of our Common Stock on the date of exercise, (v) to the extent permitted by applicable law and provided for in the applicable award agreement or approved by our Board of Directors, by any other lawful means (but not by a promissory note of the participant), or (vi) by any combination of these forms of payment. No stock option granted under the Amended Plan may contain a provision entitling the participant to the automatic grant of additional stock options in connection with any exercise of the original stock option. No stock options granted under the Amended Plan may provide for the payment or accrual of dividend equivalents.</w:t>
      </w:r>
    </w:p>
    <w:p>
      <w:pPr>
        <w:pStyle w:val="TextBody"/>
        <w:bidi w:val="0"/>
        <w:spacing w:lineRule="auto" w:line="288" w:before="240" w:after="283"/>
        <w:jc w:val="left"/>
        <w:rPr/>
      </w:pPr>
      <w:r>
        <w:rPr>
          <w:rFonts w:ascii="Times New Roman;sans-serif" w:hAnsi="Times New Roman;sans-serif"/>
          <w:b w:val="false"/>
          <w:i/>
          <w:color w:val="000000"/>
          <w:sz w:val="20"/>
        </w:rPr>
        <w:t xml:space="preserve">Stock Appreciation Rights. </w:t>
      </w:r>
      <w:r>
        <w:rPr>
          <w:rFonts w:ascii="Times New Roman;sans-serif" w:hAnsi="Times New Roman;sans-serif"/>
          <w:b w:val="false"/>
          <w:color w:val="000000"/>
          <w:sz w:val="20"/>
        </w:rPr>
        <w:t>A participant who is awarded a SAR receives, upon exercise, a number of shares of our Common Stock, or cash (or a combination of shares of our Common Stock and cash) determined by reference to appreciation, from and after the date of grant, in the fair market value of a share of our Common Stock over the measurement price. The Amended Plan provides that the measurement price of a SAR may not be less than 100% of the fair market value of our Common Stock on the date the SAR is granted (provided, however, that if our Board of Directors approves the grant of a SAR effective as of a future date, the measurement price shall not be less than 100% of the fair market value on such future date) and that SARs may not be granted with a term in excess of 10 years. No SARs granted under the Amended Plan may contain a provision entitling the participant to the automatic grant of additional SARs in connection with any exercise of the original SAR. No SARs granted under the Amended Plan may provide for the payment or accrual of dividend equivalents.</w:t>
      </w:r>
    </w:p>
    <w:p>
      <w:pPr>
        <w:pStyle w:val="TextBody"/>
        <w:bidi w:val="0"/>
        <w:spacing w:lineRule="auto" w:line="288" w:before="240" w:after="283"/>
        <w:jc w:val="left"/>
        <w:rPr/>
      </w:pPr>
      <w:r>
        <w:rPr>
          <w:rFonts w:ascii="Times New Roman;sans-serif" w:hAnsi="Times New Roman;sans-serif"/>
          <w:b w:val="false"/>
          <w:i/>
          <w:color w:val="000000"/>
          <w:sz w:val="20"/>
        </w:rPr>
        <w:t xml:space="preserve">Limitation on Repricing of Options or SARs. </w:t>
      </w:r>
      <w:r>
        <w:rPr>
          <w:rFonts w:ascii="Times New Roman;sans-serif" w:hAnsi="Times New Roman;sans-serif"/>
          <w:b w:val="false"/>
          <w:color w:val="000000"/>
          <w:sz w:val="20"/>
        </w:rPr>
        <w:t>With respect to stock options and SARs, unless such action is approved by our stockholders or otherwise permitted under the terms of the Amended Plan in connection with certain changes in capitalization and reorganization events, we may not (i) amend any outstanding stock option or SAR granted under the Amended Plan to provide an exercise price or measurement price per share that is lower than the then-current exercise price or measurement price per share of such outstanding stock option or SAR, (ii) cancel any outstanding stock option or SAR (whether or not granted under the Amended Plan) and grant in substitution therefor new awards under the Amended Plan (other than certain substitute awards issued in connection with a merger or consolidation of an entity with us or an acquisition by us, described above) covering the same or a different number of shares of our Common Stock and having an exercise price or measurement price per share lower than the then-current exercise price or measurement price per share of the cancelled stock option or SAR, (iii) cancel in exchange for a cash payment any outstanding stock option or SAR with an exercise price or measurement price per share above the then-current fair market value of our Common Stock, or (iv) take any other action under the Amended Plan that constitutes a “repricing” within the meaning of the rules of the Nasdaq Stock Market or any other exchange or marketplace on which our stock is listed or traded.</w:t>
      </w:r>
    </w:p>
    <w:p>
      <w:pPr>
        <w:pStyle w:val="TextBody"/>
        <w:bidi w:val="0"/>
        <w:spacing w:lineRule="auto" w:line="288" w:before="240" w:after="283"/>
        <w:jc w:val="left"/>
        <w:rPr/>
      </w:pPr>
      <w:r>
        <w:rPr>
          <w:rFonts w:ascii="Times New Roman;sans-serif" w:hAnsi="Times New Roman;sans-serif"/>
          <w:b w:val="false"/>
          <w:i/>
          <w:color w:val="000000"/>
          <w:sz w:val="20"/>
        </w:rPr>
        <w:t xml:space="preserve">Restricted Stock Awards. </w:t>
      </w:r>
      <w:r>
        <w:rPr>
          <w:rFonts w:ascii="Times New Roman;sans-serif" w:hAnsi="Times New Roman;sans-serif"/>
          <w:b w:val="false"/>
          <w:color w:val="000000"/>
          <w:sz w:val="20"/>
        </w:rPr>
        <w:t xml:space="preserve">A participant who is granted a restricted stock award is entitled to acquire shares of our Common Stock, subject to our right to repurchase all or part of such shares at their issue price or other stated or formula price (or to require forfeiture of such shares if issued at no cost) in the event that the conditions specified in the applicable award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37"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satisfied prior to the end of the applicable restriction period established for such award. Any dividends (whether paid in cash, stock or property) declared and paid by us with respect to shares of restricted stock will be paid to the participant only if and when such shares become free from the restrictions on transferability and forfeitability that apply to such shares. No interest will be paid on unvested dividends. </w:t>
      </w:r>
    </w:p>
    <w:p>
      <w:pPr>
        <w:pStyle w:val="TextBody"/>
        <w:bidi w:val="0"/>
        <w:spacing w:lineRule="auto" w:line="288" w:before="240" w:after="283"/>
        <w:jc w:val="left"/>
        <w:rPr/>
      </w:pPr>
      <w:r>
        <w:rPr>
          <w:rFonts w:ascii="Times New Roman;sans-serif" w:hAnsi="Times New Roman;sans-serif"/>
          <w:b w:val="false"/>
          <w:i/>
          <w:color w:val="000000"/>
          <w:sz w:val="20"/>
        </w:rPr>
        <w:t>Restricted Stock Unit Awards.</w:t>
      </w:r>
      <w:r>
        <w:rPr>
          <w:color w:val="000000"/>
        </w:rPr>
        <w:t xml:space="preserve"> </w:t>
      </w:r>
      <w:r>
        <w:rPr>
          <w:rFonts w:ascii="Times New Roman;sans-serif" w:hAnsi="Times New Roman;sans-serif"/>
          <w:b w:val="false"/>
          <w:color w:val="000000"/>
          <w:sz w:val="20"/>
        </w:rPr>
        <w:t xml:space="preserve">A participant who is granted an RSU award is entitled to receive shares of our Common Stock, or cash equal to the fair market value of such shares or a combination thereof, in the event that the conditions specified in the applicable award are satisfied, with such shares or cash to be delivered at the time such award vests or on a deferred basis pursuant to the terms and conditions established by our Board of Directors. Our Board of Directors may provide that settlement of RSUs will be deferred, on a mandatory basis or at the election of the participant, in a manner that complies with Section 409A of the Code. A participant has no voting rights with respect to any RSU. An RSU award agreement may provide the applicable participant with the right to receive an amount equal to any dividends or other distributions declared and paid on an equal number of outstanding shares of our Common Stock. Any such dividend equivalents may be settled in cash and/or shares of our Common Stock, which dividend equivalents will be subject to the same restrictions on transfer and forfeitability as the RSUs with respect to which such dividend equivalents are awarded. No interest will be paid on dividend equivalents. </w:t>
      </w:r>
    </w:p>
    <w:p>
      <w:pPr>
        <w:pStyle w:val="TextBody"/>
        <w:bidi w:val="0"/>
        <w:spacing w:lineRule="auto" w:line="288" w:before="240" w:after="283"/>
        <w:jc w:val="left"/>
        <w:rPr/>
      </w:pPr>
      <w:r>
        <w:rPr>
          <w:rFonts w:ascii="Times New Roman;sans-serif" w:hAnsi="Times New Roman;sans-serif"/>
          <w:b w:val="false"/>
          <w:i/>
          <w:color w:val="000000"/>
          <w:sz w:val="20"/>
        </w:rPr>
        <w:t>Other Stock-Based Awards.</w:t>
      </w:r>
      <w:r>
        <w:rPr>
          <w:color w:val="000000"/>
        </w:rPr>
        <w:t xml:space="preserve"> </w:t>
      </w:r>
      <w:r>
        <w:rPr>
          <w:rFonts w:ascii="Times New Roman;sans-serif" w:hAnsi="Times New Roman;sans-serif"/>
          <w:b w:val="false"/>
          <w:color w:val="000000"/>
          <w:sz w:val="20"/>
        </w:rPr>
        <w:t xml:space="preserve">Under the Amended Plan, our Board of Directors may grant other awards of shares of our Common Stock, and other awards that are valued in whole or in part by reference to, or are otherwise based on, shares of our Common Stock or other property, having such terms and conditions as our Board of Directors may determine. We refer to these types of awards as other stock-based awards. Other stock-based awards may be available as a form of payment in settlement of other awards granted under the Amended Plan or as payment in lieu of compensation to which a participant is otherwise entitled. Other stock-based awards may be paid in shares of our Common Stock or in cash, as our Board of Directors may determine. The award agreement of an other stock-based award may provide the participant who receives that award of an other stock-based award with the right to receive dividend equivalents. Dividend equivalents may be settled in cash and/or shares of our Common Stock, which dividend equivalents will be subject to the same restrictions on transfer and forfeitability as the other stock-based award with respect to which they are awarded. No interest will be paid on dividend equivalents. </w:t>
      </w:r>
    </w:p>
    <w:p>
      <w:pPr>
        <w:pStyle w:val="TextBody"/>
        <w:bidi w:val="0"/>
        <w:spacing w:lineRule="auto" w:line="288" w:before="240" w:after="283"/>
        <w:jc w:val="left"/>
        <w:rPr/>
      </w:pPr>
      <w:r>
        <w:rPr>
          <w:rFonts w:ascii="Times New Roman;sans-serif" w:hAnsi="Times New Roman;sans-serif"/>
          <w:b w:val="false"/>
          <w:i/>
          <w:color w:val="000000"/>
          <w:sz w:val="20"/>
        </w:rPr>
        <w:t>Cash Awards.</w:t>
      </w:r>
      <w:r>
        <w:rPr>
          <w:color w:val="000000"/>
        </w:rPr>
        <w:t xml:space="preserve"> </w:t>
      </w:r>
      <w:r>
        <w:rPr>
          <w:rFonts w:ascii="Times New Roman;sans-serif" w:hAnsi="Times New Roman;sans-serif"/>
          <w:b w:val="false"/>
          <w:color w:val="000000"/>
          <w:sz w:val="20"/>
        </w:rPr>
        <w:t>Under the Amended Plan, our Board of Directors has the right to grant cash-based awards including awards subject to performance conditions.</w:t>
      </w:r>
    </w:p>
    <w:p>
      <w:pPr>
        <w:pStyle w:val="TextBody"/>
        <w:bidi w:val="0"/>
        <w:spacing w:lineRule="auto" w:line="288" w:before="240" w:after="283"/>
        <w:jc w:val="left"/>
        <w:rPr/>
      </w:pPr>
      <w:r>
        <w:rPr>
          <w:rFonts w:ascii="Times New Roman;sans-serif" w:hAnsi="Times New Roman;sans-serif"/>
          <w:b w:val="false"/>
          <w:i/>
          <w:color w:val="000000"/>
          <w:sz w:val="20"/>
        </w:rPr>
        <w:t xml:space="preserve">Performance Conditions. </w:t>
      </w:r>
      <w:r>
        <w:rPr>
          <w:rFonts w:ascii="Times New Roman;sans-serif" w:hAnsi="Times New Roman;sans-serif"/>
          <w:b w:val="false"/>
          <w:color w:val="000000"/>
          <w:sz w:val="20"/>
        </w:rPr>
        <w:t xml:space="preserve">Awards under the Amended Plan may be made subject to the achievement of performance goals. Our Board of Directors may specify that the degree of granting, vesting, and/or payout of any award subject to performance-based vesting conditions will be subject to the achievement of one or more of the following performance measures established by our Board of Directors, which may be based on the relative or absolute attainment of specified levels of one or any combination of the following measures (and which may be determined pursuant to generally accepted accounting principles, or GAAP, or on a non-GAAP basis, as determined by our Board of Directors): (i) the entry into an arrangement or agreement with a third party for the development, commercialization, marketing or distribution of products, services or technologies, or for conducting a research program to discover and develop a product, service or technology, and/or the achievement of milestones under such arrangement or agreement, including events that trigger an obligation or payment right; (ii) achievement of domestic and international regulatory milestones, including the submission of filings required to advance products, services and technologies in clinical development and the achievement of approvals by regulatory authorities relating to the commercialization of products, services and technologies; (iii) the achievement of discovery, preclinical and clinical stage scientific objectives, discoveries or inventions for products, services and technologies under research and development; (iv) the entry into or completion of phase 1, 2 and/or 3 clinical trials; (v) the consummation of debt or equity financing transactions, or acquisitions of business, technologies and assets; (vi) new product or service releases; (vii) the achievement of qualitative or quantitative performance measures set forth in operating plans approved by our Board of Directors from time to time; (viii)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(ix) improvement of financial ratings; (x) achievement of balance sheet or income statement objectives; (xi) total stockholder return; and/ or (xii) any other metric determined by our Board of Directors.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Our Board of Directors may specify that such performance measures will be adjusted to exclude any one or more of: (a) extraordinary items; (b) gains or losses on the dispositions of discontinued operations; (c) the cumulative effects of changes in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38"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principles; (d) the write-down of any asset; (e) fluctuation in foreign currency exchange rates; (f) charges for restructuring and rationalization programs; (g) non-cash, mark-to-market adjustments on derivative instruments; (h) amortization of purchased intangibles; (i) the net impact of tax rate changes; (j) non-cash asset impairment charges; (k) gains on extinguishment of the tax receivable agreement; and (l) any other factors as our Board of Directors may determine. Such performance measures: (A) may vary by participant and may be different for different awards; (B) may be particular to a participant or the department, branch, line of business, subsidiary or other unit in which the participant works; and (C) may cover such period as may be specified by our Board of Directors. Our Board of Directors will have the authority to make equitable adjustments to the performance goals in recognition of unusual or non-recurring events affecting us or our financial statements,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Our Board of Directors may adjust the number of shares of our Common Stock payable pursuant to a performance award, and our Board of Directors may, at any time, waive the achievement of the applicable performance measures. Notwithstanding its designation as a performance award, no stock option or SAR will provide for the payment or accrual of dividend equivalents, any dividends declared and paid by us with respect to shares of restricted stock will be subject to the same dividend rules for restricted stock awards not designated as a performance award and any right to receive dividend equivalents on an award of RSUs and other stock-based awards will be subject to the same dividend equivalent rules for such awards that are not designated as a performance award.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Eligibility to Receive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our employees, officers, and directors, as well as our consultants and advisors, are eligible to receive awards under the Amended Plan. However, incentive stock options may only be granted to our employees, employees of our present or future parent or subsidiary corporations as defined in Sections 424(e) or (f) of the Code, and employees of any other entities the employees of which are eligible to receive incentive stock options under the Code.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approximately 307 persons were eligible to receive awards under the Amended Plan, including four executive officers (who are current employees), 182 employees (excluding executive officers), seven non-employee directors, 100 consultants and 14 advisors (excluding consultants).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2025, the last reported sale price of our Common Stock on the Nasdaq Capital Market was $1.92.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Transferability of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and incentive stock options, our Board of Directors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such permitted transfer until such time as the permitted transferee has,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 Rights as a Stockholder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participant or designated beneficiary shall have any rights as a stockholder with respect to any shares of our Common Stock to be distributed with respect to an award granted under the Amended Plan until becoming a record holder of such shares, subject to the terms of an award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39"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Clawback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accepting an award under the Amended Plan, a participant agrees to be bound by any clawback policy that we have in effect or may adopt in the future, including, for executive officers, the Compensation Recovery Policy we adopted in November 2023. For a description of such policy, see "</w:t>
      </w:r>
      <w:r>
        <w:rPr>
          <w:rFonts w:ascii="Times New Roman;sans-serif" w:hAnsi="Times New Roman;sans-serif"/>
          <w:b w:val="false"/>
          <w:i/>
          <w:color w:val="000000"/>
          <w:sz w:val="20"/>
        </w:rPr>
        <w:t>Executive Compensation—Clawback Policy</w:t>
      </w:r>
      <w:r>
        <w:rPr>
          <w:rFonts w:ascii="Times New Roman;sans-serif" w:hAnsi="Times New Roman;sans-serif"/>
          <w:b w:val="false"/>
          <w:color w:val="000000"/>
          <w:sz w:val="20"/>
        </w:rPr>
        <w:t>"</w:t>
      </w:r>
      <w:r>
        <w:rPr>
          <w:rFonts w:ascii="Times New Roman;sans-serif" w:hAnsi="Times New Roman;sans-serif"/>
          <w:b w:val="false"/>
          <w:color w:val="008080"/>
          <w:sz w:val="20"/>
        </w:rPr>
        <w:t>.</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Awards Granted under the 2023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about equity-based awards granted under the 2023 Plan since adoption of the 2023 Plan through March 31, 2025, to the individuals and groups described in the below table.</w:t>
      </w:r>
    </w:p>
    <w:tbl>
      <w:tblPr>
        <w:tblW w:w="10205" w:type="dxa"/>
        <w:jc w:val="center"/>
        <w:tblInd w:w="0" w:type="dxa"/>
        <w:tblLayout w:type="fixed"/>
        <w:tblCellMar>
          <w:top w:w="28" w:type="dxa"/>
          <w:left w:w="28" w:type="dxa"/>
          <w:bottom w:w="28" w:type="dxa"/>
          <w:right w:w="28" w:type="dxa"/>
        </w:tblCellMar>
      </w:tblPr>
      <w:tblGrid>
        <w:gridCol w:w="2191"/>
        <w:gridCol w:w="1833"/>
        <w:gridCol w:w="1840"/>
        <w:gridCol w:w="476"/>
        <w:gridCol w:w="476"/>
        <w:gridCol w:w="478"/>
        <w:gridCol w:w="476"/>
        <w:gridCol w:w="476"/>
        <w:gridCol w:w="478"/>
        <w:gridCol w:w="431"/>
        <w:gridCol w:w="431"/>
        <w:gridCol w:w="619"/>
      </w:tblGrid>
      <w:tr>
        <w:trPr/>
        <w:tc>
          <w:tcPr>
            <w:tcW w:w="219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br/>
              <w:t>of Common Stock</w:t>
              <w:br/>
              <w:t>Underlying Stock</w:t>
              <w:br/>
              <w:t>Options</w:t>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br/>
              <w:t>of Common Stock</w:t>
              <w:br/>
              <w:t>Underlying RSUs</w:t>
            </w:r>
          </w:p>
        </w:tc>
        <w:tc>
          <w:tcPr>
            <w:tcW w:w="14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Common Stock</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Underlying PSUs</w:t>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Name and Position</w:t>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 President and Chief Executive Officer</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1,956,600</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1,304,500</w:t>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350,500</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Erik J. Ostrowski, Senior Vice President, Chief Financial Officer, Chief Business Officer and Treasurer</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792,300</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544,900</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E. Snow, Former Senior Vice President, Chief Financial Officer and Treasurer</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784,000</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519,300</w:t>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K. Burke, M.D., Senior Vice President, Chief Medical Officer</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595,600</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397,100</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Nicholas P. Grund, Senior Vice President, Chief Commercial Officer</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747,250</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498,200</w:t>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Michel Dahan, Former Senior Vice President, Chief Operating Officer</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224,000</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149,300</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executive officers as a group</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4,091,750</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2,744,700</w:t>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directors who are not executive officers as a group</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630,000</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420,000</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nominee for election as a director</w:t>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1,956,600</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1,304,500</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350,500</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Myles Wolf, M.D., M.M.Sc.</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60,000</w:t>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associate of any such directors, executive officers or nominees</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other person who received or is to receive 5% or more of such stock options, warrants or rights</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employees, including all current officers who are not executive officers, as a group</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4,501,988</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4,537,200</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New Plan Benefits Table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granting of awards under the Amended Plan is discretionary, and we cannot now determine the number or type of awards to be granted in the future to any particular person or group, other than as set forth below. We are obligated to grant each non-employee director a stock option to purchase 214,400 shares of our Common Stock (subject to adjustment as provided in the Amended Plan) upon initial election or appointment. On the date of each annual meeting, including the Annual Meeting, we are obligated to grant each non-employee director who has served on our Board of Directors for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0"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least six months a stock option to purchase 53,600 shares of our Common Stock (subject to adjustment as provided in the Amended Plan) and 35,700 RSUs of the Company under the terms of our Current Director Compensation Program.</w:t>
      </w:r>
    </w:p>
    <w:tbl>
      <w:tblPr>
        <w:tblW w:w="10205" w:type="dxa"/>
        <w:jc w:val="center"/>
        <w:tblInd w:w="0" w:type="dxa"/>
        <w:tblLayout w:type="fixed"/>
        <w:tblCellMar>
          <w:top w:w="28" w:type="dxa"/>
          <w:left w:w="28" w:type="dxa"/>
          <w:bottom w:w="28" w:type="dxa"/>
          <w:right w:w="28" w:type="dxa"/>
        </w:tblCellMar>
      </w:tblPr>
      <w:tblGrid>
        <w:gridCol w:w="2306"/>
        <w:gridCol w:w="1984"/>
        <w:gridCol w:w="1990"/>
        <w:gridCol w:w="220"/>
        <w:gridCol w:w="220"/>
        <w:gridCol w:w="221"/>
        <w:gridCol w:w="120"/>
        <w:gridCol w:w="120"/>
        <w:gridCol w:w="120"/>
        <w:gridCol w:w="355"/>
        <w:gridCol w:w="355"/>
        <w:gridCol w:w="356"/>
        <w:gridCol w:w="120"/>
        <w:gridCol w:w="120"/>
        <w:gridCol w:w="120"/>
        <w:gridCol w:w="355"/>
        <w:gridCol w:w="355"/>
        <w:gridCol w:w="356"/>
        <w:gridCol w:w="119"/>
        <w:gridCol w:w="119"/>
        <w:gridCol w:w="174"/>
      </w:tblGrid>
      <w:tr>
        <w:trPr/>
        <w:tc>
          <w:tcPr>
            <w:tcW w:w="2306"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Dollar</w:t>
              <w:br/>
              <w:t>Value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Number of</w:t>
              <w:br/>
              <w:t>Shares of</w:t>
              <w:br/>
              <w:t>Common</w:t>
              <w:br/>
              <w:t>Stock</w:t>
              <w:br/>
              <w:t>Underlying</w:t>
              <w:br/>
              <w:t>Option</w:t>
              <w:br/>
              <w:t>Awards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Number of</w:t>
              <w:br/>
              <w:t>Shares of</w:t>
              <w:br/>
              <w:t>Common</w:t>
              <w:br/>
              <w:t>Stock</w:t>
              <w:br/>
              <w:t>Underlying</w:t>
              <w:br/>
              <w:t>RSU</w:t>
              <w:br/>
              <w:t>Awards</w:t>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and Position</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 President and Chief Executive Officer</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70"/>
              <w:jc w:val="left"/>
              <w:rPr>
                <w:color w:val="000000"/>
              </w:rPr>
            </w:pPr>
            <w:r>
              <w:rPr>
                <w:color w:val="000000"/>
              </w:rPr>
              <w:t> </w:t>
            </w:r>
          </w:p>
        </w:tc>
      </w:tr>
      <w:tr>
        <w:trPr/>
        <w:tc>
          <w:tcPr>
            <w:tcW w:w="6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Erik J. Ostrowski, Senior Vice President, Chief Financial Officer, Chief Business Officer and Treasurer</w:t>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Ellen E. Snow, Former Senior Vice President, Chief Financial Officer and Treasurer </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2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Steven K. Burke, M.D., Senior Vice President, Chief Medical Officer</w:t>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Nicholas P. Grund, Senior Vice President, Chief Commercial Officer</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Michel Dahan, Former Senior Vice President, Chief Operating Officer</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executive officers as a group</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directors who are not executive officers as a group</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375,200</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249,900</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All employees, including all current officers who are not executive officers, as a group</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before="0" w:after="0"/>
        <w:jc w:val="center"/>
        <w:rPr/>
      </w:pPr>
      <w:r>
        <w:rPr/>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dollar value of annual equity awards to be granted in 2025 to each non-employee director (as more fully described in footnote (2) below) is not determinable at this time as such awards will be determined based on the closing price of our Common Stock on the Nasdaq Capital Market on the date of grant. </w:t>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(2)Under our Current Director Compensation Program, each of our non-employee directors who has served on our Board of Directors for at least six months and is serving as member of our Board of Directors on the date of our Annual Meeting will be eligible to receive a stock option to purchase 53,600 shares of our Common Stock (subject to adjustment as provided in the Amended Plan) and 35,700 RSUs of the Company. Excludes (i) equity awards that the non-employee directors will be entitled to receive under our Current Director Compensation Program for years following 2025, and (ii) any discretionary equity awards that any non-employee director may be awarded under the Amended Plan.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our stockholders do not approve the adoption of the Amendment, we will grant the stock options and RSUs under the Director Compensation Program to the non-employee directors under the 2023 Plan.</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Administration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Plan will be administered by our Board of Directors. Our Board of Directors has the authority to grant awards and to adopt, amend and repeal the administrative rules, guidelines and practices relating to the Amended Plan that it deems advisable and to construe and interpret the provisions of the Amended Plan and any award agreements entered into under the Amended Plan. Our Board of Directors may correct any defect, supply any omission or reconcile any inconsistency in the Amended Plan or any award. All actions and decisions by our Board of Directors with respect to the Amended Plan and any awards made under the Amended Plan will be made in our Board of Directors’ discretion and will be final and binding on all persons having or claiming any interest in the Amended Plan or in any award.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Amended Plan, our Board of Directors may delegate any or all of its powers under the Amended Plan to one or more committees or subcommittees of our Board of Directors. Our Board of Directors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1"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the Compensation Committee to administer certain aspects of the Amended Plan. Awards granted to non-employee directors must be granted and administered by a committee of our Board of Directors, all of the members of which are independent directors as defined by Section 5605(a)(2) of the rules of the Nasdaq Stock Market.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any requirements of applicable law, our Board of Directors may, by resolution, delegate to one or more persons (including officers) or bodies (we refer to such persons or bodies, as the Delegated Persons) the power to grant awards (subject to any limitations under the Amended Plan) to our eligible service providers and to exercise such other powers under the Amended Plan as our Board of Directors may determine, provided that our Board of Directors shall fix (i) the maximum number of awards, and the maximum number of shares of our Common Stock issuable upon exercise thereof, that may be issued by such Delegated Persons, (ii) the time period during which such awards, and during which the shares of our Common Stock issuable upon exercise thereof, may be issued, and (iii) the minimum amount of consideration (if any) for which such awards may be issued, and a minimum amount of consideration for the shares of our Common Stock issuable upon exercise thereof; and provided further that (I) no Delegated Person shall be authorized to grant awards to itself, and (II) no Delegated Person shall be authorized to grant awards to any “executive officer” (as defined by Rule 3b-7 under the Securities Exchange Act of 1934, as amended, referred to as the Exchange Act), or to any “officer” (as defined by Rule 16a-1(f) under the Exchange Act).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applicable limitations contained in the Amended Plan, our Board of Directors, the Compensation Committee, or any other committee or subcommittee or Delegated Person to whom our Board of Directors has delegated authority pursuant to the Amended Plan, as the case may be, selects the recipients of awards and determines (i) the number of shares of our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otherwise provided in the Amended Plan, each award under the Amended Plan may be made alone or in addition or in relation to any other award. The terms of each award need not be identical, and our Board of Directors need not treat participants uniformly. Our Board of Directors will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at any time provide that any award shall become immediately exercisable in whole or in part, free from some or all restrictions or conditions or otherwise realizable in whole or in part, as the case may be. Subject to the preceding sentence, no award under the Amended Plan shall vest earlier than the first anniversary of its date of grant, unless such award is granted in lieu of salary, bonus or other compensation otherwise earned by or payable to the participant; provided, that, such limitation will not apply to awards granted, in the aggregate, for up to 5% of the maximum number of authorized shares under the Amended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of Directors, to (i) the number and class of securities available under the Amended Plan, (ii) the share counting rules set forth in the Amended Plan, (iii) the number and class of securities and exercise price per share of each outstanding stock option, (iv) the share- and per-share provisions and the measurement price of each outstanding SAR, (v) the number of shares of our Common Stock subject to and the repurchase price per share subject to each outstanding award of restricted stock, and (vi) the share and per-share-related provisions and the purchase price, if any, of each outstanding RSU award and each outstanding other stock-based award. In the event we effect a split of our Common Stock by means of a stock dividend and the exercise price of and number of shares of our Common Stock subject to an outstanding stock option are adjusted as of the date of the distribution of the dividend (rather than as of the record date for such dividend), then a participant who exercises a stock option between the record date and the distribution date for such stock dividend shall be entitled to receive, on the distribution date, the stock dividend with respect to the shares of our Common Stock acquired upon such stock option exercise, notwithstanding the fact that such shares were not outstanding as of the close of business on the record date for such stock dividend.</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will indemnify and hold harmless each director, officer, employee or agent to whom any duty or power relating to the administration or interpretation of the Amended Plan has been or will be delegated against any cost or expense (including attorneys’ fees) or liability (including any sum paid in settlement of a claim with our Board of Directors’ approval) arising out of any act or omission to act concerning the Amended Plan unless arising out of such person’s own fraud or bad faith.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2"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i/>
          <w:color w:val="000000"/>
          <w:sz w:val="20"/>
        </w:rPr>
        <w:t>Amendment of Awards</w:t>
      </w:r>
      <w:r>
        <w:rPr>
          <w:rFonts w:ascii="Times New Roman;sans-serif" w:hAnsi="Times New Roman;sans-serif"/>
          <w:b w:val="false"/>
          <w:color w:val="000000"/>
          <w:sz w:val="20"/>
        </w:rPr>
        <w:t>. Except as otherwise provided under the Amended Plan with respect to repricing outstanding stock options or SARs and with respect to actions requiring stockholder approval, our Board of Directors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of Directors determines that the action, taking into account any related action, does not materially and adversely affect the participant’s rights under the Amended Plan or the change is otherwise permitted under the terms of the Amended Plan in connection with certain corporate events.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Reorganization Events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Plan contains provisions addressing the consequences of any reorganization event. A reorganization event is defined under the Amended Plan as (i) any merger or consolidation of us with or into another entity as a result of which all of our Common Stock is converted into or exchanged for the right to receive cash, securities or other property, or is cancelled, (ii) any transfer or disposition of all of our Common Stock for cash, securities or other property pursuant to a share exchange or other transaction or (iii) our liquidation or dissolution. </w:t>
      </w:r>
    </w:p>
    <w:p>
      <w:pPr>
        <w:pStyle w:val="TextBody"/>
        <w:bidi w:val="0"/>
        <w:spacing w:lineRule="auto" w:line="288" w:before="0" w:after="240"/>
        <w:jc w:val="left"/>
        <w:rPr/>
      </w:pPr>
      <w:r>
        <w:rPr>
          <w:rFonts w:ascii="Times New Roman;sans-serif" w:hAnsi="Times New Roman;sans-serif"/>
          <w:b w:val="false"/>
          <w:i/>
          <w:color w:val="000000"/>
          <w:sz w:val="20"/>
        </w:rPr>
        <w:t>Provisions Applicable to Awards Other than Restricted Stock.</w:t>
      </w:r>
      <w:r>
        <w:rPr>
          <w:color w:val="000000"/>
        </w:rPr>
        <w:t xml:space="preserve"> </w:t>
      </w:r>
      <w:r>
        <w:rPr>
          <w:rFonts w:ascii="Times New Roman;sans-serif" w:hAnsi="Times New Roman;sans-serif"/>
          <w:b w:val="false"/>
          <w:color w:val="000000"/>
          <w:sz w:val="20"/>
        </w:rPr>
        <w:t>Under the Amended Plan, if a reorganization event occurs, our Board of Directors may take any one or more of the following actions as to all or any (or any portion of) outstanding awards other than restricted stock on such terms as our Board of Directors determines (except to the extent specifically provided otherwise in an applicable award agreement or another agreement between a participant and us):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before the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our Common Stock will receive upon consummation thereof a cash payment for each share surrendered in the reorganization event, which we refer to as the Acquisition Price, make or provide for a cash payment to participants with respect to each award held by a participant equal to (I) the number of shares of our Common Stock subject to the vested portion of the award (after giving effect to any acceleration of vesting that occurs upon or immediately prior to such reorganization event) multiplied by (II) the excess, if any, of (A) the Acquisition Price over (B) the exercise, measurement or purchase price of such award and any applicable tax withholdings, in exchange for the termination of such award, provided, that if the Acquisition Price per share (as determined by our Board of Directors) does not exceed the exercise price of the award, then the award will be cancelled without any payment of consideration, (v) provide that, in connection with our liquidation or dissolution, awards shall convert into the right to receive liquidation proceeds (if applicable, net of the exercise, measurement or purchase price thereof and any applicable tax withholdings) and (vi) any combination of the foregoing. Our Board of Directors is not obligated to treat all awards, all awards held by a participant, or all awards of the same type, identically. Certain RSU awards that are subject to Section 409A of the Code will be settled in accordance with the terms of the applicable award agreement or as otherwise specified in the Amended Plan. Our Board of Directors, with reasonable notice to participants holding stock options or SARs, may impose a limitation on the ability of these participants to exercise their awards for the minimum number of days prior to the closing of the reorganization event as is reasonably necessary to facilitate the orderly closing of the reorganization event.</w:t>
      </w:r>
    </w:p>
    <w:p>
      <w:pPr>
        <w:pStyle w:val="TextBody"/>
        <w:bidi w:val="0"/>
        <w:spacing w:lineRule="auto" w:line="288" w:before="0" w:after="240"/>
        <w:jc w:val="left"/>
        <w:rPr/>
      </w:pPr>
      <w:r>
        <w:rPr>
          <w:rFonts w:ascii="Times New Roman;sans-serif" w:hAnsi="Times New Roman;sans-serif"/>
          <w:b w:val="false"/>
          <w:i/>
          <w:color w:val="000000"/>
          <w:sz w:val="20"/>
        </w:rPr>
        <w:t>Provisions Applicable to Restricted Stock</w:t>
      </w:r>
      <w:r>
        <w:rPr>
          <w:rFonts w:ascii="Times New Roman;sans-serif" w:hAnsi="Times New Roman;sans-serif"/>
          <w:b w:val="false"/>
          <w:color w:val="000000"/>
          <w:sz w:val="20"/>
        </w:rPr>
        <w:t>. Upon the occurrence of a reorganization event other than our liquidation or dissolution, our repurchase and other rights with respect to outstanding restricted stock will inure to the benefit of our successor and will, unless our Board of Directors determines otherwise, apply to the cash, securities or other property which our Common Stock was converted into or exchanged for pursuant to such reorganization event in the same manner and to the same extent as they applied to such restricted stock. However, our Board of Directors may either provide for termination or deemed satisfaction of such repurchase or other rights under the instrument evidencing any restricted stock or any other agreement between a participant and us, either initially or by amendment or provide for forfeiture of such restricted stock if issued at no cost. Upon the occurrence of a reorganization event involving our liquidation or dissolution, except to the extent specifically provided to the contrary in the instrument evidencing any award of restricted stock or any other agreement between the participant and us, all restrictions and conditions on all restricted stock then outstanding shall automatically be deemed terminated or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3"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Provisions for Foreign Participants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establish one or more sub-plans under the Amended Plan to satisfy applicable securities, tax or other laws of various jurisdictions. Our Board of Directors will establish such sub-plans by adopting supplements to the Amended Plan containing any limitations on our Board of Directors’ discretion under the Amended Plan and any additional terms and conditions not otherwise inconsistent with the Amended Plan as our Board of Directors deems necessary or desirable. All supplements adopted by our Board of Directors will be deemed to be part of the Amended Plan, but each supplement will only apply to participants within the affected jurisdiction.</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Withholding </w:t>
      </w:r>
    </w:p>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participant must satisfy all applicable federal, state, and local or other income and employment tax withholding obligations before we will deliver stock certificates or otherwise recognize ownership of our Common Stock under an award. We may elect to satisfy the withholding obligations through additional withholding on salary or wages. If we elect not to or cannot withhold from other compensation, the participant must pay us the full amount, if any, required for withholding or have a broker tender to us cash equal to the withholding obligations. Payment of withholding obligations is due before we will issue any shares of our Common Stock on exercise, vesting or release from forfeiture of an award or at the same time as payment of the exercise or purchase price, unless we determine otherwise. If provided for in an award or approved by our Board of Directors, a participant may satisfy the tax obligations in whole or in part by delivery (either by actual delivery or attestation) of shares of our Common Stock, including shares of our Common Stock retained from the award creating the tax obligation, valued at their fair market value. However, except as otherwise provided by our Board of Directors, the total tax withholding where stock is being used to satisfy such tax obligations cannot exceed our minimum statutory withholding obligations (based on minimum statutory withholding rates for federal and state tax purposes, including payroll taxes, that are applicable to such supplemental taxable income), except that, to the extent that we are able to retain shares of our Common Stock having a fair market value that exceeds the statutory minimum applicable withholding tax without financial accounting implications or we are withholding in a jurisdiction that does not have a statutory minimum withholding tax, we may retain such number of shares (up to the number of shares of our Common Stock having a fair market value equal to the maximum individual statutory rate of tax) as we shall determine to be necessary to satisfy the tax liability associated with any award. Shares of our Common Stock used to satisfy tax withholding requirements cannot be subject to any repurchase, forfeiture, unfulfilled vesting or other similar requirements. </w:t>
      </w:r>
    </w:p>
    <w:p>
      <w:pPr>
        <w:pStyle w:val="TextBody"/>
        <w:bidi w:val="0"/>
        <w:spacing w:lineRule="auto" w:line="288" w:before="120" w:after="240"/>
        <w:jc w:val="left"/>
        <w:rPr>
          <w:rFonts w:ascii="Times New Roman;sans-serif" w:hAnsi="Times New Roman;sans-serif"/>
          <w:b/>
          <w:i/>
          <w:color w:val="000000"/>
          <w:sz w:val="20"/>
        </w:rPr>
      </w:pPr>
      <w:r>
        <w:rPr>
          <w:rFonts w:ascii="Times New Roman;sans-serif" w:hAnsi="Times New Roman;sans-serif"/>
          <w:b/>
          <w:i/>
          <w:color w:val="000000"/>
          <w:sz w:val="20"/>
        </w:rPr>
        <w:t>Amendment or Termination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 award may be granted under the Amended Plan after June 6, 2033, but awards previously granted may extend beyond that date. Our Board of Directors may amend, suspend or terminate the Amended Plan or any portion of the Amended Plan at any time, except that (i) no amendment may be made to the plan to permit a stock option or SAR to be repriced without stockholder approval and (ii) no amendment that would require stockholder approval under the rules of the national securities exchange on which we then maintain our primary listing may be made effective unless and until such amendment has been approved by our stockholders. If the national securities exchange on which we then maintain our primary listing does not have rules regarding when stockholder approval of amendments to equity compensation plans is required (or if our Common Stock is not then listed on any national securities exchange), no amendment of the Amended Plan materially increasing the number of shares of our Common Stock authorized under the plan (other than as provided under the Amended Plan with respect to certain corporate events or substitute awards), expanding the types of awards that may be granted under the plan or materially expanding the class of participants eligible to participate in the plan will be effective unless and until our stockholders approve such amendment. If at any time the approval of our stockholders is required as to any other modification or amendment under Section 422 of the Code or any successor provision with respect to incentive stock options, our Board of Directors may not effect such modification or amendment without such approval. Unless otherwise specified in the amendment, any amendment to the Amended Plan adopted in accordance with the procedures described above will apply to, and be binding on the holders of, all awards outstanding under the Amended Plan at the time the amendment is adopted, provided that our Board of Directors determines that such amendment, taking into account any related action, does not materially and adversely affect the rights of participants under the Amended Plan. No award will be made that is conditioned on stockholder approval of any amendment to the Amended Plan unless the award provides that (i) it will terminate or be forfeited if stockholder approval of such amendment is not obtained within no more than 12 months from the date the award was granted and (ii) it may not be exercised or settled (or otherwise result in the issuance of shares of our Common Stock) prior to the receipt of such stockholder approval.</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stockholders do not approve the Amendment, the Amendment will not go into effect and we will not grant additional awards under the 2023 Plan in excess of the current share reserve. In this event, our Board of Directors will consider whether to adopt alternative arrangements based on its assessment of our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4"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Federal Income Tax Consequences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United States federal income tax consequences that generally will arise with respect to awards granted under the Amended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pStyle w:val="TextBody"/>
        <w:bidi w:val="0"/>
        <w:spacing w:lineRule="auto" w:line="288" w:before="0" w:after="240"/>
        <w:jc w:val="left"/>
        <w:rPr/>
      </w:pPr>
      <w:r>
        <w:rPr>
          <w:rFonts w:ascii="Times New Roman;sans-serif" w:hAnsi="Times New Roman;sans-serif"/>
          <w:b w:val="false"/>
          <w:i/>
          <w:color w:val="000000"/>
          <w:sz w:val="20"/>
        </w:rPr>
        <w:t>Incentive Stock Options.</w:t>
      </w:r>
      <w:r>
        <w:rPr>
          <w:color w:val="000000"/>
        </w:rPr>
        <w:t xml:space="preserve"> </w:t>
      </w:r>
      <w:r>
        <w:rPr>
          <w:rFonts w:ascii="Times New Roman;sans-serif" w:hAnsi="Times New Roman;sans-serif"/>
          <w:b w:val="false"/>
          <w:color w:val="000000"/>
          <w:sz w:val="20"/>
        </w:rPr>
        <w:t>A participant will not have income upon the grant of an incentive stock option. Also, except as described below, a participant will not have income upon exercise of an incentive stock option if the participant has been employed by us or our corporate parent or 50% or majority-owned corporate subsidiary at all times beginning with the stock option grant date and ending three months before the date the participant exercises the stock option. If the participant has not been so employed during that time, then the participant will be taxed as described below under “Nonstatutory Stock Options.” The exercise of an incentive stock option may subject the participant to the alternative minimum tax.</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stock option was granted and more than one year after the stock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pStyle w:val="TextBody"/>
        <w:bidi w:val="0"/>
        <w:spacing w:lineRule="auto" w:line="288" w:before="0" w:after="240"/>
        <w:jc w:val="left"/>
        <w:rPr/>
      </w:pPr>
      <w:r>
        <w:rPr>
          <w:rFonts w:ascii="Times New Roman;sans-serif" w:hAnsi="Times New Roman;sans-serif"/>
          <w:b w:val="false"/>
          <w:i/>
          <w:color w:val="000000"/>
          <w:sz w:val="20"/>
        </w:rPr>
        <w:t xml:space="preserve">Nonstatutory Stock Options. </w:t>
      </w:r>
      <w:r>
        <w:rPr>
          <w:rFonts w:ascii="Times New Roman;sans-serif" w:hAnsi="Times New Roman;sans-serif"/>
          <w:b w:val="false"/>
          <w:color w:val="000000"/>
          <w:sz w:val="20"/>
        </w:rPr>
        <w:t>A participant will not have income upon the grant of a nonstatutory stock option. A participant will have compensation income upon the exercise of a nonstatutory stock option equal to the value of the stock on the day the participant exercised the stock option less the exercise price. Upon sale of the stock, the participant will have capital gain or loss equal to the difference between the sales proceeds and the value of the stock on the day the stock option was exercised. This capital gain or loss will be long-term if the participant has held the stock for more than one year and otherwise will be short-term.</w:t>
      </w:r>
    </w:p>
    <w:p>
      <w:pPr>
        <w:pStyle w:val="TextBody"/>
        <w:bidi w:val="0"/>
        <w:spacing w:lineRule="auto" w:line="288" w:before="0" w:after="240"/>
        <w:jc w:val="left"/>
        <w:rPr/>
      </w:pPr>
      <w:r>
        <w:rPr>
          <w:rFonts w:ascii="Times New Roman;sans-serif" w:hAnsi="Times New Roman;sans-serif"/>
          <w:b w:val="false"/>
          <w:i/>
          <w:color w:val="000000"/>
          <w:sz w:val="20"/>
        </w:rPr>
        <w:t xml:space="preserve">Stock Appreciation Rights. </w:t>
      </w:r>
      <w:r>
        <w:rPr>
          <w:rFonts w:ascii="Times New Roman;sans-serif" w:hAnsi="Times New Roman;sans-serif"/>
          <w:b w:val="false"/>
          <w:color w:val="000000"/>
          <w:sz w:val="20"/>
        </w:rPr>
        <w:t>A participant will not have income upon the grant of a SAR. A participant generally will recognize 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pStyle w:val="TextBody"/>
        <w:bidi w:val="0"/>
        <w:spacing w:lineRule="auto" w:line="288" w:before="0" w:after="240"/>
        <w:jc w:val="left"/>
        <w:rPr/>
      </w:pPr>
      <w:r>
        <w:rPr>
          <w:rFonts w:ascii="Times New Roman;sans-serif" w:hAnsi="Times New Roman;sans-serif"/>
          <w:b w:val="false"/>
          <w:i/>
          <w:color w:val="000000"/>
          <w:sz w:val="20"/>
        </w:rPr>
        <w:t xml:space="preserve">Restricted Stock Awards. </w:t>
      </w:r>
      <w:r>
        <w:rPr>
          <w:rFonts w:ascii="Times New Roman;sans-serif" w:hAnsi="Times New Roman;sans-serif"/>
          <w:b w:val="false"/>
          <w:color w:val="000000"/>
          <w:sz w:val="20"/>
        </w:rPr>
        <w:t>A participant will not have income upon the grant of restricted stock unless an election under Section 83(b) of the Code is made 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pStyle w:val="TextBody"/>
        <w:bidi w:val="0"/>
        <w:spacing w:lineRule="auto" w:line="288" w:before="0" w:after="240"/>
        <w:jc w:val="left"/>
        <w:rPr/>
      </w:pPr>
      <w:r>
        <w:rPr>
          <w:rFonts w:ascii="Times New Roman;sans-serif" w:hAnsi="Times New Roman;sans-serif"/>
          <w:b w:val="false"/>
          <w:i/>
          <w:color w:val="000000"/>
          <w:sz w:val="20"/>
        </w:rPr>
        <w:t>Restricted Stock Units.</w:t>
      </w:r>
      <w:r>
        <w:rPr>
          <w:color w:val="000000"/>
        </w:rPr>
        <w:t xml:space="preserve"> </w:t>
      </w:r>
      <w:r>
        <w:rPr>
          <w:rFonts w:ascii="Times New Roman;sans-serif" w:hAnsi="Times New Roman;sans-serif"/>
          <w:b w:val="false"/>
          <w:color w:val="000000"/>
          <w:sz w:val="20"/>
        </w:rPr>
        <w:t>A participant will not have income upon the grant of an RSU. A participant is not permitted to make a Section 83(b) election with respect to an RSU award. When the shares of our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pStyle w:val="TextBody"/>
        <w:bidi w:val="0"/>
        <w:spacing w:lineRule="auto" w:line="288" w:before="0" w:after="240"/>
        <w:jc w:val="left"/>
        <w:rPr/>
      </w:pPr>
      <w:r>
        <w:rPr>
          <w:rFonts w:ascii="Times New Roman;sans-serif" w:hAnsi="Times New Roman;sans-serif"/>
          <w:b w:val="false"/>
          <w:i/>
          <w:color w:val="000000"/>
          <w:sz w:val="20"/>
        </w:rPr>
        <w:t>Other Stock-Based Awards.</w:t>
      </w:r>
      <w:r>
        <w:rPr>
          <w:color w:val="000000"/>
        </w:rPr>
        <w:t xml:space="preserve"> </w:t>
      </w:r>
      <w:r>
        <w:rPr>
          <w:rFonts w:ascii="Times New Roman;sans-serif" w:hAnsi="Times New Roman;sans-serif"/>
          <w:b w:val="false"/>
          <w:color w:val="000000"/>
          <w:sz w:val="20"/>
        </w:rPr>
        <w:t xml:space="preserve">The tax consequences associated with any other stock-based award granted under the Amended Plan will vary depending on the specific terms of such award. Among the relevant factors are whether or not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45"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pStyle w:val="TextBody"/>
        <w:bidi w:val="0"/>
        <w:spacing w:lineRule="auto" w:line="288" w:before="0" w:after="240"/>
        <w:jc w:val="left"/>
        <w:rPr/>
      </w:pPr>
      <w:r>
        <w:rPr>
          <w:rFonts w:ascii="Times New Roman;sans-serif" w:hAnsi="Times New Roman;sans-serif"/>
          <w:b w:val="false"/>
          <w:i/>
          <w:color w:val="000000"/>
          <w:sz w:val="20"/>
        </w:rPr>
        <w:t>Tax Consequences to the Company.</w:t>
      </w:r>
      <w:r>
        <w:rPr>
          <w:color w:val="000000"/>
        </w:rPr>
        <w:t xml:space="preserve"> </w:t>
      </w:r>
      <w:r>
        <w:rPr>
          <w:rFonts w:ascii="Times New Roman;sans-serif" w:hAnsi="Times New Roman;sans-serif"/>
          <w:b w:val="false"/>
          <w:color w:val="000000"/>
          <w:sz w:val="20"/>
        </w:rPr>
        <w:t>There will be no tax consequences to us except that we will be entitled to a deduction when a participant has compensation income, subject to the limitations of Section 162(m) of the Code.</w:t>
      </w:r>
    </w:p>
    <w:p>
      <w:pPr>
        <w:pStyle w:val="TextBody"/>
        <w:bidi w:val="0"/>
        <w:spacing w:lineRule="auto" w:line="288" w:before="700" w:after="283"/>
        <w:jc w:val="center"/>
        <w:rPr/>
      </w:pPr>
      <w:r>
        <w:rPr>
          <w:rFonts w:ascii="Times New Roman;sans-serif" w:hAnsi="Times New Roman;sans-serif"/>
          <w:b/>
          <w:color w:val="000000"/>
          <w:sz w:val="20"/>
        </w:rPr>
        <w:t xml:space="preserve">THE BOARD OF DIRECTORS UNANIMOUSLY RECOMMENDS THAT YOU VOTE “FOR” THE APPROVAL OF AN AMENDMENT TO THE AKEBIA THERAPEUTICS, INC. 2023 STOCK INCENTIVE PLAN TO INCREASE THE NUMBER OF SHARES OF COMMON STOCK AVAILABLE FOR ISSUANCE THEREUNDER BY 18,900,000 </w:t>
      </w:r>
      <w:r>
        <w:rPr>
          <w:rFonts w:ascii="Times New Roman;sans-serif" w:hAnsi="Times New Roman;sans-serif"/>
          <w:b/>
          <w:color w:val="231F20"/>
          <w:sz w:val="20"/>
        </w:rPr>
        <w:t>SHARES AND TO MAKE CERTAIN OTHER CHANGES TO THE PLAN</w:t>
      </w:r>
      <w:r>
        <w:rPr>
          <w:rFonts w:ascii="Times New Roman;sans-serif" w:hAnsi="Times New Roman;sans-serif"/>
          <w:b/>
          <w:color w:val="000000"/>
          <w:sz w:val="2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2 ON YOUR PROXY CARD)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46"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PROPOSAL 3—ADVISORY VOTE ON THE COMPENSATION OF NAMED EXECUTIVE OFFICERS </w:t>
      </w:r>
    </w:p>
    <w:p>
      <w:pPr>
        <w:pStyle w:val="TextBody"/>
        <w:bidi w:val="0"/>
        <w:spacing w:lineRule="auto" w:line="288" w:before="240" w:after="283"/>
        <w:jc w:val="left"/>
        <w:rPr/>
      </w:pPr>
      <w:r>
        <w:rPr>
          <w:rFonts w:ascii="Times New Roman;sans-serif" w:hAnsi="Times New Roman;sans-serif"/>
          <w:b w:val="false"/>
          <w:color w:val="000000"/>
          <w:sz w:val="20"/>
        </w:rPr>
        <w:t>We are providing our stockholders the opportunity to vote to approve, on an advisory, non-binding basis, the compensation of our executive officers named in the “2024 Summary Compensation Table” under “</w:t>
      </w:r>
      <w:r>
        <w:rPr>
          <w:rFonts w:ascii="Times New Roman;sans-serif" w:hAnsi="Times New Roman;sans-serif"/>
          <w:b w:val="false"/>
          <w:i/>
          <w:color w:val="000000"/>
          <w:sz w:val="20"/>
        </w:rPr>
        <w:t>Executive Compensation,</w:t>
      </w:r>
      <w:r>
        <w:rPr>
          <w:color w:val="000000"/>
        </w:rPr>
        <w:t xml:space="preserve">” </w:t>
      </w:r>
      <w:r>
        <w:rPr>
          <w:rFonts w:ascii="Times New Roman;sans-serif" w:hAnsi="Times New Roman;sans-serif"/>
          <w:b w:val="false"/>
          <w:color w:val="000000"/>
          <w:sz w:val="20"/>
        </w:rPr>
        <w:t xml:space="preserve">who we refer to as our “named executive officers,” as disclosed in this Proxy Statement in accordance with the SEC’s rules and regulations. This proposal, which is commonly referred to as “say-on-pay,” is required to be included in this Proxy Statement pursuant to Section 14(a) of the Exchange Act. Section 14(a) of the Exchange Act also requires that stockholders have the periodic opportunity to cast an advisory vote with respect to whether future executive compensation advisory votes will be held every one, two or three years. At the Company’s 2020 annual meeting of stockholders, stockholders voted to hold an advisory vote every year. </w:t>
      </w:r>
    </w:p>
    <w:p>
      <w:pPr>
        <w:pStyle w:val="TextBody"/>
        <w:bidi w:val="0"/>
        <w:spacing w:lineRule="auto" w:line="288" w:before="240" w:after="283"/>
        <w:jc w:val="left"/>
        <w:rPr/>
      </w:pPr>
      <w:r>
        <w:rPr>
          <w:rFonts w:ascii="Times New Roman;sans-serif" w:hAnsi="Times New Roman;sans-serif"/>
          <w:b w:val="false"/>
          <w:color w:val="000000"/>
          <w:sz w:val="20"/>
        </w:rPr>
        <w:t>As described in detail in the “Compensation Discussion and Analysis” section of this Proxy Statement, our overall executive compensation program is designed to attract, motivate and retain our named executive officers, who are critical to our success. Under this program, our named executive officers’ compensation is based on the achievement of key strategic and business goals that were developed based on the Company’s mission and core values. The program consists of a combination of base salary, an annual cash bonus, long-term equity incentive compensation, other employee benefits generally available to our employees, cash incentive awards in 2021 and retention awards in 2022 to certain named executive officers, and is designed to align our executive compensation program with the interests of our stockholders by reflecting a pay-for-performance philosophy that supports our business strategy. At the same time, the Board of Directors believes that the program does not encourage excessive risk-taking by management. The “</w:t>
      </w:r>
      <w:r>
        <w:rPr>
          <w:rFonts w:ascii="Times New Roman;sans-serif" w:hAnsi="Times New Roman;sans-serif"/>
          <w:b w:val="false"/>
          <w:i/>
          <w:color w:val="000000"/>
          <w:sz w:val="20"/>
        </w:rPr>
        <w:t>Executive Compensation</w:t>
      </w:r>
      <w:r>
        <w:rPr>
          <w:color w:val="000000"/>
        </w:rPr>
        <w:t xml:space="preserve">” </w:t>
      </w:r>
      <w:r>
        <w:rPr>
          <w:rFonts w:ascii="Times New Roman;sans-serif" w:hAnsi="Times New Roman;sans-serif"/>
          <w:b w:val="false"/>
          <w:color w:val="000000"/>
          <w:sz w:val="20"/>
        </w:rPr>
        <w:t>section of this Proxy Statement beginning on page 40, including “</w:t>
      </w:r>
      <w:r>
        <w:rPr>
          <w:rFonts w:ascii="Times New Roman;sans-serif" w:hAnsi="Times New Roman;sans-serif"/>
          <w:b w:val="false"/>
          <w:i/>
          <w:color w:val="000000"/>
          <w:sz w:val="20"/>
        </w:rPr>
        <w:t>Compensation Discussion and Analysis,</w:t>
      </w:r>
      <w:r>
        <w:rPr>
          <w:color w:val="000000"/>
        </w:rPr>
        <w:t xml:space="preserve">” </w:t>
      </w:r>
      <w:r>
        <w:rPr>
          <w:rFonts w:ascii="Times New Roman;sans-serif" w:hAnsi="Times New Roman;sans-serif"/>
          <w:b w:val="false"/>
          <w:color w:val="000000"/>
          <w:sz w:val="20"/>
        </w:rPr>
        <w:t xml:space="preserve">describes the executive compensation program and the decisions made by the Compensation Committee and the Board of Directors with respect to the compensation for our named executive officers for the year ended December 31,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is asking stockholders to approve a non-binding advisory vote on the following resolution: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RESOLVED, that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 is hereby approved.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an advisory vote, this proposal is not binding. The outcome of this advisory vote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will consider the outcome of the vote when making future compensation decisions for named executive officers.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BOARD OF DIRECTORS UNANIMOUSLY RECOMMENDS THAT YOU VOTE “FOR” THE APPROVAL, ON AN ADVISORY BASIS, OF THE COMPENSATION OF OUR NAMED EXECUTIVE OFFICERS.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3 ON YOUR PROXY CARD)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47"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EXECUTIVE OFFICERS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the biographical information of the individuals who serve as our executive officers as of April 29, 2025. </w:t>
      </w:r>
    </w:p>
    <w:tbl>
      <w:tblPr>
        <w:tblW w:w="9907" w:type="dxa"/>
        <w:jc w:val="left"/>
        <w:tblInd w:w="0" w:type="dxa"/>
        <w:tblLayout w:type="fixed"/>
        <w:tblCellMar>
          <w:top w:w="28" w:type="dxa"/>
          <w:left w:w="28" w:type="dxa"/>
          <w:bottom w:w="28" w:type="dxa"/>
          <w:right w:w="28" w:type="dxa"/>
        </w:tblCellMar>
      </w:tblPr>
      <w:tblGrid>
        <w:gridCol w:w="700"/>
        <w:gridCol w:w="612"/>
        <w:gridCol w:w="623"/>
        <w:gridCol w:w="109"/>
        <w:gridCol w:w="109"/>
        <w:gridCol w:w="109"/>
        <w:gridCol w:w="144"/>
        <w:gridCol w:w="144"/>
        <w:gridCol w:w="146"/>
        <w:gridCol w:w="109"/>
        <w:gridCol w:w="109"/>
        <w:gridCol w:w="109"/>
        <w:gridCol w:w="2010"/>
        <w:gridCol w:w="2010"/>
        <w:gridCol w:w="2864"/>
      </w:tblGrid>
      <w:tr>
        <w:trPr/>
        <w:tc>
          <w:tcPr>
            <w:tcW w:w="70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Erik J. Ostrowski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Chief Business Officer and Treasurer</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K. Burke,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Research &amp; Development and Chief Medical Officer</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Nicholas P. Grund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Chief Commercial Officer </w:t>
            </w:r>
          </w:p>
        </w:tc>
      </w:tr>
    </w:tbl>
    <w:p>
      <w:pPr>
        <w:pStyle w:val="TextBody"/>
        <w:bidi w:val="0"/>
        <w:spacing w:lineRule="auto" w:line="288" w:before="240" w:after="283"/>
        <w:jc w:val="left"/>
        <w:rPr/>
      </w:pPr>
      <w:r>
        <w:rPr>
          <w:rFonts w:ascii="Times New Roman;sans-serif" w:hAnsi="Times New Roman;sans-serif"/>
          <w:b/>
          <w:color w:val="000000"/>
          <w:sz w:val="20"/>
        </w:rPr>
        <w:t>John P. Butler’s</w:t>
      </w:r>
      <w:r>
        <w:rPr>
          <w:color w:val="000000"/>
        </w:rPr>
        <w:t xml:space="preserve"> </w:t>
      </w:r>
      <w:r>
        <w:rPr>
          <w:rFonts w:ascii="Times New Roman;sans-serif" w:hAnsi="Times New Roman;sans-serif"/>
          <w:b w:val="false"/>
          <w:color w:val="000000"/>
          <w:sz w:val="20"/>
        </w:rPr>
        <w:t>biography is included under “</w:t>
      </w:r>
      <w:r>
        <w:rPr>
          <w:rFonts w:ascii="Times New Roman;sans-serif" w:hAnsi="Times New Roman;sans-serif"/>
          <w:b w:val="false"/>
          <w:i/>
          <w:color w:val="000000"/>
          <w:sz w:val="20"/>
        </w:rPr>
        <w:t>Director Biographies—Class II Directors</w:t>
      </w:r>
      <w:r>
        <w:rPr>
          <w:color w:val="000000"/>
        </w:rPr>
        <w:t xml:space="preserve">” </w:t>
      </w:r>
      <w:r>
        <w:rPr>
          <w:rFonts w:ascii="Times New Roman;sans-serif" w:hAnsi="Times New Roman;sans-serif"/>
          <w:b w:val="false"/>
          <w:color w:val="000000"/>
          <w:sz w:val="20"/>
        </w:rPr>
        <w:t xml:space="preserve">above.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Erik J. Ostrowski </w:t>
      </w:r>
      <w:r>
        <w:rPr>
          <w:rFonts w:ascii="Times New Roman;sans-serif" w:hAnsi="Times New Roman;sans-serif"/>
          <w:b w:val="false"/>
          <w:color w:val="000000"/>
          <w:sz w:val="20"/>
        </w:rPr>
        <w:t>joined Akebia in June 2024 as Senior Vice President, Chief Financial Officer, Chief Business Officer and Treasurer. Prior to joining Akebia, Mr. Ostrowski served as President, Interim Chief Executive Officer, Chief Financial Officer, and Treasurer of AVROBIO, Inc., a public biotechnology company, from May 2023 to June 2024 and served as its Chief Financial Officer and Treasurer from January 2019 to May 2023. From 2014 to 2018, Mr. Ostrowski served as the Chief Financial Officer of Summit Therapeutics plc., a public biotechnology company. Prior to that, he served as Vice President of Finance at Organogenesis Inc., a biotechnology company, from July 2010 to June 2014. Prior to 2010, Mr. Ostrowski worked in investment banking, most recently as a director with Leerink Partners LLC. Mr. Ostrowski began his career as an accountant with Coopers &amp; Lybrand (now PricewaterhouseCoopers LLP). Mr. Ostrowski served on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 of Faron Pharmaceuticals Oy, a public biopharmaceutical company, from April 2022 to April 2024. He received a B.S. in accounting and economics from Babson College and an M.B.A. from the University of Chicago Booth School of Business.</w:t>
      </w:r>
    </w:p>
    <w:p>
      <w:pPr>
        <w:pStyle w:val="TextBody"/>
        <w:bidi w:val="0"/>
        <w:spacing w:lineRule="auto" w:line="288" w:before="240" w:after="283"/>
        <w:jc w:val="left"/>
        <w:rPr/>
      </w:pPr>
      <w:r>
        <w:rPr>
          <w:rFonts w:ascii="Times New Roman;sans-serif" w:hAnsi="Times New Roman;sans-serif"/>
          <w:b/>
          <w:color w:val="000000"/>
          <w:sz w:val="20"/>
        </w:rPr>
        <w:t>Steven K. Burke, M.D.</w:t>
      </w:r>
      <w:r>
        <w:rPr>
          <w:color w:val="000000"/>
        </w:rPr>
        <w:t xml:space="preserve"> </w:t>
      </w:r>
      <w:r>
        <w:rPr>
          <w:rFonts w:ascii="Times New Roman;sans-serif" w:hAnsi="Times New Roman;sans-serif"/>
          <w:b w:val="false"/>
          <w:color w:val="000000"/>
          <w:sz w:val="20"/>
        </w:rPr>
        <w:t xml:space="preserve">joined Akebia in August 2019 and currently serves as Senior Vice President, Research &amp; Development and Chief Medical Officer. Prior to joining Akebia, from August 2006 to July 2019, Dr. Burke served as Senior Vice President and Chief Medical Officer of Proteon Therapeutics, Inc., a company developing therapeutics focused on patients with kidney and vascular diseases. From 2001 to 2006, Dr. Burke served as Senior Vice President of Medical and Regulatory Affairs at Genzyme. From 1994 to 2000, Dr. Burke held roles at GelTex Pharmaceuticals, Inc. including Vice President of Clinical Research and Medical Director, and before that he held positions at Glaxo, Inc. Dr. Burke received an A.B. from Harvard College and an M.D. from Cornell University Medical College. He completed a medical residency and fellowship at Brigham and Women’s Hospital and is certified by the American Board of Internal Medicine. </w:t>
      </w:r>
    </w:p>
    <w:p>
      <w:pPr>
        <w:pStyle w:val="TextBody"/>
        <w:bidi w:val="0"/>
        <w:spacing w:lineRule="auto" w:line="288" w:before="240" w:after="283"/>
        <w:jc w:val="left"/>
        <w:rPr/>
      </w:pPr>
      <w:r>
        <w:rPr>
          <w:rFonts w:ascii="Times New Roman;sans-serif" w:hAnsi="Times New Roman;sans-serif"/>
          <w:b/>
          <w:color w:val="000000"/>
          <w:sz w:val="20"/>
        </w:rPr>
        <w:t>Nicholas</w:t>
      </w:r>
      <w:r>
        <w:rPr>
          <w:color w:val="000000"/>
        </w:rPr>
        <w:t xml:space="preserve"> </w:t>
      </w:r>
      <w:r>
        <w:rPr>
          <w:rFonts w:ascii="Times New Roman;sans-serif" w:hAnsi="Times New Roman;sans-serif"/>
          <w:b/>
          <w:color w:val="000000"/>
          <w:sz w:val="20"/>
        </w:rPr>
        <w:t>P.</w:t>
      </w:r>
      <w:r>
        <w:rPr>
          <w:color w:val="000000"/>
        </w:rPr>
        <w:t xml:space="preserve"> </w:t>
      </w:r>
      <w:r>
        <w:rPr>
          <w:rFonts w:ascii="Times New Roman;sans-serif" w:hAnsi="Times New Roman;sans-serif"/>
          <w:b/>
          <w:color w:val="000000"/>
          <w:sz w:val="20"/>
        </w:rPr>
        <w:t>Grund</w:t>
      </w:r>
      <w:r>
        <w:rPr>
          <w:color w:val="000000"/>
        </w:rPr>
        <w:t xml:space="preserve"> </w:t>
      </w:r>
      <w:r>
        <w:rPr>
          <w:rFonts w:ascii="Times New Roman;sans-serif" w:hAnsi="Times New Roman;sans-serif"/>
          <w:b w:val="false"/>
          <w:color w:val="000000"/>
          <w:sz w:val="20"/>
        </w:rPr>
        <w:t>joined Akebia</w:t>
      </w:r>
      <w:r>
        <w:rPr>
          <w:color w:val="000000"/>
          <w:shd w:fill="FFFFFF" w:val="clear"/>
        </w:rPr>
        <w:t xml:space="preserve"> </w:t>
      </w:r>
      <w:r>
        <w:rPr>
          <w:rFonts w:ascii="Times New Roman;sans-serif" w:hAnsi="Times New Roman;sans-serif"/>
          <w:b w:val="false"/>
          <w:color w:val="000000"/>
          <w:sz w:val="20"/>
          <w:shd w:fill="FFFFFF" w:val="clear"/>
        </w:rPr>
        <w:t>in January 2024 as Senior Vice President, Chief Commercial Officer. Prior to joining Akebia, Mr. Grund served as the President of Eurofins Transplant Genomics, a biotechnology company, from January 2021 to November 2022. From May 2019 to December 2020, Mr. Grund was the owner of and consultant at NG Strategy Consulting, a consulting company. Prior to NG Strategy Consulting, Mr. Grund served as the Chief Commercial Officer of AMAG Pharmaceuticals, Inc., or AMAG, a pharmaceutical company, from January 2016 to March 2019. Prior to joining AMAG, Mr. Grund served from 2002 to 2015 in various positions of increasing responsibility at Genzyme Corporation, a Sanofi company, where he was Head of Specialty Care. Prior to Genzyme Corporation, Mr. Grund progressed through a number of senior finance roles in the Critical Care Business Unit of Bayer Diagnostics from 1995 to 2002. Mr. Grund holds an M.B.A. from Northeastern University and a B.S. in business administration from the University of Massachusetts.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48"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EXECUTIVE COMPENSATION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Compensation Discussion and Analysis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discusses the material elements of our executive compensation policies and decisions for our executive officers named in the “2024 Summary Compensation Table” below, referred to herein as our “named executive officers,” and important factors relevant to an analysis of these policies and decisions. It provides qualitative information regarding the manner and context in which compensation is awarded to and earned by our named executive officers and is intended to place in perspective the information presented in the following tables and the corresponding narrative.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named executive officers for the year ended December 31, 2024 are as follows: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John P. Butler, President and Chief Executive Officer;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Erik J. Ostrowski, Senior Vice President, Chief Financial Officer, Chief Business Officer and Treasurer;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Ellen E. Snow, Former Senior Vice President, Chief Financial Officer and Treasurer;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Steven K. Burke, M.D., Senior Vice President, Research &amp; Development and Chief Medical Officer;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Nicholas P. Grund, Senior Vice President, Chief Commercial Officer;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Michel Dahan, Former Senior Vice President, Chief Operating Officer</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Executive Summary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Company </w:t>
      </w:r>
    </w:p>
    <w:p>
      <w:pPr>
        <w:pStyle w:val="TextBody"/>
        <w:bidi w:val="0"/>
        <w:spacing w:lineRule="auto" w:line="288" w:before="120" w:after="283"/>
        <w:jc w:val="left"/>
        <w:rPr/>
      </w:pPr>
      <w:r>
        <w:rPr>
          <w:rFonts w:ascii="Times New Roman;sans-serif" w:hAnsi="Times New Roman;sans-serif"/>
          <w:b w:val="false"/>
          <w:color w:val="000000"/>
          <w:sz w:val="20"/>
        </w:rPr>
        <w:t>We are a fully integrated biopharmaceutical company with two commercial products for patients impacted by kidney disease. We have built a business focused on developing and commercializing innovative therapeutics that we believe serve as a foundation for future growth. Our team has significant expertise in hypoxia-inducible factor, or HIF, science having developed and commercialized Vafseo® (vadadustat), an oral HIF</w:t>
      </w:r>
      <w:r>
        <w:rPr>
          <w:color w:val="000000"/>
          <w:shd w:fill="FFFFFF" w:val="clear"/>
        </w:rPr>
        <w:t xml:space="preserve"> </w:t>
      </w:r>
      <w:r>
        <w:rPr>
          <w:rFonts w:ascii="Times New Roman;sans-serif" w:hAnsi="Times New Roman;sans-serif"/>
          <w:b w:val="false"/>
          <w:color w:val="000000"/>
          <w:sz w:val="20"/>
          <w:shd w:fill="FFFFFF" w:val="clear"/>
        </w:rPr>
        <w:t xml:space="preserve">prolyl hydroxylase, or </w:t>
      </w:r>
      <w:r>
        <w:rPr>
          <w:rFonts w:ascii="Times New Roman;sans-serif" w:hAnsi="Times New Roman;sans-serif"/>
          <w:b w:val="false"/>
          <w:color w:val="000000"/>
          <w:sz w:val="20"/>
        </w:rPr>
        <w:t xml:space="preserve">HIF-PH, inhibitor and have selected two additional HIF-based molecules for preclinical development.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the company as a leader in the kidney community, and we believe our cross-organizational expertise in renal disease positions us for success. Chronic kidney disease, or CKD, is a condition in which the kidneys are progressively damaged to the point that they cannot properly filter the blood circulating in the body. This damage causes waste products to build up in the patient’s blood, leading to other health problems, including anemia, cardiovascular disease and bone disease. CKD significantly impacts the United States, or U.S., healthcare system, potentially affecting approximately 37 million patients and costing Medicare nearly $125 billion annually for treating Medicare beneficiaries with CKD or end-stage renal disease, or ESRD, according to the Centers for Disease Control and Prevention. Our two commercial products address certain complications of kidney disease.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portfolio includes: </w:t>
      </w:r>
    </w:p>
    <w:p>
      <w:pPr>
        <w:pStyle w:val="TextBody"/>
        <w:bidi w:val="0"/>
        <w:spacing w:lineRule="auto" w:line="288" w:before="120" w:after="283"/>
        <w:jc w:val="both"/>
        <w:rPr/>
      </w:pPr>
      <w:r>
        <w:rPr>
          <w:rFonts w:ascii="Times New Roman;sans-serif" w:hAnsi="Times New Roman;sans-serif"/>
          <w:b/>
          <w:color w:val="000000"/>
          <w:sz w:val="20"/>
        </w:rPr>
        <w:t>Vafseo</w:t>
      </w:r>
      <w:r>
        <w:rPr>
          <w:color w:val="000000"/>
        </w:rPr>
        <w:t xml:space="preserve"> </w:t>
      </w:r>
      <w:r>
        <w:rPr>
          <w:rFonts w:ascii="Times New Roman;sans-serif" w:hAnsi="Times New Roman;sans-serif"/>
          <w:b w:val="false"/>
          <w:color w:val="000000"/>
          <w:sz w:val="20"/>
        </w:rPr>
        <w:t>was approved by the U.S. Food and Drug Administration, or the FDA, in March 2024 for the treatment of anemia due to CKD in adult patients on dialysis for at least three months. Shipments of Vafseo to customers commenced in January 2025. We have commercial supply agreements for the purchase of Vafseo in place with dialysis organizations caring for nearly 100% of dialysis patients in the U.S. Vafseo is currently the only oral HIF-based treatment available in the 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European Union, or EU, the United Kingdom, or UK, Switzerland and Australia, Vafseo is approved for the treatment of symptomatic anemia associated with CKD in adults on chronic maintenance dialysis. Our partner MEDICE Arzneimittel Pütter GmbH &amp; Co. KG, or Medice, has an exclusive license to develop and commercialize Vafseo for the treatment of anemia in patients with CKD in defined territories and launched Vafseo in Germany, Austria, Switzerland, the Netherlands and certain other countries in Europe in 2024.</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Japan, Vafseo is approved as a treatment for anemia due to CKD in both dialysis dependent and non-dialysis dependent patients and is marketed and sold by our collaborator Mitsubishi Tanabe Pharma Corporation, or MTPC. In Taiwan, Vafseo is approved for the treatment of symptomatic anemia due to CKD in adult patients on chronic maintenance dialysis and was launched in October 2024 by Tai Tien Pharmaceutical Company, an affiliate of MTPC. In Korea, Vafseo is approved as an anemia treatment for patients with CKD on hemodialysis.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49"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color w:val="000000"/>
          <w:sz w:val="20"/>
        </w:rPr>
        <w:t>Auryxia® (ferric citrate)</w:t>
      </w:r>
      <w:r>
        <w:rPr>
          <w:color w:val="000000"/>
        </w:rPr>
        <w:t xml:space="preserve"> </w:t>
      </w:r>
      <w:r>
        <w:rPr>
          <w:rFonts w:ascii="Times New Roman;sans-serif" w:hAnsi="Times New Roman;sans-serif"/>
          <w:b w:val="false"/>
          <w:color w:val="000000"/>
          <w:sz w:val="20"/>
        </w:rPr>
        <w:t xml:space="preserve">is an orally administered medicine approved and marketed in the U.S. for two indications: (1) the control of serum phosphorus levels in adult patients with dialysis dependent chronic kidney disease, or DD-CKD, and (2) the treatment of iron deficiency anemia, or IDA, in adult patients with non-dialysis-dependent chronic kidney disease, or NDD-CKD.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Today, we market Auryxia in the U.S. Auryxia became part of our portfolio in 2018 and has historically contributed meaningful revenue to the business. In March 2025, Auryxia lost exclusivity, or LoE. We believe the dynamics of Auryxia reimbursement being included in the ESRD bundle under Medicare Part B could result in slower revenue decline after the LoE than in other LoE situations, but the impact of LoE on future Auryxia revenues will depend on many factors, including our ability to maintain contracts with dialysis organizations, the timing and number of generics and the pricing of generics and other products on the market that compete with Auryxia.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Ferric citrate hydrate has also been approved in Japan, and is marketed and sold by our Japanese sublicensee, Japan Tobacco, Inc., and its subsidiary, Torii Pharmaceutical Co., Ltd., collectively, JT and Torii, as an oral treatment for the improvement of hyperphosphatemia in patients with CKD, including DD-CKD and NDD-CKD, and for the treatment of adult patients with IDA under the trade name Riona in Japan. Averoa SAS, or Averoa, has an exclusive license to develop and commercialize ferric citrate in the European Economic Area, or EEA, Turkey, Switzerland, the UK, the Balkans and certain countries in Eastern Europe and the Middle East. Averoa applied for marketing authorization for ferric citrate in Europe in April 2024. In March 2025, the Committee for Medicinal Products for Human Use of the European Medicines Agency adopted a positive opinion recommending the European Commission, or </w:t>
      </w:r>
      <w:r>
        <w:rPr>
          <w:rFonts w:ascii="Times New Roman;sans-serif" w:hAnsi="Times New Roman;sans-serif"/>
          <w:b w:val="false"/>
          <w:color w:val="000000"/>
          <w:sz w:val="20"/>
          <w:u w:val="single"/>
        </w:rPr>
        <w:t>EC</w:t>
      </w:r>
      <w:r>
        <w:rPr>
          <w:rFonts w:ascii="Times New Roman;sans-serif" w:hAnsi="Times New Roman;sans-serif"/>
          <w:b w:val="false"/>
          <w:color w:val="000000"/>
          <w:sz w:val="20"/>
        </w:rPr>
        <w:t>, to approve Averoa’s marketing authorization. The final EC decision is expected on June 1, 2025.</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color w:val="000000"/>
          <w:sz w:val="20"/>
        </w:rPr>
        <w:t>Our HIF-based product candidates and other pipeline assets</w:t>
      </w:r>
      <w:r>
        <w:rPr>
          <w:color w:val="000000"/>
        </w:rPr>
        <w:t xml:space="preserve"> </w:t>
      </w:r>
      <w:r>
        <w:rPr>
          <w:rFonts w:ascii="Times New Roman;sans-serif" w:hAnsi="Times New Roman;sans-serif"/>
          <w:b w:val="false"/>
          <w:color w:val="000000"/>
          <w:sz w:val="20"/>
        </w:rPr>
        <w:t>are being evaluated to target areas of unmet needs. The discovery of HIF laid the foundation to explore the central role of oxygen sensing in many diseases. As we have seen through the development of Vafseo as a treatment for anemia due to CKD, when stabilized, HIF triggers wide-ranging adaptive, protective responses during hypoxic or ischemic conditions. We have selected two additional HIF molecules for preclinical development: AKB-9090, potentially for cardiac surgery-related acute kidney injury, or CS-AKI, and acute respiratory distress syndrome, or ARDS, and AKB-10108 for retinopathy of prematurity, or ROP, in neonates.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we acquired from Cyclerion Therapeutics, Inc. an exclusive global license under certain intellectual property rights to research, develop and commercialize praliciguat, an investigational oral soluble guanylate cyclase, or sGC, stimulator. We believe there is potential to explore the use of praliciguat for indications within kidney disease.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explore additional commercial and development opportunities to expand our pipeline and portfolio of novel therapeutics through both internal research and external innovation to leverage our fully integrated team.</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Key Compensation Decisions and Actions in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and the Compensation Committee took several actions in 2024 and the first three months of 2025 taking into account our compensation philosophy and objectives, the needs and performance of our Company, individual performance, and other factors such as market data and industry best practices.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Base Salary Adjustments</w:t>
      </w:r>
      <w:r>
        <w:rPr>
          <w:rFonts w:ascii="Times New Roman;sans-serif" w:hAnsi="Times New Roman;sans-serif"/>
          <w:b w:val="false"/>
          <w:color w:val="000000"/>
          <w:sz w:val="20"/>
        </w:rPr>
        <w:t xml:space="preserve">. The Board of Directors, upon recommendation by the Compensation Committee, reviewed and approved the base salary of our Chief Executive Officer, and the Compensation Committee reviewed and approved the base salaries of our other named executive officers in early 2024. Each of our then-serving named executive officers received annual merit-based salary adjustments to reflect their performance and contributions and to maintain reasonable positioning relative to our peer companies.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Annual Cash Bonus</w:t>
      </w:r>
      <w:r>
        <w:rPr>
          <w:rFonts w:ascii="Times New Roman;sans-serif" w:hAnsi="Times New Roman;sans-serif"/>
          <w:b w:val="false"/>
          <w:color w:val="000000"/>
          <w:sz w:val="20"/>
        </w:rPr>
        <w:t xml:space="preserve">. In early 2024, the Board of Directors, upon recommendation by the Compensation Committee, approved certain performance goal categories with specific goals falling into each category, each with its own weighting to reflect their importance to our business. These goals relate to value creation for vadadustat and Auryxia, as well as financial objectives, pipeline and people. In early 2025, the Board of Directors, upon recommendation by the Compensation Committee, reviewed our achievements against our 2024 corporate goals and approved the achievement of 100% of our 2024 corporate goals for our executive officers. The annual cash bonuses paid to our eligible named executive officers in early 2025 for 2024 performance were based entirely on the achievement of these corporate performance goals.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0"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Long-Term Incentives</w:t>
      </w:r>
      <w:r>
        <w:rPr>
          <w:rFonts w:ascii="Times New Roman;sans-serif" w:hAnsi="Times New Roman;sans-serif"/>
          <w:b w:val="false"/>
          <w:color w:val="000000"/>
          <w:sz w:val="20"/>
        </w:rPr>
        <w:t xml:space="preserve">. In early 2024, the Board of Directors, upon recommendation by the Compensation Committee, approved annual grants of time-based stock options and RSUs to our Chief Executive Officer, and the Compensation Committee approved annual grants of time-based stock options and RSUs to our other then-serving named executive officers.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Compensation Design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Compensation Philosophy and Objectives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our named executive officer compensation policies and programs were designed to pay for performance that reflects the Company’s mission and core values. Within this overarching principle, there are a number of key objectives underpinning our 2024 named executive officer compensation program: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Attract and retain individuals who we believe best represent our core values and can make significant contributions towards achieving our purpose of bettering the life of each person impacted by kidney disease;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Motivate and reward individuals for attaining corporate performance goals that support our purpose;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Foster long-term alignment of executive officer, stockholder and other stakeholder interests. </w:t>
      </w:r>
    </w:p>
    <w:p>
      <w:pPr>
        <w:pStyle w:val="TextBody"/>
        <w:bidi w:val="0"/>
        <w:spacing w:lineRule="auto" w:line="288" w:before="270" w:after="283"/>
        <w:jc w:val="left"/>
        <w:rPr>
          <w:color w:val="000000"/>
        </w:rPr>
      </w:pPr>
      <w:r>
        <w:rPr>
          <w:color w:val="000000"/>
        </w:rPr>
        <w:t xml:space="preserve">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Alignment with Company Strategy, Mission and Core Values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named executive officer compensation policies have reinforced our compensation philosophy. While fixed compensation, such as base salary and benefits, are primarily designed to be competitive in the biopharmaceutical marketplace for employees, a substantial portion of our named executive officers’ compensation is linked to achieving scientific, business, organizational and operational goals through means that reflect our mission and core values.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significant portion of our executive compensation in the form of long-term incentives, including stock options and RSUs to our executive officers that vest over time. These equity awards are a key aspect of our compensation philosophy and serve to align the interests of our named executive officers with our stockholders. The time-based equity awards that we provide to our executive officers are inherently performance based as they are tied to future increases or decreases in the value of our stock. We believe that equity awards with a time-based vesting feature promote retention because this feature incentivizes our named executive officers to remain in our employment during the vesting period. The annual cash bonuses paid to our named executive officers are based entirely on corporate performance goals established by the Board of Directors. Our executives make strategic decisions that influence the Company, and we believe it is appropriate to reward performance against corporate performance goals that are driven by adherence to our mission and core values.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in the case of the Chief Executive Officer, and the Compensation Committee, in the case of the other named executive officers, use a comparative framework to assess total compensation mix, but they do not have a pre-established policy for allocating total compensation. Rather, the Board of Directors and the Compensation Committee, as applicable, subjectively determine the appropriate level and mix of total compensation based on our compensation philosophy, peer group and broader market data, expected future contribution, experience, impact and individual performance.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are committed to a pay for performance culture and philosophy that also reflects the Company’s mission and core values. Our Chief Executive Officer’s pay is primarily performance-based, reflecting performance against pre-established corporate performance goals and share price performance. As evidenced below, the realizable value of 2023 compensation exceeded target value driven by an increase in stock performance. The 2024 realizable value</w:t>
      </w:r>
      <w:r>
        <w:rPr>
          <w:color w:val="000000"/>
        </w:rPr>
        <w:t xml:space="preserve"> </w:t>
      </w:r>
      <w:r>
        <w:rPr>
          <w:rFonts w:ascii="Times New Roman;sans-serif" w:hAnsi="Times New Roman;sans-serif"/>
          <w:b w:val="false"/>
          <w:color w:val="000000"/>
          <w:sz w:val="20"/>
        </w:rPr>
        <w:t>fell below target compensation due to the stock price increasing modestly (13%), which resulted in marginal "in-the-money" value of options. This demonstrates the performance orientation of our long-term equity incentive awards, which requires meaningful stock price appreciation in order to deliver target or above target value from stock options. We continue to structure our compensation so that it is highly sensitive to performance.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1"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286500" cy="3400425"/>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6"/>
                    <a:stretch>
                      <a:fillRect/>
                    </a:stretch>
                  </pic:blipFill>
                  <pic:spPr bwMode="auto">
                    <a:xfrm>
                      <a:off x="0" y="0"/>
                      <a:ext cx="6286500" cy="34004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0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(1)Reflects annual salary, target bonus, and grant date fair value of long-term incentive awards.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(2)Reflects annual salary, actual bonus, and "in-the-money" long-term incentive award values at December 31, 2023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3"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Primary Elements of our Annual Executive Compensation Program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elements of our executive compensation program are: </w:t>
      </w:r>
    </w:p>
    <w:tbl>
      <w:tblPr>
        <w:tblW w:w="10205" w:type="dxa"/>
        <w:jc w:val="left"/>
        <w:tblInd w:w="0" w:type="dxa"/>
        <w:tblLayout w:type="fixed"/>
        <w:tblCellMar>
          <w:top w:w="28" w:type="dxa"/>
          <w:left w:w="28" w:type="dxa"/>
          <w:bottom w:w="28" w:type="dxa"/>
          <w:right w:w="28" w:type="dxa"/>
        </w:tblCellMar>
      </w:tblPr>
      <w:tblGrid>
        <w:gridCol w:w="519"/>
        <w:gridCol w:w="458"/>
        <w:gridCol w:w="461"/>
        <w:gridCol w:w="2032"/>
        <w:gridCol w:w="1334"/>
        <w:gridCol w:w="1347"/>
        <w:gridCol w:w="1411"/>
        <w:gridCol w:w="1088"/>
        <w:gridCol w:w="1555"/>
      </w:tblGrid>
      <w:tr>
        <w:trPr/>
        <w:tc>
          <w:tcPr>
            <w:tcW w:w="5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Element</w:t>
            </w:r>
          </w:p>
        </w:tc>
        <w:tc>
          <w:tcPr>
            <w:tcW w:w="47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Purpose</w:t>
            </w:r>
          </w:p>
        </w:tc>
        <w:tc>
          <w:tcPr>
            <w:tcW w:w="4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Key Features and Timing</w:t>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Base Salary</w:t>
            </w:r>
          </w:p>
        </w:tc>
        <w:tc>
          <w:tcPr>
            <w:tcW w:w="4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 competitive, fixed compensation to attract and retain top executive talent who we believe best represent our core values and can make significant contributions towards achieving our purpose of bettering the life of each person impacted by kidney disease</w:t>
            </w:r>
          </w:p>
        </w:tc>
        <w:tc>
          <w:tcPr>
            <w:tcW w:w="405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Cash-based</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Initial base salaries are set at the time of hire, and adjustments to base salaries are considered in conjunction with changes in job responsibilities or annually as part of our merit increase process</w:t>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Annual Cash Bonus (at-risk cash)</w:t>
            </w:r>
          </w:p>
        </w:tc>
        <w:tc>
          <w:tcPr>
            <w:tcW w:w="4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Performance-contingent compensation to motivate and reward executives for attaining rigorous corporate performance goals that support our purpose of bettering the life of each person impacted by kidney disease</w:t>
            </w:r>
          </w:p>
        </w:tc>
        <w:tc>
          <w:tcPr>
            <w:tcW w:w="405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Cash-based</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Based entirely on achievement of corporate goals, in accordance with the Company’s then in effect Cash Incentive Plan</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Generally measured and paid out on an annual basis, typically annually following the close of the previous fiscal year</w:t>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Incentives (at risk equity)</w:t>
            </w:r>
          </w:p>
        </w:tc>
        <w:tc>
          <w:tcPr>
            <w:tcW w:w="4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incentive compensation to promote equity performance, support retention and foster long-term alignment of executive and stakeholder interests</w:t>
            </w:r>
          </w:p>
        </w:tc>
        <w:tc>
          <w:tcPr>
            <w:tcW w:w="405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Equity-based</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Generally granted in a combination of annual time-based stock options and RSUs, but may include PSUs, performance-based stock options or SARs, each of which vests over time</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Based on blended peer group and broader market data, market competitiveness, expected future contribution, experience, impact and individual performance relative to similar positions within the Company</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Generally granted at the time of hire, and annually following the close of the fiscal year in accordance with the terms of the 2023 Plan, though may also be granted on a non-recurring basis to incentivize the achievement of specific corporate goals or help retain executives</w:t>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Benefits</w:t>
            </w:r>
          </w:p>
        </w:tc>
        <w:tc>
          <w:tcPr>
            <w:tcW w:w="4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 additional benefits to attract and retain top executive talent</w:t>
            </w:r>
          </w:p>
        </w:tc>
        <w:tc>
          <w:tcPr>
            <w:tcW w:w="405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Includes payment of insurance premiums and other general benefits available to other employees</w:t>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4"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In addition, in 2023 and 2024, the following was also offered to certain of our named executive officers:</w:t>
      </w:r>
    </w:p>
    <w:tbl>
      <w:tblPr>
        <w:tblW w:w="10205" w:type="dxa"/>
        <w:jc w:val="left"/>
        <w:tblInd w:w="0" w:type="dxa"/>
        <w:tblLayout w:type="fixed"/>
        <w:tblCellMar>
          <w:top w:w="28" w:type="dxa"/>
          <w:left w:w="28" w:type="dxa"/>
          <w:bottom w:w="28" w:type="dxa"/>
          <w:right w:w="28" w:type="dxa"/>
        </w:tblCellMar>
      </w:tblPr>
      <w:tblGrid>
        <w:gridCol w:w="731"/>
        <w:gridCol w:w="645"/>
        <w:gridCol w:w="649"/>
        <w:gridCol w:w="1210"/>
        <w:gridCol w:w="1210"/>
        <w:gridCol w:w="1223"/>
        <w:gridCol w:w="1344"/>
        <w:gridCol w:w="1314"/>
        <w:gridCol w:w="1879"/>
      </w:tblGrid>
      <w:tr>
        <w:trPr/>
        <w:tc>
          <w:tcPr>
            <w:tcW w:w="73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Element</w:t>
            </w:r>
          </w:p>
        </w:tc>
        <w:tc>
          <w:tcPr>
            <w:tcW w:w="3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Purpose</w:t>
            </w:r>
          </w:p>
        </w:tc>
        <w:tc>
          <w:tcPr>
            <w:tcW w:w="45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Key Features and Timing</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Inducement Awards (equity)</w:t>
            </w:r>
          </w:p>
        </w:tc>
        <w:tc>
          <w:tcPr>
            <w:tcW w:w="3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hire awards pursuant to our inducement award program</w:t>
            </w:r>
          </w:p>
        </w:tc>
        <w:tc>
          <w:tcPr>
            <w:tcW w:w="453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Equity-based</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combination of stock options and/or RSUs, each of which vests over time </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target compensation, which included base salary, target annual cash bonuses and equity incentive awards, for our Chief Executive Officer and our other named executive officers in 2024 is as shown in the charts below. Compensation for Ms. Snow, Mr. Dahan, Mr. Ostrowski and Mr. Grund are not reflected in the other named executive officers chart below as they did not serve a full year.</w:t>
      </w:r>
    </w:p>
    <w:p>
      <w:pPr>
        <w:pStyle w:val="TextBody"/>
        <w:bidi w:val="0"/>
        <w:spacing w:before="240" w:after="283"/>
        <w:jc w:val="center"/>
        <w:rPr/>
      </w:pPr>
      <w:r>
        <w:rPr/>
        <w:drawing>
          <wp:inline distT="0" distB="0" distL="0" distR="0">
            <wp:extent cx="2743200" cy="2867025"/>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7"/>
                    <a:stretch>
                      <a:fillRect/>
                    </a:stretch>
                  </pic:blipFill>
                  <pic:spPr bwMode="auto">
                    <a:xfrm>
                      <a:off x="0" y="0"/>
                      <a:ext cx="2743200" cy="2867025"/>
                    </a:xfrm>
                    <a:prstGeom prst="rect">
                      <a:avLst/>
                    </a:prstGeom>
                  </pic:spPr>
                </pic:pic>
              </a:graphicData>
            </a:graphic>
          </wp:inline>
        </w:drawing>
      </w:r>
    </w:p>
    <w:p>
      <w:pPr>
        <w:pStyle w:val="TextBody"/>
        <w:bidi w:val="0"/>
        <w:spacing w:before="240" w:after="283"/>
        <w:jc w:val="center"/>
        <w:rPr/>
      </w:pPr>
      <w:r>
        <w:rPr/>
        <w:drawing>
          <wp:inline distT="0" distB="0" distL="0" distR="0">
            <wp:extent cx="2590800" cy="2867025"/>
            <wp:effectExtent l="0" t="0" r="0" b="0"/>
            <wp:docPr id="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 descr=""/>
                    <pic:cNvPicPr>
                      <a:picLocks noChangeAspect="1" noChangeArrowheads="1"/>
                    </pic:cNvPicPr>
                  </pic:nvPicPr>
                  <pic:blipFill>
                    <a:blip r:embed="rId8"/>
                    <a:stretch>
                      <a:fillRect/>
                    </a:stretch>
                  </pic:blipFill>
                  <pic:spPr bwMode="auto">
                    <a:xfrm>
                      <a:off x="0" y="0"/>
                      <a:ext cx="2590800" cy="2867025"/>
                    </a:xfrm>
                    <a:prstGeom prst="rect">
                      <a:avLst/>
                    </a:prstGeom>
                  </pic:spPr>
                </pic:pic>
              </a:graphicData>
            </a:graphic>
          </wp:inline>
        </w:drawing>
      </w:r>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2024 Compensation Decisions and Outcomes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Role of our Compensation Committee and Executive Officers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comprised entirely of independent directors, is responsible for overseeing our compensation philosophy and operates under a written charter. Among other things, the role of the Compensation Committee is to seek to ensure that compensation decisions represent sound fiscal policy and enable us to attract and motivate qualified personnel, review and approve the compensation of executives other than our Chief Executive Officer, and recommend to the Board of Directors the compensation of the Chief Executive Officer and the Board of Directors. The Board of Directors retains authority to approve the compensation of our Chief Executive Officer, upon recommendation by the Compensation Committee.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conducts an annual review of the performance and compensation of each of our executive officers, including our Chief Executive Officer. In making its executive compensation determinations, the Compensation Committee and, if applicable, the full Board of Directors, considers recommendations from our Chief Executive Officer for our named executive officers (other than himself). In making his recommendations, our Chief Executive Officer has access to various third-party compensation surveys and compensation data provided by our Compensation Committee’s independent compensation consultant, as described below. While our Chief Executive Officer discusses his recommendations for the other named executive officers with the Compensation Committee, he does not participate in the deliberations concerning, or the determination of, his own compensation. Similarly, in making its recommendation to the Board of Directors on the compensation of the Chief Executive Officer, the Compensation Committee has access to various third-party compensation surveys and compensation data provided by the Compensation Committee’s independent compensation consultant, as described below. From time to time, various other members of management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57"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employees as well as outside advisors or consultants, including the Compensation Committee’s independent compensation consultant, may be invited by the Compensation Committee to make presentations, provide financial or other background information or advice or otherwise participate in Compensation Committee meetings. No named executive officer is present during voting or deliberations on his or her own compensation.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Say-on-Pay Advisory Vote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year, pursuant to Section 14(a) of the Exchange Act, we submit to our stockholders a proposal to vote, on an advisory, non-binding basis, to approve the compensation of our named executive officers disclosed in our Proxy Statement. We first held this vote at the 2020 annual meeting of stockholders. In addition, our stockholders voted that we hold such a vote every year.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setting compensation, the Compensation Committee and the Board of Directors also consider the results of this “say-on-pay” vote. In 2023, this proposal received the support of 71.1% of the votes cast. In 2024, this proposal received the support of 50.8% of the votes cast. While the say-on-pay vote is advisory and not binding on the Company, we strongly value the opinions of our stockholders as expressed in the say-on-pay outcome.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Engagement with our stockholders is very important to us and is conducted routinely throughout the year on a formal and informal basis. In response to the declining stockholder support for our say-on-pay proposal, in November 2024, members of our senior management team proactively reached out to our top 50 stockholders, including both institutional and retail stockholders, who were at that time holding 1% or more of our outstanding Common Stock and, in the aggregate, representing 42% of our then outstanding Common Stock. The purpose of these calls was to discuss our governance structure and key executive compensation practices, listen to their feedback and understand their governance and executive compensation priorities. Senior management also informed these stockholders that the Board of Directors was available to address any questions or concerns. Our common stock is held predominantly by retail investors, and as of the record date for this year's Annual Meeting, only one institutional investor holds more than 5% of our outstanding common stock. As part of our stockholder outreach, we contacted approximately 22 institutional investors and 25 retail investors to solicit their feedback. Several investors responded that they were supportive of executive compensation and declined to speak with management, and senior management engaged with approximately 12 retail investors whose feedback included a recommendation to specifically tie executive compensation to the Company's share price performance.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senior management team discussed the feedback from these stockholders with the Compensation Committee, the Nominating and Governance Committee and the Board of Directors, and the Compensation Committee considered stockholder feedback related to linking executive compensation to value creation in the grant of compensation to our executive officers, including our Chief Executive Officer in 2025. As a result, in January 2025, on the recommendation of the Compensation Committee, the Board of Directors granted 350,500 PSUs to Mr. Butler that are aligned with stockholder returns. The PSUs vest as follows: one-half of the total number of shares of common stock underlying the PSUs on each of (a) the later of (i) the date that the Compensation Committee certifies that the average closing price of the Company's common stock equals or exceeds $3.50 over a 30-day trading period and (ii) the first anniversary of the grant date and, and (b) the later of (i) the date that the Compensation Committee certifies that the average closing price of the Company's common stock equals or exceeds $5.00 for over a 30-day trading period and (ii) the first anniversary of the grant date and, subject to Mr. Butler's continued service with the Company through the applicable vesting date.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committed to engaging with stockholders in a meaningful way to address any concerns or issues that stockholders may have with respect to our executive compensation program. Stockholders who would like to discuss any issues relating to our executive compensation program should communicate with the Board of Directors by following the procedures described in this Proxy Statement under the "General Matters — Contacting the Board of Directors".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Role of our Independent Compensation Consultant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part of reviewing, recommending and determining, as applicable, compensation for our named executive officers for the year ended December 31, 2024, the Compensation Committee engaged Pearl Meyer as an independent compensation consultant. We first engaged Pearl Meyer during the second quarter of 2020. Pearl Meyer provided analyses and recommendations to the Compensation Committee regarding: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trends and emerging topics with respect to executive compensation;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peer group selection for executive compensation benchmarking;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compensation practices of our peer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58"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compensation programs for executives, directors and all of our employees;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stock utilization and related metrics.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Pearl Meyer was engaged by the Compensation Committee and periodically meets with certain members of the Company’s senior management team for purposes of gathering information for its analyses and recommendations. In addition, when requested, Pearl Meyer representatives attended meetings of the Compensation Committee, including executive sessions in which executive compensation issues were discussed.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to engage Pearl Meyer, the Compensation Committee reviewed Pearl Meyer’s independence, taking into consideration relevant factors, including (i) the absence of other services provided to the Company by Pearl Meyer, (ii) the amount of fees the Company paid to Pearl Meyer as a percentage of Pearl Meyer’s total revenue, (iii) the policies and procedures of Pearl Meyer that are designed to prevent conflicts of interest, (iv) any business or personal relationship of the individual compensation advisors employed by Pearl Meyer with an executive officer of the Company or any member of the Compensation Committee, and (v) any stock of the Company owned by Pearl Meyer or the individual compensation advisors employed by Pearl Meyer. Our Compensation Committee determined, based on its analysis in light of all relevant factors, including the factors listed above, that the work of Pearl Meyer and the individual compensation advisors employed by Pearl Meyer as compensation consultants to the Compensation Committee has not created any conflicts of interest, and that Pearl Meyer is an independent compensation consultant pursuant to the independence standards set forth in The Nasdaq Capital Market listing standards promulgated pursuant to Section 10C of the Exchange Act. </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Executive Compensation Process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compares our executive compensation against a peer group to determine market trends and competitiveness. On an annual basis, the Compensation Committee reviews the companies in our peer group, as well as the Compensation Committee consultant’s recommendations regarding which companies should be added to or removed from the peer group. The Compensation Committee may also adjust the peer group to ensure it properly reflects the market in which we compete for executive talent.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retained Pearl Meyer to evaluate our executive compensation program and recommend a course of action for 2024. In determining the 2024 base salaries, annual cash bonuses and long-term incentives for our named executive officers, our Compensation Committee relied on the following peer group, or the 2024 Peer Group: </w:t>
      </w:r>
    </w:p>
    <w:tbl>
      <w:tblPr>
        <w:tblW w:w="7948" w:type="dxa"/>
        <w:jc w:val="left"/>
        <w:tblInd w:w="0" w:type="dxa"/>
        <w:tblLayout w:type="fixed"/>
        <w:tblCellMar>
          <w:top w:w="28" w:type="dxa"/>
          <w:left w:w="28" w:type="dxa"/>
          <w:bottom w:w="28" w:type="dxa"/>
          <w:right w:w="28" w:type="dxa"/>
        </w:tblCellMar>
      </w:tblPr>
      <w:tblGrid>
        <w:gridCol w:w="966"/>
        <w:gridCol w:w="850"/>
        <w:gridCol w:w="854"/>
        <w:gridCol w:w="859"/>
        <w:gridCol w:w="859"/>
        <w:gridCol w:w="861"/>
        <w:gridCol w:w="789"/>
        <w:gridCol w:w="789"/>
        <w:gridCol w:w="1121"/>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Ardelyx, Inc.</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Intercept Pharmaceuticals,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Puma Biotechnology, Inc.</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Cara Therapeutics, Inc.</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Karyopharm Therapeutics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Theravance Biopharma, Inc.</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Coherus BioSciences, Inc.</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MacroGenics,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UroGen Pharma Ltd.</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Collegium Pharmaceutical, Inc.</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Marinus Pharmaceuticals,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Vanda Pharmaceuticals Inc.</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Eagle Pharmaceuticals, Inc.</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Mirum Pharmaceuticals,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Xeris Biopharma Holdings, Inc.</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Enanta Pharmaceuticals, Inc.</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Ocular Therapeutix,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Y-mAbs Therapeutics, Inc.</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Evolus, Inc.</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OptiNose, Inc.</w:t>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Acorda Therapeutics, Inc., Albireo Pharma, Inc., AVEO Pharmaceuticals, Inc., Aytu BioPharma, Inc., Clovis Oncology, Inc., Evofem Biosciences, Inc., Fortress Biotech, Inc., KALA BIO, Inc. (formerly, Kala Pharmaceuticals, Inc.), Oyster Point Pharma, Inc., Paratek Pharmaceuticals, Inc., RVL Pharmaceuticals plc, and TherapeuticsMD, Inc. were included in our peer group for 2023, but removed from the 2024 Peer Group because their market capitalization or operating size moved outside of our targeted range or due to M&amp;A activity. Cara Therapeutics, Inc., Coherus BioSciences, Inc., Collegium Pharmaceutical, Inc., Eagle Pharmaceuticals, Inc., Enanta Pharmaceuticals, Inc., Evolus, Inc., MacroGenics, Inc., Mirum Pharmaceuticals, Inc., Theravance Biopharma, Inc., Vanda Pharmaceuticals Inc., Xeris Biopharma Holdings, Inc., and Y-mAbs Therapeutics, Inc. were added to the 2024 Peer Group.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Pearl Meyer focused on developing a peer group that: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comprised U.S. based public companies traded on a major exchange and operating in the biotechnology or pharmaceutical industries, including companies in the greater Boston area;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captured commercial stage companies comparable in terms of market capitalization/valuation, operating expenses and headcount;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is sensitive to the criteria proxy advisors will apply when determining their recommendations with respect to the advisory vote on executive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59"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2024 Peer Group was developed using an objective process based on specific metrics that were used to evaluate and, as needed update, our approved peer group for 2023, including to identify potential new companies for inclusion. An initial group was evaluated based on U.S. based, biotechnology and pharmaceutical companies publicly traded on a major exchange. The group was further refined to focus on commercial stage companies in a comparable range to our then market capitalization, operating expenses and headcount. Lastly, the group was further filtered for companies in the same or a similar location and therapeutic area. The comparative statistics for the 2024 Peer Group were as follows: </w:t>
      </w:r>
    </w:p>
    <w:tbl>
      <w:tblPr>
        <w:tblW w:w="6492" w:type="dxa"/>
        <w:jc w:val="left"/>
        <w:tblInd w:w="0" w:type="dxa"/>
        <w:tblLayout w:type="fixed"/>
        <w:tblCellMar>
          <w:top w:w="28" w:type="dxa"/>
          <w:left w:w="28" w:type="dxa"/>
          <w:bottom w:w="28" w:type="dxa"/>
          <w:right w:w="28" w:type="dxa"/>
        </w:tblCellMar>
      </w:tblPr>
      <w:tblGrid>
        <w:gridCol w:w="793"/>
        <w:gridCol w:w="694"/>
        <w:gridCol w:w="702"/>
        <w:gridCol w:w="409"/>
        <w:gridCol w:w="409"/>
        <w:gridCol w:w="411"/>
        <w:gridCol w:w="689"/>
        <w:gridCol w:w="689"/>
        <w:gridCol w:w="691"/>
        <w:gridCol w:w="294"/>
        <w:gridCol w:w="294"/>
        <w:gridCol w:w="417"/>
      </w:tblGrid>
      <w:tr>
        <w:trPr/>
        <w:tc>
          <w:tcPr>
            <w:tcW w:w="7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Market</w:t>
              <w:br/>
              <w:t>Capitalization*</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Last Twelve Months</w:t>
              <w:br/>
              <w:t>Total Operating Expenses*</w:t>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Full-time</w:t>
              <w:br/>
              <w:t>Employees*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2024 Peer Group Median</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$379 million</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$207 million</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Akebia Therapeutics, Inc.</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 million</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$291 million</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c>
      </w:tr>
    </w:tbl>
    <w:p>
      <w:pPr>
        <w:pStyle w:val="TextBody"/>
        <w:bidi w:val="0"/>
        <w:spacing w:lineRule="auto" w:line="288" w:before="24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 capitalization is as of July 31, 2023. Full-time employee data is as of fiscal year ended December 31, 2022, and Last Twelve Months Total Operating Expenses is as of June 30,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2024 Peer Group, Pearl Meyer prepared an assessment that included executive pay levels and compensation practices described in SEC filings. To determine the appropriate market information, Pearl Meyer supplemented the executive pay levels and compensation information from the peer group that the Company approved for 2024, with survey data from the Radford McLagan Compensation Database, which we purchased. The data consisted of a custom cut of 27 comparably sized publicly traded commercial life sciences companies, which provides a broader market representation of companies and deeper position reporting. To arrive at competitive market compensation, market data collected from the peer group and data from comparably sized publicly traded commercial life sciences companies from the Radford McLagan Compensation Database was incorporated appropriately to form a composite assessment.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analyzing and setting our executive compensation program for 2024, the Board of Directors and the Compensation Committee, as applicable, compared certain aspects of our named executive officers’ compensation to the compensation levels included in this market assessment. Based on the results of the assessment, the Board of Directors and the Compensation Committee, as applicable, determined that compensation levels for our named executive officers was generally competitive with market. </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Base Salaries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base salary for our Chief Executive Officer is determined annually by the Board of Directors, upon recommendation by the Compensation Committee. Base salaries for our named executive officers other than our Chief Executive Officer are determined annually by our Compensation Committee pursuant to the Compensation Committee charter and Nasdaq rules. Each such determination is based on the scope of each officer’s responsibilities along with his or her respective experience and contributions to the Company during the prior year and the Company’s performance during the prior year. When reviewing base salaries, the Board of Directors and the Compensation Committee, as applicable, takes factors into account such as data provided by Pearl Meyer, specifically market median data, market competitiveness, expected future contribution, experience, impact and individual performance relative to similar positions within the Company, but does not assign any specific weighting to any factor.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its review of the factors described above, in January 2024, the Board of Directors and the Compensation Committee, as applicable, approved a 4% increase in Mr. Butler's base salary, 1% increase in Ms. Snow's base salary, 4% increase in Dr. Burke's base salary and 2% increase in Mr. Dahan's base salary. The following table presents the base salaries for each of our named executive officers for the years 2023 and 2024, as approved by the Board of Directors and the Compensation Committee, as applicable, in January of each year. The 2023 base salaries became effective on February 10, 2023 and were retroactive to January 1, 2023. The 2024 base salaries became effective on February 23, 2024 and were retroactive to January 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0"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tbl>
      <w:tblPr>
        <w:tblW w:w="7998" w:type="dxa"/>
        <w:jc w:val="left"/>
        <w:tblInd w:w="0" w:type="dxa"/>
        <w:tblLayout w:type="fixed"/>
        <w:tblCellMar>
          <w:top w:w="28" w:type="dxa"/>
          <w:left w:w="28" w:type="dxa"/>
          <w:bottom w:w="28" w:type="dxa"/>
          <w:right w:w="28" w:type="dxa"/>
        </w:tblCellMar>
      </w:tblPr>
      <w:tblGrid>
        <w:gridCol w:w="707"/>
        <w:gridCol w:w="620"/>
        <w:gridCol w:w="623"/>
        <w:gridCol w:w="440"/>
        <w:gridCol w:w="440"/>
        <w:gridCol w:w="441"/>
        <w:gridCol w:w="339"/>
        <w:gridCol w:w="339"/>
        <w:gridCol w:w="341"/>
        <w:gridCol w:w="295"/>
        <w:gridCol w:w="295"/>
        <w:gridCol w:w="296"/>
        <w:gridCol w:w="485"/>
        <w:gridCol w:w="485"/>
        <w:gridCol w:w="486"/>
        <w:gridCol w:w="400"/>
        <w:gridCol w:w="400"/>
        <w:gridCol w:w="566"/>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604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January 2024 Approved Adjustment</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2023 Annualized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Base Salary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Increase (as</w:t>
              <w:br/>
              <w:t>% of 2023</w:t>
              <w:br/>
              <w:t>Base Salary)</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 of</w:t>
              <w:br/>
              <w:t>Increase</w:t>
              <w:br/>
              <w:t>($)</w:t>
            </w:r>
          </w:p>
        </w:tc>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Nature of Increase</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 Annualized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Base Salary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795,723</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31,877</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ans-serif" w:hAnsi="Times New Roman;sans-serif"/>
                <w:b w:val="false"/>
                <w:color w:val="000000"/>
                <w:sz w:val="20"/>
              </w:rPr>
            </w:pPr>
            <w:r>
              <w:rPr>
                <w:rFonts w:ascii="Times New Roman;sans-serif" w:hAnsi="Times New Roman;sans-serif"/>
                <w:b w:val="false"/>
                <w:color w:val="000000"/>
                <w:sz w:val="20"/>
              </w:rPr>
              <w:t>Merit increase</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827,600</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Erik J.Ostrowski(1)</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Ellen E. Snow(2) </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450,000</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Merit increase</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454,500</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K. Burke, M.D.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553,104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22,124</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Merit increase</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575,228</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Nicholas P. Grund(3)</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Michel Dahan(4)</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505,488</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10,110</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Merit increase</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515,598</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Mr. Ostrowski joined the Company in June 2024 and was not eligible for an increase in his base salary.</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Ms. Snow became our Senior Vice President, Chief Financial Officer and Treasurer in July 2023. She separated from the Company in March 2024.</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Mr. Grund joined the Company in January 2024 and was not eligible for an increase in his base salary.</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Mr. Dahan separated from the Company in June 2024.</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Annual Cash Bonuses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All of our named executive officers participate in the Akebia Therapeutics, Inc. Cash Incentive Plan, or the Cash Incentive Plan, which is our annual cash bonus program that promotes and rewards our executives for the achievement of key strategic and business goals. The 2024 bonus plan period under the Cash Incentive Plan covered the 12-month period beginning on January 1, 2024 and ending on December 31, 2024. For the 2024 bonus plan period, the target annual bonus as a percentage of base salary, as determined based on the 2024 base salary amounts, was 75% for Mr. Butler and 45% for each of the other named executive officers. The Board of Directors and the Compensation Committee, as applicable, determined that annual cash bonus opportunities were competitive with the market based on Pearl Meyer's assessment of the market median data from the 2024 Peer Group and survey data from the</w:t>
      </w:r>
      <w:r>
        <w:rPr>
          <w:color w:val="000000"/>
        </w:rPr>
        <w:t xml:space="preserve"> </w:t>
      </w:r>
      <w:r>
        <w:rPr>
          <w:rFonts w:ascii="Times New Roman;sans-serif" w:hAnsi="Times New Roman;sans-serif"/>
          <w:b w:val="false"/>
          <w:color w:val="000000"/>
          <w:sz w:val="20"/>
        </w:rPr>
        <w:t>Radford McLagan Compensation Database.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of each named executive officer’s annual bonus is based entirely on the Company’s performance against pre-established corporate goals. At the beginning of the 2024 bonus plan period, the Board of Directors established the below corporate goals for calendar year 2024, each having a designated weighting, which related to key development, strategic and financial goals of the Company. Our Chief Executive Officer and certain members of senior management report to the Compensation Committee and the Board of Directors on the Company’s overall performance on a regular basis throughout the year. At the end of the year, our Chief Executive Officer and certain members of senior management present the Compensation Committee with a proposed score based on the Company’s actual performance as calculated against the corporate goals established by the Board of Directors at the beginning of the year. The Company’s overall performance goals allow for some amount of subjective and qualitative assessment, so there are typically a series of meetings and discussions among senior management, the Compensation Committee and the Board of Directors as to the exact and appropriate scoring of the Company’s performance against the goals established by the Board at the beginning of the year. </w:t>
      </w:r>
    </w:p>
    <w:p>
      <w:pPr>
        <w:pStyle w:val="TextBody"/>
        <w:bidi w:val="0"/>
        <w:spacing w:lineRule="auto" w:line="288" w:before="18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1"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Company’s 2024 corporate goals and the level of achievement against those goals as determined by the Compensation Committee and the Board of Directors. </w:t>
      </w:r>
    </w:p>
    <w:tbl>
      <w:tblPr>
        <w:tblW w:w="10205" w:type="dxa"/>
        <w:jc w:val="left"/>
        <w:tblInd w:w="0" w:type="dxa"/>
        <w:tblLayout w:type="fixed"/>
        <w:tblCellMar>
          <w:top w:w="28" w:type="dxa"/>
          <w:left w:w="28" w:type="dxa"/>
          <w:bottom w:w="28" w:type="dxa"/>
          <w:right w:w="28" w:type="dxa"/>
        </w:tblCellMar>
      </w:tblPr>
      <w:tblGrid>
        <w:gridCol w:w="2152"/>
        <w:gridCol w:w="1718"/>
        <w:gridCol w:w="1723"/>
        <w:gridCol w:w="395"/>
        <w:gridCol w:w="395"/>
        <w:gridCol w:w="396"/>
        <w:gridCol w:w="455"/>
        <w:gridCol w:w="455"/>
        <w:gridCol w:w="456"/>
        <w:gridCol w:w="601"/>
        <w:gridCol w:w="601"/>
        <w:gridCol w:w="858"/>
      </w:tblGrid>
      <w:tr>
        <w:trPr/>
        <w:tc>
          <w:tcPr>
            <w:tcW w:w="2152"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5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2024 Goal</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Target Allocation (%)</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Actual Level of</w:t>
              <w:br/>
              <w:t>Achievement (%)</w:t>
            </w:r>
          </w:p>
        </w:tc>
        <w:tc>
          <w:tcPr>
            <w:tcW w:w="20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Percent Earned Toward Total Achievement (%)</w:t>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Auryxia</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revenue goal</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Complete contracting with dialysis organizations to enable and prepare for transitional drug add-on payment adjustment, or TDAPA, access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Vafseo</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559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Obtain FDA approval in dialysis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 launch plan based on once daily dosing</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Ensure commercial product available for shipment to customers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Complete TDAPA submission and plan for achieving designation</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Complete contracting with dialysis organizations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Achieve target threshold of unaided awareness of Vafseo by the end of 2024 or target product revenue in the fourth quarter of 2024</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Life Cycle Management &amp; Pipeline</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06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Finalize modified dosing strategy</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Complete regulatory meeting with the European Medicines Agency, or EMA, for NDD-CKD label expansion and present global development to the Board</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 GMP material and initiate investigational new drug, or IND, toxicology studies for AKB-9090</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Complete market assessment and FDA interaction for AKB-10108 in ROP</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559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Exit 2024 financed to cash flow break even</w:t>
            </w:r>
          </w:p>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People</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Enable organizational effectiveness through people development, culture and change management</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Execute organization capability plan to meet current and future resource needs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level of achievement of the pre-established corporate goals, each eligible named executive officer’s 2024 annual cash bonus could have ranged between 0% and 150% of his or her target annual bonus. Ms. Snow and Mr. Dahan were ineligible to receive a 2024 annual cash bonus. In January 2025, our Compensation Committee met and evaluated the performance of the Company against these specified performance goals. Based on its evaluation, our Compensation Committee recommended, and the Board of Directors approved, that executives achieved 100% of the corporate performance goals for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based its determinations above on, among other factors, Auryxia revenue and contracting goals, Vafseo approval, launch and supply goals, our Vafseo lifecycle management and pipeline goals, and achievement of our financial and people goal, including that we: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Recorded Auryxia revenue of approximately $152.2 million in 2024;</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Completed contracts with nearly 100% of dialysis organizations for Auryxia and Vafseo;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Obtained FDA approval for Vafseo® (vadadustat) Tablets for the treatment of anemia due to CKD in adults who have been receiving dialysis for at least three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2"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Developed a launch plan for Vafseo;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Completed TDAPA submission and achieved designation for January 1, 2025;</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Submitted protocol to FDA for Vafseo NDD-CKD label expansion and presented U.S. global development plan to the Board;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Financed to fund our current operating plan for at least twenty-four months.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annual cash bonuses for each of our named executive officers for 2024, as approved by the Board of Directors and the Compensation Committee, as applicable, which were based entirely on the achievement of our corporate performance goals established by the Board of Directors, as described above. </w:t>
      </w:r>
    </w:p>
    <w:tbl>
      <w:tblPr>
        <w:tblW w:w="6608" w:type="dxa"/>
        <w:jc w:val="left"/>
        <w:tblInd w:w="0" w:type="dxa"/>
        <w:tblLayout w:type="fixed"/>
        <w:tblCellMar>
          <w:top w:w="28" w:type="dxa"/>
          <w:left w:w="28" w:type="dxa"/>
          <w:bottom w:w="28" w:type="dxa"/>
          <w:right w:w="28" w:type="dxa"/>
        </w:tblCellMar>
      </w:tblPr>
      <w:tblGrid>
        <w:gridCol w:w="706"/>
        <w:gridCol w:w="621"/>
        <w:gridCol w:w="623"/>
        <w:gridCol w:w="305"/>
        <w:gridCol w:w="305"/>
        <w:gridCol w:w="306"/>
        <w:gridCol w:w="109"/>
        <w:gridCol w:w="109"/>
        <w:gridCol w:w="109"/>
        <w:gridCol w:w="214"/>
        <w:gridCol w:w="214"/>
        <w:gridCol w:w="216"/>
        <w:gridCol w:w="109"/>
        <w:gridCol w:w="109"/>
        <w:gridCol w:w="109"/>
        <w:gridCol w:w="345"/>
        <w:gridCol w:w="345"/>
        <w:gridCol w:w="346"/>
        <w:gridCol w:w="109"/>
        <w:gridCol w:w="109"/>
        <w:gridCol w:w="109"/>
        <w:gridCol w:w="316"/>
        <w:gridCol w:w="316"/>
        <w:gridCol w:w="449"/>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Annualized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Base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Target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Bonus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Base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Achievement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Annual Cash</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Bonus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827,600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color w:val="000000"/>
                <w:sz w:val="20"/>
              </w:rPr>
              <w:t>=</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620,700</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Erik J. Ostrowski(1)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127,825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Ellen E. Snow(2)</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454,500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color w:val="000000"/>
                <w:sz w:val="20"/>
              </w:rPr>
              <w:t>=</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K. Burke, M.D.</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575,228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color w:val="000000"/>
                <w:sz w:val="20"/>
              </w:rPr>
              <w: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258,853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Nicholas P. Grund(3)</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206,384</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Michel Dahan(4)</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515,598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color w:val="000000"/>
                <w:sz w:val="20"/>
              </w:rPr>
              <w: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Mr. Ostrowski's 2024 annual cash bonus was pro-rated to his start date in June 2024.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Ms. Snow separated from the Company in March 2024; and therefore, Ms. Snow did not receive a 2024 annual cash bonus.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Mr. Grund's 2024 annual cash bonus was pro-rated to his start date in January 2024.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Mr. Dahan separated from the Company in June 2024; and therefore, Mr. Dahan did not receive a 2024 annual cash bonus.</w:t>
      </w:r>
    </w:p>
    <w:p>
      <w:pPr>
        <w:pStyle w:val="TextBody"/>
        <w:bidi w:val="0"/>
        <w:spacing w:lineRule="auto" w:line="26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Long-Term Incentive Compensation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currently serving named executive officers are eligible to participate in our 2023 Plan. Pursuant to the 2023 Plan, the Board of Directors or the Compensation Committee, as applicable, has the authority to approve the grant of stock options, RSUs, PSUs and other stock- and incentive-based awards to employees, directors, consultants and advisors to the Company and its affiliates and, subject to limited exceptions set forth in the 2023 Plan, to set the terms of such awards, including provisions related to vesting and exercisability.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considering the grant of long-term incentive awards, the Board of Directors and the Compensation Committee, as applicable, takes factors into account such as peer group and broader market data, market competitiveness, expected future contribution, experience, impact and individual performance relative to similar positions within the Company, but does not assign any specific weight to any factor. In addition, when reviewing long-term incentive awards, the Board of Directors and the Compensation Committee, as applicable, reviews and considers the current equity holdings and vested and unvested positions of the named executive officers.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more fully described below, in fiscal year 2024, Mr. Butler, Dr. Burke, Mr. Dahan and Ms. Snow each received annual grants of stock options and RSUs in January 2024, and Mr. Grund and Mr. Ostrowski each received a new hire inducement option award and a new hire RSU award in January 2024 and June 2024, respectively. </w:t>
      </w:r>
    </w:p>
    <w:p>
      <w:pPr>
        <w:pStyle w:val="TextBody"/>
        <w:bidi w:val="0"/>
        <w:spacing w:lineRule="auto" w:line="288" w:before="240" w:after="283"/>
        <w:ind w:left="0" w:right="0" w:firstLine="49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2024 Awards: Time-Based Stock Options and RSUs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year 2024, Mr. Butler, Dr. Burke, Mr. Dahan and Ms. Snow each received an annual grant of time-based stock options and RSUs. The annual stock option grants are subject to time-based vesting conditions and generally vest, subject to continued service with the Company, as follows: 25% of the shares subject to the award vest on the first anniversary of the grant date and, thereafter, the shares continue to vest in quarterly installments over the subsequent three years, subject to the named executive officer’s continued service with the Company through the applicable vesting date. The annual RSU grants will vest on each of the first, second and third anniversaries of the grant date, subject to the named executive officers’ continued service with the Company through each such date. Mr. Ostrowski's and Mr. Grund's inducement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3"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in fiscal year 2024 vest as follows: 25% of the shares subject to the award vest on the first anniversary of the grant date and, thereafter, the shares continue to vest in quarterly installments over the subsequent three years, subject to their continued service with the Company through the applicable vesting date. Mr. Ostrowski's and Mr. Grund's new hire RSU awards granted in fiscal year 2024 vest as follows: one-third of the shares subject to the award vest on each of the first, second and third anniversaries of the grant date, subject to their continued service with the Company through the applicable vesting date. We believe these equity awards serve to align the interests of our named executive officers with our stockholders. In addition, we believe that equity grants with a time-based vesting feature promote retention because this feature incentivizes our named executive officers to remain in our employment during the vesting period. Furthermore, our current equity approach is aligned with the 2024 Peer Group and enables us to provide competitive compensation that also aligns the interests of our named executive officers with our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recommendation of the compensation consultant, the Compensation Committee and the Board of Directors set the annual grant levels to be generally competitive with the market long-term incentive awards when expressed as a percentage of common shares outstanding. The Compensation Committee and Board, as applicable, allocated approximately 50% to stock options and 50% to RSUs. The Committee determined this allocation based on the desire to balance the goal of enhancing stockholder value with executive retention needs. The mix was also within market norms of the 2024 Peer Group. The grant date fair value of our 2024 annual long-term incentive grants was higher than the grant date fair value of our 2023 annual long-term incentive grants as a result of the increase in value of our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annual grants, from time to time, we grant new hire awards, including pursuant to our inducement award program in accordance with Nasdaq Listing Rule 5635(c)(4), including Mr. Grund's and Mr. Ostrowski's option awards in January 2024 and June 2024, respectively, or special individual awards as part of our executive compensation program.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annual and new hire time-based stock option and RSU awards granted to our named executive officers in 2024, each as approved by the Board of Directors and the Compensation Committee, as applicable.</w:t>
      </w:r>
    </w:p>
    <w:tbl>
      <w:tblPr>
        <w:tblW w:w="10205" w:type="dxa"/>
        <w:jc w:val="left"/>
        <w:tblInd w:w="0" w:type="dxa"/>
        <w:tblLayout w:type="fixed"/>
        <w:tblCellMar>
          <w:top w:w="28" w:type="dxa"/>
          <w:left w:w="28" w:type="dxa"/>
          <w:bottom w:w="28" w:type="dxa"/>
          <w:right w:w="28" w:type="dxa"/>
        </w:tblCellMar>
      </w:tblPr>
      <w:tblGrid>
        <w:gridCol w:w="706"/>
        <w:gridCol w:w="621"/>
        <w:gridCol w:w="614"/>
        <w:gridCol w:w="430"/>
        <w:gridCol w:w="430"/>
        <w:gridCol w:w="431"/>
        <w:gridCol w:w="470"/>
        <w:gridCol w:w="470"/>
        <w:gridCol w:w="471"/>
        <w:gridCol w:w="963"/>
        <w:gridCol w:w="963"/>
        <w:gridCol w:w="965"/>
        <w:gridCol w:w="782"/>
        <w:gridCol w:w="782"/>
        <w:gridCol w:w="1107"/>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 Annual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 Option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Grant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Shares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Subject to 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 Annual RSU</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Grant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 Shares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Subject to RSUs)</w:t>
            </w:r>
          </w:p>
        </w:tc>
        <w:tc>
          <w:tcPr>
            <w:tcW w:w="28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 Stock Option Grant Pursuant to Inducement Award Program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Shares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Subject to 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26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 RSU Grant Pursuant to Inducement Award Program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Shares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Subject to RSUs)</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905,200</w:t>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603,500</w:t>
            </w:r>
          </w:p>
        </w:tc>
        <w:tc>
          <w:tcPr>
            <w:tcW w:w="2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2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Erik J. Ostrowski</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350,000</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Ellen E. Snow</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224,000</w:t>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149,300</w:t>
            </w:r>
          </w:p>
        </w:tc>
        <w:tc>
          <w:tcPr>
            <w:tcW w:w="2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K. Burke, M.D.</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303,300</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202,200</w:t>
            </w:r>
          </w:p>
        </w:tc>
        <w:tc>
          <w:tcPr>
            <w:tcW w:w="2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Nicholas P. Grund</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454,950</w:t>
            </w:r>
          </w:p>
        </w:tc>
        <w:tc>
          <w:tcPr>
            <w:tcW w:w="2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303,300</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Michel Dahan</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224,000</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149,300</w:t>
            </w:r>
          </w:p>
        </w:tc>
        <w:tc>
          <w:tcPr>
            <w:tcW w:w="2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Previously Granted Performance-Based Awards Earned in 2024</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ans-serif" w:hAnsi="Times New Roman;sans-serif"/>
          <w:b w:val="false"/>
          <w:color w:val="000000"/>
          <w:sz w:val="20"/>
        </w:rPr>
        <w:t>As previously disclosed, in connection with our April 2022 and May 2022 reductions in workforce, the Board of Directors approved a retention program designed to retain the employees required to support the Company through a critical time strategically. The retention program was designed to promote stability and retention, while also requiring certain performance hurdles be attained</w:t>
      </w:r>
      <w:r>
        <w:rPr>
          <w:color w:val="000000"/>
        </w:rPr>
        <w:t xml:space="preserve"> </w:t>
      </w:r>
      <w:r>
        <w:rPr>
          <w:rFonts w:ascii="Times New Roman;sans-serif" w:hAnsi="Times New Roman;sans-serif"/>
          <w:b w:val="false"/>
          <w:color w:val="000000"/>
          <w:sz w:val="20"/>
        </w:rPr>
        <w:t>for</w:t>
      </w:r>
      <w:r>
        <w:rPr>
          <w:color w:val="000000"/>
        </w:rPr>
        <w:t xml:space="preserve"> </w:t>
      </w:r>
      <w:r>
        <w:rPr>
          <w:rFonts w:ascii="Times New Roman;sans-serif" w:hAnsi="Times New Roman;sans-serif"/>
          <w:b w:val="false"/>
          <w:color w:val="000000"/>
          <w:sz w:val="20"/>
        </w:rPr>
        <w:t>most</w:t>
      </w:r>
      <w:r>
        <w:rPr>
          <w:color w:val="000000"/>
        </w:rPr>
        <w:t xml:space="preserve"> </w:t>
      </w:r>
      <w:r>
        <w:rPr>
          <w:rFonts w:ascii="Times New Roman;sans-serif" w:hAnsi="Times New Roman;sans-serif"/>
          <w:b w:val="false"/>
          <w:color w:val="000000"/>
          <w:sz w:val="20"/>
        </w:rPr>
        <w:t>awards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preserve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performance</w:t>
      </w:r>
      <w:r>
        <w:rPr>
          <w:color w:val="000000"/>
        </w:rPr>
        <w:t xml:space="preserve"> </w:t>
      </w:r>
      <w:r>
        <w:rPr>
          <w:rFonts w:ascii="Times New Roman;sans-serif" w:hAnsi="Times New Roman;sans-serif"/>
          <w:b w:val="false"/>
          <w:color w:val="000000"/>
          <w:sz w:val="20"/>
        </w:rPr>
        <w:t>orientation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program. The</w:t>
      </w:r>
      <w:r>
        <w:rPr>
          <w:color w:val="000000"/>
        </w:rPr>
        <w:t xml:space="preserve"> </w:t>
      </w:r>
      <w:r>
        <w:rPr>
          <w:rFonts w:ascii="Times New Roman;sans-serif" w:hAnsi="Times New Roman;sans-serif"/>
          <w:b w:val="false"/>
          <w:color w:val="000000"/>
          <w:sz w:val="20"/>
        </w:rPr>
        <w:t>retention</w:t>
      </w:r>
      <w:r>
        <w:rPr>
          <w:color w:val="000000"/>
        </w:rPr>
        <w:t xml:space="preserve"> </w:t>
      </w:r>
      <w:r>
        <w:rPr>
          <w:rFonts w:ascii="Times New Roman;sans-serif" w:hAnsi="Times New Roman;sans-serif"/>
          <w:b w:val="false"/>
          <w:color w:val="000000"/>
          <w:sz w:val="20"/>
        </w:rPr>
        <w:t>program</w:t>
      </w:r>
      <w:r>
        <w:rPr>
          <w:color w:val="000000"/>
        </w:rPr>
        <w:t xml:space="preserve"> </w:t>
      </w:r>
      <w:r>
        <w:rPr>
          <w:rFonts w:ascii="Times New Roman;sans-serif" w:hAnsi="Times New Roman;sans-serif"/>
          <w:b w:val="false"/>
          <w:color w:val="000000"/>
          <w:sz w:val="20"/>
        </w:rPr>
        <w:t>consisted</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cash payments and/or grants of RSUs and options to certain of our employees, including certain of our named executive officers.</w:t>
      </w:r>
      <w:r>
        <w:rPr>
          <w:color w:val="000000"/>
        </w:rPr>
        <w:t xml:space="preserve"> </w:t>
      </w:r>
      <w:r>
        <w:rPr>
          <w:rFonts w:ascii="Times New Roman;sans-serif" w:hAnsi="Times New Roman;sans-serif"/>
          <w:b w:val="false"/>
          <w:color w:val="000000"/>
          <w:sz w:val="20"/>
        </w:rPr>
        <w:t>These programs were intended to retain and motivate our executive officers to achieve milestones creating value for stockholders. The</w:t>
      </w:r>
      <w:r>
        <w:rPr>
          <w:color w:val="000000"/>
        </w:rPr>
        <w:t xml:space="preserve"> </w:t>
      </w:r>
      <w:r>
        <w:rPr>
          <w:rFonts w:ascii="Times New Roman;sans-serif" w:hAnsi="Times New Roman;sans-serif"/>
          <w:b w:val="false"/>
          <w:color w:val="000000"/>
          <w:sz w:val="20"/>
        </w:rPr>
        <w:t>following</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summary</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retention</w:t>
      </w:r>
      <w:r>
        <w:rPr>
          <w:color w:val="000000"/>
        </w:rPr>
        <w:t xml:space="preserve"> </w:t>
      </w:r>
      <w:r>
        <w:rPr>
          <w:rFonts w:ascii="Times New Roman;sans-serif" w:hAnsi="Times New Roman;sans-serif"/>
          <w:b w:val="false"/>
          <w:color w:val="000000"/>
          <w:sz w:val="20"/>
        </w:rPr>
        <w:t>awards</w:t>
      </w:r>
      <w:r>
        <w:rPr>
          <w:color w:val="000000"/>
        </w:rPr>
        <w:t xml:space="preserve"> </w:t>
      </w:r>
      <w:r>
        <w:rPr>
          <w:rFonts w:ascii="Times New Roman;sans-serif" w:hAnsi="Times New Roman;sans-serif"/>
          <w:b w:val="false"/>
          <w:color w:val="000000"/>
          <w:sz w:val="20"/>
        </w:rPr>
        <w:t>granted</w:t>
      </w:r>
      <w:r>
        <w:rPr>
          <w:color w:val="000000"/>
        </w:rPr>
        <w:t xml:space="preserve"> </w:t>
      </w:r>
      <w:r>
        <w:rPr>
          <w:rFonts w:ascii="Times New Roman;sans-serif" w:hAnsi="Times New Roman;sans-serif"/>
          <w:b w:val="false"/>
          <w:color w:val="000000"/>
          <w:sz w:val="20"/>
        </w:rPr>
        <w:t>before</w:t>
      </w:r>
      <w:r>
        <w:rPr>
          <w:color w:val="000000"/>
        </w:rPr>
        <w:t xml:space="preserve"> </w:t>
      </w:r>
      <w:r>
        <w:rPr>
          <w:rFonts w:ascii="Times New Roman;sans-serif" w:hAnsi="Times New Roman;sans-serif"/>
          <w:b w:val="false"/>
          <w:color w:val="000000"/>
          <w:sz w:val="20"/>
        </w:rPr>
        <w:t>2024</w:t>
      </w:r>
      <w:r>
        <w:rPr>
          <w:color w:val="000000"/>
        </w:rPr>
        <w:t xml:space="preserve"> </w:t>
      </w:r>
      <w:r>
        <w:rPr>
          <w:rFonts w:ascii="Times New Roman;sans-serif" w:hAnsi="Times New Roman;sans-serif"/>
          <w:b w:val="false"/>
          <w:color w:val="000000"/>
          <w:sz w:val="20"/>
        </w:rPr>
        <w:t>that</w:t>
      </w:r>
      <w:r>
        <w:rPr>
          <w:color w:val="000000"/>
        </w:rPr>
        <w:t xml:space="preserve"> </w:t>
      </w:r>
      <w:r>
        <w:rPr>
          <w:rFonts w:ascii="Times New Roman;sans-serif" w:hAnsi="Times New Roman;sans-serif"/>
          <w:b w:val="false"/>
          <w:color w:val="000000"/>
          <w:sz w:val="20"/>
        </w:rPr>
        <w:t>vested</w:t>
      </w:r>
      <w:r>
        <w:rPr>
          <w:color w:val="000000"/>
        </w:rPr>
        <w:t xml:space="preserve"> </w:t>
      </w:r>
      <w:r>
        <w:rPr>
          <w:rFonts w:ascii="Times New Roman;sans-serif" w:hAnsi="Times New Roman;sans-serif"/>
          <w:b w:val="false"/>
          <w:color w:val="000000"/>
          <w:sz w:val="20"/>
        </w:rPr>
        <w:t>during</w:t>
      </w:r>
      <w:r>
        <w:rPr>
          <w:color w:val="000000"/>
        </w:rPr>
        <w:t xml:space="preserve"> </w:t>
      </w:r>
      <w:r>
        <w:rPr>
          <w:rFonts w:ascii="Times New Roman;sans-serif" w:hAnsi="Times New Roman;sans-serif"/>
          <w:b w:val="false"/>
          <w:color w:val="000000"/>
          <w:sz w:val="20"/>
        </w:rPr>
        <w:t>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 March 2023, pursuant to Mr. Butler's previously disclosed 2022 letter agreement entered into as part of our retention</w:t>
      </w:r>
      <w:r>
        <w:rPr>
          <w:color w:val="000000"/>
        </w:rPr>
        <w:t xml:space="preserve"> </w:t>
      </w:r>
      <w:r>
        <w:rPr>
          <w:rFonts w:ascii="Times New Roman;sans-serif" w:hAnsi="Times New Roman;sans-serif"/>
          <w:b w:val="false"/>
          <w:color w:val="000000"/>
          <w:sz w:val="20"/>
        </w:rPr>
        <w:t>program,</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Company</w:t>
      </w:r>
      <w:r>
        <w:rPr>
          <w:color w:val="000000"/>
        </w:rPr>
        <w:t xml:space="preserve"> </w:t>
      </w:r>
      <w:r>
        <w:rPr>
          <w:rFonts w:ascii="Times New Roman;sans-serif" w:hAnsi="Times New Roman;sans-serif"/>
          <w:b w:val="false"/>
          <w:color w:val="000000"/>
          <w:sz w:val="20"/>
        </w:rPr>
        <w:t>certified</w:t>
      </w:r>
      <w:r>
        <w:rPr>
          <w:color w:val="000000"/>
        </w:rPr>
        <w:t xml:space="preserve"> </w:t>
      </w:r>
      <w:r>
        <w:rPr>
          <w:rFonts w:ascii="Times New Roman;sans-serif" w:hAnsi="Times New Roman;sans-serif"/>
          <w:b w:val="false"/>
          <w:color w:val="000000"/>
          <w:sz w:val="20"/>
        </w:rPr>
        <w:t>Mr.</w:t>
      </w:r>
      <w:r>
        <w:rPr>
          <w:color w:val="000000"/>
        </w:rPr>
        <w:t xml:space="preserve"> </w:t>
      </w:r>
      <w:r>
        <w:rPr>
          <w:rFonts w:ascii="Times New Roman;sans-serif" w:hAnsi="Times New Roman;sans-serif"/>
          <w:b w:val="false"/>
          <w:color w:val="000000"/>
          <w:sz w:val="20"/>
        </w:rPr>
        <w:t>Butler's</w:t>
      </w:r>
      <w:r>
        <w:rPr>
          <w:color w:val="000000"/>
        </w:rPr>
        <w:t xml:space="preserve"> </w:t>
      </w:r>
      <w:r>
        <w:rPr>
          <w:rFonts w:ascii="Times New Roman;sans-serif" w:hAnsi="Times New Roman;sans-serif"/>
          <w:b w:val="false"/>
          <w:color w:val="000000"/>
          <w:sz w:val="20"/>
        </w:rPr>
        <w:t>achievement</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one</w:t>
      </w:r>
      <w:r>
        <w:rPr>
          <w:color w:val="000000"/>
        </w:rPr>
        <w:t xml:space="preserve"> </w:t>
      </w:r>
      <w:r>
        <w:rPr>
          <w:rFonts w:ascii="Times New Roman;sans-serif" w:hAnsi="Times New Roman;sans-serif"/>
          <w:b w:val="false"/>
          <w:color w:val="000000"/>
          <w:sz w:val="20"/>
        </w:rPr>
        <w:t>milestone,</w:t>
      </w:r>
      <w:r>
        <w:rPr>
          <w:color w:val="000000"/>
        </w:rPr>
        <w:t xml:space="preserve"> </w:t>
      </w:r>
      <w:r>
        <w:rPr>
          <w:rFonts w:ascii="Times New Roman;sans-serif" w:hAnsi="Times New Roman;sans-serif"/>
          <w:b w:val="false"/>
          <w:color w:val="000000"/>
          <w:sz w:val="20"/>
        </w:rPr>
        <w:t>the Company's receipt of a positive opinion for</w:t>
      </w:r>
      <w:r>
        <w:rPr>
          <w:color w:val="000000"/>
        </w:rPr>
        <w:t xml:space="preserve"> </w:t>
      </w:r>
      <w:r>
        <w:rPr>
          <w:rFonts w:ascii="Times New Roman;sans-serif" w:hAnsi="Times New Roman;sans-serif"/>
          <w:b w:val="false"/>
          <w:color w:val="000000"/>
          <w:sz w:val="20"/>
        </w:rPr>
        <w:t>vadadustat</w:t>
      </w:r>
      <w:r>
        <w:rPr>
          <w:color w:val="000000"/>
        </w:rPr>
        <w:t xml:space="preserve"> </w:t>
      </w:r>
      <w:r>
        <w:rPr>
          <w:rFonts w:ascii="Times New Roman;sans-serif" w:hAnsi="Times New Roman;sans-serif"/>
          <w:b w:val="false"/>
          <w:color w:val="000000"/>
          <w:sz w:val="20"/>
        </w:rPr>
        <w:t xml:space="preserve">from the Committee for Medicinal Products for Human Use by March 31, 2023, for $150,000, $75,000 of which was paid to Mr. Butler in 2023 and the remaining $75,000 was paid to Mr. Butler January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4"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 May 2023, the Company certified Mr. Butler's achievement of another such milestone, the signing of a definitive license agreement, under the 2022 retention program for $325,000, $162,500 of which was paid to Mr. Butler in 2023 and the remaining $162,500 was paid to Mr. Butler January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2024, each of Mr. Butler, Dr. Burke, and Mr. Dahan achieved a milestone under their previously-disclosed September 2021 cash incentive awards upon FDA approval of vadadustat for use in the treatment of anemia due to CKD in adults who have been receiving dialysis for at least three months, in the amounts of $175,000, $175,000, and $75,000, respectively.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Benefits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a 401(k) plan to eligible employees, and our ESPP and basic health benefits are generally available to all of our employees, including our named executive officers. In accordance with the 401(k) plan, all eligible employees may contribute a percentage of compensation up to a maximum statutory limit per year. Company contributions to the 401(k) plan are discretionary, and contributions in the amount of approximately $1.7 million were made by the Company to the 401(k) plan in each of the fiscal years ended December 31, 2024 and December 31, 2023.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Tax and Accounting Considerations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Compensation Committee generally considers the tax and accounting implications of its executive compensation decisions, neither element was a material consideration in the compensation awarded to our named executive officers in 2024.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Compensation Practices and Risk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its responsibilities, the Compensation Committee reviews the impact of our executive compensation program and the associated incentives to determine whether they present a significant risk to us. The Compensation Committee has concluded, based on its review and analysis of our compensation policies and procedures, that such policies and procedures are not reasonably likely to have a material adverse effect on us. In making this determination, our Compensation Committee considered the following: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use of different types of compensation vehicles providing a balance of long-term and short-term incentives with fixed and variable components;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grant of equity-based awards with time-based vesting and performance-based vesting, both of which encourage our executive officers to look to long-term appreciation in equity values;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annual bonus determinations for each executive officer depending entirely on the achievement of Company goals, which we believe promote long-term value;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Compensation Committee’s ability to exercise discretion in determining cash bonus payouts and long-term incentive awards for executive officers other than the Chief Executive Officer;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system of internal control over financial reporting and Code of Conduct, among other things, reducing the likelihood of manipulation of our financial performance to enhance payments under any of our incentive plans;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prohibition on hedging or pledging of Company stock.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of Our Other Policies and Practices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Highlighted policies and practices that we use to ensure effective governance of compensation plans and decisions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Compensation Committee has the authority to hire independent counsel and other advisors;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Compensation Committee conducts a regular review and assessment of risk as it relates to our compensation policies and practices;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as part of our Insider Trading Compliance Policy, our executive officers are prohibited from pledging our Common Stock and engaging in any hedging transactions of our Common Stock, including using prepaid variable forward contracts, equity swaps, collars, and exchange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5"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have no perquisites other than broad-based health, dental, vision, transportation, relocation, 401(k) plan, a home office stipend, employee reward program and insurance-related benefits that we make available to all of our employees;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2023 Plan prohibits option repricing (absent stockholder approval) and option backdating;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Executive Severance Agreements do not provide for tax gross-ups;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all of our non-employee directors are independent, including all members of our Compensation Committee;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each of our named executive has agreed and acknowledged that they are subject to, and bound by, the terms and conditions of our Compensation Recovery Policy;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if we are required to restate our financial results due to our material noncompliance with any financial reporting requirements under the applicable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Policies and Practices Related to the Grant of Equity Awards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grant equity awards, including stock options and restricted stock units, to our employees and directors on an annual basis. We also grant equity awards to individuals upon hire or promotion or for retention purposes. During the last fiscal year, neither the Board nor the Compensation Committee took material nonpublic information into account when determining the timing or terms of equity awards, nor did the Company time the disclosure of material nonpublic information for the purpose of affecting the value of executive compensation. However, equity awards are generally granted on the last business day of the month in which they are approved by the Compensation Committee or the Board, as appropriate.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stock options granted to our named executive officers in the fiscal year ended December 31, 2024 during any period beginning four business days before the filing of a Form 10-Q or Form 10-K, or the filing or furnishing of a Form 8-K that disclosed material nonpublic information (other than a Form 8-K disclosing a material new option award grant under Item 5.02(e)), and ending one business day after the filing or furnishing of such report with the SEC.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30, 2024, we filed a Current Report on Form 8-K regarding our entry into an Agreement for the Provision of a Loan Facility with Kreos Capital VII (UK) Limited.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6"/>
        <w:gridCol w:w="238"/>
        <w:gridCol w:w="243"/>
        <w:gridCol w:w="184"/>
        <w:gridCol w:w="184"/>
        <w:gridCol w:w="185"/>
        <w:gridCol w:w="403"/>
        <w:gridCol w:w="391"/>
        <w:gridCol w:w="393"/>
        <w:gridCol w:w="109"/>
        <w:gridCol w:w="109"/>
        <w:gridCol w:w="109"/>
        <w:gridCol w:w="328"/>
        <w:gridCol w:w="328"/>
        <w:gridCol w:w="329"/>
        <w:gridCol w:w="109"/>
        <w:gridCol w:w="109"/>
        <w:gridCol w:w="109"/>
        <w:gridCol w:w="364"/>
        <w:gridCol w:w="296"/>
        <w:gridCol w:w="298"/>
        <w:gridCol w:w="1454"/>
        <w:gridCol w:w="1454"/>
        <w:gridCol w:w="2073"/>
      </w:tblGrid>
      <w:tr>
        <w:trPr/>
        <w:tc>
          <w:tcPr>
            <w:tcW w:w="4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5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Grant date</w:t>
            </w:r>
          </w:p>
        </w:tc>
        <w:tc>
          <w:tcPr>
            <w:tcW w:w="11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Number of securities underlying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Exercise price of the award ($/Sh)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Grant date fair value of the award</w:t>
            </w:r>
          </w:p>
        </w:tc>
        <w:tc>
          <w:tcPr>
            <w:tcW w:w="49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John P. Butler</w:t>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1/31/2024</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905,200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Ellen E. Snow</w:t>
            </w:r>
          </w:p>
        </w:tc>
        <w:tc>
          <w:tcPr>
            <w:tcW w:w="5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1/31/2024</w:t>
            </w:r>
          </w:p>
        </w:tc>
        <w:tc>
          <w:tcPr>
            <w:tcW w:w="11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224,000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Steven K. Burke</w:t>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1/31/2024</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303,300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Nicholas P. Grund</w:t>
            </w:r>
          </w:p>
        </w:tc>
        <w:tc>
          <w:tcPr>
            <w:tcW w:w="5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1/31/2024</w:t>
            </w:r>
          </w:p>
        </w:tc>
        <w:tc>
          <w:tcPr>
            <w:tcW w:w="11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454,950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Michel Dahan</w:t>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1/31/2024</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224,000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(1) Represents 2024 annual stock option grant.</w:t>
      </w:r>
      <w:r>
        <w:rPr>
          <w:color w:val="000000"/>
        </w:rPr>
        <w:t xml:space="preserve"> </w:t>
      </w:r>
      <w:r>
        <w:rPr>
          <w:rFonts w:ascii="Times New Roman;sans-serif" w:hAnsi="Times New Roman;sans-serif"/>
          <w:b w:val="false"/>
          <w:color w:val="000000"/>
          <w:sz w:val="20"/>
        </w:rPr>
        <w:t>It is our practice to make annual equity grants to our named executive officers on the last business day of January each year.</w:t>
      </w:r>
    </w:p>
    <w:p>
      <w:pPr>
        <w:pStyle w:val="TextBody"/>
        <w:bidi w:val="0"/>
        <w:spacing w:lineRule="auto" w:line="268" w:before="0" w:after="0"/>
        <w:jc w:val="left"/>
        <w:rPr/>
      </w:pPr>
      <w:r>
        <w:rPr>
          <w:rFonts w:ascii="Times New Roman;sans-serif" w:hAnsi="Times New Roman;sans-serif"/>
          <w:b w:val="false"/>
          <w:color w:val="000000"/>
          <w:sz w:val="20"/>
        </w:rPr>
        <w:t>(2) Represents a new hire inducement stock option grant.</w:t>
      </w:r>
      <w:r>
        <w:rPr>
          <w:color w:val="000000"/>
        </w:rPr>
        <w:t xml:space="preserve"> </w:t>
      </w:r>
      <w:r>
        <w:rPr>
          <w:rFonts w:ascii="Times New Roman;sans-serif" w:hAnsi="Times New Roman;sans-serif"/>
          <w:b w:val="false"/>
          <w:color w:val="000000"/>
          <w:sz w:val="20"/>
        </w:rPr>
        <w:t>It is our practice to grant new hire awards on the last business day of the month of hire.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6"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pPr>
      <w:r>
        <w:rPr>
          <w:color w:val="000000"/>
        </w:rPr>
        <w:t> </w:t>
      </w:r>
      <w:r>
        <w:rPr>
          <w:rFonts w:ascii="Times New Roman;sans-serif" w:hAnsi="Times New Roman;sans-serif"/>
          <w:b/>
          <w:color w:val="000000"/>
          <w:sz w:val="20"/>
        </w:rPr>
        <w:t xml:space="preserve">2024 Summary Compensation Table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regarding compensation awarded to, earned by or paid to each of our named executive officers during the fiscal years ended December 31, 2024, December 31, 2023 and December 31, 2022 (unless otherwise specified). </w:t>
      </w:r>
    </w:p>
    <w:tbl>
      <w:tblPr>
        <w:tblW w:w="10205" w:type="dxa"/>
        <w:jc w:val="left"/>
        <w:tblInd w:w="0" w:type="dxa"/>
        <w:tblLayout w:type="fixed"/>
        <w:tblCellMar>
          <w:top w:w="28" w:type="dxa"/>
          <w:left w:w="28" w:type="dxa"/>
          <w:bottom w:w="28" w:type="dxa"/>
          <w:right w:w="28" w:type="dxa"/>
        </w:tblCellMar>
      </w:tblPr>
      <w:tblGrid>
        <w:gridCol w:w="1066"/>
        <w:gridCol w:w="680"/>
        <w:gridCol w:w="683"/>
        <w:gridCol w:w="172"/>
        <w:gridCol w:w="172"/>
        <w:gridCol w:w="177"/>
        <w:gridCol w:w="229"/>
        <w:gridCol w:w="229"/>
        <w:gridCol w:w="233"/>
        <w:gridCol w:w="109"/>
        <w:gridCol w:w="109"/>
        <w:gridCol w:w="109"/>
        <w:gridCol w:w="160"/>
        <w:gridCol w:w="160"/>
        <w:gridCol w:w="161"/>
        <w:gridCol w:w="109"/>
        <w:gridCol w:w="109"/>
        <w:gridCol w:w="109"/>
        <w:gridCol w:w="274"/>
        <w:gridCol w:w="274"/>
        <w:gridCol w:w="278"/>
        <w:gridCol w:w="274"/>
        <w:gridCol w:w="274"/>
        <w:gridCol w:w="278"/>
        <w:gridCol w:w="109"/>
        <w:gridCol w:w="109"/>
        <w:gridCol w:w="109"/>
        <w:gridCol w:w="320"/>
        <w:gridCol w:w="320"/>
        <w:gridCol w:w="321"/>
        <w:gridCol w:w="109"/>
        <w:gridCol w:w="109"/>
        <w:gridCol w:w="109"/>
        <w:gridCol w:w="320"/>
        <w:gridCol w:w="320"/>
        <w:gridCol w:w="321"/>
        <w:gridCol w:w="109"/>
        <w:gridCol w:w="109"/>
        <w:gridCol w:w="109"/>
        <w:gridCol w:w="253"/>
        <w:gridCol w:w="253"/>
        <w:gridCol w:w="368"/>
      </w:tblGrid>
      <w:tr>
        <w:trPr/>
        <w:tc>
          <w:tcPr>
            <w:tcW w:w="106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Name and Principal Position</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Salary</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Bonus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Stock</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Awards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($)(1)</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Option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Awards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Nonequity</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Incentive Plan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Compensation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All Other </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Compensation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 ($)</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John P. Butler, President and Chief Executive Officer</w:t>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833,966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1,013,880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1,033,200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4,260,114</w:t>
            </w:r>
          </w:p>
        </w:tc>
      </w:tr>
      <w:tr>
        <w:trPr/>
        <w:tc>
          <w:tcPr>
            <w:tcW w:w="242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795,723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184,669</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780,318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997,193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2,775,123</w:t>
            </w:r>
          </w:p>
        </w:tc>
      </w:tr>
      <w:tr>
        <w:trPr/>
        <w:tc>
          <w:tcPr>
            <w:tcW w:w="242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765,118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633,150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1,116,177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542,277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3,072,538</w:t>
            </w:r>
          </w:p>
        </w:tc>
      </w:tr>
      <w:tr>
        <w:trPr/>
        <w:tc>
          <w:tcPr>
            <w:tcW w:w="242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Erik J. Ostrowski, Senior Vice President, Chief Financial Officer, Chief Business Officer and Treasurer</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284,414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357,000</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445,310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127,825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1,215,122</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Ellen E. Snow, Former Senior Vice President, Chief Financial Officer and Treasurer</w:t>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 (6)</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250,824</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325,383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372,773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1,048,621</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216,346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617,900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786,596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1,715,814</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vMerge w:val="restart"/>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Steven K. Burke, M.D., Senior Vice President, Research &amp; Development and Chief Medical Officer</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579,653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339,696</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440,575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433,853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1,811,027</w:t>
            </w:r>
          </w:p>
        </w:tc>
      </w:tr>
      <w:tr>
        <w:trPr/>
        <w:tc>
          <w:tcPr>
            <w:tcW w:w="2429"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553,104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123,606</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152,053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367,785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1,213,048</w:t>
            </w:r>
          </w:p>
        </w:tc>
      </w:tr>
      <w:tr>
        <w:trPr/>
        <w:tc>
          <w:tcPr>
            <w:tcW w:w="2429"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526,766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212,160</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399,823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224,007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1,378,557</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Nicholas P. Grund, Senior Vice President, Chief Commercial Officer</w:t>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459,393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509,544</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660,863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206,384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1,854,631</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vMerge w:val="restart"/>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Michel Dahan, Former Senior Vice President, Chief Operating Officer</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2024 (8)</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251,850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250,824</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325,383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309,406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1,212,463</w:t>
            </w:r>
          </w:p>
        </w:tc>
      </w:tr>
      <w:tr>
        <w:trPr/>
        <w:tc>
          <w:tcPr>
            <w:tcW w:w="2429"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505,488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226,000</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499,036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14,850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1,245,374</w:t>
            </w:r>
          </w:p>
        </w:tc>
      </w:tr>
      <w:tr>
        <w:trPr/>
        <w:tc>
          <w:tcPr>
            <w:tcW w:w="2429"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505,488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190,560</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362,099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214,959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1,287,386</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amounts reported in the “Stock Awards” and “Option Awards” columns above represent the grant date fair value of the stock options, RSUs, PSUs and SARs granted to our named executive officers during the years indicated as computed in accordance with ASC Topic 718, not including any estimates of forfeitures. The assumptions used in calculating the grant date fair value of the time-based stock options, performance options, RSUs and PSUs reported in the “Stock Awards” and “Option Awards” columns are set forth in Note 14 to our financial statements included in our Annual Report on Form 10-K for the fiscal year ended December 31, 2024. The grant date fair value of any PSUs is based on the probability of achievement of the relevant milestones at the time of grant. Note that the amounts reported in these columns reflect the accounting cost for these time-based stock options, performance options, RSUs, PSUs and SARs, and do not correspond to the actual economic value that may be received by the named executive officers from the time-based stock options, performance options, RSUs, PSUs and SARs.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67"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(2)Amounts for 2022 represent cash bonuses earned for the 12-month bonus plan period from January 1, 2022 to December 31, 2022 under our Cash Incentive Plan. Amounts for 2023 represent cash bonuses earned for the 12-month bonus plan period from January 1, 2023 to December 31, 2023 under our Cash Incentive Plan. Amounts for 2024 are detailed in the applicable footnotes below.</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(3)For 2024, includes Company contributions to its 401(k) plan for the benefit of our named executive officers, a stipend to each newly hired named executive officer for home office setup, payments made from the Company's employee reward program and, for Mr. Butler reimbursement of an additional amount for reserved parking in the garage at Company headquarters. For 2024, Mr. Butler and Mr. Dahan each received $46,200 and $16,912, respectively, of certain previously accrued vacation time. For 2024, severance pay of $367,096 is included for Ms. Snow pursuant to the terms of her executive severance agreement and severance pay of $277,630 is included for Mr. Dahan pursuant to the terms of his executive severance agreement. </w:t>
      </w:r>
    </w:p>
    <w:p>
      <w:pPr>
        <w:pStyle w:val="TextBody"/>
        <w:bidi w:val="0"/>
        <w:spacing w:lineRule="auto" w:line="288" w:before="0" w:after="0"/>
        <w:ind w:left="0" w:right="0" w:hanging="504"/>
        <w:jc w:val="left"/>
        <w:rPr/>
      </w:pPr>
      <w:r>
        <w:rPr>
          <w:rFonts w:ascii="Times New Roman;sans-serif" w:hAnsi="Times New Roman;sans-serif"/>
          <w:b w:val="false"/>
          <w:color w:val="000000"/>
          <w:sz w:val="20"/>
        </w:rPr>
        <w:t>(4)Amount represents (i) $620,700 cash bonus earned for the 12-month bonus plan period from January 1, 2024 to December 31, 2024 under our Cash Incentive Plan, (ii) $175,000 paid upon the achievement of a milestone under Mr. Butler's previously-disclosed September 2021 cash incentive awards, and (iii) $237,500 paid pursuant to the terms of Mr. Butler's previously disclosed letter agreement. See “</w:t>
      </w:r>
      <w:r>
        <w:rPr>
          <w:rFonts w:ascii="Times New Roman;sans-serif" w:hAnsi="Times New Roman;sans-serif"/>
          <w:b w:val="false"/>
          <w:i/>
          <w:color w:val="000000"/>
          <w:sz w:val="20"/>
        </w:rPr>
        <w:t>Other Previously Granted Performance-Based Awards Earned in 2024</w:t>
      </w:r>
      <w:r>
        <w:rPr>
          <w:color w:val="000000"/>
        </w:rPr>
        <w:t xml:space="preserve">” </w:t>
      </w:r>
      <w:r>
        <w:rPr>
          <w:rFonts w:ascii="Times New Roman;sans-serif" w:hAnsi="Times New Roman;sans-serif"/>
          <w:b w:val="false"/>
          <w:color w:val="000000"/>
          <w:sz w:val="20"/>
        </w:rPr>
        <w:t>above for additional detail regarding these awards.</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(5)Amount represents cash bonus earned for the 12-month bonus plan period from January 1, 2024 to December 31, 2024 under our Cash Incentive Plan, pro-rated appropriately to such named executive officer's start date.</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(6)Ms. Snow became our Senior Vice President, Chief Financial Officer and Treasurer in July 2023. She separated from the Company in March 2024.</w:t>
      </w:r>
    </w:p>
    <w:p>
      <w:pPr>
        <w:pStyle w:val="TextBody"/>
        <w:bidi w:val="0"/>
        <w:spacing w:lineRule="auto" w:line="288" w:before="0" w:after="0"/>
        <w:ind w:left="0" w:right="0" w:hanging="504"/>
        <w:jc w:val="left"/>
        <w:rPr/>
      </w:pPr>
      <w:r>
        <w:rPr>
          <w:rFonts w:ascii="Times New Roman;sans-serif" w:hAnsi="Times New Roman;sans-serif"/>
          <w:b w:val="false"/>
          <w:color w:val="000000"/>
          <w:sz w:val="22"/>
        </w:rPr>
        <w:t>(7)</w:t>
      </w:r>
      <w:r>
        <w:rPr>
          <w:rFonts w:ascii="Times New Roman;sans-serif" w:hAnsi="Times New Roman;sans-serif"/>
          <w:b w:val="false"/>
          <w:color w:val="000000"/>
          <w:sz w:val="20"/>
        </w:rPr>
        <w:t>Amount represents (i) $258,853 cash bonus earned for the 12-month bonus plan period from January 1, 2024 to December 31, 2024 under our Cash Incentive Plan and (ii) $175,000 paid upon the achievement of a milestone under Dr. Burke's previously-disclosed September 2021 cash incentive awards. See “</w:t>
      </w:r>
      <w:r>
        <w:rPr>
          <w:rFonts w:ascii="Times New Roman;sans-serif" w:hAnsi="Times New Roman;sans-serif"/>
          <w:b w:val="false"/>
          <w:i/>
          <w:color w:val="000000"/>
          <w:sz w:val="20"/>
        </w:rPr>
        <w:t>Other Previously Granted Performance-Based Awards Earned in 2024</w:t>
      </w:r>
      <w:r>
        <w:rPr>
          <w:color w:val="000000"/>
        </w:rPr>
        <w:t xml:space="preserve">” </w:t>
      </w:r>
      <w:r>
        <w:rPr>
          <w:rFonts w:ascii="Times New Roman;sans-serif" w:hAnsi="Times New Roman;sans-serif"/>
          <w:b w:val="false"/>
          <w:color w:val="000000"/>
          <w:sz w:val="20"/>
        </w:rPr>
        <w:t>above for additional detail regarding these awards.</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(8)Mr. Dahan separated from the Company in June 2024.</w:t>
      </w:r>
    </w:p>
    <w:p>
      <w:pPr>
        <w:pStyle w:val="TextBody"/>
        <w:bidi w:val="0"/>
        <w:spacing w:lineRule="auto" w:line="288" w:before="0" w:after="0"/>
        <w:ind w:left="0" w:right="0" w:hanging="504"/>
        <w:jc w:val="left"/>
        <w:rPr/>
      </w:pPr>
      <w:r>
        <w:rPr>
          <w:rFonts w:ascii="Times New Roman;sans-serif" w:hAnsi="Times New Roman;sans-serif"/>
          <w:b w:val="false"/>
          <w:color w:val="000000"/>
          <w:sz w:val="20"/>
        </w:rPr>
        <w:t>(9)Amount represents (i) $75,000 paid upon the achievement of a milestone under Mr. Dahan's previously-disclosed September 2021 cash incentive awards. See “</w:t>
      </w:r>
      <w:r>
        <w:rPr>
          <w:rFonts w:ascii="Times New Roman;sans-serif" w:hAnsi="Times New Roman;sans-serif"/>
          <w:b w:val="false"/>
          <w:i/>
          <w:color w:val="000000"/>
          <w:sz w:val="20"/>
        </w:rPr>
        <w:t>Other Previously Granted Performance-Based Awards Earned in 2024</w:t>
      </w:r>
      <w:r>
        <w:rPr>
          <w:color w:val="000000"/>
        </w:rPr>
        <w:t xml:space="preserve">” </w:t>
      </w:r>
      <w:r>
        <w:rPr>
          <w:rFonts w:ascii="Times New Roman;sans-serif" w:hAnsi="Times New Roman;sans-serif"/>
          <w:b w:val="false"/>
          <w:color w:val="000000"/>
          <w:sz w:val="20"/>
        </w:rPr>
        <w:t xml:space="preserve">above for additional detail regarding these awards. </w:t>
      </w:r>
    </w:p>
    <w:p>
      <w:pPr>
        <w:pStyle w:val="TextBody"/>
        <w:bidi w:val="0"/>
        <w:spacing w:before="0" w:after="0"/>
        <w:jc w:val="left"/>
        <w:rPr/>
      </w:pPr>
      <w:r>
        <w:rPr/>
      </w:r>
    </w:p>
    <w:p>
      <w:pPr>
        <w:pStyle w:val="TextBody"/>
        <w:bidi w:val="0"/>
        <w:spacing w:lineRule="auto" w:line="288" w:before="360" w:after="283"/>
        <w:jc w:val="center"/>
        <w:rPr/>
      </w:pPr>
      <w:r>
        <w:rPr>
          <w:color w:val="000000"/>
        </w:rPr>
        <w:t> </w:t>
      </w:r>
      <w:r>
        <w:rPr>
          <w:rFonts w:ascii="Times New Roman;sans-serif" w:hAnsi="Times New Roman;sans-serif"/>
          <w:b/>
          <w:color w:val="000000"/>
          <w:sz w:val="20"/>
        </w:rPr>
        <w:t xml:space="preserve">Grants of Plan-Based Awards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regarding non-equity and equity awards granted to each of our named executive officers during the year ended December 31, 2024. All non-equity incentive plan awards were made pursuant to our Cash Incentive Plan, our retention program or the previously-disclosed September 2021 cash incentive awards to Mr. Butler, Dr. Burke and Mr. Dahan. In 2024, we granted time-based stock options and RSUs to our named executive officers as compensation and to provide an incentive to our named executive officers to remain employed with us during the vesting period. All RSUs granted in 2024 represent the right to receive shares of our Common Stock and all stock options granted in 2024 consist of options to purchase shares of our Common Stock with an exercise price equal to the fair market value of our Common Stock on the date of grant. All such equity awards were granted under our 2023 Plan, other than new hire inducement awards to Mr. Ostrowski and Mr. Grund, which were granted as an inducement material to entering into employment with us in accordance with Nasdaq Listing Rule 5635(c)(4)and not pursuant to the 2023 Plan. The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68"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 of each stock option and RSU included in the following table is described in the footnotes to the Outstanding Equity Awards as of December 31, 2024 table below. </w:t>
      </w:r>
    </w:p>
    <w:tbl>
      <w:tblPr>
        <w:tblW w:w="10709" w:type="dxa"/>
        <w:jc w:val="left"/>
        <w:tblInd w:w="0" w:type="dxa"/>
        <w:tblLayout w:type="fixed"/>
        <w:tblCellMar>
          <w:top w:w="28" w:type="dxa"/>
          <w:left w:w="28" w:type="dxa"/>
          <w:bottom w:w="28" w:type="dxa"/>
          <w:right w:w="28" w:type="dxa"/>
        </w:tblCellMar>
      </w:tblPr>
      <w:tblGrid>
        <w:gridCol w:w="343"/>
        <w:gridCol w:w="143"/>
        <w:gridCol w:w="145"/>
        <w:gridCol w:w="155"/>
        <w:gridCol w:w="155"/>
        <w:gridCol w:w="156"/>
        <w:gridCol w:w="109"/>
        <w:gridCol w:w="109"/>
        <w:gridCol w:w="109"/>
        <w:gridCol w:w="320"/>
        <w:gridCol w:w="320"/>
        <w:gridCol w:w="321"/>
        <w:gridCol w:w="109"/>
        <w:gridCol w:w="109"/>
        <w:gridCol w:w="109"/>
        <w:gridCol w:w="325"/>
        <w:gridCol w:w="325"/>
        <w:gridCol w:w="326"/>
        <w:gridCol w:w="109"/>
        <w:gridCol w:w="109"/>
        <w:gridCol w:w="109"/>
        <w:gridCol w:w="265"/>
        <w:gridCol w:w="265"/>
        <w:gridCol w:w="266"/>
        <w:gridCol w:w="109"/>
        <w:gridCol w:w="109"/>
        <w:gridCol w:w="109"/>
        <w:gridCol w:w="170"/>
        <w:gridCol w:w="170"/>
        <w:gridCol w:w="171"/>
        <w:gridCol w:w="109"/>
        <w:gridCol w:w="109"/>
        <w:gridCol w:w="109"/>
        <w:gridCol w:w="235"/>
        <w:gridCol w:w="235"/>
        <w:gridCol w:w="236"/>
        <w:gridCol w:w="109"/>
        <w:gridCol w:w="109"/>
        <w:gridCol w:w="109"/>
        <w:gridCol w:w="199"/>
        <w:gridCol w:w="196"/>
        <w:gridCol w:w="191"/>
        <w:gridCol w:w="109"/>
        <w:gridCol w:w="109"/>
        <w:gridCol w:w="109"/>
        <w:gridCol w:w="260"/>
        <w:gridCol w:w="260"/>
        <w:gridCol w:w="261"/>
        <w:gridCol w:w="109"/>
        <w:gridCol w:w="109"/>
        <w:gridCol w:w="109"/>
        <w:gridCol w:w="205"/>
        <w:gridCol w:w="205"/>
        <w:gridCol w:w="206"/>
        <w:gridCol w:w="109"/>
        <w:gridCol w:w="109"/>
        <w:gridCol w:w="109"/>
        <w:gridCol w:w="215"/>
        <w:gridCol w:w="215"/>
        <w:gridCol w:w="306"/>
      </w:tblGrid>
      <w:tr>
        <w:trPr/>
        <w:tc>
          <w:tcPr>
            <w:tcW w:w="3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Name</w:t>
            </w:r>
          </w:p>
        </w:tc>
        <w:tc>
          <w:tcPr>
            <w:tcW w:w="46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Grant</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Compensation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Committee or</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Board of</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Directors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Approval</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Estimated</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Future</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Payouts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Under</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Non-Equity</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Incentive</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Plan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Awards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Target</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Estimated</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Future</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Payouts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Under</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Equity</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Incentive</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Plan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All</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Other</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Stock</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Awards: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Number</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of</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Shares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of Stock</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or Units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All Other</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Option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Awards: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Number of</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Securities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Underlying</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Options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Exercise</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or Base</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Price of</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Option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Awards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Grant</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Date</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Fair</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Value of</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Stock</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and</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Option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Awards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(1)</w:t>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Target</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Maximum</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John P. Butler</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1/25/2024(2)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Grant –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905,200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1,314,898</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1/25/2024(2)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Grant – 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603,500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1,013,880</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Cash Bonus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620,700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Cash Incentive Award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Cash Incentive Award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Cash Incentive Award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Erik J. Ostrowski</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New Hire Grant –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445,310</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New Hire Grant – 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357,000</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Cash Bonus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Ellen E. Snow</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Grant –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325,384</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Grant – 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149,300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250,824</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Cash Bonus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204,525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Steven K. Burke, M.D.</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Grant –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303,300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440,575</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Grant – 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339,696</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Cash Bonus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258,853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Cash Incentive Award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color w:val="000000"/>
              </w:rPr>
            </w:pPr>
            <w:r>
              <w:rPr>
                <w:color w:val="000000"/>
              </w:rPr>
              <w:t>—</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Nicholas P. Grund</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New Hire Grant –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454,950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660,863</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New Hire Grant – 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303,300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509,544</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Cash Bonus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209,250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Michel Dahan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Grant –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325,384</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Grant – 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149,300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250,824</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Annual Cash Bonus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232,019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Cash Incentive Award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24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(1)Reflects the fair value of time-based RSU and stock option awards on the date of grant calculated in accordance with ASC Topic 718. For a discussion of the assumptions used in the valuation of the time-based RSU awards and stock option awards granted to our named executive officers in 2024, see footnote (1) to the 2024 Summary Compensation Table above. </w:t>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(2)Each equity award granted to Mr. Butler was approved by our full Board of Directors pursuant to the terms of our 2023 Plan, and the charter of our Compensation Committee, and in accordance with Nasdaq rules and regulations. </w:t>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(3)The amounts shown in these rows represent the 2024 target payout amount of annual cash bonuses awarded to our named executive officers under our Cash Incentive Plan then in effect. No separate maximum amounts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69"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approved and the amounts did not have a threshold. Amounts are based on the target percentage applied to each named executive officer’s base salary as of December 31, 2024, assuming 100% corporate achievement. As described in more detail above, in 2024 each of our named executive officers, other than Mr. Butler, had an individual bonus target of 45% of his or her base salary, which was tied solely to the achievement of our corporate goals for 2024 (which was not determined as of December 31, 2024). Mr. Butler had an individual bonus target of 75% of his base salary, which was likewise tied solely to the achievement of our corporate goals for 2024 (which was not determined as of December 31, 2024). Mr. Ostrowski and Mr. Grund received a cash bonus award for 2024 pro-rated in accordance to their June 2024 and January 2024 start dates, respectively. Ms. Snow and Mr. Dahan did not receive a cash bonus award for 2024 due to their separation from the Company in March 2024 and June 2024, respectively. </w:t>
      </w:r>
    </w:p>
    <w:p>
      <w:pPr>
        <w:pStyle w:val="TextBody"/>
        <w:bidi w:val="0"/>
        <w:spacing w:lineRule="auto" w:line="276" w:before="0" w:after="0"/>
        <w:ind w:left="0" w:right="0" w:hanging="504"/>
        <w:jc w:val="left"/>
        <w:rPr/>
      </w:pPr>
      <w:r>
        <w:rPr>
          <w:rFonts w:ascii="Times New Roman;sans-serif" w:hAnsi="Times New Roman;sans-serif"/>
          <w:b w:val="false"/>
          <w:color w:val="000000"/>
          <w:sz w:val="20"/>
        </w:rPr>
        <w:t>(4)Represents amounts awarded upon the achievement of a milestone under the named executive officer’s previously-disclosed September 2021 cash incentive award. See “</w:t>
      </w:r>
      <w:r>
        <w:rPr>
          <w:rFonts w:ascii="Times New Roman;sans-serif" w:hAnsi="Times New Roman;sans-serif"/>
          <w:b w:val="false"/>
          <w:i/>
          <w:color w:val="000000"/>
          <w:sz w:val="20"/>
        </w:rPr>
        <w:t>Other Previously Granted Performance-Based Awards Earned in 2024</w:t>
      </w:r>
      <w:r>
        <w:rPr>
          <w:color w:val="000000"/>
        </w:rPr>
        <w:t xml:space="preserve">” </w:t>
      </w:r>
      <w:r>
        <w:rPr>
          <w:rFonts w:ascii="Times New Roman;sans-serif" w:hAnsi="Times New Roman;sans-serif"/>
          <w:b w:val="false"/>
          <w:color w:val="000000"/>
          <w:sz w:val="20"/>
        </w:rPr>
        <w:t>above for additional detail regarding this award.</w:t>
      </w:r>
    </w:p>
    <w:p>
      <w:pPr>
        <w:pStyle w:val="TextBody"/>
        <w:bidi w:val="0"/>
        <w:spacing w:lineRule="auto" w:line="276" w:before="0" w:after="0"/>
        <w:ind w:left="0" w:right="0" w:hanging="504"/>
        <w:jc w:val="left"/>
        <w:rPr/>
      </w:pPr>
      <w:r>
        <w:rPr>
          <w:rFonts w:ascii="Times New Roman;sans-serif" w:hAnsi="Times New Roman;sans-serif"/>
          <w:b w:val="false"/>
          <w:color w:val="000000"/>
          <w:sz w:val="20"/>
        </w:rPr>
        <w:t>(5)Represents amounts awarded upon the achievement of milestones under Mr. Butler’s previously-disclosed 2022 letter agreement. See “</w:t>
      </w:r>
      <w:r>
        <w:rPr>
          <w:rFonts w:ascii="Times New Roman;sans-serif" w:hAnsi="Times New Roman;sans-serif"/>
          <w:b w:val="false"/>
          <w:i/>
          <w:color w:val="000000"/>
          <w:sz w:val="20"/>
        </w:rPr>
        <w:t>Other Previously Granted Performance-Based Awards Earned in 2024</w:t>
      </w:r>
      <w:r>
        <w:rPr>
          <w:color w:val="000000"/>
        </w:rPr>
        <w:t xml:space="preserve">” </w:t>
      </w:r>
      <w:r>
        <w:rPr>
          <w:rFonts w:ascii="Times New Roman;sans-serif" w:hAnsi="Times New Roman;sans-serif"/>
          <w:b w:val="false"/>
          <w:color w:val="000000"/>
          <w:sz w:val="20"/>
        </w:rPr>
        <w:t>above for additional detail regarding this award.</w:t>
      </w:r>
    </w:p>
    <w:p>
      <w:pPr>
        <w:pStyle w:val="TextBody"/>
        <w:bidi w:val="0"/>
        <w:spacing w:before="0" w:after="0"/>
        <w:jc w:val="left"/>
        <w:rPr/>
      </w:pPr>
      <w:r>
        <w:rPr/>
      </w:r>
    </w:p>
    <w:p>
      <w:pPr>
        <w:pStyle w:val="TextBody"/>
        <w:bidi w:val="0"/>
        <w:spacing w:before="0" w:after="0"/>
        <w:ind w:left="0" w:right="0" w:hanging="144"/>
        <w:jc w:val="left"/>
        <w:rPr/>
      </w:pPr>
      <w:r>
        <w:rPr/>
      </w:r>
    </w:p>
    <w:p>
      <w:pPr>
        <w:pStyle w:val="TextBody"/>
        <w:bidi w:val="0"/>
        <w:spacing w:before="0" w:after="0"/>
        <w:ind w:left="0" w:right="0" w:hanging="144"/>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0"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pPr>
      <w:r>
        <w:rPr>
          <w:color w:val="000000"/>
        </w:rPr>
        <w:t> </w:t>
      </w:r>
      <w:r>
        <w:rPr>
          <w:rFonts w:ascii="Times New Roman;sans-serif" w:hAnsi="Times New Roman;sans-serif"/>
          <w:b/>
          <w:color w:val="000000"/>
          <w:sz w:val="20"/>
        </w:rPr>
        <w:t xml:space="preserve">Outstanding Equity Awards as of December 31,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concerning outstanding equity awards for each of our named executive officers as of December 31, 2024. </w:t>
      </w:r>
    </w:p>
    <w:tbl>
      <w:tblPr>
        <w:tblW w:w="10205" w:type="dxa"/>
        <w:jc w:val="left"/>
        <w:tblInd w:w="0" w:type="dxa"/>
        <w:tblLayout w:type="fixed"/>
        <w:tblCellMar>
          <w:top w:w="28" w:type="dxa"/>
          <w:left w:w="28" w:type="dxa"/>
          <w:bottom w:w="28" w:type="dxa"/>
          <w:right w:w="28" w:type="dxa"/>
        </w:tblCellMar>
      </w:tblPr>
      <w:tblGrid>
        <w:gridCol w:w="452"/>
        <w:gridCol w:w="259"/>
        <w:gridCol w:w="182"/>
        <w:gridCol w:w="250"/>
        <w:gridCol w:w="250"/>
        <w:gridCol w:w="251"/>
        <w:gridCol w:w="109"/>
        <w:gridCol w:w="109"/>
        <w:gridCol w:w="109"/>
        <w:gridCol w:w="280"/>
        <w:gridCol w:w="280"/>
        <w:gridCol w:w="281"/>
        <w:gridCol w:w="113"/>
        <w:gridCol w:w="113"/>
        <w:gridCol w:w="113"/>
        <w:gridCol w:w="250"/>
        <w:gridCol w:w="250"/>
        <w:gridCol w:w="251"/>
        <w:gridCol w:w="109"/>
        <w:gridCol w:w="109"/>
        <w:gridCol w:w="109"/>
        <w:gridCol w:w="185"/>
        <w:gridCol w:w="185"/>
        <w:gridCol w:w="186"/>
        <w:gridCol w:w="109"/>
        <w:gridCol w:w="109"/>
        <w:gridCol w:w="109"/>
        <w:gridCol w:w="215"/>
        <w:gridCol w:w="215"/>
        <w:gridCol w:w="216"/>
        <w:gridCol w:w="109"/>
        <w:gridCol w:w="109"/>
        <w:gridCol w:w="109"/>
        <w:gridCol w:w="290"/>
        <w:gridCol w:w="290"/>
        <w:gridCol w:w="291"/>
        <w:gridCol w:w="113"/>
        <w:gridCol w:w="113"/>
        <w:gridCol w:w="113"/>
        <w:gridCol w:w="325"/>
        <w:gridCol w:w="325"/>
        <w:gridCol w:w="326"/>
        <w:gridCol w:w="109"/>
        <w:gridCol w:w="109"/>
        <w:gridCol w:w="109"/>
        <w:gridCol w:w="205"/>
        <w:gridCol w:w="205"/>
        <w:gridCol w:w="206"/>
        <w:gridCol w:w="109"/>
        <w:gridCol w:w="109"/>
        <w:gridCol w:w="109"/>
        <w:gridCol w:w="193"/>
        <w:gridCol w:w="193"/>
        <w:gridCol w:w="278"/>
      </w:tblGrid>
      <w:tr>
        <w:trPr/>
        <w:tc>
          <w:tcPr>
            <w:tcW w:w="45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 xml:space="preserve">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 xml:space="preserve">Stock Awards </w:t>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Name</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Number of</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Securities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Underlying</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Unexercised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Options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Number of</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Securities</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Underlying</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Unexercised</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Options</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Unexercisable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Incentive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Plan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Awards: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Number of</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Securities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Underlying</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Unexercised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Unearned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Options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Option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Exercise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Price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Option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Expiration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Number of</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Shares or</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Units of Stock</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That Have Not</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Vested</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Market Value of</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Shares of Units</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of Stock</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That Have</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Not Vested</w:t>
            </w:r>
          </w:p>
          <w:p>
            <w:pPr>
              <w:pStyle w:val="TableContents"/>
              <w:bidi w:val="0"/>
              <w:spacing w:lineRule="auto" w:line="288" w:before="0" w:after="0"/>
              <w:jc w:val="right"/>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Incentive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Plan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Awards: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Number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of</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Unearned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Shares,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Units or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Rights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That</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Have Not</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Vested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Incentive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Plan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Awards: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Market</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or Payout</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Value of</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Unearned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Shares,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Units or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Rights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That</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Have Not</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Vested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John P. Butler</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905,200</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1/31/2034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660,760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849,553</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508,542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231,158</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2/28/2032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378,375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25,225</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2/26/2031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403,600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2/28/2030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2/28/2029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126,300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2/28/2028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190,550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896,626</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1,703,589 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Erik J. Ostrowski</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500,000</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6/28/2034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350,000</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665,000 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Ellen E. Snow</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224,000</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1/31/2034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37,225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385,000</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7/31/2033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395,967</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752,337 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Steven K. Burke, M.D.</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303,300</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1/31/2034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128,754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165,546</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5/12/2032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154,684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70,316</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112,500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7,500</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2/26/2031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105,500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2/28/2030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8/30/2029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353,000</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670,700 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Nicholas P. Grund</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454,950</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1/31/2034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303,300</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576,270 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Michel Dahan</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224,000</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(1)(7)</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1/31/2034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5/12/2032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137,500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62,500</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(1)(7)</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103,125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6,875</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(1)(7)</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2/26/2031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2/28/2030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2/28/2029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2/28/2028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62,500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30,950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9/30/2025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299,301</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(2)(7)</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568,672 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(1)Represents an option to purchase shares of our Common Stock granted on January 31, 2024, January 31, 2023, February 28, 2022 and/or February 26, 2021, as applicable, depending on whether such named executive officer was with the Company on such date. The options granted on each of these dates vest as follows: 25% of the options vested on the first anniversary of the grant date with the remaining 75% vesting in equal quarterly installments over the following three years, subject to the executive’s continued performance of services to us through the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1"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vesting dates. Vesting of all unvested shares subject to the option will accelerate in connection with a change in control pursuant to the terms of the applicable stock option agreement and/or Executive Severance Agreement, as discussed below.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(2)Represents RSUs granted on January 31, 2024, January 31, 2023 and/or February 28, 2022. One third of the RSUs will vest on each of the first, second and third anniversaries of the grant date, subject to the executive’s continued performance of services to us through the vesting date. Vesting of the RSUs will accelerate in connection with a change in control pursuant to the terms of the applicable Restricted Stock Unit Agreement and/or Executive Severance Agreement, as discussed below.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(3)Calculated based on the closing price per share of the Company’s Common Stock on December 31, 2024, the last trading date of the fiscal year, of $1.90.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(4)Represents options and RSUs to purchase shares of our Common Stock granted to Mr. Ostrowski on June 28, 2024. The options were granted as an inducement material to Mr. Ostrowski's entering into employment with the Company in accordance with Nasdaq Listing Rule 5635(c)(4). The options vest as follows: 25% of the options will vest on the first anniversary of the grant date with the remaining 75% vesting in equal quarterly installments over the next three years, subject to the named executive officer’s continued performance of services to us through the applicable vesting dates. Vesting of all unvested shares subject to the option will accelerate in connection with a change in control pursuant to the terms of the applicable stock option agreement and/or Executive Severance Agreement, as discussed below. </w:t>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(5)Represents options and RSUs to purchase shares of our Common Stock granted to Ms. Snow on July 31, 2023. The options were granted as an inducement material to Ms. Snow's entering into employment with the Company in accordance with Nasdaq Listing Rule 5635(c)(4). Pursuant to the terms of Ms. Snow’s Severance Agreement, the options continued to vest for 12 months following her Separation Date. </w:t>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(6)Represents options and RSUs to purchase shares of our Common Stock granted to Mr. Grund on January 31, 2024. The options were granted as an inducement material to Mr. Grund's entering into employment with the Company in accordance with Nasdaq Listing Rule 5635(c)(4). The options vest as follows: 25% of the options vested on the first anniversary of the grant date with the remaining 75% vesting in equal quarterly installments over the next three years, subject to the named executive officer’s continued performance of services to us through the applicable vesting dates. Vesting of all unvested shares subject to the option will accelerate in connection with a change in control pursuant to the terms of the applicable stock option agreement and/or Executive Severance Agreement, as discussed below. </w:t>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(7)Pursuant to the terms of Mr. Dahan’s Severance Agreement, the options continue to vest for 12 months following his Separation Date. Vesting of all unvested shares subject to the option will accelerate in connection with a change in control pursuant to the terms of the applicable stock option agreement and/or Severance Agreement, as discussed below. </w:t>
      </w:r>
    </w:p>
    <w:p>
      <w:pPr>
        <w:pStyle w:val="TextBody"/>
        <w:bidi w:val="0"/>
        <w:spacing w:lineRule="auto" w:line="288" w:before="500" w:after="283"/>
        <w:jc w:val="center"/>
        <w:rPr>
          <w:rFonts w:ascii="Times New Roman;sans-serif" w:hAnsi="Times New Roman;sans-serif"/>
          <w:b/>
          <w:color w:val="000000"/>
          <w:sz w:val="20"/>
        </w:rPr>
      </w:pPr>
      <w:r>
        <w:rPr>
          <w:rFonts w:ascii="Times New Roman;sans-serif" w:hAnsi="Times New Roman;sans-serif"/>
          <w:b/>
          <w:color w:val="000000"/>
          <w:sz w:val="20"/>
        </w:rPr>
        <w:t xml:space="preserve">Option Exercises and Stock Vested Table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regarding the exercise of options to purchase shares of our Common Stock and the vesting of RSUs and PSUs with respect to shares of our Common Stock that were held by our named executive officers during the year ended December 31, 2024. </w:t>
      </w:r>
    </w:p>
    <w:tbl>
      <w:tblPr>
        <w:tblW w:w="7891" w:type="dxa"/>
        <w:jc w:val="left"/>
        <w:tblInd w:w="0" w:type="dxa"/>
        <w:tblLayout w:type="fixed"/>
        <w:tblCellMar>
          <w:top w:w="28" w:type="dxa"/>
          <w:left w:w="28" w:type="dxa"/>
          <w:bottom w:w="28" w:type="dxa"/>
          <w:right w:w="28" w:type="dxa"/>
        </w:tblCellMar>
      </w:tblPr>
      <w:tblGrid>
        <w:gridCol w:w="700"/>
        <w:gridCol w:w="612"/>
        <w:gridCol w:w="623"/>
        <w:gridCol w:w="545"/>
        <w:gridCol w:w="545"/>
        <w:gridCol w:w="546"/>
        <w:gridCol w:w="394"/>
        <w:gridCol w:w="394"/>
        <w:gridCol w:w="398"/>
        <w:gridCol w:w="109"/>
        <w:gridCol w:w="109"/>
        <w:gridCol w:w="109"/>
        <w:gridCol w:w="525"/>
        <w:gridCol w:w="525"/>
        <w:gridCol w:w="526"/>
        <w:gridCol w:w="360"/>
        <w:gridCol w:w="360"/>
        <w:gridCol w:w="511"/>
      </w:tblGrid>
      <w:tr>
        <w:trPr/>
        <w:tc>
          <w:tcPr>
            <w:tcW w:w="70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Awards </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Acquired on Exercise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 Realized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on Exercise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Acquired on Vesting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 Realized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on Vesting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274,550</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434,112</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Erik J. Ostrowski</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Ellen E. Snow</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137,775</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123,333</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170,200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K. Burke, M.D.</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108,734</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175,906</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Nicholas P. Grund</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Michel Dahan</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104,000</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137,540</w:t>
            </w:r>
          </w:p>
        </w:tc>
      </w:tr>
    </w:tbl>
    <w:p>
      <w:pPr>
        <w:pStyle w:val="TextBody"/>
        <w:bidi w:val="0"/>
        <w:spacing w:before="0" w:after="0"/>
        <w:jc w:val="left"/>
        <w:rPr/>
      </w:pPr>
      <w:r>
        <w:rPr/>
      </w:r>
    </w:p>
    <w:p>
      <w:pPr>
        <w:pStyle w:val="TextBody"/>
        <w:bidi w:val="0"/>
        <w:spacing w:lineRule="auto" w:line="26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value realized when the option awards were exercised represents the excess of the fair market value of the shares at the time of exercise over the exercise price of the stock options. The value realized when the stock awards vested represents the number of shares underlying the units vested multiplied by market value of a share of our common stock on the vesting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2"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Employment Agreement and Offer Letters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 executive employment agreement with Mr. Butler and offer letters with our other named executive officers, pursuant to which such named executive officer is employed “at will,” meaning each such named executive officer or we may terminate the employment arrangement at any time. Such agreement and letter establish Mr. Butler’s and our other named executive officers’ title, initial compensation arrangements, and eligibility for benefits made available to employees generally.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Executive Severance Agreements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Executive Severance Agreements with each of our named executive officers. Each of our named executive officers is eligible to receive certain payments and benefits under his or her Executive Severance Agreement in the event that the executive’s employment with us is terminated without “cause,” the executive terminates his or her employment with us for “good reason,” or the executive is terminated in connection with, or within twelve months after, a “change in control” (each as defined in the respective Executive Severance Agreement). The Executive Severance Agreements also provide for accelerated vesting of outstanding and unvested equity awards upon a “change in control” (as defined in the Executive Severance Agreements). </w:t>
      </w:r>
    </w:p>
    <w:p>
      <w:pPr>
        <w:pStyle w:val="TextBody"/>
        <w:bidi w:val="0"/>
        <w:spacing w:lineRule="auto" w:line="288" w:before="240" w:after="283"/>
        <w:jc w:val="left"/>
        <w:rPr/>
      </w:pPr>
      <w:r>
        <w:rPr>
          <w:rFonts w:ascii="Times New Roman;sans-serif" w:hAnsi="Times New Roman;sans-serif"/>
          <w:b w:val="false"/>
          <w:i/>
          <w:color w:val="000000"/>
          <w:sz w:val="20"/>
        </w:rPr>
        <w:t xml:space="preserve">Termination of Employment without Cause or for Good Reason. </w:t>
      </w:r>
      <w:r>
        <w:rPr>
          <w:rFonts w:ascii="Times New Roman;sans-serif" w:hAnsi="Times New Roman;sans-serif"/>
          <w:b w:val="false"/>
          <w:color w:val="000000"/>
          <w:sz w:val="20"/>
        </w:rPr>
        <w:t>Under the Executive Severance Agreements, if the named executive officer’s</w:t>
      </w:r>
      <w:r>
        <w:rPr>
          <w:color w:val="000000"/>
        </w:rPr>
        <w:t xml:space="preserve"> </w:t>
      </w:r>
      <w:r>
        <w:rPr>
          <w:rFonts w:ascii="Times New Roman;sans-serif" w:hAnsi="Times New Roman;sans-serif"/>
          <w:b w:val="false"/>
          <w:color w:val="000000"/>
          <w:sz w:val="20"/>
        </w:rPr>
        <w:t xml:space="preserve">employment is terminated by us without “cause” or the executive terminates his or her employment for “good reason” (each as defined in the Executive Severance Agreements), other than following a change in control as described below, the executive will be entitled to receive, in addition to any amounts earned or accrued but unpaid as of the date of termination, twelve months of base salary continuation and, provided the executive timely elects Consolidated Omnibus Budget Reconciliation Act, or COBRA, coverage, up to twelve months of reimbursement of a portion of the executive’s and the executive’s dependents’ health, dental and vision COBRA premiums to the same extent as if the executive remained employed. In addition, the executive’s unvested equity and equity-based awards will remain outstanding and continue to vest in accordance with their terms during the executive’s severance period, as if he or she had remained employed during that time. </w:t>
      </w:r>
    </w:p>
    <w:p>
      <w:pPr>
        <w:pStyle w:val="TextBody"/>
        <w:bidi w:val="0"/>
        <w:spacing w:lineRule="auto" w:line="288" w:before="180" w:after="283"/>
        <w:jc w:val="left"/>
        <w:rPr/>
      </w:pPr>
      <w:r>
        <w:rPr>
          <w:rFonts w:ascii="Times New Roman;sans-serif" w:hAnsi="Times New Roman;sans-serif"/>
          <w:b w:val="false"/>
          <w:i/>
          <w:color w:val="000000"/>
          <w:sz w:val="20"/>
        </w:rPr>
        <w:t xml:space="preserve">Termination of Employment without Cause or for Good Reason Following a Change in Control. </w:t>
      </w:r>
      <w:r>
        <w:rPr>
          <w:rFonts w:ascii="Times New Roman;sans-serif" w:hAnsi="Times New Roman;sans-serif"/>
          <w:b w:val="false"/>
          <w:color w:val="000000"/>
          <w:sz w:val="20"/>
        </w:rPr>
        <w:t>If, within twelve months following a “change in</w:t>
      </w:r>
      <w:r>
        <w:rPr>
          <w:color w:val="000000"/>
        </w:rPr>
        <w:t xml:space="preserve"> </w:t>
      </w:r>
      <w:r>
        <w:rPr>
          <w:rFonts w:ascii="Times New Roman;sans-serif" w:hAnsi="Times New Roman;sans-serif"/>
          <w:b w:val="false"/>
          <w:color w:val="000000"/>
          <w:sz w:val="20"/>
        </w:rPr>
        <w:t xml:space="preserve">control” (as defined in the Executive Severance Agreements), the named executive officer’s employment is terminated by us without “cause” or the executive terminates his or her employment for “good reason” (each as defined in the Executive Severance Agreements), the executive will be entitled to receive, in addition to any amounts earned or accrued but unpaid as of the date of termination, twelve months of base salary continuation, provided the executive timely elects COBRA coverage, up to twelve months of reimbursement of a portion of the executive’s and the executive’s dependents’ health, dental and vision COBRA premiums to the same extent as if the executive remained employed, and an amount equal to 50% of the executive’s annual target bonus for the year of termination, prorated based on the number of months the executive was employed prior to his or her termination. </w:t>
      </w:r>
    </w:p>
    <w:p>
      <w:pPr>
        <w:pStyle w:val="TextBody"/>
        <w:bidi w:val="0"/>
        <w:spacing w:lineRule="auto" w:line="288" w:before="180" w:after="283"/>
        <w:jc w:val="left"/>
        <w:rPr/>
      </w:pPr>
      <w:r>
        <w:rPr>
          <w:rFonts w:ascii="Times New Roman;sans-serif" w:hAnsi="Times New Roman;sans-serif"/>
          <w:b w:val="false"/>
          <w:i/>
          <w:color w:val="000000"/>
          <w:sz w:val="20"/>
        </w:rPr>
        <w:t xml:space="preserve">Accelerated Vesting of Equity Upon a Change in Control. </w:t>
      </w:r>
      <w:r>
        <w:rPr>
          <w:rFonts w:ascii="Times New Roman;sans-serif" w:hAnsi="Times New Roman;sans-serif"/>
          <w:b w:val="false"/>
          <w:color w:val="000000"/>
          <w:sz w:val="20"/>
        </w:rPr>
        <w:t>Under the Executive Severance Agreements, 100% of each of the named executive officer’s</w:t>
      </w:r>
      <w:r>
        <w:rPr>
          <w:color w:val="000000"/>
        </w:rPr>
        <w:t xml:space="preserve"> </w:t>
      </w:r>
      <w:r>
        <w:rPr>
          <w:rFonts w:ascii="Times New Roman;sans-serif" w:hAnsi="Times New Roman;sans-serif"/>
          <w:b w:val="false"/>
          <w:color w:val="000000"/>
          <w:sz w:val="20"/>
        </w:rPr>
        <w:t xml:space="preserve">outstanding and unvested equity and equity-based awards will become immediately vested upon a change in control, irrespective of whether the executive’s employment terminates in connection with the change in control. </w:t>
      </w:r>
    </w:p>
    <w:p>
      <w:pPr>
        <w:pStyle w:val="TextBody"/>
        <w:bidi w:val="0"/>
        <w:spacing w:lineRule="auto" w:line="288" w:before="180" w:after="283"/>
        <w:jc w:val="left"/>
        <w:rPr/>
      </w:pPr>
      <w:r>
        <w:rPr>
          <w:rFonts w:ascii="Times New Roman;sans-serif" w:hAnsi="Times New Roman;sans-serif"/>
          <w:b w:val="false"/>
          <w:i/>
          <w:color w:val="000000"/>
          <w:sz w:val="20"/>
        </w:rPr>
        <w:t xml:space="preserve">Conditions to the Receipt of Severance Benefits. </w:t>
      </w:r>
      <w:r>
        <w:rPr>
          <w:rFonts w:ascii="Times New Roman;sans-serif" w:hAnsi="Times New Roman;sans-serif"/>
          <w:b w:val="false"/>
          <w:color w:val="000000"/>
          <w:sz w:val="20"/>
        </w:rPr>
        <w:t>The severance payments and benefits described above are conditioned upon each executive’s timely</w:t>
      </w:r>
      <w:r>
        <w:rPr>
          <w:color w:val="000000"/>
        </w:rPr>
        <w:t xml:space="preserve"> </w:t>
      </w:r>
      <w:r>
        <w:rPr>
          <w:rFonts w:ascii="Times New Roman;sans-serif" w:hAnsi="Times New Roman;sans-serif"/>
          <w:b w:val="false"/>
          <w:color w:val="000000"/>
          <w:sz w:val="20"/>
        </w:rPr>
        <w:t xml:space="preserve">execution and non-revocation of a general release of claims in our favor, as well as continued compliance with the restrictive covenants agreement prohibiting certain competitive behaviors and disparagement of the Company during employment and for one year following termination. In addition, we may terminate severance payments to any of the named executive officers if, within one year following a termination without cause, we determine that the Company had the right to terminate his or her employment for cause. </w:t>
      </w:r>
    </w:p>
    <w:p>
      <w:pPr>
        <w:pStyle w:val="TextBody"/>
        <w:bidi w:val="0"/>
        <w:spacing w:lineRule="auto" w:line="288" w:before="180" w:after="283"/>
        <w:jc w:val="left"/>
        <w:rPr/>
      </w:pPr>
      <w:r>
        <w:rPr>
          <w:rFonts w:ascii="Times New Roman;sans-serif" w:hAnsi="Times New Roman;sans-serif"/>
          <w:b w:val="false"/>
          <w:i/>
          <w:color w:val="000000"/>
          <w:sz w:val="20"/>
        </w:rPr>
        <w:t xml:space="preserve">Other Termination of Employment. </w:t>
      </w:r>
      <w:r>
        <w:rPr>
          <w:rFonts w:ascii="Times New Roman;sans-serif" w:hAnsi="Times New Roman;sans-serif"/>
          <w:b w:val="false"/>
          <w:color w:val="000000"/>
          <w:sz w:val="20"/>
        </w:rPr>
        <w:t>If our named executive officer’s employment is terminated for any reason other than by us without cause or by the</w:t>
      </w:r>
      <w:r>
        <w:rPr>
          <w:color w:val="000000"/>
        </w:rPr>
        <w:t xml:space="preserve"> </w:t>
      </w:r>
      <w:r>
        <w:rPr>
          <w:rFonts w:ascii="Times New Roman;sans-serif" w:hAnsi="Times New Roman;sans-serif"/>
          <w:b w:val="false"/>
          <w:color w:val="000000"/>
          <w:sz w:val="20"/>
        </w:rPr>
        <w:t xml:space="preserve">executive for good reason (including by reason of death or disability), the executive will only be entitled to receive any amounts earned or accrued but unpaid as of the date of termination in accordance with our normal policies and practices, including any salary, bonus or incentive compensation with respect to the calendar year prior to the year of termination, business expenses incurred in the performance of the executive’s duties, and vacation pay. </w:t>
      </w:r>
    </w:p>
    <w:p>
      <w:pPr>
        <w:pStyle w:val="TextBody"/>
        <w:bidi w:val="0"/>
        <w:spacing w:lineRule="auto" w:line="288" w:before="240" w:after="283"/>
        <w:jc w:val="left"/>
        <w:rPr/>
      </w:pPr>
      <w:r>
        <w:rPr>
          <w:rFonts w:ascii="Times New Roman;sans-serif" w:hAnsi="Times New Roman;sans-serif"/>
          <w:b w:val="false"/>
          <w:i/>
          <w:color w:val="000000"/>
          <w:sz w:val="20"/>
        </w:rPr>
        <w:t xml:space="preserve">280G Cutback. </w:t>
      </w:r>
      <w:r>
        <w:rPr>
          <w:rFonts w:ascii="Times New Roman;sans-serif" w:hAnsi="Times New Roman;sans-serif"/>
          <w:b w:val="false"/>
          <w:color w:val="000000"/>
          <w:sz w:val="20"/>
        </w:rPr>
        <w:t>All payments to our named executive officers, as applicable, under the Executive Severance Agreements, including without limitation the</w:t>
      </w:r>
      <w:r>
        <w:rPr>
          <w:color w:val="000000"/>
        </w:rPr>
        <w:t xml:space="preserve"> </w:t>
      </w:r>
      <w:r>
        <w:rPr>
          <w:rFonts w:ascii="Times New Roman;sans-serif" w:hAnsi="Times New Roman;sans-serif"/>
          <w:b w:val="false"/>
          <w:color w:val="000000"/>
          <w:sz w:val="20"/>
        </w:rPr>
        <w:t xml:space="preserve">payment of severance benefits or the accelerated vesting of equity, will be reduced or adjusted to avoid triggering the excise tax imposed by Section 4999 of the Code, if such adjustment would result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3"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of a greater total benefit, on a net after-tax basis (after taking into account taking any applicable federal, state and local income taxes and the excise tax imposed by Section 4999), to the executive. </w:t>
      </w:r>
    </w:p>
    <w:p>
      <w:pPr>
        <w:pStyle w:val="TextBody"/>
        <w:bidi w:val="0"/>
        <w:spacing w:lineRule="auto" w:line="288" w:before="180" w:after="283"/>
        <w:jc w:val="both"/>
        <w:rPr/>
      </w:pPr>
      <w:r>
        <w:rPr>
          <w:rFonts w:ascii="Times New Roman;sans-serif" w:hAnsi="Times New Roman;sans-serif"/>
          <w:b w:val="false"/>
          <w:i/>
          <w:color w:val="000000"/>
          <w:sz w:val="20"/>
        </w:rPr>
        <w:t>Clawback</w:t>
      </w:r>
      <w:r>
        <w:rPr>
          <w:rFonts w:ascii="Times New Roman;sans-serif" w:hAnsi="Times New Roman;sans-serif"/>
          <w:b w:val="false"/>
          <w:color w:val="000000"/>
          <w:sz w:val="20"/>
        </w:rPr>
        <w:t>. Each of our named executive officers has agreed and acknowledged that they are subject to, and bound by, the terms and conditions of our Compensation Recovery Policy. In the event it is determined in accordance with the Compensation Recovery Policy that any compensation or compensatory award granted, earned or paid to a named executive officer must be forfeited or reimbursed to us, such named executive officer will promptly take any action necessary to effectuate such forfeiture and/or reimbursement as determined by us.</w:t>
      </w:r>
    </w:p>
    <w:p>
      <w:pPr>
        <w:pStyle w:val="TextBody"/>
        <w:bidi w:val="0"/>
        <w:spacing w:lineRule="auto" w:line="288" w:before="240" w:after="283"/>
        <w:jc w:val="left"/>
        <w:rPr/>
      </w:pPr>
      <w:r>
        <w:rPr>
          <w:rFonts w:ascii="Times New Roman;sans-serif" w:hAnsi="Times New Roman;sans-serif"/>
          <w:b w:val="false"/>
          <w:i/>
          <w:color w:val="000000"/>
          <w:sz w:val="20"/>
        </w:rPr>
        <w:t xml:space="preserve">Termination of Executive Severance Agreements. </w:t>
      </w:r>
      <w:r>
        <w:rPr>
          <w:rFonts w:ascii="Times New Roman;sans-serif" w:hAnsi="Times New Roman;sans-serif"/>
          <w:b w:val="false"/>
          <w:color w:val="000000"/>
          <w:sz w:val="20"/>
        </w:rPr>
        <w:t>Each of our named executive officer’s Executive Severance Agreement will terminate immediately</w:t>
      </w:r>
      <w:r>
        <w:rPr>
          <w:color w:val="000000"/>
        </w:rPr>
        <w:t xml:space="preserve"> </w:t>
      </w:r>
      <w:r>
        <w:rPr>
          <w:rFonts w:ascii="Times New Roman;sans-serif" w:hAnsi="Times New Roman;sans-serif"/>
          <w:b w:val="false"/>
          <w:color w:val="000000"/>
          <w:sz w:val="20"/>
        </w:rPr>
        <w:t xml:space="preserve">upon the mutual agreement of the parties to such Executive Severance Agreement, the executive’s termination for cause or death, or the executive’s disability (defined as the executive’s inability by reason of physical or mental impairment to perform his or her job duties for a period exceeding twelve consecutive weeks).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Retention and Separation Agreements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connection with the reduction in workforce implemented in April 2022 and May 2022, the Board of Directors approved a retention program designed to retain the employees required to support the Company through a critical time strategically. The retention program consisted of cash payments and/or grants of RSUs and options to certain of the Company’s employees, including certain of our named executive officers.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retention program, on May 5, 2022, we entered into a Retention and Separation Agreement with Mr. Dahan, pursuant to which we agreed that the effective date of his termination with the Company would be May 5, 2023, or, in the event of certain specified events, the effective date of this termination could extend to October 20, 2023 and provided for the opportunity to earn cash bonuses under our Cash Incentive Plan and granted PSUs and performance stock options. Pursuant to the retention and separation agreements as subsequently amended, Mr. Dahan would separate from the Company effective as of March 22, 2024, or, in the event of certain specified events, the effective date of his separation would extend to September 22, 2024. On February 8, 2024, we agreed to further extend the effective date of Mr. Dahan’s separation to June 28, 2024. In connection with his departure, we agreed to pay Mr. Dahan the severance amounts to which he was entitled pursuant to the terms of his Executive Severance Agreement, subject to the execution of a release.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entered into a Separation Agreement with Ms. Snow pursuant to which she became eligible to receive certain payments and benefits in accordance with her Executive Severance Agreement dated July 10, 2023. Pursuant to the terms of the Separation Agreement, Ms. Snow was entitled to receive, in addition to any amounts earned or accrued but unpaid as of March 22, 2024, 12 months of base salary continuation and up to 12 months of reimbursement of a portion of her and her dependents’ health, dental and vision COBRA premiums to the same extent as if she remained employed. In addition, Ms. Snow’s unvested equity and equity-based awards remained outstanding and continued to vest in accordance with their terms during her severance period, as if she had remained employed during that time. The Separation Agreement provided that the severance payments and benefits described above were conditioned upon Ms. Snow’s timely execution and non-revocation of a general release of claims in the Company’s favor, as well as continued compliance with the restrictive covenants agreement between Ms. Snow and the Company prohibiting certain competitive behaviors and disparagement of the Company during employment and for one year following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4"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of Control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estimate of the amount of severance benefits to which each of our named executive officers would be entitled if a termination occurred on December 31, 2024 under the circumstances set forth in the column headings. </w:t>
      </w:r>
    </w:p>
    <w:tbl>
      <w:tblPr>
        <w:tblW w:w="10192" w:type="dxa"/>
        <w:jc w:val="left"/>
        <w:tblInd w:w="0" w:type="dxa"/>
        <w:tblLayout w:type="fixed"/>
        <w:tblCellMar>
          <w:top w:w="28" w:type="dxa"/>
          <w:left w:w="28" w:type="dxa"/>
          <w:bottom w:w="28" w:type="dxa"/>
          <w:right w:w="28" w:type="dxa"/>
        </w:tblCellMar>
      </w:tblPr>
      <w:tblGrid>
        <w:gridCol w:w="915"/>
        <w:gridCol w:w="508"/>
        <w:gridCol w:w="512"/>
        <w:gridCol w:w="109"/>
        <w:gridCol w:w="109"/>
        <w:gridCol w:w="109"/>
        <w:gridCol w:w="1258"/>
        <w:gridCol w:w="1258"/>
        <w:gridCol w:w="1263"/>
        <w:gridCol w:w="109"/>
        <w:gridCol w:w="109"/>
        <w:gridCol w:w="109"/>
        <w:gridCol w:w="575"/>
        <w:gridCol w:w="575"/>
        <w:gridCol w:w="576"/>
        <w:gridCol w:w="109"/>
        <w:gridCol w:w="109"/>
        <w:gridCol w:w="109"/>
        <w:gridCol w:w="518"/>
        <w:gridCol w:w="518"/>
        <w:gridCol w:w="735"/>
      </w:tblGrid>
      <w:tr>
        <w:trPr/>
        <w:tc>
          <w:tcPr>
            <w:tcW w:w="91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Executive Payments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and Benefits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upon Termination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Termination by the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Company without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Cause or by Executive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Good Reason (No</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Change in Control)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Termination by the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Company without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Cause or by Executive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Good Reason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(Change in Control)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$(6) </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Severance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827,600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827,600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310,350</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2,117,242</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1,703,589</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18,909</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846,509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4,977,690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Erik J. Ostrowski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Severance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540,000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121,500</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440,000</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665,000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27,051</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567,051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1,793,551</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K. Burke,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Severance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575,228</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129,426</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738,487</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670,700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17,559</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2,131,400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Nicholas P. Grund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Severance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465,000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104,625</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100,089</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576,270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1,246,069</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(1)Represents amounts payable under the terms of the Executive Severance Agreements. All amounts listed in the table are in addition to any amounts earned or accrued but unpaid as of the date of termination.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(2)Represents twelve months of base salary continuation.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(3)Non-equity incentive plan compensation payment amount assumes no bonus amounts for 2024 have been paid to the executive as of December 31, 2024, and that all 2023 bonus amounts have been paid as of such date to Mr. Butler and Dr. Burke, in each case, as would be consistent with the Company’s historical practice. Represents an amount equal to 50% of the executive’s annual target bonus for 2024, prorated based on the number of months the executive was employed prior to his or her 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5"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(4)In the event of a termination by the Company without cause or by the executive for good reason (no change in control), the executive’s time-based unvested equity and equity-based awards will remain outstanding and continue to vest in accordance with their terms during the executive’s severance period, as if he or she had remained employed during that time. Given that none of the equity and equity-based awards are accelerated, no value has been assigned in the table above where there is no change of control. With respect to options, reflects the in-the-money value of the unvested portion of such named executive officer’s options. The value is calculated by multiplying the amount (if any) by which $1.90, the closing price of our Common Stock on The Nasdaq Capital Market on December 31, 2024, exceeds the exercise price of the option by the number of shares subject to the accelerated portion of the option. With respect to RSUs, the value is calculated by multiplying the number of unvested RSUs with vesting provisions based solely on time (if any) by $1.90, the closing price of our Common Stock on The Nasdaq Capital Market on December 31, 2024.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(5)Represents twelve months of reimbursement of a portion of the executive’s and the executive’s dependents’ COBRA premiums to the same extent as if the executive remained employed.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(6)Unvested portions of equity-based awards will accelerate upon a change of control irrespective of whether the executive’s employment terminates in connection with the change in control.</w:t>
      </w:r>
    </w:p>
    <w:p>
      <w:pPr>
        <w:pStyle w:val="TextBody"/>
        <w:bidi w:val="0"/>
        <w:spacing w:before="0" w:after="0"/>
        <w:ind w:left="0" w:right="0" w:hanging="144"/>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Ms. Snow is not included in the table above as her employment with the Company ended in March 2024. Pursuant to the terms of her Separation Agreement, the maximum severance payments that could have been paid to Ms. Snow in connection with her termination as our Chief Financial Officer was the continuation of her base salary for 12 months, which is equal to cash payments of $454,500 in the aggregate. In addition, Ms. Snow’s unvested equity and equity- based awards continue to vest in accordance with their terms during her severance period, as if she had remained employed during that time. If a change in control had occurred during her severance period, then pursuant to the terms of her Separation Agreement,</w:t>
      </w:r>
      <w:r>
        <w:rPr>
          <w:color w:val="000000"/>
        </w:rPr>
        <w:t xml:space="preserve"> </w:t>
      </w:r>
      <w:r>
        <w:rPr>
          <w:rFonts w:ascii="Times New Roman;sans-serif" w:hAnsi="Times New Roman;sans-serif"/>
          <w:b w:val="false"/>
          <w:color w:val="000000"/>
          <w:sz w:val="20"/>
        </w:rPr>
        <w:t>Ms. Snow</w:t>
      </w:r>
      <w:r>
        <w:rPr>
          <w:color w:val="000000"/>
        </w:rPr>
        <w:t xml:space="preserve"> </w:t>
      </w:r>
      <w:r>
        <w:rPr>
          <w:rFonts w:ascii="Times New Roman;sans-serif" w:hAnsi="Times New Roman;sans-serif"/>
          <w:b w:val="false"/>
          <w:color w:val="000000"/>
          <w:sz w:val="20"/>
        </w:rPr>
        <w:t>could have received</w:t>
      </w:r>
      <w:r>
        <w:rPr>
          <w:color w:val="000000"/>
        </w:rPr>
        <w:t xml:space="preserve"> </w:t>
      </w:r>
      <w:r>
        <w:rPr>
          <w:rFonts w:ascii="Times New Roman;sans-serif" w:hAnsi="Times New Roman;sans-serif"/>
          <w:b w:val="false"/>
          <w:color w:val="000000"/>
          <w:sz w:val="20"/>
        </w:rPr>
        <w:t>up</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following</w:t>
      </w:r>
      <w:r>
        <w:rPr>
          <w:color w:val="000000"/>
        </w:rPr>
        <w:t xml:space="preserve"> </w:t>
      </w:r>
      <w:r>
        <w:rPr>
          <w:rFonts w:ascii="Times New Roman;sans-serif" w:hAnsi="Times New Roman;sans-serif"/>
          <w:b w:val="false"/>
          <w:color w:val="000000"/>
          <w:sz w:val="20"/>
        </w:rPr>
        <w:t>amounts:</w:t>
      </w:r>
      <w:r>
        <w:rPr>
          <w:color w:val="000000"/>
        </w:rPr>
        <w:t xml:space="preserve"> </w:t>
      </w: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$146,392</w:t>
      </w:r>
      <w:r>
        <w:rPr>
          <w:color w:val="000000"/>
        </w:rPr>
        <w:t xml:space="preserve"> </w:t>
      </w:r>
      <w:r>
        <w:rPr>
          <w:rFonts w:ascii="Times New Roman;sans-serif" w:hAnsi="Times New Roman;sans-serif"/>
          <w:b w:val="false"/>
          <w:color w:val="000000"/>
          <w:sz w:val="20"/>
        </w:rPr>
        <w:t>for</w:t>
      </w:r>
      <w:r>
        <w:rPr>
          <w:color w:val="000000"/>
        </w:rPr>
        <w:t xml:space="preserve"> </w:t>
      </w:r>
      <w:r>
        <w:rPr>
          <w:rFonts w:ascii="Times New Roman;sans-serif" w:hAnsi="Times New Roman;sans-serif"/>
          <w:b w:val="false"/>
          <w:color w:val="000000"/>
          <w:sz w:val="20"/>
        </w:rPr>
        <w:t>the in-the-money value of her stock options; and (ii) $752,337 for the value of her RSUs.</w:t>
      </w:r>
    </w:p>
    <w:p>
      <w:pPr>
        <w:pStyle w:val="TextBody"/>
        <w:bidi w:val="0"/>
        <w:spacing w:lineRule="auto" w:line="288" w:before="120" w:after="283"/>
        <w:jc w:val="left"/>
        <w:rPr/>
      </w:pPr>
      <w:r>
        <w:rPr>
          <w:rFonts w:ascii="Times New Roman;sans-serif" w:hAnsi="Times New Roman;sans-serif"/>
          <w:b w:val="false"/>
          <w:color w:val="000000"/>
          <w:sz w:val="20"/>
        </w:rPr>
        <w:t>Mr. Dahan is not included in the table above as his employment with the Company ended in June 2024. Pursuant to the terms of his Retention and Separation Agreement, as amended, the maximum severance payments that may be paid to Mr. Dahan in connection with his termination as our Chief Operating Officer is the continuation of his base salary for 12 months, which is equal to cash payments of $515,598 in the aggregate. In addition, Mr. Dahan’s unvested equity and equity-based awards continue to vest in accordance with their terms during his severance period, as if he had remained employed during that time. If a change in control occurs during his severance period, then pursuant to the terms of his Separation Agreement,</w:t>
      </w:r>
      <w:r>
        <w:rPr>
          <w:color w:val="000000"/>
        </w:rPr>
        <w:t xml:space="preserve"> </w:t>
      </w:r>
      <w:r>
        <w:rPr>
          <w:rFonts w:ascii="Times New Roman;sans-serif" w:hAnsi="Times New Roman;sans-serif"/>
          <w:b w:val="false"/>
          <w:color w:val="000000"/>
          <w:sz w:val="20"/>
        </w:rPr>
        <w:t>Mr. Dahan</w:t>
      </w:r>
      <w:r>
        <w:rPr>
          <w:color w:val="000000"/>
        </w:rPr>
        <w:t xml:space="preserve"> </w:t>
      </w:r>
      <w:r>
        <w:rPr>
          <w:rFonts w:ascii="Times New Roman;sans-serif" w:hAnsi="Times New Roman;sans-serif"/>
          <w:b w:val="false"/>
          <w:color w:val="000000"/>
          <w:sz w:val="20"/>
        </w:rPr>
        <w:t>could</w:t>
      </w:r>
      <w:r>
        <w:rPr>
          <w:color w:val="000000"/>
        </w:rPr>
        <w:t xml:space="preserve"> </w:t>
      </w:r>
      <w:r>
        <w:rPr>
          <w:rFonts w:ascii="Times New Roman;sans-serif" w:hAnsi="Times New Roman;sans-serif"/>
          <w:b w:val="false"/>
          <w:color w:val="000000"/>
          <w:sz w:val="20"/>
        </w:rPr>
        <w:t>receive</w:t>
      </w:r>
      <w:r>
        <w:rPr>
          <w:color w:val="000000"/>
        </w:rPr>
        <w:t xml:space="preserve"> </w:t>
      </w:r>
      <w:r>
        <w:rPr>
          <w:rFonts w:ascii="Times New Roman;sans-serif" w:hAnsi="Times New Roman;sans-serif"/>
          <w:b w:val="false"/>
          <w:color w:val="000000"/>
          <w:sz w:val="20"/>
        </w:rPr>
        <w:t>up</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following</w:t>
      </w:r>
      <w:r>
        <w:rPr>
          <w:color w:val="000000"/>
        </w:rPr>
        <w:t xml:space="preserve"> </w:t>
      </w:r>
      <w:r>
        <w:rPr>
          <w:rFonts w:ascii="Times New Roman;sans-serif" w:hAnsi="Times New Roman;sans-serif"/>
          <w:b w:val="false"/>
          <w:color w:val="000000"/>
          <w:sz w:val="20"/>
        </w:rPr>
        <w:t>amounts:</w:t>
      </w:r>
      <w:r>
        <w:rPr>
          <w:color w:val="000000"/>
        </w:rPr>
        <w:t xml:space="preserve"> </w:t>
      </w: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cash</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$113,735;</w:t>
      </w:r>
      <w:r>
        <w:rPr>
          <w:color w:val="000000"/>
        </w:rPr>
        <w:t xml:space="preserve"> </w:t>
      </w:r>
      <w:r>
        <w:rPr>
          <w:rFonts w:ascii="Times New Roman;sans-serif" w:hAnsi="Times New Roman;sans-serif"/>
          <w:b w:val="false"/>
          <w:color w:val="000000"/>
          <w:sz w:val="20"/>
        </w:rPr>
        <w:t>(ii)</w:t>
      </w:r>
      <w:r>
        <w:rPr>
          <w:color w:val="000000"/>
        </w:rPr>
        <w:t xml:space="preserve"> </w:t>
      </w:r>
      <w:r>
        <w:rPr>
          <w:rFonts w:ascii="Times New Roman;sans-serif" w:hAnsi="Times New Roman;sans-serif"/>
          <w:b w:val="false"/>
          <w:color w:val="000000"/>
          <w:sz w:val="20"/>
        </w:rPr>
        <w:t>$347,280</w:t>
      </w:r>
      <w:r>
        <w:rPr>
          <w:color w:val="000000"/>
        </w:rPr>
        <w:t xml:space="preserve"> </w:t>
      </w:r>
      <w:r>
        <w:rPr>
          <w:rFonts w:ascii="Times New Roman;sans-serif" w:hAnsi="Times New Roman;sans-serif"/>
          <w:b w:val="false"/>
          <w:color w:val="000000"/>
          <w:sz w:val="20"/>
        </w:rPr>
        <w:t>for</w:t>
      </w:r>
      <w:r>
        <w:rPr>
          <w:color w:val="000000"/>
        </w:rPr>
        <w:t xml:space="preserve"> </w:t>
      </w:r>
      <w:r>
        <w:rPr>
          <w:rFonts w:ascii="Times New Roman;sans-serif" w:hAnsi="Times New Roman;sans-serif"/>
          <w:b w:val="false"/>
          <w:color w:val="000000"/>
          <w:sz w:val="20"/>
        </w:rPr>
        <w:t>the in-the-money value of his stock options; and (iii) $568,672 for the value of his RSUs.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Other Agreements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named executive officers has entered into standard agreements with respect to confidential information and assignment of inventions. Among other things, these agreements obligate each named executive officer to refrain from disclosing any of our proprietary information and to assign to us any inventions conceived or developed during the course of employment. Such agreements also contain customary non-compete and non-solicitation provisions.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indemnification agreements with each of our directors and certain officers. These agreements will require us to indemnify these individuals and, in certain cases, affiliates of such individuals, to the fullest extent permissible under applicable law against liabilities that may arise by reason of their service to us or at our direction, and to advance expenses incurred as a result of any proceeding against them as to which they could be indemnified. We also maintain a general liability insurance policy, which covers certain liabilities of directors and officers of our Company arising out of claims based on acts or omissions in their capacities as directors or officers. We believe that these provisions and agreements are necessary to attract and retain qualified persons as directors and officers.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Chief Executive Officer Pay Ratio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Akebia’s compensation and benefits philosophy and the overall structure of our compensation and benefit programs encourage and reward all employees who contribute to our success. We strive to ensure that the pay of our employees reflects the level of their job impact and responsibilities and is competitive within our peer group. Compensation rates are benchmarked and set to be market competitive. As required by the Dodd-Frank Wall Street Reform and Consumer Protection Act, we are required to disclose the median of the annual total compensation of our employees (except for our principal executive officer), the annual total compensation of our principal executive officer, and the ratio of these two amounts.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6"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Using reasonable estimates and assumptions where necessary, and in accordance with SEC rules, in 2022 we identified our median employee by calculating the sum of annual base pay, target bonus amount, 401(k) company match contributions and the grant date fair value for equity awards granted in 2022 for all of our employees, excluding our Chief Executive Officer, Mr. Butler, who were employed by us on December 31, 2022. However, we did perform adjustments to the compensation paid to our one part-time employee to calculate what they would have been paid on a full-time basis. No cost-of-living adjustment or other adjustments were made. </w:t>
      </w:r>
      <w:r>
        <w:rPr>
          <w:rFonts w:ascii="Times New Roman;sans-serif" w:hAnsi="Times New Roman;sans-serif"/>
          <w:b w:val="false"/>
          <w:color w:val="222222"/>
          <w:sz w:val="20"/>
        </w:rPr>
        <w:t>In 2023, because our original median employee was promoted to another position in 2023, as permitted by SEC rules, we identified another median employee for 2023 whose compensation is substantially similar to the original median employee based on the compensation measure that we used to select the original median employee in 2022.</w:t>
      </w:r>
      <w:r>
        <w:rPr>
          <w:color w:val="000000"/>
        </w:rPr>
        <w:t xml:space="preserve"> </w:t>
      </w:r>
      <w:r>
        <w:rPr>
          <w:rFonts w:ascii="Times New Roman;sans-serif" w:hAnsi="Times New Roman;sans-serif"/>
          <w:b w:val="false"/>
          <w:color w:val="000000"/>
          <w:sz w:val="20"/>
        </w:rPr>
        <w:t xml:space="preserve">For 2024, there has been no change in employee population or employee compensation arrangements that we reasonably believe would result in a significant change to the pay ratio disclosure. Therefore, using this median compensated employee, we calculated the total annual compensation for this employee by using the same methodology we use for our named executive officers as disclosed in the 2024 Summary Compensation Table above.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total compensation of our Chief Executive Officer, Mr. Butler, as reported in the 2024 Summary Compensation Table was $4,260,114 for 2024. The annual total compensation of our median compensated employee, excluding Mr. Butler, was $248,328 for 2024, resulting in a ratio of 17:1 for 2024. This ratio and annual total compensation amounts are reasonable estimates that have been calculated using methodologies and assumptions permitted by SEC rules. Given that assumptions, estimates, methodologies, and adjustments that companies may apply to determine their pay ratio may differ, this information should not be used as a basis for comparison between different companies. </w:t>
      </w:r>
    </w:p>
    <w:p>
      <w:pPr>
        <w:pStyle w:val="TextBody"/>
        <w:bidi w:val="0"/>
        <w:spacing w:lineRule="auto" w:line="288" w:before="240" w:after="283"/>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Equity Compensation Plan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as of December 31, 2024 regarding shares of our Common Stock that may be issued under our equity compensation plans, consisting of our 2014 Incentive Plan, or our 2014 Plan, our 2023 Plan, our ESPP and our inducement award program through which equity awards are granted to individuals who were not previously an employee or non-employee director of the Company, or following a bona fide period of non-employment, as an inducement material to such individual’s entering into employment with the Company, pursuant to Rule 5635(c)(4) of the Nasdaq Listing Rules. Our 2014 Plan, our 2023 Plan and our ESPP were approved by our stockholders. </w:t>
      </w:r>
    </w:p>
    <w:tbl>
      <w:tblPr>
        <w:tblW w:w="10205" w:type="dxa"/>
        <w:jc w:val="left"/>
        <w:tblInd w:w="0" w:type="dxa"/>
        <w:tblLayout w:type="fixed"/>
        <w:tblCellMar>
          <w:top w:w="28" w:type="dxa"/>
          <w:left w:w="28" w:type="dxa"/>
          <w:bottom w:w="28" w:type="dxa"/>
          <w:right w:w="28" w:type="dxa"/>
        </w:tblCellMar>
      </w:tblPr>
      <w:tblGrid>
        <w:gridCol w:w="1213"/>
        <w:gridCol w:w="1069"/>
        <w:gridCol w:w="1047"/>
        <w:gridCol w:w="109"/>
        <w:gridCol w:w="109"/>
        <w:gridCol w:w="109"/>
        <w:gridCol w:w="345"/>
        <w:gridCol w:w="345"/>
        <w:gridCol w:w="346"/>
        <w:gridCol w:w="297"/>
        <w:gridCol w:w="297"/>
        <w:gridCol w:w="301"/>
        <w:gridCol w:w="109"/>
        <w:gridCol w:w="109"/>
        <w:gridCol w:w="109"/>
        <w:gridCol w:w="515"/>
        <w:gridCol w:w="515"/>
        <w:gridCol w:w="516"/>
        <w:gridCol w:w="109"/>
        <w:gridCol w:w="109"/>
        <w:gridCol w:w="109"/>
        <w:gridCol w:w="376"/>
        <w:gridCol w:w="376"/>
        <w:gridCol w:w="376"/>
        <w:gridCol w:w="376"/>
        <w:gridCol w:w="376"/>
        <w:gridCol w:w="538"/>
      </w:tblGrid>
      <w:tr>
        <w:trPr/>
        <w:tc>
          <w:tcPr>
            <w:tcW w:w="121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 to</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be issued upon exercise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outstanding options,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warrants and rights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 price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warrants and rights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available for future issuance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under equity compensation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plans (excluding securities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reflected in column (a)) </w:t>
            </w:r>
          </w:p>
        </w:tc>
      </w:tr>
      <w:tr>
        <w:trPr/>
        <w:tc>
          <w:tcPr>
            <w:tcW w:w="3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18,428,213</w:t>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15,788,717</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3,685,902</w:t>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22,114,115</w:t>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15,788,717</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12,998,423 shares of Common Stock issuable upon the exercise of outstanding options and 5,429,790 shares of our Common Stock issuable upon the vesting of RSUs.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(2)Does not include purchase rights accruing under the ESPP because the purchase right, and therefore the number of shares to be purchased, will not be determined until the end of the purchase period. In addition, RSUs issued under our equity compensation plans do not require payment by the recipient to us at the time of vesting. As such, the weighted-average exercise price does not take these awards into account.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(3)As of December 31, 2024, there were 11,340,648 shares of our Common Stock available for grant under the 2023 Plan, and 4,448,069 shares of our Common Stock available for grant under the ESPP.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(4)Represents the number of shares of our Common Stock granted as inducements material to employees entering into employment with the Company in accordance with Nasdaq Listing Rule 5635(c)(4) and outstanding as of December 31, 2024. This aggregate amount includes an inducement option award with respect to 560,000 shares of our Common Stock made to Ms. Snow, 250,000 shares of our Common Stock made to Dr. Burke, 454,950 shares of Common Stock made to Mr. Grund and 500,000 shares of Common Stock made to Mr. Ostrowski.</w:t>
      </w:r>
    </w:p>
    <w:p>
      <w:pPr>
        <w:pStyle w:val="TextBody"/>
        <w:bidi w:val="0"/>
        <w:spacing w:before="0" w:after="0"/>
        <w:ind w:left="0" w:right="0" w:hanging="144"/>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77"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adopted a Dodd-Frank Compensation Recovery Policy, or Clawback Policy, in accordance with the Nasdaq listing standards and Rule 10D-1 under the Exchange Act, which applies to our executive officers (as defined in Rule 16a-1(f) under the Exchange Act). Under the Clawback Policy, we are required to recoup the amount of any Erroneously Awarded Compensation (as defined in the Clawback Policy) during the three completed fiscal years immediately preceding the date on which the Company is required to prepare an Accounting Restatement (as defined in the Clawback Policy), subject to limited impracticability exceptions. Covered restatements include both a restatement to correct an error that is material to previously issued financial statements or that would result in a material misstatement if the error were corrected in the current period or left uncorrected in the current period. The amount required to be recovered is the excess of the amount of Incentive-Based Compensation (as defined in the Clawback Policy) received over the amount that otherwise would have been received had it been determined based on the restated financial measure. The full text of the Clawback Policy was included as Exhibit 97.1 to our Annual Report on Form 10-K for the fiscal year ended December 31, 2023, filed with the SEC on March 14, 2024.</w:t>
      </w:r>
    </w:p>
    <w:p>
      <w:pPr>
        <w:pStyle w:val="TextBody"/>
        <w:bidi w:val="0"/>
        <w:spacing w:lineRule="auto" w:line="288" w:before="32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Compensation Committee Report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has reviewed and discussed the disclosure included in the Compensation Discussion and Analysis section of this Proxy Statement with management. Based on this review and discussion, the Compensation Committee recommends to the Board of Directors that the disclosure in the Compensation Discussion and Analysis section be included in this Proxy Statement for the year ended December 31,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Respectfully submitted by the Compensation Committee,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Cynthia Smith, Chairperson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Adrian Adams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Steven C. Gilman, Ph.D.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78"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COMPENSATION COMMITTEE INTERLOCKS AND INSIDER PARTICIPATION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above, during 2024, the members of our Compensation Committee included Mr. Adams, Dr. Gilman and Ms. Smith. None of the members of the Compensation Committee is an officer or employee of the Company, nor have they ever been an officer or employee of the Company. None of our executive officers currently serves, or in the past fiscal year has served, as a member of the board of directors or compensation committee, or other committee serving an equivalent function, of any entity that has one or more executive officers serving on our Board of Directors or Compensation Committee.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79"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PAY VERSUS PERFORMANCE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Pay Versus Performance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or PEO, and non-PEO named executive officers, or Non-PEO NEOs, and our performance for the fiscal years listed below.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 For discussion of how our Compensation Committee seeks to align pay with performance when making compensation decisions, please review Compensation Discussion and Analysis beginning on page 40. </w:t>
      </w:r>
    </w:p>
    <w:tbl>
      <w:tblPr>
        <w:tblW w:w="11283" w:type="dxa"/>
        <w:jc w:val="left"/>
        <w:tblInd w:w="0" w:type="dxa"/>
        <w:tblLayout w:type="fixed"/>
        <w:tblCellMar>
          <w:top w:w="28" w:type="dxa"/>
          <w:left w:w="28" w:type="dxa"/>
          <w:bottom w:w="28" w:type="dxa"/>
          <w:right w:w="28" w:type="dxa"/>
        </w:tblCellMar>
      </w:tblPr>
      <w:tblGrid>
        <w:gridCol w:w="174"/>
        <w:gridCol w:w="153"/>
        <w:gridCol w:w="154"/>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30"/>
        <w:gridCol w:w="330"/>
        <w:gridCol w:w="331"/>
        <w:gridCol w:w="109"/>
        <w:gridCol w:w="109"/>
        <w:gridCol w:w="109"/>
        <w:gridCol w:w="330"/>
        <w:gridCol w:w="330"/>
        <w:gridCol w:w="331"/>
        <w:gridCol w:w="109"/>
        <w:gridCol w:w="109"/>
        <w:gridCol w:w="109"/>
        <w:gridCol w:w="320"/>
        <w:gridCol w:w="320"/>
        <w:gridCol w:w="321"/>
        <w:gridCol w:w="109"/>
        <w:gridCol w:w="109"/>
        <w:gridCol w:w="109"/>
        <w:gridCol w:w="294"/>
        <w:gridCol w:w="294"/>
        <w:gridCol w:w="41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Value of Initial Fixed</w:t>
            </w:r>
          </w:p>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$100</w:t>
            </w:r>
          </w:p>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Investment Based on:</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w:t>
              <w:br/>
              <w:t>(a)</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Summary</w:t>
              <w:br/>
              <w:t>Compensation</w:t>
              <w:br/>
              <w:t>Table Total</w:t>
              <w:br/>
              <w:t>for PEO (1)</w:t>
              <w:br/>
              <w:t>$</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w:t>
              <w:br/>
              <w:t>Actually Paid</w:t>
              <w:br/>
              <w:t>to PEO (2)(3)</w:t>
              <w:br/>
              <w:t>$</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Summary</w:t>
              <w:br/>
              <w:t>Compensation</w:t>
              <w:br/>
              <w:t>Table Total</w:t>
              <w:br/>
              <w:t>for Non-PEO</w:t>
              <w:br/>
              <w:t>Named</w:t>
              <w:br/>
              <w:t>Executive</w:t>
              <w:br/>
              <w:t>Officers (4)</w:t>
              <w:br/>
              <w:t>$</w:t>
              <w:b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Compensation</w:t>
              <w:br/>
              <w:t>Actually Paid</w:t>
              <w:br/>
              <w:t>to Non-PEO</w:t>
              <w:br/>
              <w:t>Named</w:t>
              <w:br/>
              <w:t>Executive</w:t>
              <w:br/>
              <w:t>Officers</w:t>
              <w:br/>
              <w:t>(2)(3)(4)</w:t>
              <w:br/>
              <w:t>$</w:t>
              <w:b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w:t>
              <w:br/>
              <w:t>Return</w:t>
              <w:br/>
              <w:t>$</w:t>
              <w:b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Peer Group</w:t>
              <w:br/>
              <w:t>Total</w:t>
              <w:br/>
              <w:t>Shareholder</w:t>
              <w:br/>
              <w:t>Return (5)</w:t>
              <w:br/>
              <w:t>$</w:t>
              <w:b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(Loss)</w:t>
              <w:br/>
              <w:t>(in millions)</w:t>
              <w:br/>
              <w:t>$</w:t>
              <w:b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Product</w:t>
              <w:br/>
              <w:t>Revenue (6)</w:t>
              <w:br/>
              <w:t>(in millions)</w:t>
              <w:br/>
              <w:t>$</w:t>
              <w:br/>
              <w:t>(i)</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4,260,114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5,569,779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1,428,373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1,388,958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152.2</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2,775,123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4,501,506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1,232,633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1,518,205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170.3</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3,072,539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707,639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1,372,956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623,367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177.1</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3,133,316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2,424,435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1,402,223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1,167,442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142.2</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5,930,437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1,990,802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1,904,276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759,991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128.9</w:t>
            </w:r>
          </w:p>
        </w:tc>
      </w:tr>
    </w:tbl>
    <w:p>
      <w:pPr>
        <w:pStyle w:val="TextBody"/>
        <w:bidi w:val="0"/>
        <w:spacing w:lineRule="auto" w:line="288" w:before="24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PEO for all five fiscal years is our Chief Executive Officer, John P. Butler. </w:t>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amounts shown for Compensation Actually Paid have been calculated in accordance with Item 402(v) of Regulation S-K and do not reflect compensation actually earned, realized, or received by the Company’s named executive officers during the applicable years. The amounts reflected for fiscal year 2023 have been revised from the amounts previously reported in last year’s Proxy Statement in order to incorporate administrative corrections. These amounts reflect the Summary Compensation Table Total with certain adjustments made in accordance with Item 402(v), as summarized in the following table: </w:t>
      </w:r>
    </w:p>
    <w:tbl>
      <w:tblPr>
        <w:tblW w:w="12727" w:type="dxa"/>
        <w:jc w:val="left"/>
        <w:tblInd w:w="0" w:type="dxa"/>
        <w:tblLayout w:type="fixed"/>
        <w:tblCellMar>
          <w:top w:w="28" w:type="dxa"/>
          <w:left w:w="28" w:type="dxa"/>
          <w:bottom w:w="28" w:type="dxa"/>
          <w:right w:w="28" w:type="dxa"/>
        </w:tblCellMar>
      </w:tblPr>
      <w:tblGrid>
        <w:gridCol w:w="310"/>
        <w:gridCol w:w="271"/>
        <w:gridCol w:w="275"/>
        <w:gridCol w:w="166"/>
        <w:gridCol w:w="646"/>
        <w:gridCol w:w="109"/>
        <w:gridCol w:w="109"/>
        <w:gridCol w:w="109"/>
        <w:gridCol w:w="109"/>
        <w:gridCol w:w="166"/>
        <w:gridCol w:w="646"/>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2024</w:t>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2020</w:t>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Adjustments</w:t>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Average Non-PEO NEOs</w:t>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Average</w:t>
              <w:br/>
              <w:t>Non-PEO</w:t>
              <w:b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Average</w:t>
              <w:br/>
              <w:t>Non-PEO</w:t>
              <w:b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Average</w:t>
              <w:br/>
              <w:t>Non-PEO</w:t>
              <w:b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Average</w:t>
              <w:br/>
              <w:t>Non-PEO</w:t>
              <w:br/>
              <w:t>NEOs</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Total Compensation from Summary Compensation Table</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4,260,114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1,428,373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2,775,123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1,232,633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3,072,539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1,372,956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3,133,316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1,402,223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5,930,437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1,904,276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Adjustments for Pension</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Adjustment Summary Compensation Table Pension</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Amount added for current year service cost</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Amount added for prior service cost impacting current year</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Total Adjustments for Pension</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Adjustments for Equity Awards</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(Subtract): Aggregate value for stock awards and option awards included in the Summary Compensation Table for the covered fiscal year</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(2,328,778)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(964,987)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(458,963)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(1,749,327)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(1,772,676)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(4,733,631)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(1,333,375)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0"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tbl>
      <w:tblPr>
        <w:tblW w:w="12727" w:type="dxa"/>
        <w:jc w:val="left"/>
        <w:tblInd w:w="0" w:type="dxa"/>
        <w:tblLayout w:type="fixed"/>
        <w:tblCellMar>
          <w:top w:w="28" w:type="dxa"/>
          <w:left w:w="28" w:type="dxa"/>
          <w:bottom w:w="28" w:type="dxa"/>
          <w:right w:w="28" w:type="dxa"/>
        </w:tblCellMar>
      </w:tblPr>
      <w:tblGrid>
        <w:gridCol w:w="478"/>
        <w:gridCol w:w="248"/>
        <w:gridCol w:w="250"/>
        <w:gridCol w:w="166"/>
        <w:gridCol w:w="646"/>
        <w:gridCol w:w="109"/>
        <w:gridCol w:w="109"/>
        <w:gridCol w:w="109"/>
        <w:gridCol w:w="109"/>
        <w:gridCol w:w="166"/>
        <w:gridCol w:w="646"/>
        <w:gridCol w:w="109"/>
        <w:gridCol w:w="166"/>
        <w:gridCol w:w="646"/>
        <w:gridCol w:w="109"/>
        <w:gridCol w:w="109"/>
        <w:gridCol w:w="109"/>
        <w:gridCol w:w="109"/>
        <w:gridCol w:w="166"/>
        <w:gridCol w:w="646"/>
        <w:gridCol w:w="109"/>
        <w:gridCol w:w="109"/>
        <w:gridCol w:w="109"/>
        <w:gridCol w:w="109"/>
        <w:gridCol w:w="166"/>
        <w:gridCol w:w="631"/>
        <w:gridCol w:w="109"/>
        <w:gridCol w:w="109"/>
        <w:gridCol w:w="109"/>
        <w:gridCol w:w="109"/>
        <w:gridCol w:w="166"/>
        <w:gridCol w:w="55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31"/>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2024</w:t>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2020</w:t>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Adjustments</w:t>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Average Non-PEO NEOs</w:t>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Average</w:t>
              <w:br/>
              <w:t>Non-PEO</w:t>
              <w:b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Average</w:t>
              <w:br/>
              <w:t>Non-PEO</w:t>
              <w:b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Average</w:t>
              <w:br/>
              <w:t>Non-PEO</w:t>
              <w:b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Average</w:t>
              <w:br/>
              <w:t>Non-PEO</w:t>
              <w:br/>
              <w:t>NEOs</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Add: Fair value at year end of awards granted during the covered fiscal year that were outstanding and unvested at the covered fiscal year end</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2,598,318 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2,019,961 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428,553 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308,023 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(Subtract): Year-over-year change in fair value at covered fiscal year end of awards granted in any prior fiscal year that were outstanding and unvested at the covered fiscal year end</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(279,696)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(992,965)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(279,243)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Vesting date fair value of awards granted and vested during the covered fiscal year</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Add (Subtract): Change as of the vesting date (from the end of the prior fiscal year) in fair value of awards granted in any prior fiscal year for which vesting conditions were satisfied during the covered fiscal year</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(248,729)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174,509 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(Subtract): Fair value at end of prior fiscal year of awards granted in any prior fiscal year that failed to meet the applicable vesting conditions during the covered fiscal year</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(155,848)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(14,199)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Add: Dividends or other earnings paid on stock or option awards in the covered fiscal year prior to vesting if not otherwise included in the total compensation for the covered fiscal year</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Total Adjustments for Equity Awards</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1,309,665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(39,415)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1,726,383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285,571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(2,364,900)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(749,588)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(708,881)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(234,781)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(3,939,635)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(1,144,284)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Compensation Actually Paid (as calculated)</w:t>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5,569,779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1,388,958</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4,501,506</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1,518,205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707,639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623,367</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2,424,435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1,167,442</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1,990,802</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759,991</w:t>
            </w:r>
            <w:r>
              <w:rPr>
                <w:color w:val="000000"/>
              </w:rPr>
              <w:t>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Actually Paid for 2020, 2021 and 2022 as reflected in our proxy statement for the 2023 annual meeting of stockholders has been adjusted to incorporate updated valuation assumptions and an updated RSU vesting date for one NEO.</w:t>
      </w:r>
    </w:p>
    <w:p>
      <w:pPr>
        <w:pStyle w:val="TextBody"/>
        <w:bidi w:val="0"/>
        <w:spacing w:before="0" w:after="0"/>
        <w:jc w:val="left"/>
        <w:rPr/>
      </w:pPr>
      <w:r>
        <w:rPr/>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(3)The following summarizes the valuation assumptions used for stock option awards included as part of Compensation Actually Paid: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each stock option is based on the "simplified method" using an average of the remaining vest and remaining term, as of the vest/fiscal year end date.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 is based on each grant date closing price and asset price is based on each vest/fiscal year end closing price.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-Risk free rate is based on the Treasury Constant Maturity rate closest to the remaining expected life as of the vest/fiscal year end date.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-Historical volatility is based on daily price history for each expected life (years) prior to each vest/fiscal year end date. Closing prices provided by S&amp;P Capital IQ are adjusted for dividends and splits.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1"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illustrates the valuation assumptions as of the vesting date for awards that vested in each of 2024, 2023, 2022, 2021 and 2020. </w:t>
      </w:r>
    </w:p>
    <w:tbl>
      <w:tblPr>
        <w:tblW w:w="10205" w:type="dxa"/>
        <w:jc w:val="left"/>
        <w:tblInd w:w="0" w:type="dxa"/>
        <w:tblLayout w:type="fixed"/>
        <w:tblCellMar>
          <w:top w:w="28" w:type="dxa"/>
          <w:left w:w="28" w:type="dxa"/>
          <w:bottom w:w="28" w:type="dxa"/>
          <w:right w:w="28" w:type="dxa"/>
        </w:tblCellMar>
      </w:tblPr>
      <w:tblGrid>
        <w:gridCol w:w="435"/>
        <w:gridCol w:w="381"/>
        <w:gridCol w:w="386"/>
        <w:gridCol w:w="241"/>
        <w:gridCol w:w="241"/>
        <w:gridCol w:w="243"/>
        <w:gridCol w:w="238"/>
        <w:gridCol w:w="238"/>
        <w:gridCol w:w="246"/>
        <w:gridCol w:w="233"/>
        <w:gridCol w:w="233"/>
        <w:gridCol w:w="238"/>
        <w:gridCol w:w="109"/>
        <w:gridCol w:w="109"/>
        <w:gridCol w:w="109"/>
        <w:gridCol w:w="233"/>
        <w:gridCol w:w="233"/>
        <w:gridCol w:w="238"/>
        <w:gridCol w:w="109"/>
        <w:gridCol w:w="109"/>
        <w:gridCol w:w="109"/>
        <w:gridCol w:w="213"/>
        <w:gridCol w:w="213"/>
        <w:gridCol w:w="218"/>
        <w:gridCol w:w="756"/>
        <w:gridCol w:w="756"/>
        <w:gridCol w:w="758"/>
        <w:gridCol w:w="124"/>
        <w:gridCol w:w="124"/>
        <w:gridCol w:w="128"/>
        <w:gridCol w:w="124"/>
        <w:gridCol w:w="124"/>
        <w:gridCol w:w="128"/>
        <w:gridCol w:w="124"/>
        <w:gridCol w:w="124"/>
        <w:gridCol w:w="128"/>
        <w:gridCol w:w="109"/>
        <w:gridCol w:w="109"/>
        <w:gridCol w:w="109"/>
        <w:gridCol w:w="124"/>
        <w:gridCol w:w="124"/>
        <w:gridCol w:w="128"/>
        <w:gridCol w:w="109"/>
        <w:gridCol w:w="109"/>
        <w:gridCol w:w="109"/>
        <w:gridCol w:w="121"/>
        <w:gridCol w:w="121"/>
        <w:gridCol w:w="180"/>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For Stock Options Vesting in</w:t>
            </w:r>
          </w:p>
        </w:tc>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w:t>
              <w:br/>
              <w:t>Fair Value</w:t>
              <w:br/>
              <w:t>of Full Value</w:t>
              <w:br/>
              <w:t>Awards Vesting in</w:t>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2023</w:t>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2020</w:t>
            </w:r>
          </w:p>
        </w:tc>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2024</w:t>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2023</w:t>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2020</w:t>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Expected volatility</w:t>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107% - 128%</w:t>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116% - 133%</w:t>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96% - 129%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95% - 103%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65% - 95%</w:t>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 Restricted Share and Restricted Stock Units</w:t>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$1.50</w:t>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$0.97</w:t>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val="false"/>
                <w:color w:val="000000"/>
                <w:sz w:val="12"/>
              </w:rPr>
            </w:pPr>
            <w:r>
              <w:rPr>
                <w:rFonts w:ascii="Times New Roman;sans-serif" w:hAnsi="Times New Roman;sans-serif"/>
                <w:b w:val="false"/>
                <w:color w:val="000000"/>
                <w:sz w:val="12"/>
              </w:rPr>
              <w:t>$9.36</w:t>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Expected dividend yield</w:t>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0%</w:t>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0%</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0%</w:t>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 Performance Share Awards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$1.39</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Expected term, in years</w:t>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3.1 -4.5</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3.1 - 4.5</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3.2 - 4.5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3.7 - 4.5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4.2 - 4.5</w:t>
            </w:r>
          </w:p>
        </w:tc>
        <w:tc>
          <w:tcPr>
            <w:tcW w:w="2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Risk-free interest rate</w:t>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3.5% - 4.6%</w:t>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3.5% - 4.8%</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1.0% - 4.3%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.4% -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.3% - .9%</w:t>
            </w:r>
          </w:p>
        </w:tc>
        <w:tc>
          <w:tcPr>
            <w:tcW w:w="2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(4)Non-PEO NEOs reflect the average Summary Compensation Table total compensation and average Compensation Actually Paid for the following executives by year: </w:t>
      </w:r>
    </w:p>
    <w:p>
      <w:pPr>
        <w:pStyle w:val="TextBody"/>
        <w:bidi w:val="0"/>
        <w:spacing w:before="0" w:after="0"/>
        <w:ind w:left="0" w:right="0" w:hanging="144"/>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Erik J. Ostrowski, Ellen E. Snow, Steven K. Burke, M.D., Nicholas P. Grund, Michel Dahan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David A. Spellman, Steven K. Burke, M.D., Michel Dahan, Nicole Hadas, Ellen Snow</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2022: David A. Spellman, Steven K. Burke, M.D., Michel Dahan, Nicole R. Hadas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2021: David A. Spellman, Steven K. Burke, M.D., Michel Dahan, Dell Faulkingham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2020: Jason A. Amello, David A. Spellman, Michel Dahan, Steven K. Burke, M.D., Dell Faulkingham</w:t>
      </w:r>
    </w:p>
    <w:p>
      <w:pPr>
        <w:pStyle w:val="TextBody"/>
        <w:bidi w:val="0"/>
        <w:spacing w:before="0" w:after="0"/>
        <w:jc w:val="left"/>
        <w:rPr/>
      </w:pPr>
      <w:r>
        <w:rPr/>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(5)The Peer Group Total Shareholder Return set forth in this table utilizes the Nasdaq Biotechnology Index, which we also utilized in the stock performance graph required by Item 201(e) of Regulation S-K included in our Annual Report on Form 10-K for the year ended December 31, 2022.</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(6)We determined net product revenue to be the most important financial performance measure used to link our performance to Compensation Actually Paid to our PEOs and Non-PEO NEOs in 2024. This performance measure may not have been the most important financial performance measure for prior years, and we may determine a different financial performance measure to be the most important financial performance measure in future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2"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2024 Performance Measures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financial and non-financial performance measures that we consider to have been the most important in linking Compensation Actually Paid to our PEO and Non-PEO NEOs for 2024 to company performance. The measures in this table are not ranked. Of these measures, as noted above, we have identified net product revenue as the most important of our financial performance measures used to link Compensation Actually Paid to our PEO and Non-PEO NEOs for 2024 to company performance. </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Vafseo U.S. Approval and Launch Enablement</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Product Revenue</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Vafseo Lifecycle Management &amp; Progressing Pipeline</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Cash Management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Relationships Between Compensation Actually Paid to our NEOs and Performance Measures </w:t>
      </w:r>
    </w:p>
    <w:p>
      <w:pPr>
        <w:pStyle w:val="TextBody"/>
        <w:bidi w:val="0"/>
        <w:spacing w:lineRule="auto" w:line="288" w:before="120" w:after="283"/>
        <w:jc w:val="left"/>
        <w:rPr/>
      </w:pPr>
      <w:r>
        <w:rPr>
          <w:rFonts w:ascii="Times New Roman;sans-serif" w:hAnsi="Times New Roman;sans-serif"/>
          <w:b w:val="false"/>
          <w:color w:val="000000"/>
          <w:sz w:val="20"/>
        </w:rPr>
        <w:t>The following charts show the relationships over the past five years of the Compensation Actually Paid, or CAP, amounts for our PEO and Non-PEO NEOs as compared to our cumulative total shareholder return, or TSR, peer group TSR, Net Income (Loss) and Net Product Revenue, as well as the relationship between our TSR and our peer group TSR:</w:t>
      </w:r>
      <w:r>
        <w:rPr>
          <w:color w:val="000000"/>
        </w:rPr>
        <w:t xml:space="preserve"> </w:t>
      </w:r>
    </w:p>
    <w:p>
      <w:pPr>
        <w:pStyle w:val="TextBody"/>
        <w:bidi w:val="0"/>
        <w:spacing w:before="0" w:after="0"/>
        <w:jc w:val="left"/>
        <w:rPr/>
      </w:pPr>
      <w:r>
        <w:rPr/>
      </w:r>
    </w:p>
    <w:p>
      <w:pPr>
        <w:pStyle w:val="TextBody"/>
        <w:bidi w:val="0"/>
        <w:spacing w:before="0" w:after="0"/>
        <w:jc w:val="center"/>
        <w:rPr/>
      </w:pPr>
      <w:r>
        <w:rPr/>
        <w:drawing>
          <wp:inline distT="0" distB="0" distL="0" distR="0">
            <wp:extent cx="6286500" cy="3467100"/>
            <wp:effectExtent l="0" t="0" r="0" b="0"/>
            <wp:docPr id="8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 descr=""/>
                    <pic:cNvPicPr>
                      <a:picLocks noChangeAspect="1" noChangeArrowheads="1"/>
                    </pic:cNvPicPr>
                  </pic:nvPicPr>
                  <pic:blipFill>
                    <a:blip r:embed="rId9"/>
                    <a:stretch>
                      <a:fillRect/>
                    </a:stretch>
                  </pic:blipFill>
                  <pic:spPr bwMode="auto">
                    <a:xfrm>
                      <a:off x="0" y="0"/>
                      <a:ext cx="6286500" cy="3467100"/>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4"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286500" cy="4000500"/>
            <wp:effectExtent l="0" t="0" r="0" b="0"/>
            <wp:docPr id="8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9" descr=""/>
                    <pic:cNvPicPr>
                      <a:picLocks noChangeAspect="1" noChangeArrowheads="1"/>
                    </pic:cNvPicPr>
                  </pic:nvPicPr>
                  <pic:blipFill>
                    <a:blip r:embed="rId10"/>
                    <a:stretch>
                      <a:fillRect/>
                    </a:stretch>
                  </pic:blipFill>
                  <pic:spPr bwMode="auto">
                    <a:xfrm>
                      <a:off x="0" y="0"/>
                      <a:ext cx="6286500" cy="40005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286500" cy="3962400"/>
            <wp:effectExtent l="0" t="0" r="0" b="0"/>
            <wp:docPr id="8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0" descr=""/>
                    <pic:cNvPicPr>
                      <a:picLocks noChangeAspect="1" noChangeArrowheads="1"/>
                    </pic:cNvPicPr>
                  </pic:nvPicPr>
                  <pic:blipFill>
                    <a:blip r:embed="rId11"/>
                    <a:stretch>
                      <a:fillRect/>
                    </a:stretch>
                  </pic:blipFill>
                  <pic:spPr bwMode="auto">
                    <a:xfrm>
                      <a:off x="0" y="0"/>
                      <a:ext cx="6286500" cy="3962400"/>
                    </a:xfrm>
                    <a:prstGeom prst="rect">
                      <a:avLst/>
                    </a:prstGeom>
                  </pic:spPr>
                </pic:pic>
              </a:graphicData>
            </a:graphic>
          </wp:inline>
        </w:drawing>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7"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4—RATIFICATION OF SELECTION OF INDEPENDENT REGISTERED PUBLIC ACCOUNTING FIRM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appointed Ernst &amp; Young LLP as our independent registered public accounting firm for the fiscal year ending December 31, 2025. The Board of Directors recommends that our stockholders vote for ratification of this appointment.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Ernst &amp; Young LLP has served as our independent registered public accounting firm since 2013. We expect representatives of Ernst &amp; Young LLP to be present virtually at the Annual Meeting and to be available to respond to appropriate questions from stockholders. In addition, representatives of Ernst &amp; Young LLP who are present at the Annual Meeting will have the opportunity to make a statement if they desire to do so.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ratification is not required by our Bylaws or otherwise, the Board of Directors is submitting the selection of Ernst &amp; Young LLP to our stockholders for ratification as a matter of good corporate practice. If the selection of Ernst &amp; Young LLP is not ratified, the Audit Committee will consider whether it is appropriate to select another independent registered public accounting firm. Even if the selection is ratified, the Audit Committee in its discretion may select a different independent registered public accounting firm at any time if the Audit Committee determines that such a change would be in the best interests of the Company and our stockholders.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Pre-Approval of Audit and Non-Audit Services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must pre-approve all audit services, internal control related services and permitted non-audit services (including the fees and terms thereof) to be performed by Ernst &amp; Young LLP, subject to the de minimis exception for non-audit services. The Audit Committee may delegate pre-approval authority to one or more members of the Audit Committee consistent with applicable law and listing standards, provided that the decisions of such Audit Committee member or members must be presented to the full Audit Committee at its next scheduled meeting.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Ernst &amp; Young LLP services and fees for the fiscal years ended December 31, 2024 and December 31, 2023 were pre-approved by the Audit Committee. Most of the audit services for the fiscal year ending December 31, 2025 were also pre-approved by the Audit Committee, with any additional audit services to be pre-approved before December 31, 2025.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Principal Accountant Fees and Services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review the services and fees of our independent registered public accounting firm. These services and fees are also reviewed by the Audit Committee on an annual basis. The aggregate fees billed for the fiscal years ended December 31, 2024 and December 31, 2023 for each of the following categories of services are as follows: </w:t>
      </w:r>
    </w:p>
    <w:tbl>
      <w:tblPr>
        <w:tblW w:w="4450" w:type="dxa"/>
        <w:jc w:val="center"/>
        <w:tblInd w:w="0" w:type="dxa"/>
        <w:tblLayout w:type="fixed"/>
        <w:tblCellMar>
          <w:top w:w="28" w:type="dxa"/>
          <w:left w:w="28" w:type="dxa"/>
          <w:bottom w:w="28" w:type="dxa"/>
          <w:right w:w="28" w:type="dxa"/>
        </w:tblCellMar>
      </w:tblPr>
      <w:tblGrid>
        <w:gridCol w:w="608"/>
        <w:gridCol w:w="533"/>
        <w:gridCol w:w="538"/>
        <w:gridCol w:w="109"/>
        <w:gridCol w:w="109"/>
        <w:gridCol w:w="109"/>
        <w:gridCol w:w="344"/>
        <w:gridCol w:w="344"/>
        <w:gridCol w:w="348"/>
        <w:gridCol w:w="109"/>
        <w:gridCol w:w="109"/>
        <w:gridCol w:w="109"/>
        <w:gridCol w:w="315"/>
        <w:gridCol w:w="315"/>
        <w:gridCol w:w="451"/>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Fee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$2,210,367</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$333,924</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$1,796,200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$2,544,291</w:t>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 xml:space="preserve">Audit Fees: </w:t>
      </w:r>
      <w:r>
        <w:rPr>
          <w:rFonts w:ascii="Times New Roman;sans-serif" w:hAnsi="Times New Roman;sans-serif"/>
          <w:b w:val="false"/>
          <w:color w:val="000000"/>
          <w:sz w:val="20"/>
        </w:rPr>
        <w:t>Consist of aggregate fees for professional services provided in connection with the audit of our annual consolidated financial statements, and our internal controls over financial reporting, for the</w:t>
      </w:r>
      <w:r>
        <w:rPr>
          <w:color w:val="000000"/>
        </w:rPr>
        <w:t xml:space="preserve"> </w:t>
      </w:r>
      <w:r>
        <w:rPr>
          <w:rFonts w:ascii="Times New Roman;sans-serif" w:hAnsi="Times New Roman;sans-serif"/>
          <w:b w:val="false"/>
          <w:color w:val="000000"/>
          <w:sz w:val="20"/>
        </w:rPr>
        <w:t>review of our quarterly condensed consolidated financial statements, consultations on accounting matters directly related to the audit, comfort letters and consents, and assistance with and review of documents filed with the SEC.</w:t>
      </w:r>
    </w:p>
    <w:p>
      <w:pPr>
        <w:pStyle w:val="TextBody"/>
        <w:bidi w:val="0"/>
        <w:spacing w:lineRule="auto" w:line="288" w:before="240" w:after="283"/>
        <w:jc w:val="left"/>
        <w:rPr/>
      </w:pPr>
      <w:r>
        <w:rPr>
          <w:rFonts w:ascii="Times New Roman;sans-serif" w:hAnsi="Times New Roman;sans-serif"/>
          <w:b w:val="false"/>
          <w:i/>
          <w:color w:val="000000"/>
          <w:sz w:val="20"/>
        </w:rPr>
        <w:t xml:space="preserve">Audit-Related Fees: </w:t>
      </w:r>
      <w:r>
        <w:rPr>
          <w:rFonts w:ascii="Times New Roman;sans-serif" w:hAnsi="Times New Roman;sans-serif"/>
          <w:b w:val="false"/>
          <w:color w:val="000000"/>
          <w:sz w:val="20"/>
        </w:rPr>
        <w:t>Consist of aggregate fees for accounting consultations and other services that were reasonably related to the performance of audits</w:t>
      </w:r>
      <w:r>
        <w:rPr>
          <w:color w:val="000000"/>
        </w:rPr>
        <w:t xml:space="preserve"> </w:t>
      </w:r>
      <w:r>
        <w:rPr>
          <w:rFonts w:ascii="Times New Roman;sans-serif" w:hAnsi="Times New Roman;sans-serif"/>
          <w:b w:val="false"/>
          <w:color w:val="000000"/>
          <w:sz w:val="20"/>
        </w:rPr>
        <w:t xml:space="preserve">or reviews of our consolidated financial statements and were not reported above under “Audit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8"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i/>
          <w:color w:val="000000"/>
          <w:sz w:val="20"/>
        </w:rPr>
        <w:t xml:space="preserve">Tax Fees: </w:t>
      </w:r>
      <w:r>
        <w:rPr>
          <w:rFonts w:ascii="Times New Roman;sans-serif" w:hAnsi="Times New Roman;sans-serif"/>
          <w:b w:val="false"/>
          <w:color w:val="000000"/>
          <w:sz w:val="20"/>
        </w:rPr>
        <w:t>Consist of aggregate fees for tax compliance, tax advice and tax planning services,</w:t>
      </w:r>
      <w:r>
        <w:rPr>
          <w:color w:val="000000"/>
        </w:rPr>
        <w:t xml:space="preserve"> </w:t>
      </w:r>
      <w:r>
        <w:rPr>
          <w:rFonts w:ascii="Times New Roman;sans-serif" w:hAnsi="Times New Roman;sans-serif"/>
          <w:b w:val="false"/>
          <w:color w:val="000000"/>
          <w:sz w:val="20"/>
        </w:rPr>
        <w:t xml:space="preserve">and the review and preparation of our federal and state income tax returns. </w:t>
      </w:r>
    </w:p>
    <w:p>
      <w:pPr>
        <w:pStyle w:val="TextBody"/>
        <w:bidi w:val="0"/>
        <w:spacing w:lineRule="auto" w:line="288" w:before="240" w:after="283"/>
        <w:jc w:val="left"/>
        <w:rPr/>
      </w:pPr>
      <w:r>
        <w:rPr>
          <w:rFonts w:ascii="Times New Roman;sans-serif" w:hAnsi="Times New Roman;sans-serif"/>
          <w:b w:val="false"/>
          <w:i/>
          <w:color w:val="000000"/>
          <w:sz w:val="20"/>
        </w:rPr>
        <w:t xml:space="preserve">All Other Fees: </w:t>
      </w:r>
      <w:r>
        <w:rPr>
          <w:rFonts w:ascii="Times New Roman;sans-serif" w:hAnsi="Times New Roman;sans-serif"/>
          <w:b w:val="false"/>
          <w:color w:val="000000"/>
          <w:sz w:val="20"/>
        </w:rPr>
        <w:t>Consist of aggregate fees billed for products and services provided by the independent registered public accounting firm other than those</w:t>
      </w:r>
      <w:r>
        <w:rPr>
          <w:color w:val="000000"/>
        </w:rPr>
        <w:t xml:space="preserve"> </w:t>
      </w:r>
      <w:r>
        <w:rPr>
          <w:rFonts w:ascii="Times New Roman;sans-serif" w:hAnsi="Times New Roman;sans-serif"/>
          <w:b w:val="false"/>
          <w:color w:val="000000"/>
          <w:sz w:val="20"/>
        </w:rPr>
        <w:t xml:space="preserve">disclosed above.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the foregoing, Ernst &amp; Young LLP did not provide any other services to us in 2024 or 2023.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BOARD OF DIRECTORS UNANIMOUSLY RECOMMENDS THAT YOU VOTE “FOR” THE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RATIFICATION OF THE APPOINTMENT OF ERNST &amp; YOUNG LLP AS THE COMPANY’S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INDEPENDENT REGISTERED PUBLIC ACCOUNTING FIRM.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4 ON YOUR PROXY CARD)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9"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AUDIT COMMITTEE REPORT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reviewed the Company’s audited consolidated financial statements for the year ended December 31, 2024 and has discussed these statements with management and Ernst &amp; Young LLP, the Company’s independent registered public accounting firm. The Company’s management is responsible for the preparation of the Company’s financial statements and for maintaining an adequate system of disclosure controls and procedures and internal control over financial reporting for that purpose. The independent registered public accounting firm audits the annual consolidated financial statements prepared by management, expresses an opinion as to whether those consolidated financial statements present fairly the consolidated financial position, results of operations and cash flows of the Company in conformity with U.S. generally accepted accounting principles and discusses any issues they believe should be raised with the Audit Committee. The independent registered public accounting firm also expresses an opinion on the Company’s internal control over financial reporting. The Audit Committee is responsible for providing independent, objective oversight of the Company’s accounting functions and internal controls.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also received from, and discussed with, Ernst &amp; Young LLP the written disclosures and other communications that the Company’s independent registered public accounting firm is required to provide to the Audit Committee under SEC and PCAOB rules, including the matters required to be discussed by the applicable requirements of the Public Company Accounting Oversight Board, or PCAOB, and the SEC.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Ernst &amp; Young LLP also provided the Audit Committee with the written disclosures and the letter required by applicable requirements of the PCAOB regarding the independent registered public accounting firm’s communications with the audit committee concerning independence and we have discussed with Ernst &amp; Young LLP their independence from the Company.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its discussions with management and our independent registered public accounting firm, and its review of the representations and information provided by management and our independent registered public accounting firm, the Audit Committee recommended to the Board of Directors that the audited consolidated financial statements be included in the Company’s Annual Report on Form 10-K for the year ended December 31, 2024, for filing with the SEC.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Respectfully submitted by the Audit Committee, </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Michael Rogers, Chairperson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Ronald E. Frieson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LeAnne M. Zumwalt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90"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SECURITY OWNERSHIP OF CERTAIN BENEFICIAL OWNERS AND MANAGEMENT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as of March 31, 2025 (unless otherwise specified), with respect to the beneficial ownership of our Common Stock by each person who is known, based solely on filings made under Section 13(d) and 13(g) of the Exchange Act, to own beneficially more than 5% of the outstanding shares of Common Stock, each person currently serving as a director, each nominee for director, each named executive officer (as set forth in the “2024 Summary Compensation Table” above), and all of our current directors and executive officers as a group.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Beneficial ownership is determined in accordance with the rules of the SEC and includes voting or investment power with respect to the securities. Shares of our Common Stock subject to options, SARs, RSUs, PSUs or other rights to purchase that may be acquired within 60 days after March 31, 2025 are to be considered outstanding for purposes of computing the percentage ownership of the persons holding these options or other rights but are not to be considered outstanding for the purpose of computing the percentage ownership of any other person. As of March 31, 2025, there were 261,644,590 shares of our Common Stock outstanding, and the percentages of shares beneficially owned were calculated using this number as the denominator and as specified in this paragraph. Unless otherwise noted, the persons and entities in this table have sole voting and investing power with respect to all of the shares of our Common Stock beneficially owned by them, subject to community property laws, where applicable. Unless otherwise indicated, the address for each beneficial owner is c/o Akebia Therapeutics, Inc., 245 First Street, Cambridge, Massachusetts 02142. </w:t>
      </w:r>
    </w:p>
    <w:tbl>
      <w:tblPr>
        <w:tblW w:w="9461" w:type="dxa"/>
        <w:jc w:val="center"/>
        <w:tblInd w:w="0" w:type="dxa"/>
        <w:tblLayout w:type="fixed"/>
        <w:tblCellMar>
          <w:top w:w="28" w:type="dxa"/>
          <w:left w:w="28" w:type="dxa"/>
          <w:bottom w:w="28" w:type="dxa"/>
          <w:right w:w="28" w:type="dxa"/>
        </w:tblCellMar>
      </w:tblPr>
      <w:tblGrid>
        <w:gridCol w:w="2118"/>
        <w:gridCol w:w="1863"/>
        <w:gridCol w:w="1869"/>
        <w:gridCol w:w="109"/>
        <w:gridCol w:w="109"/>
        <w:gridCol w:w="109"/>
        <w:gridCol w:w="344"/>
        <w:gridCol w:w="344"/>
        <w:gridCol w:w="348"/>
        <w:gridCol w:w="109"/>
        <w:gridCol w:w="109"/>
        <w:gridCol w:w="109"/>
        <w:gridCol w:w="562"/>
        <w:gridCol w:w="562"/>
        <w:gridCol w:w="797"/>
      </w:tblGrid>
      <w:tr>
        <w:trPr/>
        <w:tc>
          <w:tcPr>
            <w:tcW w:w="211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 and Address of Beneficial Owner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Beneficially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Owned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Percentage of Shares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Beneficially Owned (%) </w:t>
            </w:r>
          </w:p>
        </w:tc>
      </w:tr>
      <w:tr>
        <w:trPr/>
        <w:tc>
          <w:tcPr>
            <w:tcW w:w="5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or greater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BlackRock, Inc. (1)</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Hudson Yards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15,141,768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Directors and named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Adrian Adams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Steven K. Burke, M.D.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1,532,619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John P. Butler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5,074,211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Michel Dahan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Ronald E. Frieson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Steven C. Gilman, Ph.D.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289,933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Nicholas P. Grund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Erik J. Ostrowski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Michael Rogers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298,832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Cynthia Smith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245,633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Ellen E. Snow (12)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Myles Wolf, M.D., M.M.Sc.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LeAnne A. Zumwalt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directors and executive officers as a group (11 persons)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8,525,159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lineRule="auto" w:line="288" w:before="240" w:after="283"/>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*Represents beneficial ownership of less than one percent of our outstanding Common Stock.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(1)Based solely on a Schedule 13G filed by BlackRock, Inc. with the SEC on April 17, 2025. Based on such filing, BlackRock, Inc. beneficially owns all such shares, no shared voting power and has sole dispositive power with respect to 15,141,768 shares of Common Stock and sole voting power with respect to 14,870,256 shares of Common Stock.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(2)Consists of (i) 134,800 shares of Common Stock and (ii) 150,400 shares of Common Stock that can be acquired upon the exercise of options exercisable within 60 days after March 31, 2025.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(3)Consists of (i) 413,990 shares of Common Stock and (ii) 1,118,629 shares of Common Stock that can be acquired upon the exercise of options exercisable within 60 days after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1"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(4)Consists of (i) 1,676,734 shares of Common Stock, which includes Mr. Butler's beneficial ownership of an aggregate of 319,856 shares consisting of 59,928 shares of Common Stock held by the Dorothy Butler 2019 GRAT, 100,000 shares of Common Stock held by the Dorothy Butler GRAT November 2019, 59,928 shares of Common Stock held by the John Butler 2019 GRAT and 100,000 shares of Common Stock held by the John Butler GRAT November 2019, and (ii) 3,397,477 shares of Common Stock that can be acquired upon the exercise of options exercisable within 60 days after March 31, 2025.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(5)Consists of (i) 66,667 shares of Common Stock that will be acquired upon the vesting of RSUs within 60 days after March 31, 2024 and (ii) 855,983 shares of Common Stock that can be acquired upon the exercise of options exercisable within 60 days after March 31, 2025.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(6)Consists of (i) 63,800 shares of Common Stock and (ii) 125,200 shares of Common Stock that can be acquired upon the exercise of options exercisable within 60 days after March 31, 2025.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(7)Consists of (i) 87,130 shares of Common Stock and (ii) 202,803 shares of Common Stock that can be acquired upon the exercise of options exercisable within 60 days after March 31, 2025.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(8)Consists of (i) 45,479 shares of Common Stock, and (ii) 142,171 shares of Common Stock that can be acquired upon the exercise of options exercisable within 60 days after March 31, 2025.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(9)Mr. Ostrowski joined Akebia on June 24, 2024 and does not hold any shares of our Common Stock.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(10)Consists of (i) 96,029 shares of Common Stock and (ii) 202,803 shares of Common Stock that can be acquired upon the exercise of options exercisable within 60 days after March 31, 2025. </w:t>
      </w:r>
    </w:p>
    <w:p>
      <w:pPr>
        <w:pStyle w:val="TextBody"/>
        <w:bidi w:val="0"/>
        <w:spacing w:lineRule="auto" w:line="276"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(11)Consists of (i) 95,233 shares of Common Stock and (ii) 150,400 shares of Common Stock that can be acquired upon the exercise of options exercisable within 60 days after March 31, 2025.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(12)Ms. Snow separated from the Company in March 2024 and does not have any options exercisable within 60 days after March 31, 2025.</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(13)Consists of (i) 67,681 shares of Common Stock and (ii) 165,400 shares of Common Stock that can be acquired upon the exercise of options exercisable within 60 days after March 31, 2025.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(14)Consists of (i) 43,700 shares of Common Stock and (ii) 145,300 shares of Common Stock that can be acquired upon the exercise of options exercisable within 60 days after March 31, 2025. </w:t>
      </w:r>
    </w:p>
    <w:p>
      <w:pPr>
        <w:pStyle w:val="TextBody"/>
        <w:bidi w:val="0"/>
        <w:spacing w:lineRule="auto" w:line="288" w:before="0" w:after="0"/>
        <w:ind w:left="0" w:right="0" w:hanging="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(15)Consists of a total of (i) 2,724,576 shares of Common Stock and (ii) 5,800,583 shares of Common Stock that can be acquired upon the exercise of options exercisable within 60 days after March 31, 2025.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16(a) of the Exchange Act requires our officers and directors and persons who beneficially own more than 10% of our outstanding Common Stock, or the Reporting Persons, to file reports of beneficial ownership and changes in beneficial ownership with the SEC. Based solely on our review of such reports received and representations from certain Reporting Persons relating to the fiscal year ended December 31, 2024, we believe that all Reporting Persons complied with all Section 16(a) reporting requirements applicable to them, with the exception of one late Form 4 filing covering an open market sale of Common Stock by Dr. Burke.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2"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CERTAIN RELATIONSHIPS AND RELATED PERSON TRANSACTIONS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described below, there have been no transactions since January 1, 2023 in which any related person or related person affiliate has a direct or indirect material interest and the amount involved exceeds the lesser of $120,000 or 1% of our total assets at year end for each of the last two completed fiscal years.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Policy With Respect to Related Person Transactions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Policy With Respect to Related Person Transactions that governs the review and approval of any transaction, arrangement or relationship in which we are a participant, the amount involved exceeds $120,000 (or such lower dollar amount as applies under Item 404(d)(1) of Regulation S-K if the Company qualifies as a smaller reporting company at the time of the transaction), and one of our executive officers, directors, director nominees or any person who is the beneficial owner of more than 5% of our outstanding shares of Common Stock (or their immediate family members), each of whom we refer to as a “related person,” has a direct or indirect material interest. In June 2024, the Board of Directors reviewed and approved certain revisions to this policy to ensure that the policy reflected current corporate best practices.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identified, reviewed and, if deemed appropriate, approved by the Audit Committee and/or the Board of Directors.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and/or the Board of Directors will consider all relevant facts and circumstances and will approve only those related person transactions that are in the best interests of the Company and its stockholders, as determined by the Audit Committee and/or the Board of Directors in good faith. As appropriate for the circumstances, the Audit Committee and/or the Board of Directors will review and consider: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related person’s relationship to the Company and interest in the related person transaction;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whether the related person transaction was initiated by the Company, a subsidiary or the related person;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material terms of the related person transaction, including the cost, the proposed aggregate value of the related person transaction or, in the case of indebtedness, the amount of principal that would be involved;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if applicable, the availability of other sources of comparable products and services and whether these were evaluated prior to making the proposal or decision regarding the related person transaction;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whether the related person transaction was undertaken in the ordinary course of our business;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whether the terms of the related person transaction are no less favorable to the terms available to an unrelated third party or to employees generally;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benefits and risks, if any, to us of, the related person transaction;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any other information regarding the related person transaction or the related person in the context of the proposed related person transaction that would be material to investors in light of the circumstances of the particular transaction.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practicable, the reporting, review, and approval will occur prior to effectiveness or consummation of the related person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Audit Committee meetings, subject to ratification by the Audit Committee at its next meeting. Any related person transactions that are ongoing in nature will be reviewed annually. The Audit Committee and/or the Board of Directors will convey its decision to the General Counsel, who shall communicate it to the appropriate persons in the Company. The Audit Committee may impose any conditions on the related person transaction that it deems appropriate.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Separately, the policy provides that transactions involving compensation of executive officers or directors shall be reviewed and approved by the Compensation Committee in the manner specified in its charter.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3"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Transactions with Related Persons </w:t>
      </w:r>
    </w:p>
    <w:p>
      <w:pPr>
        <w:pStyle w:val="TextBody"/>
        <w:bidi w:val="0"/>
        <w:spacing w:lineRule="auto" w:line="288" w:before="120" w:after="283"/>
        <w:jc w:val="left"/>
        <w:rPr/>
      </w:pPr>
      <w:r>
        <w:rPr>
          <w:rFonts w:ascii="Times New Roman;sans-serif" w:hAnsi="Times New Roman;sans-serif"/>
          <w:b w:val="false"/>
          <w:color w:val="000000"/>
          <w:sz w:val="20"/>
        </w:rPr>
        <w:t>As described in “Compensation Discussion and Analysis,”</w:t>
      </w:r>
      <w:r>
        <w:rPr>
          <w:color w:val="000000"/>
        </w:rPr>
        <w:t xml:space="preserve"> </w:t>
      </w:r>
      <w:r>
        <w:rPr>
          <w:rFonts w:ascii="Times New Roman;sans-serif" w:hAnsi="Times New Roman;sans-serif"/>
          <w:b w:val="false"/>
          <w:color w:val="000000"/>
          <w:sz w:val="20"/>
        </w:rPr>
        <w:t xml:space="preserve">we have entered into an executive employment agreement with our President and Chief Executive Officer and offer letters with our executive officers. In addition, we have entered into Executive Severance Agreements and, indemnification agreements, and agreements with respect to confidentiality and invention assignment with our executive officers, as well as retention and/or separation agreements with our executive officers. We also maintain a general liability insurance policy, which covers certain liabilities of directors and officers of our Company arising out of claims based on acts or omissions in their capacities as directors or officers. See the “Executive Compensation” section for certain additional details.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Arrangements with David Spellman. </w:t>
      </w:r>
      <w:r>
        <w:rPr>
          <w:rFonts w:ascii="Times New Roman;sans-serif" w:hAnsi="Times New Roman;sans-serif"/>
          <w:b w:val="false"/>
          <w:color w:val="000000"/>
          <w:sz w:val="20"/>
        </w:rPr>
        <w:t>Mr. Spellman served as our Senior Vice President, Chief Financial Officer and Treasurer until June 23, 2023. On June 9, 2023,we entered into a Separation Agreement with Mr. Spellman, or the Spellman Separation Agreement, which became effective on the Separation Date (as defined therein). Pursuant to the Separation Agreement, Mr. Spellman was entitled to, among other things: (1) continued payment of his base salary, in accordance with our regular payroll procedures, for a period of 12 months from the Separation Date, (2) provided he was eligible for and elected to continue receiving group medical insurance under COBRA for a period of up to 12 months following the Separation Date, and (3) continued vesting in any outstanding unvested equity awards for a period of up to 12 months following the Separation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4"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GENERAL MATTERS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Availability of Certain Documents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copy of our Annual Report has been posted on our website along with this Proxy Statement. We will mail without charge, upon written request, a copy of our Annual Report excluding exhibits. Please send a written request to our Corporate Secretary at: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Akebia Therapeutics, Inc.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245 First Street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Cambridge, MA 02142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Corporate Secretary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Stockholder Proposals and Nominations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stockholder who would like to have a proposal considered for inclusion in our 2026 proxy statement must submit the proposal in accordance with the procedures outlined in Rule 14a-8 of the Exchange Act so that it is received by us no later than December 30, 2025. However, if the date of the 2026 annual meeting of stockholders is changed by more than 30 days from the date of the previous year’s meeting, then the deadline is a reasonable time before we begin to print and send our proxy materials for the 2026 annual meeting of stockholders. SEC rules set standards for eligibility and specify the types of stockholder proposals that may be excluded from a proxy statement. Stockholder proposals should be addressed to the Corporate Secretary at Akebia Therapeutics, Inc., 245 First Street, Cambridge, MA 02142.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The required notice must be in writing and must otherwise meet the requirements set forth in our Bylaws (including providing the information required by Rule 14a-19 under the Exchange Act). </w:t>
      </w:r>
    </w:p>
    <w:p>
      <w:pPr>
        <w:pStyle w:val="TextBody"/>
        <w:bidi w:val="0"/>
        <w:spacing w:lineRule="auto" w:line="288" w:before="240" w:after="283"/>
        <w:jc w:val="left"/>
        <w:rPr/>
      </w:pPr>
      <w:r>
        <w:rPr>
          <w:rFonts w:ascii="Times New Roman;sans-serif" w:hAnsi="Times New Roman;sans-serif"/>
          <w:b w:val="false"/>
          <w:color w:val="000000"/>
          <w:sz w:val="20"/>
        </w:rPr>
        <w:t>Under the advance notice provisions, 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w:t>
      </w:r>
      <w:r>
        <w:rPr>
          <w:rFonts w:ascii="Times New Roman;sans-serif" w:hAnsi="Times New Roman;sans-serif"/>
          <w:b w:val="false"/>
          <w:color w:val="000000"/>
          <w:sz w:val="10"/>
        </w:rPr>
        <w:t>th</w:t>
      </w:r>
      <w:r>
        <w:rPr>
          <w:color w:val="000000"/>
        </w:rPr>
        <w:t> </w:t>
      </w:r>
      <w:r>
        <w:rPr>
          <w:rFonts w:ascii="Times New Roman;sans-serif" w:hAnsi="Times New Roman;sans-serif"/>
          <w:b w:val="false"/>
          <w:color w:val="000000"/>
          <w:sz w:val="20"/>
        </w:rPr>
        <w:t>day prior to such annual meeting and not later than the close of business on the later of (A) the 90</w:t>
      </w:r>
      <w:r>
        <w:rPr>
          <w:rFonts w:ascii="Times New Roman;sans-serif" w:hAnsi="Times New Roman;sans-serif"/>
          <w:b w:val="false"/>
          <w:color w:val="000000"/>
          <w:sz w:val="10"/>
        </w:rPr>
        <w:t>th</w:t>
      </w:r>
      <w:r>
        <w:rPr>
          <w:color w:val="000000"/>
        </w:rPr>
        <w:t> </w:t>
      </w:r>
      <w:r>
        <w:rPr>
          <w:rFonts w:ascii="Times New Roman;sans-serif" w:hAnsi="Times New Roman;sans-serif"/>
          <w:b w:val="false"/>
          <w:color w:val="000000"/>
          <w:sz w:val="20"/>
        </w:rPr>
        <w:t xml:space="preserve">day prior to such annual meeting and (B) the tenth day following the day on which notice of the date of such annual meeting was given or public disclosure of the date of such annual meeting was made, whichever first occurs. Assuming the date of our 2026 annual meeting of stockholders is not so advanced or delayed, for stockholder proposals to be brought before the 2026 annual meeting of stockholders in accordance with our advance notice provisions, the required notice must be received by our Corporate Secretary at our principal executive offices no earlier than February 10, 2026 and no later than March 12, 2026. </w:t>
      </w:r>
    </w:p>
    <w:p>
      <w:pPr>
        <w:pStyle w:val="TextBody"/>
        <w:bidi w:val="0"/>
        <w:spacing w:lineRule="auto" w:line="288" w:before="360" w:after="283"/>
        <w:jc w:val="left"/>
        <w:rPr/>
      </w:pPr>
      <w:r>
        <w:rPr>
          <w:color w:val="000000"/>
        </w:rPr>
        <w:t> </w:t>
      </w:r>
      <w:r>
        <w:rPr>
          <w:rFonts w:ascii="Times New Roman;sans-serif" w:hAnsi="Times New Roman;sans-serif"/>
          <w:b/>
          <w:color w:val="000000"/>
          <w:sz w:val="20"/>
        </w:rPr>
        <w:t xml:space="preserve">Contacting the Board of Directors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wishing to communicate with our Board of Directors may do so by writing to the Board of Directors, or to the non-employee members of the Board of Directors as a group, at: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Akebia Therapeutics, Inc.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245 First Street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Cambridge, MA 02142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Corporate Secretary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communication must prominently display the legend “Board Communication” in order to indicate to the Corporate Secretary that it is a communication for the Board of Directors. Upon receiving such a communication, the Corporate Secretary will promptly forward the communication to the relevant individual or group to which it is addressed. Certain communications that are unrelated to the Board of Directors’ duties and responsibilities may not be forwarded to the Board of Directors by the Corporate Secretary, such as spam, junk mail and mass mailings, resumes and other forms of job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5"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inquiries, surveys and business solicitations or advertisements. In addition, the Corporate Secretary will not forward any communication determined in her good faith belief to be frivolous, unduly hostile, threatening, illegal or similarly unsuitable.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Matters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Proxy Statement, the Board of Directors does not intend to present any matters other than those described herein at the Annual Meeting and is unaware of any matters to be presented by other parties.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Householding of Annual Meeting Materials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banks, brokers, and other nominee record holders may be participating in the practice of “householding” proxy statements and annual reports. This means that only one copy of the Notice of Internet Availability of Proxy Materials or, if requested, the printed proxy materials, will be delivered to multiple stockholders sharing an address unless we have received contrary instructions. We will promptly deliver a separate copy of any of these documents to you if you write to us at 245 First Street, Cambridge, MA 02142, Attention: Corporate Secretary, or call us at (617) 871-2098. If you want to end “householding,” receive separate copies of the Notice of Internet Availability of Proxy Materials, Proxy Statement, and/or Annual Report in the future, or if you are receiving multiple copies and would like to receive only one copy for your household, you should contact your bank, broker, or other nominee record holder, or you may contact us at the above address or telephone number.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6"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Appendix A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AKEBIA THERAPEUTICS,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AMENDMENT NO. 1 TO 2023 STOCK INCENTIVE PLAN</w:t>
      </w:r>
    </w:p>
    <w:p>
      <w:pPr>
        <w:pStyle w:val="TextBody"/>
        <w:bidi w:val="0"/>
        <w:spacing w:lineRule="auto" w:line="288" w:before="240" w:after="283"/>
        <w:jc w:val="both"/>
        <w:rPr/>
      </w:pPr>
      <w:r>
        <w:rPr>
          <w:rFonts w:ascii="Times New Roman;sans-serif" w:hAnsi="Times New Roman;sans-serif"/>
          <w:b w:val="false"/>
          <w:color w:val="000000"/>
          <w:sz w:val="20"/>
        </w:rPr>
        <w:t>This Amendment No. 1 (this “</w:t>
      </w:r>
      <w:r>
        <w:rPr>
          <w:rFonts w:ascii="Times New Roman;sans-serif" w:hAnsi="Times New Roman;sans-serif"/>
          <w:b/>
          <w:i/>
          <w:color w:val="000000"/>
          <w:sz w:val="20"/>
        </w:rPr>
        <w:t>Amendment</w:t>
      </w:r>
      <w:r>
        <w:rPr>
          <w:color w:val="000000"/>
        </w:rPr>
        <w:t>”</w:t>
      </w:r>
      <w:r>
        <w:rPr>
          <w:rFonts w:ascii="Times New Roman;sans-serif" w:hAnsi="Times New Roman;sans-serif"/>
          <w:b w:val="false"/>
          <w:color w:val="000000"/>
          <w:sz w:val="20"/>
        </w:rPr>
        <w:t>) is made to the 2023 Stock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of Akebia Therapeutics,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w:t>
      </w:r>
    </w:p>
    <w:p>
      <w:pPr>
        <w:pStyle w:val="TextBody"/>
        <w:bidi w:val="0"/>
        <w:spacing w:lineRule="auto" w:line="288" w:before="36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1.Section 4(a)(1)(A) of the Plan is replaced in its entirety with the following:</w:t>
      </w:r>
    </w:p>
    <w:p>
      <w:pPr>
        <w:pStyle w:val="TextBody"/>
        <w:bidi w:val="0"/>
        <w:spacing w:lineRule="auto" w:line="288" w:before="200" w:after="283"/>
        <w:jc w:val="left"/>
        <w:rPr>
          <w:color w:val="000000"/>
        </w:rPr>
      </w:pPr>
      <w:r>
        <w:rPr>
          <w:color w:val="000000"/>
        </w:rPr>
        <w:t>“</w:t>
      </w:r>
      <w:r>
        <w:rPr>
          <w:rFonts w:ascii="Times New Roman;sans-serif" w:hAnsi="Times New Roman;sans-serif"/>
          <w:b w:val="false"/>
          <w:color w:val="000000"/>
          <w:sz w:val="20"/>
        </w:rPr>
        <w:t>28,900,000 shares of Common Stock; and”</w:t>
      </w:r>
    </w:p>
    <w:p>
      <w:pPr>
        <w:pStyle w:val="TextBody"/>
        <w:bidi w:val="0"/>
        <w:spacing w:before="0" w:after="0"/>
        <w:jc w:val="left"/>
        <w:rPr/>
      </w:pPr>
      <w:r>
        <w:rPr/>
      </w:r>
    </w:p>
    <w:p>
      <w:pPr>
        <w:pStyle w:val="TextBody"/>
        <w:bidi w:val="0"/>
        <w:spacing w:lineRule="auto" w:line="276"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Sections 4(a)(2)(D) shall be replaced in its entirety with the following: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(D)“shares of Common Stock delivered (either by actual delivery, attestation or net exercise) to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by a Participant to (i) purchase shares of Common Stock upon the exercise of an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Award or (ii) satisfy tax withholding obligations with respect to Awards (including shares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retained from the Award creating the tax obligation) shall not be added back to the number of</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the future grant of Awards; and”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3. A new Section 11(h) shall be added the Plan as follows:</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ans-serif" w:hAnsi="Times New Roman;sans-serif"/>
          <w:b w:val="false"/>
          <w:color w:val="000000"/>
          <w:sz w:val="20"/>
        </w:rPr>
        <w:t>(h) Limitations on Vesting. Subject to Section 11(g), no Award shall vest earlier than the first</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anniversary of its date of grant, unless such Award is granted in lieu of salary, bonus or other</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otherwise earned by or payable to the Participant. The foregoing sentence shall</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apply to Awards granted, in the aggregate, for up to 5% of the maximum number of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set forth in Section 4(a).”</w:t>
      </w:r>
    </w:p>
    <w:p>
      <w:pPr>
        <w:pStyle w:val="TextBody"/>
        <w:bidi w:val="0"/>
        <w:spacing w:lineRule="auto" w:line="288" w:before="200" w:after="283"/>
        <w:jc w:val="left"/>
        <w:rPr/>
      </w:pPr>
      <w:r>
        <w:rPr>
          <w:rFonts w:ascii="Times New Roman;sans-serif" w:hAnsi="Times New Roman;sans-serif"/>
          <w:b w:val="false"/>
          <w:color w:val="000000"/>
          <w:sz w:val="20"/>
        </w:rPr>
        <w:t>Except as set forth above, all other terms of the Plan shall remain unchanged and in full force and effect.</w:t>
      </w:r>
      <w:r>
        <w:rPr>
          <w:color w:val="000000"/>
        </w:rPr>
        <w:t xml:space="preserve"> </w:t>
      </w:r>
      <w:r>
        <w:rPr>
          <w:rFonts w:ascii="Times New Roman;sans-serif" w:hAnsi="Times New Roman;sans-serif"/>
          <w:b w:val="false"/>
          <w:color w:val="000000"/>
          <w:sz w:val="20"/>
        </w:rPr>
        <w:t>Capitalized terms used herein and not otherwise defined herein shall have the respective meanings assigned to them in the Plan.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Amendment was adopted by the Board of Directors of the Company on April 28, 2025 and was approved by the stockholders of the Company on ________,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Appendix B</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Akebia Therapeutics, Inc. </w:t>
      </w:r>
    </w:p>
    <w:p>
      <w:pPr>
        <w:pStyle w:val="TextBody"/>
        <w:bidi w:val="0"/>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2023 STOCK INCENTIVE PLAN </w:t>
      </w:r>
    </w:p>
    <w:p>
      <w:pPr>
        <w:pStyle w:val="TextBody"/>
        <w:bidi w:val="0"/>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 amended by Amendment No. 1)</w:t>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1. </w:t>
      </w:r>
      <w:r>
        <w:rPr>
          <w:rFonts w:ascii="Times New Roman;sans-serif" w:hAnsi="Times New Roman;sans-serif"/>
          <w:b w:val="false"/>
          <w:color w:val="000000"/>
          <w:sz w:val="20"/>
          <w:u w:val="single"/>
        </w:rPr>
        <w:t>Purpose</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The purpose of this 2023 Stock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of Akebia Therapeutics, Inc., a Delaware corporation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sans-serif" w:hAnsi="Times New Roman;sans-serif"/>
          <w:b/>
          <w:i/>
          <w:color w:val="000000"/>
          <w:sz w:val="20"/>
        </w:rPr>
        <w:t>Company</w:t>
      </w:r>
      <w:r>
        <w:rPr>
          <w:color w:val="000000"/>
        </w:rPr>
        <w:t xml:space="preserve">” </w:t>
      </w:r>
      <w:r>
        <w:rPr>
          <w:rFonts w:ascii="Times New Roman;sans-serif" w:hAnsi="Times New Roman;sans-serif"/>
          <w:b w:val="false"/>
          <w:color w:val="000000"/>
          <w:sz w:val="20"/>
        </w:rPr>
        <w:t>shall include any of the Company’s present or future parent or subsidiary corporations as defined in Sections 424(e) or (f) of the Internal Revenue Code of 1986, as amended, and any regulations thereunder (the “</w:t>
      </w:r>
      <w:r>
        <w:rPr>
          <w:rFonts w:ascii="Times New Roman;sans-serif" w:hAnsi="Times New Roman;sans-serif"/>
          <w:b/>
          <w:i/>
          <w:color w:val="000000"/>
          <w:sz w:val="20"/>
        </w:rPr>
        <w:t>Code</w:t>
      </w:r>
      <w:r>
        <w:rPr>
          <w:color w:val="000000"/>
        </w:rPr>
        <w:t>”</w:t>
      </w:r>
      <w:r>
        <w:rPr>
          <w:rFonts w:ascii="Times New Roman;sans-serif" w:hAnsi="Times New Roman;sans-serif"/>
          <w:b w:val="false"/>
          <w:color w:val="000000"/>
          <w:sz w:val="20"/>
        </w:rPr>
        <w:t>) and any other business venture (including, without limitation, joint venture or limited liability company) in which the Company has a controlling interest, as determined by the Board of Directors of the Company (the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xml:space="preserve">). </w:t>
      </w:r>
    </w:p>
    <w:p>
      <w:pPr>
        <w:pStyle w:val="TextBody"/>
        <w:bidi w:val="0"/>
        <w:spacing w:before="0" w:after="0"/>
        <w:ind w:left="0" w:right="0" w:firstLine="490"/>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2. </w:t>
      </w:r>
      <w:r>
        <w:rPr>
          <w:rFonts w:ascii="Times New Roman;sans-serif" w:hAnsi="Times New Roman;sans-serif"/>
          <w:b w:val="false"/>
          <w:color w:val="000000"/>
          <w:sz w:val="20"/>
          <w:u w:val="single"/>
        </w:rPr>
        <w:t>Eligibility</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sans-serif" w:hAnsi="Times New Roman;sans-serif"/>
          <w:b/>
          <w:i/>
          <w:color w:val="000000"/>
          <w:sz w:val="20"/>
        </w:rPr>
        <w:t>Securities Act</w:t>
      </w:r>
      <w:r>
        <w:rPr>
          <w:color w:val="000000"/>
        </w:rPr>
        <w:t>”</w:t>
      </w:r>
      <w:r>
        <w:rPr>
          <w:rFonts w:ascii="Times New Roman;sans-serif" w:hAnsi="Times New Roman;sans-serif"/>
          <w:b w:val="false"/>
          <w:color w:val="000000"/>
          <w:sz w:val="20"/>
        </w:rPr>
        <w:t>), or any successor form) are eligible to be granted Awards (as defined below) under the Plan. Each person who is granted an Award under the Plan is deemed a “</w:t>
      </w:r>
      <w:r>
        <w:rPr>
          <w:rFonts w:ascii="Times New Roman;sans-serif" w:hAnsi="Times New Roman;sans-serif"/>
          <w:b/>
          <w:i/>
          <w:color w:val="000000"/>
          <w:sz w:val="20"/>
        </w:rPr>
        <w:t>Participant</w:t>
      </w:r>
      <w:r>
        <w:rPr>
          <w:rFonts w:ascii="Times New Roman;sans-serif" w:hAnsi="Times New Roman;sans-serif"/>
          <w:b w:val="false"/>
          <w:color w:val="000000"/>
          <w:sz w:val="20"/>
        </w:rPr>
        <w:t>.” The Plan provides for the following types of awards, each of which is referred to as an “</w:t>
      </w:r>
      <w:r>
        <w:rPr>
          <w:rFonts w:ascii="Times New Roman;sans-serif" w:hAnsi="Times New Roman;sans-serif"/>
          <w:b/>
          <w:i/>
          <w:color w:val="000000"/>
          <w:sz w:val="20"/>
        </w:rPr>
        <w:t>Award</w:t>
      </w:r>
      <w:r>
        <w:rPr>
          <w:color w:val="000000"/>
        </w:rPr>
        <w:t>”</w:t>
      </w:r>
      <w:r>
        <w:rPr>
          <w:rFonts w:ascii="Times New Roman;sans-serif" w:hAnsi="Times New Roman;sans-serif"/>
          <w:b w:val="false"/>
          <w:color w:val="000000"/>
          <w:sz w:val="20"/>
        </w:rPr>
        <w:t xml:space="preserve">: Options (as defined in Section 5), SARs (as defined in Section 6), Restricted Stock (as defined in Section 7), RSUs (as defined in Section 7) and Other Stock-Based Awards (as defined in Section 8) and Cash-Based Awards (as defined in Section 8). Any type of Award may be granted as a Performance Award under Section 9. Except as otherwise provided by the Plan, each Award may be made alone or in addition or in relation to any other Award. The terms of each Award need not be identical, and the Board need not treat Participants uniformly. </w:t>
      </w:r>
    </w:p>
    <w:p>
      <w:pPr>
        <w:pStyle w:val="TextBody"/>
        <w:bidi w:val="0"/>
        <w:spacing w:before="0" w:after="0"/>
        <w:ind w:left="0" w:right="0" w:firstLine="490"/>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3. </w:t>
      </w:r>
      <w:r>
        <w:rPr>
          <w:rFonts w:ascii="Times New Roman;sans-serif" w:hAnsi="Times New Roman;sans-serif"/>
          <w:b w:val="false"/>
          <w:color w:val="000000"/>
          <w:sz w:val="20"/>
          <w:u w:val="single"/>
        </w:rPr>
        <w:t>Administration and Delegation</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Administration by Board of Directors</w:t>
      </w:r>
      <w:r>
        <w:rPr>
          <w:rFonts w:ascii="Times New Roman;sans-serif" w:hAnsi="Times New Roman;sans-serif"/>
          <w:b w:val="false"/>
          <w:color w:val="000000"/>
          <w:sz w:val="20"/>
        </w:rPr>
        <w:t xml:space="preserve">.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Appointment of Committees</w:t>
      </w:r>
      <w:r>
        <w:rPr>
          <w:rFonts w:ascii="Times New Roman;sans-serif" w:hAnsi="Times New Roman;sans-serif"/>
          <w:b w:val="false"/>
          <w:color w:val="000000"/>
          <w:sz w:val="20"/>
        </w:rPr>
        <w:t>. To the extent permitted by applicable law, the Board may delegate any or all of its powers under the Plan to one or more committees or subcommittees of the Board (a “</w:t>
      </w:r>
      <w:r>
        <w:rPr>
          <w:rFonts w:ascii="Times New Roman;sans-serif" w:hAnsi="Times New Roman;sans-serif"/>
          <w:b/>
          <w:i/>
          <w:color w:val="000000"/>
          <w:sz w:val="20"/>
        </w:rPr>
        <w:t>Committee</w:t>
      </w:r>
      <w:r>
        <w:rPr>
          <w:color w:val="000000"/>
        </w:rPr>
        <w:t>”</w:t>
      </w:r>
      <w:r>
        <w:rPr>
          <w:rFonts w:ascii="Times New Roman;sans-serif" w:hAnsi="Times New Roman;sans-serif"/>
          <w:b w:val="false"/>
          <w:color w:val="000000"/>
          <w:sz w:val="20"/>
        </w:rPr>
        <w:t>). All references in the Plan to the “</w:t>
      </w:r>
      <w:r>
        <w:rPr>
          <w:rFonts w:ascii="Times New Roman;sans-serif" w:hAnsi="Times New Roman;sans-serif"/>
          <w:b/>
          <w:i/>
          <w:color w:val="000000"/>
          <w:sz w:val="20"/>
        </w:rPr>
        <w:t>Board</w:t>
      </w:r>
      <w:r>
        <w:rPr>
          <w:color w:val="000000"/>
        </w:rPr>
        <w:t xml:space="preserve">” </w:t>
      </w:r>
      <w:r>
        <w:rPr>
          <w:rFonts w:ascii="Times New Roman;sans-serif" w:hAnsi="Times New Roman;sans-serif"/>
          <w:b w:val="false"/>
          <w:color w:val="000000"/>
          <w:sz w:val="20"/>
        </w:rPr>
        <w:t xml:space="preserve">shall mean the Board or a Committee of the Board or the Delegated Persons referred to in Section 3(c) to the extent that the Board’s powers or authority under the Plan have been delegated to such Committee or such Delegated Persons.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Delegation to Delegated Persons</w:t>
      </w:r>
      <w:r>
        <w:rPr>
          <w:rFonts w:ascii="Times New Roman;sans-serif" w:hAnsi="Times New Roman;sans-serif"/>
          <w:b w:val="false"/>
          <w:color w:val="000000"/>
          <w:sz w:val="20"/>
        </w:rPr>
        <w:t>. Subject to any requirements of applicable law (including as applicable Sections 152(b) and 157(c) of the General Corporation Law of the State of Delaware), the Board may, by resolution, delegate to one or more persons (including officers of the Company) or bodies (such persons or bodies, the “</w:t>
      </w:r>
      <w:r>
        <w:rPr>
          <w:rFonts w:ascii="Times New Roman;sans-serif" w:hAnsi="Times New Roman;sans-serif"/>
          <w:b/>
          <w:i/>
          <w:color w:val="000000"/>
          <w:sz w:val="20"/>
        </w:rPr>
        <w:t>Delegated Persons</w:t>
      </w:r>
      <w:r>
        <w:rPr>
          <w:color w:val="000000"/>
        </w:rPr>
        <w:t>”</w:t>
      </w:r>
      <w:r>
        <w:rPr>
          <w:rFonts w:ascii="Times New Roman;sans-serif" w:hAnsi="Times New Roman;sans-serif"/>
          <w:b w:val="false"/>
          <w:color w:val="000000"/>
          <w:sz w:val="20"/>
        </w:rPr>
        <w:t>) the power to grant Awards (subject to any limitations under the Plan) to eligible service providers of the Company and to exercise such other powers under the Plan as the Board may determine, provided that the Board shall fix: (i) the maximum number of Awards, and the maximum number of shares issuable upon exercise thereof, that may be issued by such Delegated Persons, (ii) the time period during which such Awards, and during which the shares issuable upon exercise thereof, may be issued, and (iii) the minimum amount of consideration (if any) for which such Awards may be issued, and a minimum amount of consideration for the shares issuable upon exercise thereof; and provided further, that no Delegated Person shall be authorized to grant Awards to itself; and provided further, that no Delegated Person shall be authorized to grant Awards to any “executive officer” of the Company (as defined by Rule 3b-7 under the Securities Exchange Act of 1934, as amended (the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xml:space="preserve">)) or to any “officer” of the Company (as defined by Rule 16a-1(f) under the Exchange Act). </w:t>
      </w:r>
    </w:p>
    <w:p>
      <w:pPr>
        <w:pStyle w:val="TextBody"/>
        <w:bidi w:val="0"/>
        <w:spacing w:before="0" w:after="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Awards to Non-Employee Directors</w:t>
      </w:r>
      <w:r>
        <w:rPr>
          <w:rFonts w:ascii="Times New Roman;sans-serif" w:hAnsi="Times New Roman;sans-serif"/>
          <w:b w:val="false"/>
          <w:color w:val="000000"/>
          <w:sz w:val="20"/>
        </w:rPr>
        <w:t xml:space="preserve">. Awards to non-employee directors will be granted and administered by a Committee, all of the members of which are independent directors as defined by Section 5605(a)(2) of the Nasdaq Marketplace Rules. </w:t>
      </w:r>
    </w:p>
    <w:p>
      <w:pPr>
        <w:pStyle w:val="TextBody"/>
        <w:bidi w:val="0"/>
        <w:spacing w:before="0" w:after="0"/>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4. </w:t>
      </w:r>
      <w:r>
        <w:rPr>
          <w:rFonts w:ascii="Times New Roman;sans-serif" w:hAnsi="Times New Roman;sans-serif"/>
          <w:b w:val="false"/>
          <w:color w:val="000000"/>
          <w:sz w:val="20"/>
          <w:u w:val="single"/>
        </w:rPr>
        <w:t>Stock Available for Awards</w:t>
      </w:r>
    </w:p>
    <w:p>
      <w:pPr>
        <w:pStyle w:val="TextBody"/>
        <w:bidi w:val="0"/>
        <w:spacing w:before="0" w:after="0"/>
        <w:ind w:left="0" w:right="0" w:hanging="1"/>
        <w:jc w:val="left"/>
        <w:rPr/>
      </w:pPr>
      <w:r>
        <w:rPr/>
      </w:r>
    </w:p>
    <w:p>
      <w:pPr>
        <w:pStyle w:val="TextBody"/>
        <w:bidi w:val="0"/>
        <w:spacing w:lineRule="auto" w:line="268" w:before="0" w:after="0"/>
        <w:ind w:left="0" w:right="0" w:firstLine="49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Number of Shares; Share Counting</w:t>
      </w:r>
      <w:r>
        <w:rPr>
          <w:rFonts w:ascii="Times New Roman;sans-serif" w:hAnsi="Times New Roman;sans-serif"/>
          <w:b w:val="false"/>
          <w:color w:val="000000"/>
          <w:sz w:val="20"/>
        </w:rPr>
        <w:t xml:space="preserve">. </w:t>
      </w:r>
    </w:p>
    <w:p>
      <w:pPr>
        <w:pStyle w:val="TextBody"/>
        <w:bidi w:val="0"/>
        <w:spacing w:before="0" w:after="0"/>
        <w:ind w:left="0" w:right="0" w:firstLine="490"/>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(1) </w:t>
      </w:r>
      <w:r>
        <w:rPr>
          <w:rFonts w:ascii="Times New Roman;sans-serif" w:hAnsi="Times New Roman;sans-serif"/>
          <w:b w:val="false"/>
          <w:color w:val="000000"/>
          <w:sz w:val="20"/>
          <w:u w:val="single"/>
        </w:rPr>
        <w:t>Authorized Number of Shares</w:t>
      </w:r>
      <w:r>
        <w:rPr>
          <w:rFonts w:ascii="Times New Roman;sans-serif" w:hAnsi="Times New Roman;sans-serif"/>
          <w:b w:val="false"/>
          <w:color w:val="000000"/>
          <w:sz w:val="20"/>
        </w:rPr>
        <w:t>. Subject to adjustment under Section 10, Awards may be made under the Plan (any or all of which Awards may be in the form of Incentive Stock Options, as defined in Section 5(b)) for up to a number of shares of common stock, $0.00001 par value per share, of the Company (the “</w:t>
      </w:r>
      <w:r>
        <w:rPr>
          <w:rFonts w:ascii="Times New Roman;sans-serif" w:hAnsi="Times New Roman;sans-serif"/>
          <w:b/>
          <w:i/>
          <w:color w:val="000000"/>
          <w:sz w:val="20"/>
        </w:rPr>
        <w:t>Common Stock</w:t>
      </w:r>
      <w:r>
        <w:rPr>
          <w:color w:val="000000"/>
        </w:rPr>
        <w:t>”</w:t>
      </w:r>
      <w:r>
        <w:rPr>
          <w:rFonts w:ascii="Times New Roman;sans-serif" w:hAnsi="Times New Roman;sans-serif"/>
          <w:b w:val="false"/>
          <w:color w:val="000000"/>
          <w:sz w:val="20"/>
        </w:rPr>
        <w:t xml:space="preserve">), as is equal to the sum of: </w:t>
      </w:r>
    </w:p>
    <w:p>
      <w:pPr>
        <w:pStyle w:val="TextBody"/>
        <w:bidi w:val="0"/>
        <w:spacing w:lineRule="auto" w:line="268" w:before="0" w:after="0"/>
        <w:ind w:left="0" w:right="0" w:firstLine="159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(A) 28,900,000 shares of Common Stock; and </w:t>
      </w:r>
    </w:p>
    <w:p>
      <w:pPr>
        <w:pStyle w:val="TextBody"/>
        <w:bidi w:val="0"/>
        <w:spacing w:before="0" w:after="0"/>
        <w:ind w:left="0" w:right="0" w:firstLine="1591"/>
        <w:jc w:val="left"/>
        <w:rPr/>
      </w:pPr>
      <w:r>
        <w:rPr/>
      </w:r>
    </w:p>
    <w:p>
      <w:pPr>
        <w:pStyle w:val="TextBody"/>
        <w:bidi w:val="0"/>
        <w:spacing w:lineRule="auto" w:line="288" w:before="0" w:after="0"/>
        <w:ind w:left="0" w:right="0" w:firstLine="1591"/>
        <w:jc w:val="left"/>
        <w:rPr/>
      </w:pPr>
      <w:r>
        <w:rPr>
          <w:rFonts w:ascii="Times New Roman;sans-serif" w:hAnsi="Times New Roman;sans-serif"/>
          <w:b w:val="false"/>
          <w:color w:val="000000"/>
          <w:sz w:val="20"/>
        </w:rPr>
        <w:t>(B) such additional number of shares of Common Stock (up to 24,361,685) as is equal to the sum of (x) the number of shares of Common Stock reserved for issuance under the Company’s 2014 Incentive Plan (the “</w:t>
      </w:r>
      <w:r>
        <w:rPr>
          <w:rFonts w:ascii="Times New Roman;sans-serif" w:hAnsi="Times New Roman;sans-serif"/>
          <w:b/>
          <w:i/>
          <w:color w:val="000000"/>
          <w:sz w:val="20"/>
        </w:rPr>
        <w:t>Existing Plan</w:t>
      </w:r>
      <w:r>
        <w:rPr>
          <w:color w:val="000000"/>
        </w:rPr>
        <w:t>”</w:t>
      </w:r>
      <w:r>
        <w:rPr>
          <w:rFonts w:ascii="Times New Roman;sans-serif" w:hAnsi="Times New Roman;sans-serif"/>
          <w:b w:val="false"/>
          <w:color w:val="000000"/>
          <w:sz w:val="20"/>
        </w:rPr>
        <w:t>) that remain available for grant under the Existing Plan (including any shares that remain available for grant under the Existing Plan as a result of a plan that was assumed by the Company pursuant to Section 4(c) of the Existing Plan) immediately prior to the date that the Plan is approved by the Company’s stockholders (the “</w:t>
      </w:r>
      <w:r>
        <w:rPr>
          <w:rFonts w:ascii="Times New Roman;sans-serif" w:hAnsi="Times New Roman;sans-serif"/>
          <w:b/>
          <w:i/>
          <w:color w:val="000000"/>
          <w:sz w:val="20"/>
        </w:rPr>
        <w:t>Effective Date</w:t>
      </w:r>
      <w:r>
        <w:rPr>
          <w:color w:val="000000"/>
        </w:rPr>
        <w:t>”</w:t>
      </w:r>
      <w:r>
        <w:rPr>
          <w:rFonts w:ascii="Times New Roman;sans-serif" w:hAnsi="Times New Roman;sans-serif"/>
          <w:b w:val="false"/>
          <w:color w:val="000000"/>
          <w:sz w:val="20"/>
        </w:rPr>
        <w:t xml:space="preserve">) and (y) the number of shares of Common Stock subject to awards granted under the Existing Plan (including any shares granted under the Existing Plan as a result of a plan that was assumed by the Company pursuant to Section 4(c) of the Existing Plan) that are outstanding as of the Effective Date and which awards expire, terminate or are otherwise surrendered, cancelled, forfeited or repurchased by the Company at their original issuance price pursuant to a contractual repurchase right (subject, however, in the case of Incentive Stock Options to any limitations under the Code). </w:t>
      </w:r>
    </w:p>
    <w:p>
      <w:pPr>
        <w:pStyle w:val="TextBody"/>
        <w:bidi w:val="0"/>
        <w:spacing w:before="0" w:after="0"/>
        <w:ind w:left="0" w:right="0" w:firstLine="1591"/>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Common Stock issued under the Plan may consist in whole or in part of authorized but unissued shares or treasury shares. </w:t>
      </w:r>
    </w:p>
    <w:p>
      <w:pPr>
        <w:pStyle w:val="TextBody"/>
        <w:bidi w:val="0"/>
        <w:spacing w:before="0" w:after="0"/>
        <w:jc w:val="left"/>
        <w:rPr/>
      </w:pPr>
      <w:r>
        <w:rPr/>
      </w:r>
    </w:p>
    <w:p>
      <w:pPr>
        <w:pStyle w:val="TextBody"/>
        <w:bidi w:val="0"/>
        <w:spacing w:lineRule="auto" w:line="268" w:before="0" w:after="0"/>
        <w:ind w:left="0" w:right="0" w:firstLine="1102"/>
        <w:jc w:val="left"/>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Share Counting</w:t>
      </w:r>
      <w:r>
        <w:rPr>
          <w:rFonts w:ascii="Times New Roman;sans-serif" w:hAnsi="Times New Roman;sans-serif"/>
          <w:b w:val="false"/>
          <w:color w:val="000000"/>
          <w:sz w:val="20"/>
        </w:rPr>
        <w:t xml:space="preserve">. For purposes of counting the number of shares available for the grant of Awards under the Plan under this Section 4(a): </w:t>
      </w:r>
    </w:p>
    <w:p>
      <w:pPr>
        <w:pStyle w:val="TextBody"/>
        <w:bidi w:val="0"/>
        <w:spacing w:before="0" w:after="0"/>
        <w:ind w:left="0" w:right="0" w:firstLine="1102"/>
        <w:jc w:val="left"/>
        <w:rPr/>
      </w:pPr>
      <w:r>
        <w:rPr/>
      </w:r>
    </w:p>
    <w:p>
      <w:pPr>
        <w:pStyle w:val="TextBody"/>
        <w:bidi w:val="0"/>
        <w:spacing w:lineRule="auto" w:line="288" w:before="0" w:after="0"/>
        <w:ind w:left="0" w:right="0" w:firstLine="1591"/>
        <w:jc w:val="left"/>
        <w:rPr/>
      </w:pPr>
      <w:r>
        <w:rPr>
          <w:rFonts w:ascii="Times New Roman;sans-serif" w:hAnsi="Times New Roman;sans-serif"/>
          <w:b w:val="false"/>
          <w:color w:val="000000"/>
          <w:sz w:val="20"/>
        </w:rPr>
        <w:t xml:space="preserve">(A) all shares of Common Stock covered by SARs shall be counted against the number of shares available for the grant of Awards under the Plan;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sans-serif" w:hAnsi="Times New Roman;sans-serif"/>
          <w:b/>
          <w:i/>
          <w:color w:val="000000"/>
          <w:sz w:val="20"/>
        </w:rPr>
        <w:t>Tandem SAR</w:t>
      </w:r>
      <w:r>
        <w:rPr>
          <w:color w:val="000000"/>
        </w:rPr>
        <w:t>”</w:t>
      </w:r>
      <w:r>
        <w:rPr>
          <w:rFonts w:ascii="Times New Roman;sans-serif" w:hAnsi="Times New Roman;sans-serif"/>
          <w:b w:val="false"/>
          <w:color w:val="000000"/>
          <w:sz w:val="20"/>
        </w:rPr>
        <w:t xml:space="preserve">), only the shares covered by the Option, and not the shares covered by the Tandem SAR, shall be so counted, and the expiration of one in connection with the other’s exercise will not restore shares to the Plan; </w:t>
      </w:r>
    </w:p>
    <w:p>
      <w:pPr>
        <w:pStyle w:val="TextBody"/>
        <w:bidi w:val="0"/>
        <w:spacing w:before="0" w:after="0"/>
        <w:ind w:left="0" w:right="0" w:firstLine="1591"/>
        <w:jc w:val="left"/>
        <w:rPr/>
      </w:pPr>
      <w:r>
        <w:rPr/>
      </w:r>
    </w:p>
    <w:p>
      <w:pPr>
        <w:pStyle w:val="TextBody"/>
        <w:bidi w:val="0"/>
        <w:spacing w:lineRule="auto" w:line="288" w:before="0" w:after="0"/>
        <w:ind w:left="0" w:right="0" w:firstLine="159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(B) to the extent that an RSU may be settled only in cash, no shares shall be counted against the shares available for the grant of Awards under the Plan; </w:t>
      </w:r>
    </w:p>
    <w:p>
      <w:pPr>
        <w:pStyle w:val="TextBody"/>
        <w:bidi w:val="0"/>
        <w:spacing w:before="0" w:after="0"/>
        <w:jc w:val="left"/>
        <w:rPr/>
      </w:pPr>
      <w:r>
        <w:rPr/>
      </w:r>
    </w:p>
    <w:p>
      <w:pPr>
        <w:pStyle w:val="TextBody"/>
        <w:bidi w:val="0"/>
        <w:spacing w:lineRule="auto" w:line="288" w:before="0" w:after="0"/>
        <w:ind w:left="0" w:right="0" w:firstLine="1591"/>
        <w:jc w:val="left"/>
        <w:rPr/>
      </w:pPr>
      <w:r>
        <w:rPr>
          <w:rFonts w:ascii="Times New Roman;sans-serif" w:hAnsi="Times New Roman;sans-serif"/>
          <w:b w:val="false"/>
          <w:color w:val="000000"/>
          <w:sz w:val="20"/>
        </w:rPr>
        <w:t xml:space="preserve">(C) if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or an RSU that was settleable either in cash or in stock actually being settled in cash), the unused Common Stock covered by such Award shall again be available for the grant of Awards;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that (1) in the case of Incentive Stock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 </w:t>
      </w:r>
    </w:p>
    <w:p>
      <w:pPr>
        <w:pStyle w:val="TextBody"/>
        <w:bidi w:val="0"/>
        <w:spacing w:lineRule="auto" w:line="288" w:before="0" w:after="0"/>
        <w:ind w:left="0" w:right="0" w:firstLine="159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 </w:t>
      </w:r>
    </w:p>
    <w:p>
      <w:pPr>
        <w:pStyle w:val="TextBody"/>
        <w:bidi w:val="0"/>
        <w:spacing w:before="0" w:after="0"/>
        <w:ind w:left="0" w:right="0" w:firstLine="1591"/>
        <w:jc w:val="left"/>
        <w:rPr/>
      </w:pPr>
      <w:r>
        <w:rPr/>
      </w:r>
    </w:p>
    <w:p>
      <w:pPr>
        <w:pStyle w:val="TextBody"/>
        <w:bidi w:val="0"/>
        <w:spacing w:lineRule="auto" w:line="288" w:before="0" w:after="0"/>
        <w:ind w:left="0" w:right="0" w:firstLine="159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(E) shares of Common Stock repurchased by the Company on the open market using the proceeds from the exercise of an Award shall not increase the number of shares available for future grant of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59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Limit on Awards to Non-Employee Directors</w:t>
      </w:r>
      <w:r>
        <w:rPr>
          <w:rFonts w:ascii="Times New Roman;sans-serif" w:hAnsi="Times New Roman;sans-serif"/>
          <w:b w:val="false"/>
          <w:color w:val="000000"/>
          <w:sz w:val="20"/>
        </w:rPr>
        <w:t xml:space="preserve">. The maximum aggregate amount of cash and value of Awards (calculated based on grant date fair value for financial reporting purposes) granted in any calendar year to any individual non-employee director shall not exceed $750,000 in the case of an incumbent director; provided, however, that such maximum aggregate amount shall not exceed $1,000,000 in any calendar year for any individual non-employee director in such non-employee director’s initial year of election or appointment; and provided, further, however, that fees paid by the Company on behalf of any non-employee director in connection with regulatory compliance and any amounts paid to a non-employee director as reimbursement of an expense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For the avoidance of doubt, this limitation shall not apply to cash or Awards granted to a non-employee director in his or her capacity as an advisor or consultant to the Company.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Substitute Awards</w:t>
      </w:r>
      <w:r>
        <w:rPr>
          <w:rFonts w:ascii="Times New Roman;sans-serif" w:hAnsi="Times New Roman;sans-serif"/>
          <w:b w:val="false"/>
          <w:color w:val="000000"/>
          <w:sz w:val="20"/>
        </w:rPr>
        <w:t xml:space="preserve">.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 contained in the Plan, except as may be required by reason of Section 422 and related provisions of the Code. </w:t>
      </w:r>
    </w:p>
    <w:p>
      <w:pPr>
        <w:pStyle w:val="TextBody"/>
        <w:bidi w:val="0"/>
        <w:spacing w:before="0" w:after="0"/>
        <w:ind w:left="0" w:right="0" w:firstLine="490"/>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5. </w:t>
      </w:r>
      <w:r>
        <w:rPr>
          <w:rFonts w:ascii="Times New Roman;sans-serif" w:hAnsi="Times New Roman;sans-serif"/>
          <w:b w:val="false"/>
          <w:color w:val="000000"/>
          <w:sz w:val="20"/>
          <w:u w:val="single"/>
        </w:rPr>
        <w:t>Stock Options</w:t>
      </w:r>
      <w:r>
        <w:rPr>
          <w:color w:val="000000"/>
        </w:rPr>
        <w:t xml:space="preserve"> </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 The Board may grant options to purchase Common Stock (each, an “</w:t>
      </w:r>
      <w:r>
        <w:rPr>
          <w:rFonts w:ascii="Times New Roman;sans-serif" w:hAnsi="Times New Roman;sans-serif"/>
          <w:b/>
          <w:i/>
          <w:color w:val="000000"/>
          <w:sz w:val="20"/>
        </w:rPr>
        <w:t>Option</w:t>
      </w:r>
      <w:r>
        <w:rPr>
          <w:color w:val="000000"/>
        </w:rPr>
        <w:t>”</w:t>
      </w:r>
      <w:r>
        <w:rPr>
          <w:rFonts w:ascii="Times New Roman;sans-serif" w:hAnsi="Times New Roman;sans-serif"/>
          <w:b w:val="false"/>
          <w:color w:val="000000"/>
          <w:sz w:val="20"/>
        </w:rPr>
        <w:t xml:space="preserve">)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Incentive Stock Options</w:t>
      </w:r>
      <w:r>
        <w:rPr>
          <w:rFonts w:ascii="Times New Roman;sans-serif" w:hAnsi="Times New Roman;sans-serif"/>
          <w:b w:val="false"/>
          <w:color w:val="000000"/>
          <w:sz w:val="20"/>
        </w:rPr>
        <w:t>. An Option that the Board intends to be an “incentive stock option” as defined in Section 422 of the Code (an “</w:t>
      </w:r>
      <w:r>
        <w:rPr>
          <w:rFonts w:ascii="Times New Roman;sans-serif" w:hAnsi="Times New Roman;sans-serif"/>
          <w:b/>
          <w:i/>
          <w:color w:val="000000"/>
          <w:sz w:val="20"/>
        </w:rPr>
        <w:t>Incentive Stock Option</w:t>
      </w:r>
      <w:r>
        <w:rPr>
          <w:color w:val="000000"/>
        </w:rPr>
        <w:t>”</w:t>
      </w:r>
      <w:r>
        <w:rPr>
          <w:rFonts w:ascii="Times New Roman;sans-serif" w:hAnsi="Times New Roman;sans-serif"/>
          <w:b w:val="false"/>
          <w:color w:val="000000"/>
          <w:sz w:val="20"/>
        </w:rPr>
        <w:t>) shall only be granted to employees of Akebia Therapeutics, Inc., any of Akebia Therapeutics,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sans-serif" w:hAnsi="Times New Roman;sans-serif"/>
          <w:b/>
          <w:i/>
          <w:color w:val="000000"/>
          <w:sz w:val="20"/>
        </w:rPr>
        <w:t>Nonstatutory Stock Option</w:t>
      </w:r>
      <w:r>
        <w:rPr>
          <w:rFonts w:ascii="Times New Roman;sans-serif" w:hAnsi="Times New Roman;sans-serif"/>
          <w:b w:val="false"/>
          <w:color w:val="000000"/>
          <w:sz w:val="20"/>
        </w:rPr>
        <w:t xml:space="preserve">.” The Company shall have no liability to a Participant, or any other person, if an Option (or any part thereof) that is intended to be an Incentive Stock Option is not an Incentive Stock Option or if the Company converts an Incentive Stock Option to a Nonstatutory Stock Option.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Exercise Price</w:t>
      </w:r>
      <w:r>
        <w:rPr>
          <w:rFonts w:ascii="Times New Roman;sans-serif" w:hAnsi="Times New Roman;sans-serif"/>
          <w:b w:val="false"/>
          <w:color w:val="000000"/>
          <w:sz w:val="20"/>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the Board approves the grant of an Option with an exercise price to be determined on a future date, the exercise price shall be not less than 100% of the Grant Date Fair Market Value on such future date. “</w:t>
      </w:r>
      <w:r>
        <w:rPr>
          <w:rFonts w:ascii="Times New Roman;sans-serif" w:hAnsi="Times New Roman;sans-serif"/>
          <w:b/>
          <w:i/>
          <w:color w:val="000000"/>
          <w:sz w:val="20"/>
        </w:rPr>
        <w:t>Grant Date Fair Market Value</w:t>
      </w:r>
      <w:r>
        <w:rPr>
          <w:color w:val="000000"/>
        </w:rPr>
        <w:t xml:space="preserve">” </w:t>
      </w:r>
      <w:r>
        <w:rPr>
          <w:rFonts w:ascii="Times New Roman;sans-serif" w:hAnsi="Times New Roman;sans-serif"/>
          <w:b w:val="false"/>
          <w:color w:val="000000"/>
          <w:sz w:val="20"/>
        </w:rPr>
        <w:t xml:space="preserve">of a share of Common Stock for purposes of the Plan will be determined as follows: </w:t>
      </w:r>
    </w:p>
    <w:p>
      <w:pPr>
        <w:pStyle w:val="TextBody"/>
        <w:bidi w:val="0"/>
        <w:spacing w:before="0" w:after="0"/>
        <w:ind w:left="0" w:right="0" w:firstLine="490"/>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(1) if the Common Stock trades on a national securities exchange, the closing sale price (for the primary trading session) on the date of grant; or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(2) if the Common Stock does not trade on any such exchange, the average of the closing bid and asked prices on the date of grant as reported by an over-the-counter marketplace designated by the Board; or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(3) if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of the Code or any successor provision thereto, and the regulations thereunder (“</w:t>
      </w:r>
      <w:r>
        <w:rPr>
          <w:rFonts w:ascii="Times New Roman;sans-serif" w:hAnsi="Times New Roman;sans-serif"/>
          <w:b/>
          <w:i/>
          <w:color w:val="000000"/>
          <w:sz w:val="20"/>
        </w:rPr>
        <w:t>Section 409A</w:t>
      </w:r>
      <w:r>
        <w:rPr>
          <w:color w:val="000000"/>
        </w:rPr>
        <w:t>”</w:t>
      </w:r>
      <w:r>
        <w:rPr>
          <w:rFonts w:ascii="Times New Roman;sans-serif" w:hAnsi="Times New Roman;sans-serif"/>
          <w:b w:val="false"/>
          <w:color w:val="000000"/>
          <w:sz w:val="20"/>
        </w:rPr>
        <w:t xml:space="preserve">), except as the Board may expressly determine otherwise. </w:t>
      </w:r>
    </w:p>
    <w:p>
      <w:pPr>
        <w:pStyle w:val="TextBody"/>
        <w:bidi w:val="0"/>
        <w:spacing w:before="0" w:after="0"/>
        <w:ind w:left="0" w:right="0" w:firstLine="1102"/>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of day or other measure of “closing sale price” or “bid and asked prices” if appropriate because of exchange or market procedures or can use weighted averages either on a daily basis or such longer period, in each case to the extent permitted by Section 409A.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shall determine the Grant Date Fair Market Value for purposes of the Plan, and all Awards are conditioned on the Participant’s agreement that the Board’s determination is conclusive and binding even though others might make a different determination. </w:t>
      </w:r>
    </w:p>
    <w:p>
      <w:pPr>
        <w:pStyle w:val="TextBody"/>
        <w:bidi w:val="0"/>
        <w:spacing w:before="0" w:after="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Duration of Options</w:t>
      </w:r>
      <w:r>
        <w:rPr>
          <w:rFonts w:ascii="Times New Roman;sans-serif" w:hAnsi="Times New Roman;sans-serif"/>
          <w:b w:val="false"/>
          <w:color w:val="000000"/>
          <w:sz w:val="20"/>
        </w:rPr>
        <w:t xml:space="preserve">. Each Option shall be exercisable at such times and subject to such terms and conditions as the Board may specify in the applicable Option agreement;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that no Option will be granted with a term in excess of 10 years.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Exercise of Options</w:t>
      </w:r>
      <w:r>
        <w:rPr>
          <w:rFonts w:ascii="Times New Roman;sans-serif" w:hAnsi="Times New Roman;sans-serif"/>
          <w:b w:val="false"/>
          <w:color w:val="000000"/>
          <w:sz w:val="20"/>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Payment Upon Exercise</w:t>
      </w:r>
      <w:r>
        <w:rPr>
          <w:rFonts w:ascii="Times New Roman;sans-serif" w:hAnsi="Times New Roman;sans-serif"/>
          <w:b w:val="false"/>
          <w:color w:val="000000"/>
          <w:sz w:val="20"/>
        </w:rPr>
        <w:t xml:space="preserve">. Common Stock purchased upon the exercise of an Option granted under the Plan shall be paid for as follows: </w:t>
      </w:r>
    </w:p>
    <w:p>
      <w:pPr>
        <w:pStyle w:val="TextBody"/>
        <w:bidi w:val="0"/>
        <w:spacing w:before="0" w:after="0"/>
        <w:ind w:left="0" w:right="0" w:firstLine="490"/>
        <w:jc w:val="left"/>
        <w:rPr/>
      </w:pPr>
      <w:r>
        <w:rPr/>
      </w:r>
    </w:p>
    <w:p>
      <w:pPr>
        <w:pStyle w:val="TextBody"/>
        <w:bidi w:val="0"/>
        <w:spacing w:lineRule="auto" w:line="26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(1) in cash or by check, payable to the order of the Company;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funds sufficient to pay the exercise price and any required tax withholding;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(3) to the extent provided for in the applicable Option agreement or approved by the Board, by delivery (either by actual delivery or attestation) of shares of Common Stock owned by the Participant valued at their fair market value (valued in the manner determined or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or approved by the Board) on the date of exercise;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(5) to the extent permitted by applicable law and provided for in the applicable Option agreement or approved by the Board, by payment of such other lawful consideration as the Board may determine; provided, however, that in no event may a promissory note of the Participant be used to pay the Option exercise price; or </w:t>
      </w:r>
    </w:p>
    <w:p>
      <w:pPr>
        <w:pStyle w:val="TextBody"/>
        <w:bidi w:val="0"/>
        <w:spacing w:before="0" w:after="0"/>
        <w:ind w:left="0" w:right="0" w:firstLine="1102"/>
        <w:jc w:val="left"/>
        <w:rPr/>
      </w:pPr>
      <w:r>
        <w:rPr/>
      </w:r>
    </w:p>
    <w:p>
      <w:pPr>
        <w:pStyle w:val="TextBody"/>
        <w:bidi w:val="0"/>
        <w:spacing w:lineRule="auto" w:line="26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(6) by any combination of the above permitted forms of payment. </w:t>
      </w:r>
    </w:p>
    <w:p>
      <w:pPr>
        <w:pStyle w:val="TextBody"/>
        <w:bidi w:val="0"/>
        <w:spacing w:before="0" w:after="0"/>
        <w:ind w:left="0" w:right="0" w:firstLine="1102"/>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Limitation on Repricing</w:t>
      </w:r>
      <w:r>
        <w:rPr>
          <w:rFonts w:ascii="Times New Roman;sans-serif" w:hAnsi="Times New Roman;sans-serif"/>
          <w:b w:val="false"/>
          <w:color w:val="000000"/>
          <w:sz w:val="20"/>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or approved by the Board); or (4) take any other action under the Plan that constitutes a “repricing” within the meaning of the rules of the Nasdaq Stock Market or any other exchange or marketplace on which the Company’s stock is listed or traded (the “</w:t>
      </w:r>
      <w:r>
        <w:rPr>
          <w:rFonts w:ascii="Times New Roman;sans-serif" w:hAnsi="Times New Roman;sans-serif"/>
          <w:b/>
          <w:i/>
          <w:color w:val="000000"/>
          <w:sz w:val="20"/>
        </w:rPr>
        <w:t>Exchange</w:t>
      </w:r>
      <w:r>
        <w:rPr>
          <w:color w:val="000000"/>
        </w:rPr>
        <w:t>”</w:t>
      </w:r>
      <w:r>
        <w:rPr>
          <w:rFonts w:ascii="Times New Roman;sans-serif" w:hAnsi="Times New Roman;sans-serif"/>
          <w:b w:val="false"/>
          <w:color w:val="000000"/>
          <w:sz w:val="20"/>
        </w:rPr>
        <w:t xml:space="preserve">). </w:t>
      </w:r>
    </w:p>
    <w:p>
      <w:pPr>
        <w:pStyle w:val="TextBody"/>
        <w:bidi w:val="0"/>
        <w:spacing w:before="0" w:after="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No Reload Options</w:t>
      </w:r>
      <w:r>
        <w:rPr>
          <w:rFonts w:ascii="Times New Roman;sans-serif" w:hAnsi="Times New Roman;sans-serif"/>
          <w:b w:val="false"/>
          <w:color w:val="000000"/>
          <w:sz w:val="20"/>
        </w:rPr>
        <w:t xml:space="preserve">. No Option granted under the Plan shall contain any provision entitling the Participant to the automatic grant of additional Options in connection with any exercise of the original Option. </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No Dividend Equivalents</w:t>
      </w:r>
      <w:r>
        <w:rPr>
          <w:rFonts w:ascii="Times New Roman;sans-serif" w:hAnsi="Times New Roman;sans-serif"/>
          <w:b w:val="false"/>
          <w:color w:val="000000"/>
          <w:sz w:val="20"/>
        </w:rPr>
        <w:t xml:space="preserve">. No Option shall provide for the payment or accrual of dividend equivalents. </w:t>
      </w:r>
    </w:p>
    <w:p>
      <w:pPr>
        <w:pStyle w:val="TextBody"/>
        <w:bidi w:val="0"/>
        <w:spacing w:before="0" w:after="0"/>
        <w:ind w:left="0" w:right="0" w:firstLine="490"/>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6. </w:t>
      </w:r>
      <w:r>
        <w:rPr>
          <w:rFonts w:ascii="Times New Roman;sans-serif" w:hAnsi="Times New Roman;sans-serif"/>
          <w:b w:val="false"/>
          <w:color w:val="000000"/>
          <w:sz w:val="20"/>
          <w:u w:val="single"/>
        </w:rPr>
        <w:t>Stock Appreciation Rights</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 The Board may grant Awards consisting of stock appreciation rights (“</w:t>
      </w:r>
      <w:r>
        <w:rPr>
          <w:rFonts w:ascii="Times New Roman;sans-serif" w:hAnsi="Times New Roman;sans-serif"/>
          <w:b/>
          <w:i/>
          <w:color w:val="000000"/>
          <w:sz w:val="20"/>
        </w:rPr>
        <w:t>SARs</w:t>
      </w:r>
      <w:r>
        <w:rPr>
          <w:color w:val="000000"/>
        </w:rPr>
        <w:t>”</w:t>
      </w:r>
      <w:r>
        <w:rPr>
          <w:rFonts w:ascii="Times New Roman;sans-serif" w:hAnsi="Times New Roman;sans-serif"/>
          <w:b w:val="false"/>
          <w:color w:val="000000"/>
          <w:sz w:val="20"/>
        </w:rPr>
        <w:t xml:space="preserve">)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or approved by the Board) over the measurement price established pursuant to Section 6(b). The date as of which such appreciation is determined shall be the exercise date.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Measurement Price</w:t>
      </w:r>
      <w:r>
        <w:rPr>
          <w:rFonts w:ascii="Times New Roman;sans-serif" w:hAnsi="Times New Roman;sans-serif"/>
          <w:b w:val="false"/>
          <w:color w:val="000000"/>
          <w:sz w:val="20"/>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the Board approves the grant of an SAR effective as of a future date, the measurement price shall be not less than 100% of the Grant Date Fair Market Value on such future date.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Duration of SARs</w:t>
      </w:r>
      <w:r>
        <w:rPr>
          <w:rFonts w:ascii="Times New Roman;sans-serif" w:hAnsi="Times New Roman;sans-serif"/>
          <w:b w:val="false"/>
          <w:color w:val="000000"/>
          <w:sz w:val="20"/>
        </w:rPr>
        <w:t xml:space="preserve">. Each SAR shall be exercisable at such times and subject to such terms and conditions as the Board may specify in the applicable SAR agreement;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that no SAR will be granted with a term in excess of 10 years.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Exercise of SARs</w:t>
      </w:r>
      <w:r>
        <w:rPr>
          <w:rFonts w:ascii="Times New Roman;sans-serif" w:hAnsi="Times New Roman;sans-serif"/>
          <w:b w:val="false"/>
          <w:color w:val="000000"/>
          <w:sz w:val="20"/>
        </w:rPr>
        <w:t xml:space="preserve">. SARs may be exercised by delivery to the Company of a notice of exercise in a form (which may be electronic) approved by the Company, together with any other documents required by the Board.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Limitation on Repricing</w:t>
      </w:r>
      <w:r>
        <w:rPr>
          <w:rFonts w:ascii="Times New Roman;sans-serif" w:hAnsi="Times New Roman;sans-serif"/>
          <w:b w:val="false"/>
          <w:color w:val="000000"/>
          <w:sz w:val="20"/>
        </w:rPr>
        <w:t xml:space="preserve">.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or approved by the Board); or (4) take any other action under the Plan that constitutes a “repricing” within the meaning of the rules of the Exchange.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No Reload SARs</w:t>
      </w:r>
      <w:r>
        <w:rPr>
          <w:rFonts w:ascii="Times New Roman;sans-serif" w:hAnsi="Times New Roman;sans-serif"/>
          <w:b w:val="false"/>
          <w:color w:val="000000"/>
          <w:sz w:val="20"/>
        </w:rPr>
        <w:t xml:space="preserve">. No SAR granted under the Plan shall contain any provision entitling the Participant to the automatic grant of additional SARs in connection with any exercise of the original SAR. </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No Dividend Equivalents</w:t>
      </w:r>
      <w:r>
        <w:rPr>
          <w:rFonts w:ascii="Times New Roman;sans-serif" w:hAnsi="Times New Roman;sans-serif"/>
          <w:b w:val="false"/>
          <w:color w:val="000000"/>
          <w:sz w:val="20"/>
        </w:rPr>
        <w:t xml:space="preserve">. No SAR shall provide for the payment or accrual of dividend equivalents. </w:t>
      </w:r>
    </w:p>
    <w:p>
      <w:pPr>
        <w:pStyle w:val="TextBody"/>
        <w:bidi w:val="0"/>
        <w:spacing w:before="0" w:after="0"/>
        <w:ind w:left="0" w:right="0" w:firstLine="490"/>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7. </w:t>
      </w:r>
      <w:r>
        <w:rPr>
          <w:rFonts w:ascii="Times New Roman;sans-serif" w:hAnsi="Times New Roman;sans-serif"/>
          <w:b w:val="false"/>
          <w:color w:val="000000"/>
          <w:sz w:val="20"/>
          <w:u w:val="single"/>
        </w:rPr>
        <w:t>Restricted Stock; RSUs</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 The Board may grant Awards entitling recipients to acquire shares of Common Stock (“</w:t>
      </w:r>
      <w:r>
        <w:rPr>
          <w:rFonts w:ascii="Times New Roman;sans-serif" w:hAnsi="Times New Roman;sans-serif"/>
          <w:b/>
          <w:i/>
          <w:color w:val="000000"/>
          <w:sz w:val="20"/>
        </w:rPr>
        <w:t>Restricted Stock</w:t>
      </w:r>
      <w:r>
        <w:rPr>
          <w:color w:val="000000"/>
        </w:rPr>
        <w:t>”</w:t>
      </w:r>
      <w:r>
        <w:rPr>
          <w:rFonts w:ascii="Times New Roman;sans-serif" w:hAnsi="Times New Roman;sans-serif"/>
          <w:b w:val="false"/>
          <w:color w:val="000000"/>
          <w:sz w:val="20"/>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or on a deferred basis (“</w:t>
      </w:r>
      <w:r>
        <w:rPr>
          <w:rFonts w:ascii="Times New Roman;sans-serif" w:hAnsi="Times New Roman;sans-serif"/>
          <w:b/>
          <w:i/>
          <w:color w:val="000000"/>
          <w:sz w:val="20"/>
        </w:rPr>
        <w:t>RSUs</w:t>
      </w:r>
      <w:r>
        <w:rPr>
          <w:color w:val="000000"/>
        </w:rPr>
        <w:t>”</w:t>
      </w:r>
      <w:r>
        <w:rPr>
          <w:rFonts w:ascii="Times New Roman;sans-serif" w:hAnsi="Times New Roman;sans-serif"/>
          <w:b w:val="false"/>
          <w:color w:val="000000"/>
          <w:sz w:val="20"/>
        </w:rPr>
        <w:t xml:space="preserv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Terms and Conditions for Restricted Stock and RSUs</w:t>
      </w:r>
      <w:r>
        <w:rPr>
          <w:rFonts w:ascii="Times New Roman;sans-serif" w:hAnsi="Times New Roman;sans-serif"/>
          <w:b w:val="false"/>
          <w:color w:val="000000"/>
          <w:sz w:val="20"/>
        </w:rPr>
        <w:t xml:space="preserve">. The Board shall determine the terms and conditions of Restricted Stock and RSUs, including the conditions for vesting and repurchase (or forfeiture) and the issue price, if any. </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Additional Provisions Relating to Restricted Stock</w:t>
      </w:r>
      <w:r>
        <w:rPr>
          <w:rFonts w:ascii="Times New Roman;sans-serif" w:hAnsi="Times New Roman;sans-serif"/>
          <w:b w:val="false"/>
          <w:color w:val="000000"/>
          <w:sz w:val="20"/>
        </w:rPr>
        <w:t xml:space="preserve">. </w:t>
      </w:r>
    </w:p>
    <w:p>
      <w:pPr>
        <w:pStyle w:val="TextBody"/>
        <w:bidi w:val="0"/>
        <w:spacing w:before="0" w:after="0"/>
        <w:ind w:left="0" w:right="0" w:firstLine="490"/>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(1) </w:t>
      </w:r>
      <w:r>
        <w:rPr>
          <w:rFonts w:ascii="Times New Roman;sans-serif" w:hAnsi="Times New Roman;sans-serif"/>
          <w:b w:val="false"/>
          <w:color w:val="000000"/>
          <w:sz w:val="20"/>
          <w:u w:val="single"/>
        </w:rPr>
        <w:t>Dividends</w:t>
      </w:r>
      <w:r>
        <w:rPr>
          <w:rFonts w:ascii="Times New Roman;sans-serif" w:hAnsi="Times New Roman;sans-serif"/>
          <w:b w:val="false"/>
          <w:color w:val="000000"/>
          <w:sz w:val="20"/>
        </w:rPr>
        <w:t>. Any dividends (whether paid in cash, stock or property) declared and paid by the Company with respect to shares of Restricted Stock (“</w:t>
      </w:r>
      <w:r>
        <w:rPr>
          <w:rFonts w:ascii="Times New Roman;sans-serif" w:hAnsi="Times New Roman;sans-serif"/>
          <w:b/>
          <w:i/>
          <w:color w:val="000000"/>
          <w:sz w:val="20"/>
        </w:rPr>
        <w:t>Unvested Dividends</w:t>
      </w:r>
      <w:r>
        <w:rPr>
          <w:color w:val="000000"/>
        </w:rPr>
        <w:t>”</w:t>
      </w:r>
      <w:r>
        <w:rPr>
          <w:rFonts w:ascii="Times New Roman;sans-serif" w:hAnsi="Times New Roman;sans-serif"/>
          <w:b w:val="false"/>
          <w:color w:val="000000"/>
          <w:sz w:val="20"/>
        </w:rPr>
        <w:t xml:space="preserve">)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the forfeitability provisions applicable to the underlying shares of Restricted Stock. No interest will be paid on Unvested Dividends.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Stock Certificates/Issuance</w:t>
      </w:r>
      <w:r>
        <w:rPr>
          <w:rFonts w:ascii="Times New Roman;sans-serif" w:hAnsi="Times New Roman;sans-serif"/>
          <w:b w:val="false"/>
          <w:color w:val="000000"/>
          <w:sz w:val="20"/>
        </w:rPr>
        <w:t xml:space="preserve">.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or, alternatively, that such shares be issued in book entry only, in the name of the Participant with appropriate transfer and forfeiture restrictions. At the expiration of the applicable restriction periods, the Company (or such designee) shall deliver the certificates no longer subject to such restrictions (or, to the extent the Restricted Stock was issued in book entry, remove the restrictions) to the Participant or if the Participant has died, to his or her Designated Beneficiary (as defined below). </w:t>
      </w:r>
    </w:p>
    <w:p>
      <w:pPr>
        <w:pStyle w:val="TextBody"/>
        <w:bidi w:val="0"/>
        <w:spacing w:before="0" w:after="0"/>
        <w:ind w:left="0" w:right="0" w:firstLine="1102"/>
        <w:jc w:val="left"/>
        <w:rPr/>
      </w:pPr>
      <w:r>
        <w:rPr/>
      </w:r>
    </w:p>
    <w:p>
      <w:pPr>
        <w:pStyle w:val="TextBody"/>
        <w:bidi w:val="0"/>
        <w:spacing w:lineRule="auto" w:line="268" w:before="0" w:after="0"/>
        <w:ind w:left="0" w:right="0" w:firstLine="490"/>
        <w:jc w:val="left"/>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Additional Provisions Relating to RSUs</w:t>
      </w:r>
      <w:r>
        <w:rPr>
          <w:rFonts w:ascii="Times New Roman;sans-serif" w:hAnsi="Times New Roman;sans-serif"/>
          <w:b w:val="false"/>
          <w:color w:val="000000"/>
          <w:sz w:val="20"/>
        </w:rPr>
        <w:t xml:space="preserve">. </w:t>
      </w:r>
    </w:p>
    <w:p>
      <w:pPr>
        <w:pStyle w:val="TextBody"/>
        <w:bidi w:val="0"/>
        <w:spacing w:before="0" w:after="0"/>
        <w:ind w:left="0" w:right="0" w:firstLine="490"/>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(1) </w:t>
      </w:r>
      <w:r>
        <w:rPr>
          <w:rFonts w:ascii="Times New Roman;sans-serif" w:hAnsi="Times New Roman;sans-serif"/>
          <w:b w:val="false"/>
          <w:color w:val="000000"/>
          <w:sz w:val="20"/>
          <w:u w:val="single"/>
        </w:rPr>
        <w:t>Settlement</w:t>
      </w:r>
      <w:r>
        <w:rPr>
          <w:rFonts w:ascii="Times New Roman;sans-serif" w:hAnsi="Times New Roman;sans-serif"/>
          <w:b w:val="false"/>
          <w:color w:val="000000"/>
          <w:sz w:val="20"/>
        </w:rPr>
        <w:t xml:space="preserve">. Upon the vesting of and/or lapsing of any other restrictions with respect to each RSU, the Participant shall be entitled to receive from the Company (i.e., settlement) the number of shares of Common Stock specified in the Award agreement or (if so provided in the applicable Award agreement or otherwise determined by the Board) an amount of cash equal to the fair market value (valued in the manner determined or approved by the Board) of such number of shares or a combination thereof. The Board may provide that settlement of RSUs shall be deferred, on a mandatory basis or at the election of the Participant, in a manner that complies with Section 409A. </w:t>
      </w:r>
    </w:p>
    <w:p>
      <w:pPr>
        <w:pStyle w:val="TextBody"/>
        <w:bidi w:val="0"/>
        <w:spacing w:before="0" w:after="0"/>
        <w:ind w:left="0" w:right="0" w:firstLine="1102"/>
        <w:jc w:val="left"/>
        <w:rPr/>
      </w:pPr>
      <w:r>
        <w:rPr/>
      </w:r>
    </w:p>
    <w:p>
      <w:pPr>
        <w:pStyle w:val="TextBody"/>
        <w:bidi w:val="0"/>
        <w:spacing w:lineRule="auto" w:line="268" w:before="0" w:after="0"/>
        <w:ind w:left="0" w:right="0" w:firstLine="1102"/>
        <w:jc w:val="left"/>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Voting Rights</w:t>
      </w:r>
      <w:r>
        <w:rPr>
          <w:rFonts w:ascii="Times New Roman;sans-serif" w:hAnsi="Times New Roman;sans-serif"/>
          <w:b w:val="false"/>
          <w:color w:val="000000"/>
          <w:sz w:val="20"/>
        </w:rPr>
        <w:t xml:space="preserve">. A Participant shall have no voting rights with respect to any RSUs.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Dividend Equivalents</w:t>
      </w:r>
      <w:r>
        <w:rPr>
          <w:rFonts w:ascii="Times New Roman;sans-serif" w:hAnsi="Times New Roman;sans-serif"/>
          <w:b w:val="false"/>
          <w:color w:val="000000"/>
          <w:sz w:val="20"/>
        </w:rPr>
        <w:t>. The Award agreement for RSUs may provide Participants with the right to receive an amount equal to any dividends or other distributions declared and paid on an equal number of outstanding shares of Common Stock (“</w:t>
      </w:r>
      <w:r>
        <w:rPr>
          <w:rFonts w:ascii="Times New Roman;sans-serif" w:hAnsi="Times New Roman;sans-serif"/>
          <w:b/>
          <w:i/>
          <w:color w:val="000000"/>
          <w:sz w:val="20"/>
        </w:rPr>
        <w:t>Dividend Equivalents</w:t>
      </w:r>
      <w:r>
        <w:rPr>
          <w:color w:val="000000"/>
        </w:rPr>
        <w:t>”</w:t>
      </w:r>
      <w:r>
        <w:rPr>
          <w:rFonts w:ascii="Times New Roman;sans-serif" w:hAnsi="Times New Roman;sans-serif"/>
          <w:b w:val="false"/>
          <w:color w:val="000000"/>
          <w:sz w:val="20"/>
        </w:rPr>
        <w:t xml:space="preserve">). Dividend Equivalents may be credited to an account for the Participant and may be settled in cash and/or shares of Common Stock, in each case to the extent provided in the applicable Award agreement. Dividend Equivalents with respect to RSUs will be subject to the same restrictions on transfer and forfeitability as the RSUs with respect to which paid. No interest will be paid on Dividend Equivalents. </w:t>
      </w:r>
    </w:p>
    <w:p>
      <w:pPr>
        <w:pStyle w:val="TextBody"/>
        <w:bidi w:val="0"/>
        <w:spacing w:before="0" w:after="0"/>
        <w:ind w:left="0" w:right="0" w:firstLine="1102"/>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8. </w:t>
      </w:r>
      <w:r>
        <w:rPr>
          <w:rFonts w:ascii="Times New Roman;sans-serif" w:hAnsi="Times New Roman;sans-serif"/>
          <w:b w:val="false"/>
          <w:color w:val="000000"/>
          <w:sz w:val="20"/>
          <w:u w:val="single"/>
        </w:rPr>
        <w:t>Other Stock-Based and Cash-Based Awards</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 The Board may grant other Awards of shares of Common Stock, and other Awards that are valued in whole or in part by reference to, or are otherwise based on, shares of Common Stock or other property (“</w:t>
      </w:r>
      <w:r>
        <w:rPr>
          <w:rFonts w:ascii="Times New Roman;sans-serif" w:hAnsi="Times New Roman;sans-serif"/>
          <w:b/>
          <w:i/>
          <w:color w:val="000000"/>
          <w:sz w:val="20"/>
        </w:rPr>
        <w:t>Other Stock-Based Awards</w:t>
      </w:r>
      <w:r>
        <w:rPr>
          <w:color w:val="000000"/>
        </w:rPr>
        <w:t>”</w:t>
      </w:r>
      <w:r>
        <w:rPr>
          <w:rFonts w:ascii="Times New Roman;sans-serif" w:hAnsi="Times New Roman;sans-serif"/>
          <w:b w:val="false"/>
          <w:color w:val="000000"/>
          <w:sz w:val="20"/>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w:t>
      </w:r>
      <w:r>
        <w:rPr>
          <w:rFonts w:ascii="Times New Roman;sans-serif" w:hAnsi="Times New Roman;sans-serif"/>
          <w:b/>
          <w:i/>
          <w:color w:val="000000"/>
          <w:sz w:val="20"/>
        </w:rPr>
        <w:t>Cash-Based Awards</w:t>
      </w:r>
      <w:r>
        <w:rPr>
          <w:color w:val="000000"/>
        </w:rPr>
        <w:t>”</w:t>
      </w:r>
      <w:r>
        <w:rPr>
          <w:rFonts w:ascii="Times New Roman;sans-serif" w:hAnsi="Times New Roman;sans-serif"/>
          <w:b w:val="false"/>
          <w:color w:val="000000"/>
          <w:sz w:val="20"/>
        </w:rPr>
        <w:t xml:space="preserv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Terms and Conditions</w:t>
      </w:r>
      <w:r>
        <w:rPr>
          <w:rFonts w:ascii="Times New Roman;sans-serif" w:hAnsi="Times New Roman;sans-serif"/>
          <w:b w:val="false"/>
          <w:color w:val="000000"/>
          <w:sz w:val="20"/>
        </w:rPr>
        <w:t xml:space="preserve">. Subject to the provisions of the Plan, the Board shall determine the terms and conditions of each Other Stock-Based Award or Cash-Based Award, including any purchase price applicable thereto.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Dividend Equivalents</w:t>
      </w:r>
      <w:r>
        <w:rPr>
          <w:rFonts w:ascii="Times New Roman;sans-serif" w:hAnsi="Times New Roman;sans-serif"/>
          <w:b w:val="false"/>
          <w:color w:val="000000"/>
          <w:sz w:val="20"/>
        </w:rPr>
        <w:t xml:space="preserve">. The Award agreement for an Other Stock-Based Award may provide Participants with the right to receive Dividend Equivalents. Dividend Equivalents may be credited to an account for the Participant and may be settled in cash and/or shares of Common Stock, in each case to the extent provided in the applicable Award agreement. Dividend Equivalents with respect to Other-Stock Based Awards will be subject to the same restrictions on transfer and forfeitability as the Other Stock-Based Award with respect to which paid. No interest will be paid on Dividend Equivalents. </w:t>
      </w:r>
    </w:p>
    <w:p>
      <w:pPr>
        <w:pStyle w:val="TextBody"/>
        <w:bidi w:val="0"/>
        <w:spacing w:before="0" w:after="0"/>
        <w:ind w:left="0" w:right="0" w:firstLine="490"/>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9. </w:t>
      </w:r>
      <w:r>
        <w:rPr>
          <w:rFonts w:ascii="Times New Roman;sans-serif" w:hAnsi="Times New Roman;sans-serif"/>
          <w:b w:val="false"/>
          <w:color w:val="000000"/>
          <w:sz w:val="20"/>
          <w:u w:val="single"/>
        </w:rPr>
        <w:t>Performance Awards.</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Grants</w:t>
      </w:r>
      <w:r>
        <w:rPr>
          <w:rFonts w:ascii="Times New Roman;sans-serif" w:hAnsi="Times New Roman;sans-serif"/>
          <w:b w:val="false"/>
          <w:color w:val="000000"/>
          <w:sz w:val="20"/>
        </w:rPr>
        <w:t>. Awards under the Plan may be made subject to the achievement of performance goals pursuant to this Section 9 (“</w:t>
      </w:r>
      <w:r>
        <w:rPr>
          <w:rFonts w:ascii="Times New Roman;sans-serif" w:hAnsi="Times New Roman;sans-serif"/>
          <w:b/>
          <w:i/>
          <w:color w:val="000000"/>
          <w:sz w:val="20"/>
        </w:rPr>
        <w:t>Performance Awards</w:t>
      </w:r>
      <w:r>
        <w:rPr>
          <w:color w:val="000000"/>
        </w:rPr>
        <w:t>”</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Performance Measures</w:t>
      </w:r>
      <w:r>
        <w:rPr>
          <w:rFonts w:ascii="Times New Roman;sans-serif" w:hAnsi="Times New Roman;sans-serif"/>
          <w:b w:val="false"/>
          <w:color w:val="000000"/>
          <w:sz w:val="20"/>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and which may be determined pursuant to generally accepted accounting principles (“</w:t>
      </w:r>
      <w:r>
        <w:rPr>
          <w:rFonts w:ascii="Times New Roman;sans-serif" w:hAnsi="Times New Roman;sans-serif"/>
          <w:b/>
          <w:i/>
          <w:color w:val="000000"/>
          <w:sz w:val="20"/>
        </w:rPr>
        <w:t>GAAP</w:t>
      </w:r>
      <w:r>
        <w:rPr>
          <w:color w:val="000000"/>
        </w:rPr>
        <w:t>”</w:t>
      </w:r>
      <w:r>
        <w:rPr>
          <w:rFonts w:ascii="Times New Roman;sans-serif" w:hAnsi="Times New Roman;sans-serif"/>
          <w:b w:val="false"/>
          <w:color w:val="000000"/>
          <w:sz w:val="20"/>
        </w:rPr>
        <w:t xml:space="preserve">) or on a non-GAAP basis, as determined by the Board: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improvement of financial ratings, achievement of balance sheet or income statement objectives, total stockholder return, the entry into an arrangement or agreement with a third party for the development, commercialization, marketing or distribution of products, services or technologies, or for conducting a research program to discover and develop a product, service or technology, and/or the achievement of milestones under such arrangement or agreement, including events that trigger an obligation or payment right, achievement of domestic and international regulatory milestones, including the submission of filings required to advance products, services and technologies in clinical development and the achievement of approvals by regulatory authorities relating to the commercialization of products, services, and technologies, the achievement of discovery, preclinical and clinical stage scientific objectives, discoveries or interventions for products, services and technologies under research and development, the entry into or completion of phase 1, 2, and/or 3 clinical trials, the consummation of debt or equity financing transactions, or acquisition of business, technologies and assets, new product or service releases, the achievement of qualitative or quantitative performance measures set forth in operating plans approved by the Board from time to time, and/or any other metric determined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(i) extraordinary items; (ii) gains or losses on the dispositions of discontinued operations; (iii) the cumulative effects of changes in accounting principles; (iv) the writedown of any asset; (v) fluctuation in foreign currency exchange rates; (vi) charges for restructuring and rationalization programs; (vii) non-cash, mark-to-market adjustments on derivative instruments; (viii) amortization of purchased intangibles; (ix) the net impact of tax rate changes; (x) non-cash asset impairment charges; (xi) gains on extinguishment of the tax receivable agreement; and (xii) any other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Adjustments</w:t>
      </w:r>
      <w:r>
        <w:rPr>
          <w:rFonts w:ascii="Times New Roman;sans-serif" w:hAnsi="Times New Roman;sans-serif"/>
          <w:b w:val="false"/>
          <w:color w:val="000000"/>
          <w:sz w:val="20"/>
        </w:rPr>
        <w:t xml:space="preserve">. The Board may adjust the cash or number of shares payable pursuant to such Performance Award, and the Board may, at any time, waive the achievement of the applicable performance measures.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Dividends; Dividend Equivalents</w:t>
      </w:r>
      <w:r>
        <w:rPr>
          <w:rFonts w:ascii="Times New Roman;sans-serif" w:hAnsi="Times New Roman;sans-serif"/>
          <w:b w:val="false"/>
          <w:color w:val="000000"/>
          <w:sz w:val="20"/>
        </w:rPr>
        <w:t xml:space="preserve">. Notwithstanding its designation as a Performance Award, no Option or SAR shall provide for the payment or accrual of dividend equivalents in accordance with Sections 5(i) and 6(g), as applicable, any dividends declared and paid by the Company with respect to shares of Restricted Stock shall be subject to Section 7(c)(i), and any right to receive Dividend Equivalents on an award of RSUs and Other Stock-Based Awards shall be subject to Sections 7(d)(3) and 8(c), as applicable. </w:t>
      </w:r>
    </w:p>
    <w:p>
      <w:pPr>
        <w:pStyle w:val="TextBody"/>
        <w:bidi w:val="0"/>
        <w:spacing w:before="0" w:after="0"/>
        <w:ind w:left="0" w:right="0" w:firstLine="490"/>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10. </w:t>
      </w:r>
      <w:r>
        <w:rPr>
          <w:rFonts w:ascii="Times New Roman;sans-serif" w:hAnsi="Times New Roman;sans-serif"/>
          <w:b w:val="false"/>
          <w:color w:val="000000"/>
          <w:sz w:val="20"/>
          <w:u w:val="single"/>
        </w:rPr>
        <w:t>Adjustments for Changes in Common Stock and Certain Other Events</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Changes in Capitalization</w:t>
      </w:r>
      <w:r>
        <w:rPr>
          <w:rFonts w:ascii="Times New Roman;sans-serif" w:hAnsi="Times New Roman;sans-serif"/>
          <w:b w:val="false"/>
          <w:color w:val="000000"/>
          <w:sz w:val="20"/>
        </w:rPr>
        <w:t xml:space="preserve">.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set forth in Section 4(a),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 </w:t>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49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Reorganization Events</w:t>
      </w:r>
      <w:r>
        <w:rPr>
          <w:rFonts w:ascii="Times New Roman;sans-serif" w:hAnsi="Times New Roman;sans-serif"/>
          <w:b w:val="false"/>
          <w:color w:val="000000"/>
          <w:sz w:val="20"/>
        </w:rPr>
        <w:t xml:space="preserve">. </w:t>
      </w:r>
    </w:p>
    <w:p>
      <w:pPr>
        <w:pStyle w:val="TextBody"/>
        <w:bidi w:val="0"/>
        <w:spacing w:before="0" w:after="0"/>
        <w:ind w:left="0" w:right="0" w:firstLine="490"/>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(1) </w:t>
      </w:r>
      <w:r>
        <w:rPr>
          <w:rFonts w:ascii="Times New Roman;sans-serif" w:hAnsi="Times New Roman;sans-serif"/>
          <w:b w:val="false"/>
          <w:color w:val="000000"/>
          <w:sz w:val="20"/>
          <w:u w:val="single"/>
        </w:rPr>
        <w:t>Definition</w:t>
      </w:r>
      <w:r>
        <w:rPr>
          <w:rFonts w:ascii="Times New Roman;sans-serif" w:hAnsi="Times New Roman;sans-serif"/>
          <w:b w:val="false"/>
          <w:color w:val="000000"/>
          <w:sz w:val="20"/>
        </w:rPr>
        <w:t>. A “</w:t>
      </w:r>
      <w:r>
        <w:rPr>
          <w:rFonts w:ascii="Times New Roman;sans-serif" w:hAnsi="Times New Roman;sans-serif"/>
          <w:b/>
          <w:i/>
          <w:color w:val="000000"/>
          <w:sz w:val="20"/>
        </w:rPr>
        <w:t>Reorganization Event</w:t>
      </w:r>
      <w:r>
        <w:rPr>
          <w:color w:val="000000"/>
        </w:rPr>
        <w:t xml:space="preserve">” </w:t>
      </w:r>
      <w:r>
        <w:rPr>
          <w:rFonts w:ascii="Times New Roman;sans-serif" w:hAnsi="Times New Roman;sans-serif"/>
          <w:b w:val="false"/>
          <w:color w:val="000000"/>
          <w:sz w:val="20"/>
        </w:rPr>
        <w:t xml:space="preserve">shall mean: (a) any merger or consolidation of the Company with or into another entity as a result of which all of the Common Stock of the Company is converted into or exchanged for the right to receive cash, securities or other property or is canceled, (b) any transfer or disposition of all of the Common Stock of the Company for cash, securities or other property pursuant to a share exchange or other transaction or (c) any liquidation or dissolution of the Company. </w:t>
      </w:r>
    </w:p>
    <w:p>
      <w:pPr>
        <w:pStyle w:val="TextBody"/>
        <w:bidi w:val="0"/>
        <w:spacing w:before="0" w:after="0"/>
        <w:ind w:left="0" w:right="0" w:firstLine="1102"/>
        <w:jc w:val="left"/>
        <w:rPr/>
      </w:pPr>
      <w:r>
        <w:rPr/>
      </w:r>
    </w:p>
    <w:p>
      <w:pPr>
        <w:pStyle w:val="TextBody"/>
        <w:bidi w:val="0"/>
        <w:spacing w:lineRule="auto" w:line="268" w:before="0" w:after="0"/>
        <w:ind w:left="0" w:right="0" w:firstLine="1102"/>
        <w:jc w:val="left"/>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Consequences of a Reorganization Event on Awards Other than Restricted Stock</w:t>
      </w:r>
      <w:r>
        <w:rPr>
          <w:rFonts w:ascii="Times New Roman;sans-serif" w:hAnsi="Times New Roman;sans-serif"/>
          <w:b w:val="false"/>
          <w:color w:val="000000"/>
          <w:sz w:val="20"/>
        </w:rPr>
        <w:t xml:space="preserve">. </w:t>
      </w:r>
    </w:p>
    <w:p>
      <w:pPr>
        <w:pStyle w:val="TextBody"/>
        <w:bidi w:val="0"/>
        <w:spacing w:before="0" w:after="0"/>
        <w:ind w:left="0" w:right="0" w:firstLine="1102"/>
        <w:jc w:val="left"/>
        <w:rPr/>
      </w:pPr>
      <w:r>
        <w:rPr/>
      </w:r>
    </w:p>
    <w:p>
      <w:pPr>
        <w:pStyle w:val="TextBody"/>
        <w:bidi w:val="0"/>
        <w:spacing w:lineRule="auto" w:line="288" w:before="0" w:after="0"/>
        <w:ind w:left="0" w:right="0" w:firstLine="159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w:t>
      </w:r>
    </w:p>
    <w:p>
      <w:pPr>
        <w:pStyle w:val="TextBody"/>
        <w:bidi w:val="0"/>
        <w:spacing w:before="0" w:after="0"/>
        <w:ind w:left="0" w:right="0" w:firstLine="1591"/>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provide that such Awards shall be assumed, or substantially equivalent Awards shall be substituted, by the acquiring or succeeding corporation (or an affiliate thereof);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upon written notice to a Participant, provide that all of the Participant’s unvested Awards will be forfeited immediately prior to the consummation of such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provide that outstanding Awards shall become exercisable, realizable or deliverable, or restrictions applicable to an Award shall lapse, in whole or in part prior to or upon such Reorganization Event;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(iv) in the event of a Reorganization Event under the terms of which holders of Common Stock will receive upon consummation thereof a cash payment for each share surrendered in the Reorganization Event (the “</w:t>
      </w:r>
      <w:r>
        <w:rPr>
          <w:rFonts w:ascii="Times New Roman;sans-serif" w:hAnsi="Times New Roman;sans-serif"/>
          <w:b/>
          <w:i/>
          <w:color w:val="000000"/>
          <w:sz w:val="20"/>
        </w:rPr>
        <w:t>Acquisition Price</w:t>
      </w:r>
      <w:r>
        <w:rPr>
          <w:color w:val="000000"/>
        </w:rPr>
        <w:t>”</w:t>
      </w:r>
      <w:r>
        <w:rPr>
          <w:rFonts w:ascii="Times New Roman;sans-serif" w:hAnsi="Times New Roman;sans-serif"/>
          <w:b w:val="false"/>
          <w:color w:val="000000"/>
          <w:sz w:val="20"/>
        </w:rPr>
        <w:t xml:space="preserve">),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the Acquisition Price per share (as determined by the Board) does not exceed the exercise price of such Award, then the Award shall be canceled without any payment of consideration therefor;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 provide that, in connection with a liquidation or dissolution of the Company, Awards shall convert into the right to receive liquidation proceeds (if applicable, net of the exercise, measurement or purchase price thereof and any applicable tax withholdings); and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 any combination of the foregoing.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taking any of the actions permitted under this Section 10(b)(2)(A), the Board shall not be obligated by the Plan to treat all Awards, all Awards held by a Participant, or all Awards of the same type, identically. </w:t>
      </w:r>
    </w:p>
    <w:p>
      <w:pPr>
        <w:pStyle w:val="TextBody"/>
        <w:bidi w:val="0"/>
        <w:spacing w:before="0" w:after="0"/>
        <w:jc w:val="left"/>
        <w:rPr/>
      </w:pPr>
      <w:r>
        <w:rPr/>
      </w:r>
    </w:p>
    <w:p>
      <w:pPr>
        <w:pStyle w:val="TextBody"/>
        <w:bidi w:val="0"/>
        <w:spacing w:lineRule="auto" w:line="288" w:before="0" w:after="0"/>
        <w:ind w:left="0" w:right="0" w:firstLine="1591"/>
        <w:jc w:val="left"/>
        <w:rPr>
          <w:rFonts w:ascii="Times New Roman;sans-serif" w:hAnsi="Times New Roman;sans-serif"/>
          <w:b w:val="false"/>
          <w:color w:val="000000"/>
          <w:sz w:val="20"/>
        </w:rPr>
      </w:pPr>
      <w:r>
        <w:rPr>
          <w:rFonts w:ascii="Times New Roman;sans-serif" w:hAnsi="Times New Roman;sans-serif"/>
          <w:b w:val="false"/>
          <w:color w:val="000000"/>
          <w:sz w:val="20"/>
        </w:rPr>
        <w:t>(B) Notwithstanding the terms of Section 10(b)(2)(A)(i),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10(b)(2)(A), then the unvested RSUs shall terminate immediately prior to the consummation of the Reorganization Event without any payment in exchange therefor.</w:t>
      </w:r>
    </w:p>
    <w:p>
      <w:pPr>
        <w:pStyle w:val="TextBody"/>
        <w:bidi w:val="0"/>
        <w:spacing w:lineRule="auto" w:line="288" w:before="0" w:after="0"/>
        <w:ind w:left="0" w:right="0" w:firstLine="159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(C) For purposes of Section 10(b)(2)(A)(i), an Award (other than Restricted Stock) shall be considered assumed if, following consummation of the Reorganization Event, such Award confers the right to purchase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 </w:t>
      </w:r>
    </w:p>
    <w:p>
      <w:pPr>
        <w:pStyle w:val="TextBody"/>
        <w:bidi w:val="0"/>
        <w:spacing w:before="0" w:after="0"/>
        <w:ind w:left="0" w:right="0" w:firstLine="1591"/>
        <w:jc w:val="left"/>
        <w:rPr/>
      </w:pPr>
      <w:r>
        <w:rPr/>
      </w:r>
    </w:p>
    <w:p>
      <w:pPr>
        <w:pStyle w:val="TextBody"/>
        <w:bidi w:val="0"/>
        <w:spacing w:lineRule="auto" w:line="288" w:before="0" w:after="0"/>
        <w:ind w:left="0" w:right="0" w:firstLine="159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(D) The Board may impose a limitation on the ability of Participants holding Options and/or SARs to exercise their Awards for the minimum number of days prior to the closing of the Reorganization Event as is reasonably necessary to facilitate the orderly closing of the Reorganization Event. The Company shall provide reasonable notice to Participants of any such limitation on exercise. </w:t>
      </w:r>
    </w:p>
    <w:p>
      <w:pPr>
        <w:pStyle w:val="TextBody"/>
        <w:bidi w:val="0"/>
        <w:spacing w:before="0" w:after="0"/>
        <w:ind w:left="0" w:right="0" w:firstLine="1591"/>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Consequences of a Reorganization Event on Restricted Stock</w:t>
      </w:r>
      <w:r>
        <w:rPr>
          <w:rFonts w:ascii="Times New Roman;sans-serif" w:hAnsi="Times New Roman;sans-serif"/>
          <w:b w:val="false"/>
          <w:color w:val="000000"/>
          <w:sz w:val="20"/>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the Board may either provide for termination or deemed satisfaction of such repurchase or other rights 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 </w:t>
      </w:r>
    </w:p>
    <w:p>
      <w:pPr>
        <w:pStyle w:val="TextBody"/>
        <w:bidi w:val="0"/>
        <w:spacing w:before="0" w:after="0"/>
        <w:ind w:left="0" w:right="0" w:firstLine="1102"/>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11. </w:t>
      </w:r>
      <w:r>
        <w:rPr>
          <w:rFonts w:ascii="Times New Roman;sans-serif" w:hAnsi="Times New Roman;sans-serif"/>
          <w:b w:val="false"/>
          <w:color w:val="000000"/>
          <w:sz w:val="20"/>
          <w:u w:val="single"/>
        </w:rPr>
        <w:t>General Provisions Applicable to Awards</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Transferability of Awards</w:t>
      </w:r>
      <w:r>
        <w:rPr>
          <w:rFonts w:ascii="Times New Roman;sans-serif" w:hAnsi="Times New Roman;sans-serif"/>
          <w:b w:val="false"/>
          <w:color w:val="000000"/>
          <w:sz w:val="20"/>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that, except with respect to Awards subject to Section 409A and Incentive Stock Options,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sans-serif" w:hAnsi="Times New Roman;sans-serif"/>
          <w:b w:val="false"/>
          <w:i/>
          <w:color w:val="000000"/>
          <w:sz w:val="20"/>
        </w:rPr>
        <w:t>provided further</w:t>
      </w:r>
      <w:r>
        <w:rPr>
          <w:rFonts w:ascii="Times New Roman;sans-serif" w:hAnsi="Times New Roman;sans-serif"/>
          <w:b w:val="false"/>
          <w:color w:val="000000"/>
          <w:sz w:val="20"/>
        </w:rPr>
        <w:t xml:space="preserve">,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Documentation</w:t>
      </w:r>
      <w:r>
        <w:rPr>
          <w:rFonts w:ascii="Times New Roman;sans-serif" w:hAnsi="Times New Roman;sans-serif"/>
          <w:b w:val="false"/>
          <w:color w:val="000000"/>
          <w:sz w:val="20"/>
        </w:rPr>
        <w:t xml:space="preserve">. Each Award shall be evidenced in such form (written, electronic or otherwise) as the Board shall determine. Each Award may contain terms and conditions in addition to those set forth in the Plan.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Termination of Status</w:t>
      </w:r>
      <w:r>
        <w:rPr>
          <w:rFonts w:ascii="Times New Roman;sans-serif" w:hAnsi="Times New Roman;sans-serif"/>
          <w:b w:val="false"/>
          <w:color w:val="000000"/>
          <w:sz w:val="20"/>
        </w:rPr>
        <w:t>. The Board shall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r>
        <w:rPr>
          <w:rFonts w:ascii="Times New Roman;sans-serif" w:hAnsi="Times New Roman;sans-serif"/>
          <w:b/>
          <w:i/>
          <w:color w:val="000000"/>
          <w:sz w:val="20"/>
        </w:rPr>
        <w:t>Designated Beneficiary</w:t>
      </w:r>
      <w:r>
        <w:rPr>
          <w:color w:val="000000"/>
        </w:rPr>
        <w:t xml:space="preserve">” </w:t>
      </w:r>
      <w:r>
        <w:rPr>
          <w:rFonts w:ascii="Times New Roman;sans-serif" w:hAnsi="Times New Roman;sans-serif"/>
          <w:b w:val="false"/>
          <w:color w:val="000000"/>
          <w:sz w:val="20"/>
        </w:rPr>
        <w:t xml:space="preserve">means (i) the beneficiary designated, in a manner determined by the Board, by a Participant to receive amounts due or exercise rights of the Participant in the event of the Participant’s death or (ii) in the absence of an effective designation by a Participant, the Participant’s estate. </w:t>
      </w:r>
    </w:p>
    <w:p>
      <w:pPr>
        <w:pStyle w:val="TextBody"/>
        <w:bidi w:val="0"/>
        <w:spacing w:before="0" w:after="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Withholding</w:t>
      </w:r>
      <w:r>
        <w:rPr>
          <w:rFonts w:ascii="Times New Roman;sans-serif" w:hAnsi="Times New Roman;sans-serif"/>
          <w:b w:val="false"/>
          <w:color w:val="000000"/>
          <w:sz w:val="20"/>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or approved by the Company);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or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or approved by the Company)) as the Company shall determine to be necessary to satisfy the tax liability associated with any Award. Shares used to satisfy tax withholding requirements cannot be subject to any repurchase, forfeiture, unfulfilled vesting or other similar requirements.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Amendment of Award</w:t>
      </w:r>
      <w:r>
        <w:rPr>
          <w:rFonts w:ascii="Times New Roman;sans-serif" w:hAnsi="Times New Roman;sans-serif"/>
          <w:b w:val="false"/>
          <w:color w:val="000000"/>
          <w:sz w:val="20"/>
        </w:rPr>
        <w:t xml:space="preserve">. Except as otherwise provided in Section 5(g), 6(e) and 9,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Conditions on Delivery of Stock</w:t>
      </w:r>
      <w:r>
        <w:rPr>
          <w:rFonts w:ascii="Times New Roman;sans-serif" w:hAnsi="Times New Roman;sans-serif"/>
          <w:b w:val="false"/>
          <w:color w:val="000000"/>
          <w:sz w:val="20"/>
        </w:rPr>
        <w:t xml:space="preserve">.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Acceleration</w:t>
      </w:r>
      <w:r>
        <w:rPr>
          <w:rFonts w:ascii="Times New Roman;sans-serif" w:hAnsi="Times New Roman;sans-serif"/>
          <w:b w:val="false"/>
          <w:color w:val="000000"/>
          <w:sz w:val="20"/>
        </w:rPr>
        <w:t xml:space="preserve">. The Board may at any time provide that any Award shall become immediately exercisable in whole or in part, free from some or all restrictions or conditions or otherwise realizable in whole or in part, as the case may be. </w:t>
      </w:r>
    </w:p>
    <w:p>
      <w:pPr>
        <w:pStyle w:val="TextBody"/>
        <w:bidi w:val="0"/>
        <w:spacing w:lineRule="auto" w:line="276" w:before="0" w:after="0"/>
        <w:ind w:left="0" w:right="0" w:firstLine="490"/>
        <w:jc w:val="left"/>
        <w:rPr/>
      </w:pPr>
      <w:r>
        <w:rPr>
          <w:rFonts w:ascii="Times New Roman;sans-serif" w:hAnsi="Times New Roman;sans-serif"/>
          <w:b w:val="false"/>
          <w:color w:val="000000"/>
          <w:sz w:val="20"/>
        </w:rPr>
        <w:t xml:space="preserve">(h) </w:t>
      </w:r>
      <w:r>
        <w:rPr>
          <w:rFonts w:ascii="Times New Roman;sans-serif" w:hAnsi="Times New Roman;sans-serif"/>
          <w:b w:val="false"/>
          <w:color w:val="000000"/>
          <w:sz w:val="20"/>
          <w:u w:val="single"/>
        </w:rPr>
        <w:t>Limitations on Vesting</w:t>
      </w:r>
      <w:r>
        <w:rPr>
          <w:rFonts w:ascii="Times New Roman;sans-serif" w:hAnsi="Times New Roman;sans-serif"/>
          <w:b w:val="false"/>
          <w:color w:val="000000"/>
          <w:sz w:val="20"/>
        </w:rPr>
        <w:t>. Subject to Section 11(g), no Award shall vest earlier than the first anniversary of its date of grant, unless such Award is granted in lieu of salary, bonus or other compensation otherwise earned by or payable to the Participant. The foregoing sentence shall not apply to Awards granted, in the aggregate, for up to 5% of the maximum number of authorized shares set forth in Section 4(a).</w:t>
      </w:r>
    </w:p>
    <w:p>
      <w:pPr>
        <w:pStyle w:val="TextBody"/>
        <w:bidi w:val="0"/>
        <w:spacing w:before="0" w:after="0"/>
        <w:ind w:left="0" w:right="0" w:firstLine="490"/>
        <w:jc w:val="left"/>
        <w:rPr/>
      </w:pPr>
      <w:r>
        <w:rPr/>
      </w:r>
    </w:p>
    <w:p>
      <w:pPr>
        <w:pStyle w:val="TextBody"/>
        <w:bidi w:val="0"/>
        <w:spacing w:lineRule="auto" w:line="268" w:before="0" w:after="0"/>
        <w:ind w:left="0" w:right="0" w:hanging="1"/>
        <w:jc w:val="left"/>
        <w:rPr/>
      </w:pPr>
      <w:r>
        <w:rPr>
          <w:rFonts w:ascii="Times New Roman;sans-serif" w:hAnsi="Times New Roman;sans-serif"/>
          <w:b w:val="false"/>
          <w:color w:val="000000"/>
          <w:sz w:val="20"/>
        </w:rPr>
        <w:t xml:space="preserve">12. </w:t>
      </w:r>
      <w:r>
        <w:rPr>
          <w:rFonts w:ascii="Times New Roman;sans-serif" w:hAnsi="Times New Roman;sans-serif"/>
          <w:b w:val="false"/>
          <w:color w:val="000000"/>
          <w:sz w:val="20"/>
          <w:u w:val="single"/>
        </w:rPr>
        <w:t>Miscellaneous</w:t>
      </w:r>
    </w:p>
    <w:p>
      <w:pPr>
        <w:pStyle w:val="TextBody"/>
        <w:bidi w:val="0"/>
        <w:spacing w:before="0" w:after="0"/>
        <w:ind w:left="0" w:right="0" w:hanging="1"/>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No Right To Employment or Other Status</w:t>
      </w:r>
      <w:r>
        <w:rPr>
          <w:rFonts w:ascii="Times New Roman;sans-serif" w:hAnsi="Times New Roman;sans-serif"/>
          <w:b w:val="false"/>
          <w:color w:val="000000"/>
          <w:sz w:val="20"/>
        </w:rPr>
        <w:t xml:space="preserve">.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No Rights As Stockholder; Clawback</w:t>
      </w:r>
      <w:r>
        <w:rPr>
          <w:rFonts w:ascii="Times New Roman;sans-serif" w:hAnsi="Times New Roman;sans-serif"/>
          <w:b w:val="false"/>
          <w:color w:val="000000"/>
          <w:sz w:val="20"/>
        </w:rPr>
        <w:t xml:space="preserve">.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 </w:t>
      </w:r>
    </w:p>
    <w:p>
      <w:pPr>
        <w:pStyle w:val="TextBody"/>
        <w:bidi w:val="0"/>
        <w:spacing w:before="0" w:after="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Effective Date and Term of Plan</w:t>
      </w:r>
      <w:r>
        <w:rPr>
          <w:rFonts w:ascii="Times New Roman;sans-serif" w:hAnsi="Times New Roman;sans-serif"/>
          <w:b w:val="false"/>
          <w:color w:val="000000"/>
          <w:sz w:val="20"/>
        </w:rPr>
        <w:t xml:space="preserve">. The Plan shall become effective on the Effective Date. No Awards shall be granted under the Plan after the expiration of 10 years from the Effective Date, but Awards previously granted may extend beyond that date.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Amendment of Plan</w:t>
      </w:r>
      <w:r>
        <w:rPr>
          <w:rFonts w:ascii="Times New Roman;sans-serif" w:hAnsi="Times New Roman;sans-serif"/>
          <w:b w:val="false"/>
          <w:color w:val="000000"/>
          <w:sz w:val="20"/>
        </w:rPr>
        <w:t xml:space="preserve">. The Board may amend, suspend or terminate the Plan or any portion thereof at any time provided that (i) neither Section 5(g) nor Section 6(e) requiring stockholder approval of any Option or SAR repricing may be amended without stockholder approval; (ii) no amendment that would require stockholder approval under the rules of the national securities exchange on which the Company then maintains its primary listing will be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Authorization of Sub-Plans (including for Grants to non-U.S. Employees)</w:t>
      </w:r>
      <w:r>
        <w:rPr>
          <w:rFonts w:ascii="Times New Roman;sans-serif" w:hAnsi="Times New Roman;sans-serif"/>
          <w:b w:val="false"/>
          <w:color w:val="000000"/>
          <w:sz w:val="20"/>
        </w:rPr>
        <w:t xml:space="preserve">.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Compliance with Section 409A</w:t>
      </w:r>
      <w:r>
        <w:rPr>
          <w:rFonts w:ascii="Times New Roman;sans-serif" w:hAnsi="Times New Roman;sans-serif"/>
          <w:b w:val="false"/>
          <w:color w:val="000000"/>
          <w:sz w:val="20"/>
        </w:rPr>
        <w:t>. If and to the extent (i) any portion of any payment, compensation or other benefit provided to a Participant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w:t>
      </w:r>
      <w:r>
        <w:rPr>
          <w:color w:val="000000"/>
        </w:rPr>
        <w:t xml:space="preserve"> </w:t>
      </w:r>
      <w:r>
        <w:rPr>
          <w:rFonts w:ascii="Times New Roman;sans-serif" w:hAnsi="Times New Roman;sans-serif"/>
          <w:b w:val="false"/>
          <w:color w:val="000000"/>
          <w:sz w:val="20"/>
        </w:rPr>
        <w:t>to be bound, such portion of the payment, compensation or other benefit shall not be paid before the day that is six months plus one day after the date of “separation from service” (as determined under Section 409A) (the “</w:t>
      </w:r>
      <w:r>
        <w:rPr>
          <w:rFonts w:ascii="Times New Roman;sans-serif" w:hAnsi="Times New Roman;sans-serif"/>
          <w:b/>
          <w:i/>
          <w:color w:val="000000"/>
          <w:sz w:val="20"/>
        </w:rPr>
        <w:t>New Payment Date</w:t>
      </w:r>
      <w:r>
        <w:rPr>
          <w:color w:val="000000"/>
        </w:rPr>
        <w:t>”</w:t>
      </w:r>
      <w:r>
        <w:rPr>
          <w:rFonts w:ascii="Times New Roman;sans-serif" w:hAnsi="Times New Roman;sans-serif"/>
          <w:b w:val="false"/>
          <w:color w:val="000000"/>
          <w:sz w:val="20"/>
        </w:rPr>
        <w:t xml:space="preserve">),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Limitations on Liability</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Notwithstanding any other provisions of the Plan, no individual</w:t>
      </w:r>
      <w:r>
        <w:rPr>
          <w:color w:val="000000"/>
        </w:rPr>
        <w:t xml:space="preserve"> </w:t>
      </w:r>
      <w:r>
        <w:rPr>
          <w:rFonts w:ascii="Times New Roman;sans-serif" w:hAnsi="Times New Roman;sans-serif"/>
          <w:b w:val="false"/>
          <w:color w:val="000000"/>
          <w:sz w:val="20"/>
        </w:rPr>
        <w:t xml:space="preserve">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B-11</w:t>
                      </w:r>
                    </w:p>
                  </w:txbxContent>
                </v:textbox>
                <w10:wrap type="none"/>
              </v:rect>
            </w:pict>
          </mc:Fallback>
        </mc:AlternateContent>
      </w:r>
    </w:p>
    <w:p>
      <w:pPr>
        <w:pStyle w:val="TextBody"/>
        <w:bidi w:val="0"/>
        <w:spacing w:before="0" w:after="0"/>
        <w:jc w:val="left"/>
        <w:rPr/>
      </w:pPr>
      <w:r>
        <w:rPr/>
      </w:r>
    </w:p>
    <w:p>
      <w:pPr>
        <w:pStyle w:val="TextBody"/>
        <w:bidi w:val="0"/>
        <w:spacing w:lineRule="auto" w:line="288"/>
        <w:ind w:left="0" w:right="0" w:firstLine="490"/>
        <w:jc w:val="left"/>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xml:space="preserve">.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 </w:t>
      </w:r>
    </w:p>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57471</Words>
  <Characters>307142</Characters>
  <CharactersWithSpaces>362824</CharactersWithSpaces>
  <Paragraphs>3278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