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22"/>
          <w:szCs w:val="22"/>
          <w:b w:val="1"/>
          <w:bCs w:val="1"/>
          <w:color w:val="auto"/>
        </w:rPr>
        <w:drawing>
          <wp:anchor simplePos="0" relativeHeight="251657728" behindDoc="1" locked="0" layoutInCell="0" allowOverlap="1">
            <wp:simplePos x="0" y="0"/>
            <wp:positionH relativeFrom="page">
              <wp:posOffset>233680</wp:posOffset>
            </wp:positionH>
            <wp:positionV relativeFrom="page">
              <wp:posOffset>431800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397510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96"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SECURITIES AND EXCHANGE COMMISSION</w:t>
      </w:r>
    </w:p>
    <w:p>
      <w:pPr>
        <w:spacing w:after="0" w:line="115" w:lineRule="exact"/>
        <w:rPr>
          <w:sz w:val="24"/>
          <w:szCs w:val="24"/>
          <w:color w:val="auto"/>
        </w:rPr>
      </w:pPr>
    </w:p>
    <w:p>
      <w:pPr>
        <w:jc w:val="center"/>
        <w:spacing w:after="0"/>
        <w:rPr>
          <w:sz w:val="20"/>
          <w:szCs w:val="20"/>
          <w:color w:val="auto"/>
        </w:rPr>
      </w:pPr>
      <w:r>
        <w:rPr>
          <w:rFonts w:ascii="Calibri" w:cs="Calibri" w:eastAsia="Calibri" w:hAnsi="Calibri"/>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128905</wp:posOffset>
            </wp:positionV>
            <wp:extent cx="27686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360" w:lineRule="exact"/>
        <w:rPr>
          <w:sz w:val="24"/>
          <w:szCs w:val="24"/>
          <w:color w:val="auto"/>
        </w:rPr>
      </w:pPr>
    </w:p>
    <w:p>
      <w:pPr>
        <w:jc w:val="center"/>
        <w:spacing w:after="0"/>
        <w:rPr>
          <w:sz w:val="20"/>
          <w:szCs w:val="20"/>
          <w:color w:val="auto"/>
        </w:rPr>
      </w:pPr>
      <w:r>
        <w:rPr>
          <w:rFonts w:ascii="Calibri" w:cs="Calibri" w:eastAsia="Calibri" w:hAnsi="Calibri"/>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137160</wp:posOffset>
            </wp:positionV>
            <wp:extent cx="27686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83" w:lineRule="exact"/>
        <w:rPr>
          <w:sz w:val="24"/>
          <w:szCs w:val="24"/>
          <w:color w:val="auto"/>
        </w:rPr>
      </w:pPr>
    </w:p>
    <w:p>
      <w:pPr>
        <w:spacing w:after="0"/>
        <w:rPr>
          <w:sz w:val="20"/>
          <w:szCs w:val="20"/>
          <w:color w:val="auto"/>
        </w:rPr>
      </w:pPr>
      <w:r>
        <w:rPr>
          <w:rFonts w:ascii="Calibri" w:cs="Calibri" w:eastAsia="Calibri" w:hAnsi="Calibri"/>
          <w:sz w:val="14"/>
          <w:szCs w:val="14"/>
          <w:b w:val="1"/>
          <w:bCs w:val="1"/>
          <w:color w:val="auto"/>
        </w:rPr>
        <w:t>(Mark One)</w:t>
      </w:r>
    </w:p>
    <w:p>
      <w:pPr>
        <w:spacing w:after="0" w:line="155"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6"/>
          <w:szCs w:val="16"/>
          <w:color w:val="auto"/>
        </w:rPr>
      </w:pPr>
      <w:r>
        <w:rPr>
          <w:rFonts w:ascii="Calibri" w:cs="Calibri" w:eastAsia="Calibri" w:hAnsi="Calibri"/>
          <w:sz w:val="18"/>
          <w:szCs w:val="18"/>
          <w:color w:val="auto"/>
        </w:rPr>
        <w:t>ANNUAL REPORT PURSUANT TO SECTION 13 OR 15(d) OF THE SECURITIES EXCHANGE ACT OF 1934</w:t>
      </w:r>
    </w:p>
    <w:p>
      <w:pPr>
        <w:spacing w:after="0" w:line="192" w:lineRule="exact"/>
        <w:rPr>
          <w:sz w:val="24"/>
          <w:szCs w:val="24"/>
          <w:color w:val="auto"/>
        </w:rPr>
      </w:pPr>
    </w:p>
    <w:p>
      <w:pPr>
        <w:jc w:val="center"/>
        <w:spacing w:after="0"/>
        <w:rPr>
          <w:sz w:val="20"/>
          <w:szCs w:val="20"/>
          <w:color w:val="auto"/>
        </w:rPr>
      </w:pPr>
      <w:r>
        <w:rPr>
          <w:rFonts w:ascii="Calibri" w:cs="Calibri" w:eastAsia="Calibri" w:hAnsi="Calibri"/>
          <w:sz w:val="16"/>
          <w:szCs w:val="16"/>
          <w:b w:val="1"/>
          <w:bCs w:val="1"/>
          <w:color w:val="auto"/>
        </w:rPr>
        <w:t>For the fscal year ended December 31, 2024</w:t>
      </w:r>
    </w:p>
    <w:p>
      <w:pPr>
        <w:spacing w:after="0" w:line="115" w:lineRule="exact"/>
        <w:rPr>
          <w:sz w:val="24"/>
          <w:szCs w:val="24"/>
          <w:color w:val="auto"/>
        </w:rPr>
      </w:pPr>
    </w:p>
    <w:p>
      <w:pPr>
        <w:jc w:val="center"/>
        <w:spacing w:after="0"/>
        <w:rPr>
          <w:sz w:val="20"/>
          <w:szCs w:val="20"/>
          <w:color w:val="auto"/>
        </w:rPr>
      </w:pPr>
      <w:r>
        <w:rPr>
          <w:rFonts w:ascii="Calibri" w:cs="Calibri" w:eastAsia="Calibri" w:hAnsi="Calibri"/>
          <w:sz w:val="16"/>
          <w:szCs w:val="16"/>
          <w:b w:val="1"/>
          <w:bCs w:val="1"/>
          <w:color w:val="auto"/>
        </w:rPr>
        <w:t>OR</w:t>
      </w:r>
    </w:p>
    <w:p>
      <w:pPr>
        <w:spacing w:after="0" w:line="135" w:lineRule="exact"/>
        <w:rPr>
          <w:sz w:val="24"/>
          <w:szCs w:val="24"/>
          <w:color w:val="auto"/>
        </w:rPr>
      </w:pPr>
    </w:p>
    <w:p>
      <w:pPr>
        <w:ind w:left="740" w:hanging="714"/>
        <w:spacing w:after="0"/>
        <w:tabs>
          <w:tab w:leader="none" w:pos="740" w:val="left"/>
        </w:tabs>
        <w:numPr>
          <w:ilvl w:val="0"/>
          <w:numId w:val="2"/>
        </w:numPr>
        <w:rPr>
          <w:rFonts w:ascii="MS PGothic" w:cs="MS PGothic" w:eastAsia="MS PGothic" w:hAnsi="MS PGothic"/>
          <w:sz w:val="16"/>
          <w:szCs w:val="16"/>
          <w:color w:val="auto"/>
        </w:rPr>
      </w:pPr>
      <w:r>
        <w:rPr>
          <w:rFonts w:ascii="Calibri" w:cs="Calibri" w:eastAsia="Calibri" w:hAnsi="Calibri"/>
          <w:sz w:val="18"/>
          <w:szCs w:val="18"/>
          <w:color w:val="auto"/>
        </w:rPr>
        <w:t>TRANSITION REPORT PURSUANT TO SECTION 13 OR 15(d) OF THE SECURITIES EXCHANGE ACT OF 1934</w:t>
      </w:r>
    </w:p>
    <w:p>
      <w:pPr>
        <w:spacing w:after="0" w:line="197" w:lineRule="exact"/>
        <w:rPr>
          <w:sz w:val="24"/>
          <w:szCs w:val="24"/>
          <w:color w:val="auto"/>
        </w:rPr>
      </w:pPr>
    </w:p>
    <w:p>
      <w:pPr>
        <w:jc w:val="center"/>
        <w:spacing w:after="0"/>
        <w:rPr>
          <w:sz w:val="20"/>
          <w:szCs w:val="20"/>
          <w:color w:val="auto"/>
        </w:rPr>
      </w:pPr>
      <w:r>
        <w:rPr>
          <w:rFonts w:ascii="Calibri" w:cs="Calibri" w:eastAsia="Calibri" w:hAnsi="Calibri"/>
          <w:sz w:val="14"/>
          <w:szCs w:val="14"/>
          <w:b w:val="1"/>
          <w:bCs w:val="1"/>
          <w:color w:val="auto"/>
        </w:rPr>
        <w:t>For the transiton period from _to_</w:t>
      </w:r>
    </w:p>
    <w:p>
      <w:pPr>
        <w:spacing w:after="0" w:line="113" w:lineRule="exact"/>
        <w:rPr>
          <w:sz w:val="24"/>
          <w:szCs w:val="24"/>
          <w:color w:val="auto"/>
        </w:rPr>
      </w:pPr>
    </w:p>
    <w:p>
      <w:pPr>
        <w:jc w:val="center"/>
        <w:spacing w:after="0"/>
        <w:rPr>
          <w:sz w:val="20"/>
          <w:szCs w:val="20"/>
          <w:color w:val="auto"/>
        </w:rPr>
      </w:pPr>
      <w:r>
        <w:rPr>
          <w:rFonts w:ascii="Calibri" w:cs="Calibri" w:eastAsia="Calibri" w:hAnsi="Calibri"/>
          <w:sz w:val="14"/>
          <w:szCs w:val="14"/>
          <w:b w:val="1"/>
          <w:bCs w:val="1"/>
          <w:color w:val="auto"/>
        </w:rPr>
        <w:t>Commission File Number 001-36352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167005</wp:posOffset>
            </wp:positionV>
            <wp:extent cx="27686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6860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338455</wp:posOffset>
            </wp:positionV>
            <wp:extent cx="1920240" cy="625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0240" cy="625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Calibri" w:cs="Calibri" w:eastAsia="Calibri" w:hAnsi="Calibri"/>
          <w:sz w:val="32"/>
          <w:szCs w:val="32"/>
          <w:b w:val="1"/>
          <w:bCs w:val="1"/>
          <w:color w:val="auto"/>
        </w:rPr>
        <w:t>AKEBIA THERAPEUTICS, INC.</w:t>
      </w:r>
    </w:p>
    <w:p>
      <w:pPr>
        <w:spacing w:after="0" w:line="121" w:lineRule="exact"/>
        <w:rPr>
          <w:sz w:val="24"/>
          <w:szCs w:val="24"/>
          <w:color w:val="auto"/>
        </w:rPr>
      </w:pPr>
    </w:p>
    <w:p>
      <w:pPr>
        <w:jc w:val="center"/>
        <w:spacing w:after="0"/>
        <w:rPr>
          <w:sz w:val="20"/>
          <w:szCs w:val="20"/>
          <w:color w:val="auto"/>
        </w:rPr>
      </w:pPr>
      <w:r>
        <w:rPr>
          <w:rFonts w:ascii="Calibri" w:cs="Calibri" w:eastAsia="Calibri" w:hAnsi="Calibri"/>
          <w:sz w:val="14"/>
          <w:szCs w:val="14"/>
          <w:b w:val="1"/>
          <w:bCs w:val="1"/>
          <w:color w:val="auto"/>
        </w:rPr>
        <w:t>(Exact name of registrant as specifed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132715</wp:posOffset>
            </wp:positionV>
            <wp:extent cx="2768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3600" w:type="dxa"/>
            <w:vAlign w:val="bottom"/>
            <w:gridSpan w:val="2"/>
          </w:tcPr>
          <w:p>
            <w:pPr>
              <w:jc w:val="center"/>
              <w:ind w:left="1726"/>
              <w:spacing w:after="0"/>
              <w:rPr>
                <w:sz w:val="20"/>
                <w:szCs w:val="20"/>
                <w:color w:val="auto"/>
              </w:rPr>
            </w:pPr>
            <w:r>
              <w:rPr>
                <w:rFonts w:ascii="Calibri" w:cs="Calibri" w:eastAsia="Calibri" w:hAnsi="Calibri"/>
                <w:sz w:val="16"/>
                <w:szCs w:val="16"/>
                <w:b w:val="1"/>
                <w:bCs w:val="1"/>
                <w:color w:val="auto"/>
              </w:rPr>
              <w:t>Delaware</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420" w:type="dxa"/>
            <w:vAlign w:val="bottom"/>
            <w:gridSpan w:val="4"/>
          </w:tcPr>
          <w:p>
            <w:pPr>
              <w:jc w:val="right"/>
              <w:ind w:right="2208"/>
              <w:spacing w:after="0"/>
              <w:rPr>
                <w:sz w:val="20"/>
                <w:szCs w:val="20"/>
                <w:color w:val="auto"/>
              </w:rPr>
            </w:pPr>
            <w:r>
              <w:rPr>
                <w:rFonts w:ascii="Calibri" w:cs="Calibri" w:eastAsia="Calibri" w:hAnsi="Calibri"/>
                <w:sz w:val="16"/>
                <w:szCs w:val="16"/>
                <w:b w:val="1"/>
                <w:bCs w:val="1"/>
                <w:color w:val="auto"/>
              </w:rPr>
              <w:t>20-8756903</w:t>
            </w:r>
          </w:p>
        </w:tc>
        <w:tc>
          <w:tcPr>
            <w:tcW w:w="0" w:type="dxa"/>
            <w:vAlign w:val="bottom"/>
          </w:tcPr>
          <w:p>
            <w:pPr>
              <w:spacing w:after="0"/>
              <w:rPr>
                <w:sz w:val="1"/>
                <w:szCs w:val="1"/>
                <w:color w:val="auto"/>
              </w:rPr>
            </w:pPr>
          </w:p>
        </w:tc>
      </w:tr>
      <w:tr>
        <w:trPr>
          <w:trHeight w:val="189"/>
        </w:trPr>
        <w:tc>
          <w:tcPr>
            <w:tcW w:w="3600" w:type="dxa"/>
            <w:vAlign w:val="bottom"/>
            <w:gridSpan w:val="2"/>
          </w:tcPr>
          <w:p>
            <w:pPr>
              <w:jc w:val="center"/>
              <w:ind w:left="1726"/>
              <w:spacing w:after="0"/>
              <w:rPr>
                <w:sz w:val="20"/>
                <w:szCs w:val="20"/>
                <w:color w:val="auto"/>
              </w:rPr>
            </w:pPr>
            <w:r>
              <w:rPr>
                <w:rFonts w:ascii="Calibri" w:cs="Calibri" w:eastAsia="Calibri" w:hAnsi="Calibri"/>
                <w:sz w:val="14"/>
                <w:szCs w:val="14"/>
                <w:color w:val="auto"/>
              </w:rPr>
              <w:t>(State or other jurisdicton of</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20" w:type="dxa"/>
            <w:vAlign w:val="bottom"/>
          </w:tcPr>
          <w:p>
            <w:pPr>
              <w:jc w:val="center"/>
              <w:ind w:right="1868"/>
              <w:spacing w:after="0"/>
              <w:rPr>
                <w:sz w:val="20"/>
                <w:szCs w:val="20"/>
                <w:color w:val="auto"/>
              </w:rPr>
            </w:pPr>
            <w:r>
              <w:rPr>
                <w:rFonts w:ascii="Calibri" w:cs="Calibri" w:eastAsia="Calibri" w:hAnsi="Calibri"/>
                <w:sz w:val="14"/>
                <w:szCs w:val="14"/>
                <w:color w:val="auto"/>
              </w:rPr>
              <w:t>(I.R.S. Employer</w:t>
            </w:r>
          </w:p>
        </w:tc>
        <w:tc>
          <w:tcPr>
            <w:tcW w:w="0" w:type="dxa"/>
            <w:vAlign w:val="bottom"/>
          </w:tcPr>
          <w:p>
            <w:pPr>
              <w:spacing w:after="0"/>
              <w:rPr>
                <w:sz w:val="1"/>
                <w:szCs w:val="1"/>
                <w:color w:val="auto"/>
              </w:rPr>
            </w:pPr>
          </w:p>
        </w:tc>
      </w:tr>
      <w:tr>
        <w:trPr>
          <w:trHeight w:val="170"/>
        </w:trPr>
        <w:tc>
          <w:tcPr>
            <w:tcW w:w="3600" w:type="dxa"/>
            <w:vAlign w:val="bottom"/>
            <w:gridSpan w:val="2"/>
          </w:tcPr>
          <w:p>
            <w:pPr>
              <w:jc w:val="center"/>
              <w:ind w:left="1726"/>
              <w:spacing w:after="0"/>
              <w:rPr>
                <w:sz w:val="20"/>
                <w:szCs w:val="20"/>
                <w:color w:val="auto"/>
              </w:rPr>
            </w:pPr>
            <w:r>
              <w:rPr>
                <w:rFonts w:ascii="Calibri" w:cs="Calibri" w:eastAsia="Calibri" w:hAnsi="Calibri"/>
                <w:sz w:val="14"/>
                <w:szCs w:val="14"/>
                <w:color w:val="auto"/>
              </w:rPr>
              <w:t>incorporaton or organizaton)</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20" w:type="dxa"/>
            <w:vAlign w:val="bottom"/>
          </w:tcPr>
          <w:p>
            <w:pPr>
              <w:jc w:val="center"/>
              <w:ind w:right="1848"/>
              <w:spacing w:after="0"/>
              <w:rPr>
                <w:sz w:val="20"/>
                <w:szCs w:val="20"/>
                <w:color w:val="auto"/>
              </w:rPr>
            </w:pPr>
            <w:r>
              <w:rPr>
                <w:rFonts w:ascii="Calibri" w:cs="Calibri" w:eastAsia="Calibri" w:hAnsi="Calibri"/>
                <w:sz w:val="14"/>
                <w:szCs w:val="14"/>
                <w:color w:val="auto"/>
              </w:rPr>
              <w:t>Identfcaton No.)</w:t>
            </w:r>
          </w:p>
        </w:tc>
        <w:tc>
          <w:tcPr>
            <w:tcW w:w="0" w:type="dxa"/>
            <w:vAlign w:val="bottom"/>
          </w:tcPr>
          <w:p>
            <w:pPr>
              <w:spacing w:after="0"/>
              <w:rPr>
                <w:sz w:val="1"/>
                <w:szCs w:val="1"/>
                <w:color w:val="auto"/>
              </w:rPr>
            </w:pPr>
          </w:p>
        </w:tc>
      </w:tr>
      <w:tr>
        <w:trPr>
          <w:trHeight w:val="586"/>
        </w:trPr>
        <w:tc>
          <w:tcPr>
            <w:tcW w:w="6820" w:type="dxa"/>
            <w:vAlign w:val="bottom"/>
            <w:gridSpan w:val="5"/>
          </w:tcPr>
          <w:p>
            <w:pPr>
              <w:jc w:val="center"/>
              <w:ind w:right="1304"/>
              <w:spacing w:after="0"/>
              <w:rPr>
                <w:sz w:val="20"/>
                <w:szCs w:val="20"/>
                <w:color w:val="auto"/>
              </w:rPr>
            </w:pPr>
            <w:r>
              <w:rPr>
                <w:rFonts w:ascii="Calibri" w:cs="Calibri" w:eastAsia="Calibri" w:hAnsi="Calibri"/>
                <w:sz w:val="16"/>
                <w:szCs w:val="16"/>
                <w:b w:val="1"/>
                <w:bCs w:val="1"/>
                <w:color w:val="auto"/>
              </w:rPr>
              <w:t>245 First Street, Cambridge, MA</w:t>
            </w:r>
          </w:p>
        </w:tc>
        <w:tc>
          <w:tcPr>
            <w:tcW w:w="4420" w:type="dxa"/>
            <w:vAlign w:val="bottom"/>
            <w:gridSpan w:val="4"/>
          </w:tcPr>
          <w:p>
            <w:pPr>
              <w:jc w:val="right"/>
              <w:ind w:right="2388"/>
              <w:spacing w:after="0"/>
              <w:rPr>
                <w:sz w:val="20"/>
                <w:szCs w:val="20"/>
                <w:color w:val="auto"/>
              </w:rPr>
            </w:pPr>
            <w:r>
              <w:rPr>
                <w:rFonts w:ascii="Calibri" w:cs="Calibri" w:eastAsia="Calibri" w:hAnsi="Calibri"/>
                <w:sz w:val="16"/>
                <w:szCs w:val="16"/>
                <w:b w:val="1"/>
                <w:bCs w:val="1"/>
                <w:color w:val="auto"/>
              </w:rPr>
              <w:t>02142</w:t>
            </w:r>
          </w:p>
        </w:tc>
        <w:tc>
          <w:tcPr>
            <w:tcW w:w="0" w:type="dxa"/>
            <w:vAlign w:val="bottom"/>
          </w:tcPr>
          <w:p>
            <w:pPr>
              <w:spacing w:after="0"/>
              <w:rPr>
                <w:sz w:val="1"/>
                <w:szCs w:val="1"/>
                <w:color w:val="auto"/>
              </w:rPr>
            </w:pPr>
          </w:p>
        </w:tc>
      </w:tr>
      <w:tr>
        <w:trPr>
          <w:trHeight w:val="183"/>
        </w:trPr>
        <w:tc>
          <w:tcPr>
            <w:tcW w:w="6820" w:type="dxa"/>
            <w:vAlign w:val="bottom"/>
            <w:gridSpan w:val="5"/>
          </w:tcPr>
          <w:p>
            <w:pPr>
              <w:jc w:val="center"/>
              <w:ind w:right="1344"/>
              <w:spacing w:after="0"/>
              <w:rPr>
                <w:sz w:val="20"/>
                <w:szCs w:val="20"/>
                <w:color w:val="auto"/>
              </w:rPr>
            </w:pPr>
            <w:r>
              <w:rPr>
                <w:rFonts w:ascii="Calibri" w:cs="Calibri" w:eastAsia="Calibri" w:hAnsi="Calibri"/>
                <w:sz w:val="14"/>
                <w:szCs w:val="14"/>
                <w:color w:val="auto"/>
              </w:rPr>
              <w:t>(Address of principal executve ofces)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20" w:type="dxa"/>
            <w:vAlign w:val="bottom"/>
          </w:tcPr>
          <w:p>
            <w:pPr>
              <w:jc w:val="center"/>
              <w:ind w:right="1868"/>
              <w:spacing w:after="0"/>
              <w:rPr>
                <w:sz w:val="20"/>
                <w:szCs w:val="20"/>
                <w:color w:val="auto"/>
              </w:rPr>
            </w:pPr>
            <w:r>
              <w:rPr>
                <w:rFonts w:ascii="Calibri" w:cs="Calibri" w:eastAsia="Calibri" w:hAnsi="Calibri"/>
                <w:sz w:val="14"/>
                <w:szCs w:val="14"/>
                <w:color w:val="auto"/>
              </w:rPr>
              <w:t>(Zip Code)</w:t>
            </w:r>
          </w:p>
        </w:tc>
        <w:tc>
          <w:tcPr>
            <w:tcW w:w="0" w:type="dxa"/>
            <w:vAlign w:val="bottom"/>
          </w:tcPr>
          <w:p>
            <w:pPr>
              <w:spacing w:after="0"/>
              <w:rPr>
                <w:sz w:val="1"/>
                <w:szCs w:val="1"/>
                <w:color w:val="auto"/>
              </w:rPr>
            </w:pPr>
          </w:p>
        </w:tc>
      </w:tr>
      <w:tr>
        <w:trPr>
          <w:trHeight w:val="405"/>
        </w:trPr>
        <w:tc>
          <w:tcPr>
            <w:tcW w:w="3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40" w:type="dxa"/>
            <w:vAlign w:val="bottom"/>
            <w:gridSpan w:val="7"/>
          </w:tcPr>
          <w:p>
            <w:pPr>
              <w:jc w:val="center"/>
              <w:ind w:right="3508"/>
              <w:spacing w:after="0"/>
              <w:rPr>
                <w:sz w:val="20"/>
                <w:szCs w:val="20"/>
                <w:color w:val="auto"/>
              </w:rPr>
            </w:pPr>
            <w:r>
              <w:rPr>
                <w:rFonts w:ascii="Calibri" w:cs="Calibri" w:eastAsia="Calibri" w:hAnsi="Calibri"/>
                <w:sz w:val="14"/>
                <w:szCs w:val="14"/>
                <w:b w:val="1"/>
                <w:bCs w:val="1"/>
                <w:color w:val="auto"/>
              </w:rPr>
              <w:t>Registrant’s telephone number, including area code: (617) 871-2098</w:t>
            </w:r>
          </w:p>
        </w:tc>
        <w:tc>
          <w:tcPr>
            <w:tcW w:w="0" w:type="dxa"/>
            <w:vAlign w:val="bottom"/>
          </w:tcPr>
          <w:p>
            <w:pPr>
              <w:spacing w:after="0"/>
              <w:rPr>
                <w:sz w:val="1"/>
                <w:szCs w:val="1"/>
                <w:color w:val="auto"/>
              </w:rPr>
            </w:pPr>
          </w:p>
        </w:tc>
      </w:tr>
      <w:tr>
        <w:trPr>
          <w:trHeight w:val="263"/>
        </w:trPr>
        <w:tc>
          <w:tcPr>
            <w:tcW w:w="34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5"/>
        </w:trPr>
        <w:tc>
          <w:tcPr>
            <w:tcW w:w="3600" w:type="dxa"/>
            <w:vAlign w:val="bottom"/>
            <w:gridSpan w:val="2"/>
          </w:tcPr>
          <w:p>
            <w:pPr>
              <w:spacing w:after="0"/>
              <w:rPr>
                <w:sz w:val="20"/>
                <w:szCs w:val="20"/>
                <w:color w:val="auto"/>
              </w:rPr>
            </w:pPr>
            <w:r>
              <w:rPr>
                <w:rFonts w:ascii="Calibri" w:cs="Calibri" w:eastAsia="Calibri" w:hAnsi="Calibri"/>
                <w:sz w:val="14"/>
                <w:szCs w:val="14"/>
                <w:b w:val="1"/>
                <w:bCs w:val="1"/>
                <w:color w:val="auto"/>
              </w:rPr>
              <w:t>Securites registered pursuant to Secton 12(b) of the Act: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3600" w:type="dxa"/>
            <w:vAlign w:val="bottom"/>
            <w:gridSpan w:val="2"/>
          </w:tcPr>
          <w:p>
            <w:pPr>
              <w:jc w:val="center"/>
              <w:ind w:left="306"/>
              <w:spacing w:after="0"/>
              <w:rPr>
                <w:sz w:val="20"/>
                <w:szCs w:val="20"/>
                <w:color w:val="auto"/>
              </w:rPr>
            </w:pPr>
            <w:r>
              <w:rPr>
                <w:rFonts w:ascii="Calibri" w:cs="Calibri" w:eastAsia="Calibri" w:hAnsi="Calibri"/>
                <w:sz w:val="14"/>
                <w:szCs w:val="14"/>
                <w:color w:val="auto"/>
              </w:rPr>
              <w:t>Title of each class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Pr>
          <w:p>
            <w:pPr>
              <w:jc w:val="center"/>
              <w:ind w:left="244"/>
              <w:spacing w:after="0"/>
              <w:rPr>
                <w:sz w:val="20"/>
                <w:szCs w:val="20"/>
                <w:color w:val="auto"/>
              </w:rPr>
            </w:pPr>
            <w:r>
              <w:rPr>
                <w:rFonts w:ascii="Calibri" w:cs="Calibri" w:eastAsia="Calibri" w:hAnsi="Calibri"/>
                <w:sz w:val="16"/>
                <w:szCs w:val="16"/>
                <w:color w:val="auto"/>
              </w:rPr>
              <w:t>Trading Symbol(s)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2"/>
          </w:tcPr>
          <w:p>
            <w:pPr>
              <w:jc w:val="center"/>
              <w:spacing w:after="0"/>
              <w:rPr>
                <w:sz w:val="20"/>
                <w:szCs w:val="20"/>
                <w:color w:val="auto"/>
              </w:rPr>
            </w:pPr>
            <w:r>
              <w:rPr>
                <w:rFonts w:ascii="Calibri" w:cs="Calibri" w:eastAsia="Calibri" w:hAnsi="Calibri"/>
                <w:sz w:val="16"/>
                <w:szCs w:val="16"/>
                <w:color w:val="auto"/>
              </w:rPr>
              <w:t>Name of each exchange on which registered</w:t>
            </w:r>
          </w:p>
        </w:tc>
        <w:tc>
          <w:tcPr>
            <w:tcW w:w="0" w:type="dxa"/>
            <w:vAlign w:val="bottom"/>
          </w:tcPr>
          <w:p>
            <w:pPr>
              <w:spacing w:after="0"/>
              <w:rPr>
                <w:sz w:val="1"/>
                <w:szCs w:val="1"/>
                <w:color w:val="auto"/>
              </w:rPr>
            </w:pPr>
          </w:p>
        </w:tc>
      </w:tr>
      <w:tr>
        <w:trPr>
          <w:trHeight w:val="27"/>
        </w:trPr>
        <w:tc>
          <w:tcPr>
            <w:tcW w:w="36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3600" w:type="dxa"/>
            <w:vAlign w:val="bottom"/>
            <w:gridSpan w:val="2"/>
          </w:tcPr>
          <w:p>
            <w:pPr>
              <w:jc w:val="center"/>
              <w:ind w:left="306"/>
              <w:spacing w:after="0" w:line="164" w:lineRule="exact"/>
              <w:rPr>
                <w:sz w:val="20"/>
                <w:szCs w:val="20"/>
                <w:color w:val="auto"/>
              </w:rPr>
            </w:pPr>
            <w:r>
              <w:rPr>
                <w:rFonts w:ascii="Calibri" w:cs="Calibri" w:eastAsia="Calibri" w:hAnsi="Calibri"/>
                <w:sz w:val="14"/>
                <w:szCs w:val="14"/>
                <w:b w:val="1"/>
                <w:bCs w:val="1"/>
                <w:color w:val="auto"/>
              </w:rPr>
              <w:t>Common Stock, $0.00001 par value per share</w:t>
            </w:r>
          </w:p>
        </w:tc>
        <w:tc>
          <w:tcPr>
            <w:tcW w:w="3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2740" w:type="dxa"/>
            <w:vAlign w:val="bottom"/>
          </w:tcPr>
          <w:p>
            <w:pPr>
              <w:jc w:val="center"/>
              <w:ind w:left="244"/>
              <w:spacing w:after="0" w:line="164" w:lineRule="exact"/>
              <w:rPr>
                <w:sz w:val="20"/>
                <w:szCs w:val="20"/>
                <w:color w:val="auto"/>
              </w:rPr>
            </w:pPr>
            <w:r>
              <w:rPr>
                <w:rFonts w:ascii="Calibri" w:cs="Calibri" w:eastAsia="Calibri" w:hAnsi="Calibri"/>
                <w:sz w:val="14"/>
                <w:szCs w:val="14"/>
                <w:b w:val="1"/>
                <w:bCs w:val="1"/>
                <w:color w:val="auto"/>
              </w:rPr>
              <w:t>AKBA</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20" w:type="dxa"/>
            <w:vAlign w:val="bottom"/>
          </w:tcPr>
          <w:p>
            <w:pPr>
              <w:jc w:val="center"/>
              <w:ind w:right="488"/>
              <w:spacing w:after="0" w:line="164" w:lineRule="exact"/>
              <w:rPr>
                <w:sz w:val="20"/>
                <w:szCs w:val="20"/>
                <w:color w:val="auto"/>
              </w:rPr>
            </w:pPr>
            <w:r>
              <w:rPr>
                <w:rFonts w:ascii="Calibri" w:cs="Calibri" w:eastAsia="Calibri" w:hAnsi="Calibri"/>
                <w:sz w:val="14"/>
                <w:szCs w:val="14"/>
                <w:b w:val="1"/>
                <w:bCs w:val="1"/>
                <w:color w:val="auto"/>
              </w:rPr>
              <w:t>The Nasdaq Capital Market</w:t>
            </w:r>
          </w:p>
        </w:tc>
        <w:tc>
          <w:tcPr>
            <w:tcW w:w="0" w:type="dxa"/>
            <w:vAlign w:val="bottom"/>
          </w:tcPr>
          <w:p>
            <w:pPr>
              <w:spacing w:after="0"/>
              <w:rPr>
                <w:sz w:val="1"/>
                <w:szCs w:val="1"/>
                <w:color w:val="auto"/>
              </w:rPr>
            </w:pPr>
          </w:p>
        </w:tc>
      </w:tr>
      <w:tr>
        <w:trPr>
          <w:trHeight w:val="364"/>
        </w:trPr>
        <w:tc>
          <w:tcPr>
            <w:tcW w:w="3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40" w:type="dxa"/>
            <w:vAlign w:val="bottom"/>
            <w:gridSpan w:val="7"/>
          </w:tcPr>
          <w:p>
            <w:pPr>
              <w:jc w:val="center"/>
              <w:ind w:right="3528"/>
              <w:spacing w:after="0"/>
              <w:rPr>
                <w:sz w:val="20"/>
                <w:szCs w:val="20"/>
                <w:color w:val="auto"/>
              </w:rPr>
            </w:pPr>
            <w:r>
              <w:rPr>
                <w:rFonts w:ascii="Calibri" w:cs="Calibri" w:eastAsia="Calibri" w:hAnsi="Calibri"/>
                <w:sz w:val="14"/>
                <w:szCs w:val="14"/>
                <w:b w:val="1"/>
                <w:bCs w:val="1"/>
                <w:color w:val="auto"/>
              </w:rPr>
              <w:t>Securites registered pursuant to Secton 12(g) of the Act: None</w:t>
            </w:r>
          </w:p>
        </w:tc>
        <w:tc>
          <w:tcPr>
            <w:tcW w:w="0" w:type="dxa"/>
            <w:vAlign w:val="bottom"/>
          </w:tcPr>
          <w:p>
            <w:pPr>
              <w:spacing w:after="0"/>
              <w:rPr>
                <w:sz w:val="1"/>
                <w:szCs w:val="1"/>
                <w:color w:val="auto"/>
              </w:rPr>
            </w:pPr>
          </w:p>
        </w:tc>
      </w:tr>
      <w:tr>
        <w:trPr>
          <w:trHeight w:val="315"/>
        </w:trPr>
        <w:tc>
          <w:tcPr>
            <w:tcW w:w="6820" w:type="dxa"/>
            <w:vAlign w:val="bottom"/>
            <w:gridSpan w:val="5"/>
          </w:tcPr>
          <w:p>
            <w:pPr>
              <w:spacing w:after="0"/>
              <w:rPr>
                <w:sz w:val="20"/>
                <w:szCs w:val="20"/>
                <w:color w:val="auto"/>
              </w:rPr>
            </w:pPr>
            <w:r>
              <w:rPr>
                <w:rFonts w:ascii="Calibri" w:cs="Calibri" w:eastAsia="Calibri" w:hAnsi="Calibri"/>
                <w:sz w:val="14"/>
                <w:szCs w:val="14"/>
                <w:color w:val="auto"/>
              </w:rPr>
              <w:t>Indicate by check mark if the registrant is a well-known seasoned issuer, as defned in Rule 405 of the Securites Act.</w:t>
            </w:r>
          </w:p>
        </w:tc>
        <w:tc>
          <w:tcPr>
            <w:tcW w:w="4420" w:type="dxa"/>
            <w:vAlign w:val="bottom"/>
            <w:gridSpan w:val="4"/>
          </w:tcPr>
          <w:p>
            <w:pPr>
              <w:ind w:left="60"/>
              <w:spacing w:after="0" w:line="171" w:lineRule="exact"/>
              <w:rPr>
                <w:sz w:val="20"/>
                <w:szCs w:val="20"/>
                <w:color w:val="auto"/>
              </w:rPr>
            </w:pPr>
            <w:r>
              <w:rPr>
                <w:rFonts w:ascii="Calibri" w:cs="Calibri" w:eastAsia="Calibri" w:hAnsi="Calibri"/>
                <w:sz w:val="14"/>
                <w:szCs w:val="14"/>
                <w:color w:val="auto"/>
              </w:rPr>
              <w:t xml:space="preserve">Yes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1" w:lineRule="exact"/>
        <w:rPr>
          <w:sz w:val="24"/>
          <w:szCs w:val="24"/>
          <w:color w:val="auto"/>
        </w:rPr>
      </w:pPr>
    </w:p>
    <w:p>
      <w:pPr>
        <w:spacing w:after="0" w:line="172" w:lineRule="exact"/>
        <w:tabs>
          <w:tab w:leader="none" w:pos="6600" w:val="left"/>
        </w:tabs>
        <w:rPr>
          <w:sz w:val="20"/>
          <w:szCs w:val="20"/>
          <w:color w:val="auto"/>
        </w:rPr>
      </w:pPr>
      <w:r>
        <w:rPr>
          <w:rFonts w:ascii="Calibri" w:cs="Calibri" w:eastAsia="Calibri" w:hAnsi="Calibri"/>
          <w:sz w:val="14"/>
          <w:szCs w:val="14"/>
          <w:color w:val="auto"/>
        </w:rPr>
        <w:t>Indicate by check mark if the registrant is not required to fle reports pursuant to Secton 13 or 15(d) of the Act.</w:t>
        <w:tab/>
        <w:t xml:space="preserve">Yes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No </w:t>
      </w:r>
      <w:r>
        <w:rPr>
          <w:rFonts w:ascii="MS PGothic" w:cs="MS PGothic" w:eastAsia="MS PGothic" w:hAnsi="MS PGothic"/>
          <w:sz w:val="14"/>
          <w:szCs w:val="14"/>
          <w:color w:val="auto"/>
        </w:rPr>
        <w:t>☒</w:t>
      </w:r>
    </w:p>
    <w:p>
      <w:pPr>
        <w:spacing w:after="0" w:line="152" w:lineRule="exact"/>
        <w:rPr>
          <w:sz w:val="24"/>
          <w:szCs w:val="24"/>
          <w:color w:val="auto"/>
        </w:rPr>
      </w:pPr>
    </w:p>
    <w:p>
      <w:pPr>
        <w:jc w:val="both"/>
        <w:spacing w:after="0" w:line="182" w:lineRule="exact"/>
        <w:rPr>
          <w:sz w:val="20"/>
          <w:szCs w:val="20"/>
          <w:color w:val="auto"/>
        </w:rPr>
      </w:pPr>
      <w:r>
        <w:rPr>
          <w:rFonts w:ascii="Calibri" w:cs="Calibri" w:eastAsia="Calibri" w:hAnsi="Calibri"/>
          <w:sz w:val="14"/>
          <w:szCs w:val="14"/>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jc w:val="both"/>
        <w:spacing w:after="0" w:line="189" w:lineRule="exact"/>
        <w:rPr>
          <w:sz w:val="20"/>
          <w:szCs w:val="20"/>
          <w:color w:val="auto"/>
        </w:rPr>
      </w:pPr>
      <w:r>
        <w:rPr>
          <w:rFonts w:ascii="Calibri" w:cs="Calibri" w:eastAsia="Calibri" w:hAnsi="Calibri"/>
          <w:sz w:val="14"/>
          <w:szCs w:val="14"/>
          <w:color w:val="auto"/>
        </w:rPr>
        <w:t xml:space="preserve">Indicate by check mark whether the registrant has submited electronically every Interactve Data File required to be submited pursuant to Rule 405 of Regulaton S-T (§ 232.405 of this chapter) during the preceding 12 months (or for such shorter period that the registrant was required to submit such fles). Yes </w:t>
      </w:r>
      <w:r>
        <w:rPr>
          <w:rFonts w:ascii="MS PGothic" w:cs="MS PGothic" w:eastAsia="MS PGothic" w:hAnsi="MS PGothic"/>
          <w:sz w:val="14"/>
          <w:szCs w:val="14"/>
          <w:color w:val="auto"/>
        </w:rPr>
        <w:t>☒</w:t>
      </w:r>
      <w:r>
        <w:rPr>
          <w:rFonts w:ascii="Calibri" w:cs="Calibri" w:eastAsia="Calibri" w:hAnsi="Calibri"/>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jc w:val="both"/>
        <w:spacing w:after="0" w:line="245" w:lineRule="auto"/>
        <w:rPr>
          <w:sz w:val="20"/>
          <w:szCs w:val="20"/>
          <w:color w:val="auto"/>
        </w:rPr>
      </w:pPr>
      <w:r>
        <w:rPr>
          <w:rFonts w:ascii="Calibri" w:cs="Calibri" w:eastAsia="Calibri" w:hAnsi="Calibri"/>
          <w:sz w:val="14"/>
          <w:szCs w:val="14"/>
          <w:color w:val="auto"/>
        </w:rPr>
        <w:t>Indicate by check mark whether the registrant is a large accelerated fler, an accelerated fler, a non-accelerated fler, a smaller reportng company, or an emerging growth company. See the defnitons of “large accelerated fler,” “accelerated fler,” “smaller reportng company,” and “emerging growth company” in Rule 12b-2 of the Exchange Act.</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202"/>
        </w:trPr>
        <w:tc>
          <w:tcPr>
            <w:tcW w:w="1800" w:type="dxa"/>
            <w:vAlign w:val="bottom"/>
          </w:tcPr>
          <w:p>
            <w:pPr>
              <w:spacing w:after="0"/>
              <w:rPr>
                <w:sz w:val="20"/>
                <w:szCs w:val="20"/>
                <w:color w:val="auto"/>
              </w:rPr>
            </w:pPr>
            <w:r>
              <w:rPr>
                <w:rFonts w:ascii="Calibri" w:cs="Calibri" w:eastAsia="Calibri" w:hAnsi="Calibri"/>
                <w:sz w:val="14"/>
                <w:szCs w:val="14"/>
                <w:color w:val="auto"/>
              </w:rPr>
              <w:t>Large accelerated fler</w:t>
            </w:r>
          </w:p>
        </w:tc>
        <w:tc>
          <w:tcPr>
            <w:tcW w:w="32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620"/>
              <w:spacing w:after="0"/>
              <w:rPr>
                <w:sz w:val="20"/>
                <w:szCs w:val="20"/>
                <w:color w:val="auto"/>
              </w:rPr>
            </w:pPr>
            <w:r>
              <w:rPr>
                <w:rFonts w:ascii="Calibri" w:cs="Calibri" w:eastAsia="Calibri" w:hAnsi="Calibri"/>
                <w:sz w:val="14"/>
                <w:szCs w:val="14"/>
                <w:color w:val="auto"/>
              </w:rPr>
              <w:t>Accelerated fler</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800" w:type="dxa"/>
            <w:vAlign w:val="bottom"/>
          </w:tcPr>
          <w:p>
            <w:pPr>
              <w:spacing w:after="0"/>
              <w:rPr>
                <w:sz w:val="20"/>
                <w:szCs w:val="20"/>
                <w:color w:val="auto"/>
              </w:rPr>
            </w:pPr>
            <w:r>
              <w:rPr>
                <w:rFonts w:ascii="Calibri" w:cs="Calibri" w:eastAsia="Calibri" w:hAnsi="Calibri"/>
                <w:sz w:val="14"/>
                <w:szCs w:val="14"/>
                <w:color w:val="auto"/>
              </w:rPr>
              <w:t>Non-accelerated fler</w:t>
            </w:r>
          </w:p>
        </w:tc>
        <w:tc>
          <w:tcPr>
            <w:tcW w:w="32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620"/>
              <w:spacing w:after="0"/>
              <w:rPr>
                <w:sz w:val="20"/>
                <w:szCs w:val="20"/>
                <w:color w:val="auto"/>
              </w:rPr>
            </w:pPr>
            <w:r>
              <w:rPr>
                <w:rFonts w:ascii="Calibri" w:cs="Calibri" w:eastAsia="Calibri" w:hAnsi="Calibri"/>
                <w:sz w:val="14"/>
                <w:szCs w:val="14"/>
                <w:color w:val="auto"/>
              </w:rPr>
              <w:t>Smaller reportng company</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8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880" w:type="dxa"/>
            <w:vAlign w:val="bottom"/>
          </w:tcPr>
          <w:p>
            <w:pPr>
              <w:ind w:left="2620"/>
              <w:spacing w:after="0"/>
              <w:rPr>
                <w:sz w:val="20"/>
                <w:szCs w:val="20"/>
                <w:color w:val="auto"/>
              </w:rPr>
            </w:pPr>
            <w:r>
              <w:rPr>
                <w:rFonts w:ascii="Calibri" w:cs="Calibri" w:eastAsia="Calibri" w:hAnsi="Calibri"/>
                <w:sz w:val="14"/>
                <w:szCs w:val="14"/>
                <w:color w:val="auto"/>
              </w:rPr>
              <w:t>Emerging growth company</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90" w:lineRule="exact"/>
        <w:rPr>
          <w:sz w:val="24"/>
          <w:szCs w:val="24"/>
          <w:color w:val="auto"/>
        </w:rPr>
      </w:pPr>
    </w:p>
    <w:p>
      <w:pPr>
        <w:spacing w:after="0" w:line="189" w:lineRule="exact"/>
        <w:rPr>
          <w:sz w:val="20"/>
          <w:szCs w:val="20"/>
          <w:color w:val="auto"/>
        </w:rPr>
      </w:pPr>
      <w:r>
        <w:rPr>
          <w:rFonts w:ascii="Calibri" w:cs="Calibri" w:eastAsia="Calibri" w:hAnsi="Calibri"/>
          <w:sz w:val="14"/>
          <w:szCs w:val="14"/>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4"/>
          <w:szCs w:val="14"/>
          <w:color w:val="auto"/>
        </w:rPr>
        <w:t>☐</w:t>
      </w:r>
    </w:p>
    <w:p>
      <w:pPr>
        <w:spacing w:after="0" w:line="82" w:lineRule="exact"/>
        <w:rPr>
          <w:sz w:val="24"/>
          <w:szCs w:val="24"/>
          <w:color w:val="auto"/>
        </w:rPr>
      </w:pPr>
    </w:p>
    <w:p>
      <w:pPr>
        <w:spacing w:after="0" w:line="182" w:lineRule="exact"/>
        <w:rPr>
          <w:sz w:val="20"/>
          <w:szCs w:val="20"/>
          <w:color w:val="auto"/>
        </w:rPr>
      </w:pPr>
      <w:r>
        <w:rPr>
          <w:rFonts w:ascii="Calibri" w:cs="Calibri" w:eastAsia="Calibri" w:hAnsi="Calibri"/>
          <w:sz w:val="14"/>
          <w:szCs w:val="14"/>
          <w:color w:val="auto"/>
        </w:rPr>
        <w:t xml:space="preserve">Indicate by check mark whether the registrant has fled a report on and atestaton to its management’s assessment of the efectveness of its internal control over fnancial reportng under Secton 404(b) of the Sarbanes-Oxley Act (15 U.S.C. 7262(b)) by the registered public accountng frm that prepared or issued its audit report. </w:t>
      </w:r>
      <w:r>
        <w:rPr>
          <w:rFonts w:ascii="MS PGothic" w:cs="MS PGothic" w:eastAsia="MS PGothic" w:hAnsi="MS PGothic"/>
          <w:sz w:val="14"/>
          <w:szCs w:val="14"/>
          <w:color w:val="auto"/>
        </w:rPr>
        <w:t>☒</w:t>
      </w:r>
    </w:p>
    <w:p>
      <w:pPr>
        <w:spacing w:after="0" w:line="82" w:lineRule="exact"/>
        <w:rPr>
          <w:sz w:val="24"/>
          <w:szCs w:val="24"/>
          <w:color w:val="auto"/>
        </w:rPr>
      </w:pPr>
    </w:p>
    <w:p>
      <w:pPr>
        <w:spacing w:after="0" w:line="189" w:lineRule="exact"/>
        <w:rPr>
          <w:sz w:val="20"/>
          <w:szCs w:val="20"/>
          <w:color w:val="auto"/>
        </w:rPr>
      </w:pPr>
      <w:r>
        <w:rPr>
          <w:rFonts w:ascii="Calibri" w:cs="Calibri" w:eastAsia="Calibri" w:hAnsi="Calibri"/>
          <w:sz w:val="14"/>
          <w:szCs w:val="14"/>
          <w:color w:val="auto"/>
        </w:rPr>
        <w:t xml:space="preserve">If securites are registered pursuant to Secton 12(b) of the Act, indicate by check mark whether the fnancial statements of the registrant included in the fling refect the correcton of an error to previously issued fnancial statements. </w:t>
      </w:r>
      <w:r>
        <w:rPr>
          <w:rFonts w:ascii="MS PGothic" w:cs="MS PGothic" w:eastAsia="MS PGothic" w:hAnsi="MS PGothic"/>
          <w:sz w:val="14"/>
          <w:szCs w:val="14"/>
          <w:color w:val="auto"/>
        </w:rPr>
        <w:t>☐</w:t>
      </w:r>
    </w:p>
    <w:p>
      <w:pPr>
        <w:spacing w:after="0" w:line="82" w:lineRule="exact"/>
        <w:rPr>
          <w:sz w:val="24"/>
          <w:szCs w:val="24"/>
          <w:color w:val="auto"/>
        </w:rPr>
      </w:pPr>
    </w:p>
    <w:p>
      <w:pPr>
        <w:spacing w:after="0" w:line="189" w:lineRule="exact"/>
        <w:rPr>
          <w:sz w:val="20"/>
          <w:szCs w:val="20"/>
          <w:color w:val="auto"/>
        </w:rPr>
      </w:pPr>
      <w:r>
        <w:rPr>
          <w:rFonts w:ascii="Calibri" w:cs="Calibri" w:eastAsia="Calibri" w:hAnsi="Calibri"/>
          <w:sz w:val="14"/>
          <w:szCs w:val="14"/>
          <w:color w:val="auto"/>
        </w:rPr>
        <w:t xml:space="preserve">Indicate by check mark whether any of those error correctons are restatements that required a recovery analysis of incentve-based compensaton received by any of the registrant’s executve ofcers during the relevant recovery period pursuant to § 240.10D-1(b). </w:t>
      </w:r>
      <w:r>
        <w:rPr>
          <w:rFonts w:ascii="MS PGothic" w:cs="MS PGothic" w:eastAsia="MS PGothic" w:hAnsi="MS PGothic"/>
          <w:sz w:val="14"/>
          <w:szCs w:val="14"/>
          <w:color w:val="auto"/>
        </w:rPr>
        <w:t>☐</w:t>
      </w:r>
    </w:p>
    <w:p>
      <w:pPr>
        <w:spacing w:after="0" w:line="28" w:lineRule="exact"/>
        <w:rPr>
          <w:sz w:val="24"/>
          <w:szCs w:val="24"/>
          <w:color w:val="auto"/>
        </w:rPr>
      </w:pPr>
    </w:p>
    <w:p>
      <w:pPr>
        <w:spacing w:after="0" w:line="172" w:lineRule="exact"/>
        <w:tabs>
          <w:tab w:leader="none" w:pos="6420" w:val="left"/>
          <w:tab w:leader="none" w:pos="6940" w:val="left"/>
        </w:tabs>
        <w:rPr>
          <w:sz w:val="20"/>
          <w:szCs w:val="20"/>
          <w:color w:val="auto"/>
        </w:rPr>
      </w:pPr>
      <w:r>
        <w:rPr>
          <w:rFonts w:ascii="Calibri" w:cs="Calibri" w:eastAsia="Calibri" w:hAnsi="Calibri"/>
          <w:sz w:val="14"/>
          <w:szCs w:val="14"/>
          <w:color w:val="auto"/>
        </w:rPr>
        <w:t>Indicate by check mark whether registrant is a shell company (as defned in Rule 12b-2 of the Exchange Act).</w:t>
        <w:tab/>
        <w:t xml:space="preserve">Yes </w:t>
      </w:r>
      <w:r>
        <w:rPr>
          <w:rFonts w:ascii="MS PGothic" w:cs="MS PGothic" w:eastAsia="MS PGothic" w:hAnsi="MS PGothic"/>
          <w:sz w:val="14"/>
          <w:szCs w:val="14"/>
          <w:color w:val="auto"/>
        </w:rPr>
        <w:t>☐</w:t>
      </w:r>
      <w:r>
        <w:rPr>
          <w:rFonts w:ascii="Calibri" w:cs="Calibri" w:eastAsia="Calibri" w:hAnsi="Calibri"/>
          <w:sz w:val="14"/>
          <w:szCs w:val="14"/>
          <w:color w:val="auto"/>
        </w:rPr>
        <w:tab/>
        <w:t xml:space="preserve">No </w:t>
      </w:r>
      <w:r>
        <w:rPr>
          <w:rFonts w:ascii="MS PGothic" w:cs="MS PGothic" w:eastAsia="MS PGothic" w:hAnsi="MS PGothic"/>
          <w:sz w:val="14"/>
          <w:szCs w:val="14"/>
          <w:color w:val="auto"/>
        </w:rPr>
        <w:t>☒</w:t>
      </w:r>
    </w:p>
    <w:p>
      <w:pPr>
        <w:sectPr>
          <w:pgSz w:w="11900" w:h="16838" w:orient="portrait"/>
          <w:cols w:equalWidth="0" w:num="1">
            <w:col w:w="11240"/>
          </w:cols>
          <w:pgMar w:left="320" w:top="856" w:right="339" w:bottom="33" w:gutter="0" w:footer="0" w:header="0"/>
        </w:sectPr>
      </w:pPr>
    </w:p>
    <w:bookmarkStart w:id="1" w:name="page2"/>
    <w:bookmarkEnd w:id="1"/>
    <w:p>
      <w:pPr>
        <w:spacing w:after="0" w:line="245" w:lineRule="auto"/>
        <w:rPr>
          <w:sz w:val="20"/>
          <w:szCs w:val="20"/>
          <w:color w:val="auto"/>
        </w:rPr>
      </w:pPr>
      <w:r>
        <w:rPr>
          <w:rFonts w:ascii="Calibri" w:cs="Calibri" w:eastAsia="Calibri" w:hAnsi="Calibri"/>
          <w:sz w:val="14"/>
          <w:szCs w:val="14"/>
          <w:color w:val="auto"/>
        </w:rPr>
        <w:t>The aggregate market value of the votng and non-votng common equity held by non-afliates of the registrant, based on the closing price of the registrant’s Common Stock on The Nasdaq Capital Market on June 28, 2024, was $210,916,948.</w:t>
      </w:r>
    </w:p>
    <w:p>
      <w:pPr>
        <w:spacing w:after="0" w:line="109" w:lineRule="exact"/>
        <w:rPr>
          <w:sz w:val="20"/>
          <w:szCs w:val="20"/>
          <w:color w:val="auto"/>
        </w:rPr>
      </w:pPr>
    </w:p>
    <w:p>
      <w:pPr>
        <w:spacing w:after="0"/>
        <w:rPr>
          <w:sz w:val="20"/>
          <w:szCs w:val="20"/>
          <w:color w:val="auto"/>
        </w:rPr>
      </w:pPr>
      <w:r>
        <w:rPr>
          <w:rFonts w:ascii="Calibri" w:cs="Calibri" w:eastAsia="Calibri" w:hAnsi="Calibri"/>
          <w:sz w:val="14"/>
          <w:szCs w:val="14"/>
          <w:color w:val="auto"/>
        </w:rPr>
        <w:t>The number of shares of registrant’s Common Stock outstanding as of March 10, 2025 was 236,231,057.</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DOCUMENTS INCORPORATED BY REFERENCE</w:t>
      </w:r>
    </w:p>
    <w:p>
      <w:pPr>
        <w:spacing w:after="0" w:line="108" w:lineRule="exact"/>
        <w:rPr>
          <w:sz w:val="20"/>
          <w:szCs w:val="20"/>
          <w:color w:val="auto"/>
        </w:rPr>
      </w:pPr>
    </w:p>
    <w:p>
      <w:pPr>
        <w:spacing w:after="0" w:line="245" w:lineRule="auto"/>
        <w:rPr>
          <w:sz w:val="20"/>
          <w:szCs w:val="20"/>
          <w:color w:val="auto"/>
        </w:rPr>
      </w:pPr>
      <w:r>
        <w:rPr>
          <w:rFonts w:ascii="Calibri" w:cs="Calibri" w:eastAsia="Calibri" w:hAnsi="Calibri"/>
          <w:sz w:val="14"/>
          <w:szCs w:val="14"/>
          <w:color w:val="auto"/>
        </w:rPr>
        <w:t>The registrant intends to fle a defnitve proxy statement pursuant to Regulaton 14A in connecton with its 2025 Annual Meetng of Stockholders within 120 days afer the end of the registrant’s fscal year ended December 31, 2024. Portons of the proxy statement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 w:name="page3"/>
    <w:bookmarkEnd w:id="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Akebia Therapeutcs, Inc.</w:t>
      </w:r>
    </w:p>
    <w:p>
      <w:pPr>
        <w:jc w:val="center"/>
        <w:spacing w:after="0" w:line="235" w:lineRule="auto"/>
        <w:rPr>
          <w:sz w:val="20"/>
          <w:szCs w:val="20"/>
          <w:color w:val="auto"/>
        </w:rPr>
      </w:pPr>
      <w:r>
        <w:rPr>
          <w:rFonts w:ascii="Calibri" w:cs="Calibri" w:eastAsia="Calibri" w:hAnsi="Calibri"/>
          <w:sz w:val="18"/>
          <w:szCs w:val="18"/>
          <w:b w:val="1"/>
          <w:bCs w:val="1"/>
          <w:color w:val="auto"/>
        </w:rPr>
        <w:t>Form 10-K</w:t>
      </w:r>
    </w:p>
    <w:p>
      <w:pPr>
        <w:jc w:val="center"/>
        <w:spacing w:after="0" w:line="236" w:lineRule="auto"/>
        <w:rPr>
          <w:sz w:val="20"/>
          <w:szCs w:val="20"/>
          <w:color w:val="auto"/>
        </w:rPr>
      </w:pPr>
      <w:r>
        <w:rPr>
          <w:rFonts w:ascii="Calibri" w:cs="Calibri" w:eastAsia="Calibri" w:hAnsi="Calibri"/>
          <w:sz w:val="18"/>
          <w:szCs w:val="18"/>
          <w:b w:val="1"/>
          <w:bCs w:val="1"/>
          <w:color w:val="auto"/>
        </w:rPr>
        <w:t>For the Year Ended December 31, 2024</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TABLE OF CONTENTS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980" w:type="dxa"/>
            <w:vAlign w:val="bottom"/>
            <w:gridSpan w:val="5"/>
          </w:tcPr>
          <w:p>
            <w:pPr>
              <w:jc w:val="right"/>
              <w:ind w:right="320"/>
              <w:spacing w:after="0"/>
              <w:rPr>
                <w:sz w:val="20"/>
                <w:szCs w:val="20"/>
                <w:color w:val="auto"/>
              </w:rPr>
            </w:pPr>
            <w:r>
              <w:rPr>
                <w:rFonts w:ascii="Calibri" w:cs="Calibri" w:eastAsia="Calibri" w:hAnsi="Calibri"/>
                <w:sz w:val="16"/>
                <w:szCs w:val="16"/>
                <w:b w:val="1"/>
                <w:bCs w:val="1"/>
                <w:color w:val="auto"/>
              </w:rPr>
              <w:t>Page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120" w:type="dxa"/>
            <w:vAlign w:val="bottom"/>
            <w:gridSpan w:val="25"/>
            <w:vMerge w:val="restart"/>
          </w:tcPr>
          <w:p>
            <w:pPr>
              <w:spacing w:after="0"/>
              <w:rPr>
                <w:sz w:val="20"/>
                <w:szCs w:val="20"/>
                <w:color w:val="auto"/>
              </w:rPr>
            </w:pPr>
            <w:r>
              <w:rPr>
                <w:rFonts w:ascii="Calibri" w:cs="Calibri" w:eastAsia="Calibri" w:hAnsi="Calibri"/>
                <w:sz w:val="16"/>
                <w:szCs w:val="16"/>
                <w:color w:val="auto"/>
              </w:rPr>
              <w:t>Cautonary Note Regarding Forward Looking Statements</w:t>
            </w: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120" w:type="dxa"/>
            <w:vAlign w:val="bottom"/>
            <w:gridSpan w:val="25"/>
            <w:vMerge w:val="continue"/>
          </w:tcPr>
          <w:p>
            <w:pPr>
              <w:spacing w:after="0"/>
              <w:rPr>
                <w:sz w:val="13"/>
                <w:szCs w:val="13"/>
                <w:color w:val="auto"/>
              </w:rPr>
            </w:pPr>
          </w:p>
        </w:tc>
        <w:tc>
          <w:tcPr>
            <w:tcW w:w="880" w:type="dxa"/>
            <w:vAlign w:val="bottom"/>
            <w:gridSpan w:val="3"/>
          </w:tcPr>
          <w:p>
            <w:pPr>
              <w:spacing w:after="0"/>
              <w:rPr>
                <w:sz w:val="13"/>
                <w:szCs w:val="13"/>
                <w:color w:val="auto"/>
              </w:rPr>
            </w:pPr>
          </w:p>
        </w:tc>
        <w:tc>
          <w:tcPr>
            <w:tcW w:w="80" w:type="dxa"/>
            <w:vAlign w:val="bottom"/>
            <w:tcBorders>
              <w:bottom w:val="single" w:sz="8" w:color="0000FF"/>
            </w:tcBorders>
          </w:tcPr>
          <w:p>
            <w:pPr>
              <w:jc w:val="right"/>
              <w:spacing w:after="0" w:line="156" w:lineRule="exact"/>
              <w:rPr>
                <w:sz w:val="20"/>
                <w:szCs w:val="20"/>
                <w:color w:val="auto"/>
              </w:rPr>
            </w:pPr>
            <w:r>
              <w:rPr>
                <w:rFonts w:ascii="Calibri" w:cs="Calibri" w:eastAsia="Calibri" w:hAnsi="Calibri"/>
                <w:sz w:val="16"/>
                <w:szCs w:val="16"/>
                <w:color w:val="0000FF"/>
                <w:w w:val="73"/>
              </w:rPr>
              <w:t>2</w:t>
            </w:r>
          </w:p>
        </w:tc>
        <w:tc>
          <w:tcPr>
            <w:tcW w:w="20" w:type="dxa"/>
            <w:vAlign w:val="bottom"/>
            <w:tcBorders>
              <w:bottom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120" w:type="dxa"/>
            <w:vAlign w:val="bottom"/>
            <w:gridSpan w:val="25"/>
          </w:tcPr>
          <w:p>
            <w:pPr>
              <w:spacing w:after="0"/>
              <w:rPr>
                <w:sz w:val="20"/>
                <w:szCs w:val="20"/>
                <w:color w:val="auto"/>
              </w:rPr>
            </w:pPr>
            <w:r>
              <w:rPr>
                <w:rFonts w:ascii="Calibri" w:cs="Calibri" w:eastAsia="Calibri" w:hAnsi="Calibri"/>
                <w:sz w:val="16"/>
                <w:szCs w:val="16"/>
                <w:color w:val="auto"/>
              </w:rPr>
              <w:t>Risk Factors Summary</w:t>
            </w:r>
          </w:p>
        </w:tc>
        <w:tc>
          <w:tcPr>
            <w:tcW w:w="960" w:type="dxa"/>
            <w:vAlign w:val="bottom"/>
            <w:gridSpan w:val="4"/>
          </w:tcPr>
          <w:p>
            <w:pPr>
              <w:jc w:val="right"/>
              <w:spacing w:after="0"/>
              <w:rPr>
                <w:sz w:val="20"/>
                <w:szCs w:val="20"/>
                <w:color w:val="auto"/>
              </w:rPr>
            </w:pPr>
            <w:r>
              <w:rPr>
                <w:rFonts w:ascii="Calibri" w:cs="Calibri" w:eastAsia="Calibri" w:hAnsi="Calibri"/>
                <w:sz w:val="16"/>
                <w:szCs w:val="16"/>
                <w:color w:val="0000FF"/>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DBDBDB"/>
            </w:tcBorders>
            <w:shd w:val="clear" w:color="auto" w:fill="DBDBDB"/>
          </w:tcPr>
          <w:p>
            <w:pPr>
              <w:spacing w:after="0"/>
              <w:rPr>
                <w:sz w:val="17"/>
                <w:szCs w:val="17"/>
                <w:color w:val="auto"/>
              </w:rPr>
            </w:pPr>
          </w:p>
        </w:tc>
        <w:tc>
          <w:tcPr>
            <w:tcW w:w="460" w:type="dxa"/>
            <w:vAlign w:val="bottom"/>
            <w:tcBorders>
              <w:bottom w:val="single" w:sz="8" w:color="DBDBDB"/>
            </w:tcBorders>
            <w:shd w:val="clear" w:color="auto" w:fill="DBDBDB"/>
          </w:tcPr>
          <w:p>
            <w:pPr>
              <w:spacing w:after="0"/>
              <w:rPr>
                <w:sz w:val="17"/>
                <w:szCs w:val="17"/>
                <w:color w:val="auto"/>
              </w:rPr>
            </w:pPr>
          </w:p>
        </w:tc>
        <w:tc>
          <w:tcPr>
            <w:tcW w:w="60" w:type="dxa"/>
            <w:vAlign w:val="bottom"/>
            <w:tcBorders>
              <w:bottom w:val="single" w:sz="8" w:color="DBDBDB"/>
            </w:tcBorders>
            <w:shd w:val="clear" w:color="auto" w:fill="DBDBDB"/>
          </w:tcPr>
          <w:p>
            <w:pPr>
              <w:spacing w:after="0"/>
              <w:rPr>
                <w:sz w:val="17"/>
                <w:szCs w:val="17"/>
                <w:color w:val="auto"/>
              </w:rPr>
            </w:pPr>
          </w:p>
        </w:tc>
        <w:tc>
          <w:tcPr>
            <w:tcW w:w="80" w:type="dxa"/>
            <w:vAlign w:val="bottom"/>
            <w:tcBorders>
              <w:left w:val="single" w:sz="8" w:color="DBDBDB"/>
              <w:bottom w:val="single" w:sz="8" w:color="DBDBDB"/>
            </w:tcBorders>
            <w:shd w:val="clear" w:color="auto" w:fill="DBDBDB"/>
          </w:tcPr>
          <w:p>
            <w:pPr>
              <w:spacing w:after="0"/>
              <w:rPr>
                <w:sz w:val="17"/>
                <w:szCs w:val="17"/>
                <w:color w:val="auto"/>
              </w:rPr>
            </w:pPr>
          </w:p>
        </w:tc>
        <w:tc>
          <w:tcPr>
            <w:tcW w:w="520" w:type="dxa"/>
            <w:vAlign w:val="bottom"/>
            <w:tcBorders>
              <w:left w:val="single" w:sz="8" w:color="DBDBDB"/>
              <w:bottom w:val="single" w:sz="8" w:color="DBDBDB"/>
            </w:tcBorders>
            <w:shd w:val="clear" w:color="auto" w:fill="DBDBDB"/>
          </w:tcPr>
          <w:p>
            <w:pPr>
              <w:spacing w:after="0"/>
              <w:rPr>
                <w:sz w:val="17"/>
                <w:szCs w:val="17"/>
                <w:color w:val="auto"/>
              </w:rPr>
            </w:pPr>
          </w:p>
        </w:tc>
        <w:tc>
          <w:tcPr>
            <w:tcW w:w="420" w:type="dxa"/>
            <w:vAlign w:val="bottom"/>
            <w:tcBorders>
              <w:bottom w:val="single" w:sz="8" w:color="0000FF"/>
            </w:tcBorders>
            <w:shd w:val="clear" w:color="auto" w:fill="DBDBDB"/>
          </w:tcPr>
          <w:p>
            <w:pPr>
              <w:spacing w:after="0" w:line="162" w:lineRule="exact"/>
              <w:rPr>
                <w:sz w:val="20"/>
                <w:szCs w:val="20"/>
                <w:color w:val="auto"/>
              </w:rPr>
            </w:pPr>
            <w:r>
              <w:rPr>
                <w:rFonts w:ascii="Calibri" w:cs="Calibri" w:eastAsia="Calibri" w:hAnsi="Calibri"/>
                <w:sz w:val="16"/>
                <w:szCs w:val="16"/>
                <w:b w:val="1"/>
                <w:bCs w:val="1"/>
                <w:color w:val="0000FF"/>
                <w:w w:val="92"/>
              </w:rPr>
              <w:t>PART I</w:t>
            </w:r>
          </w:p>
        </w:tc>
        <w:tc>
          <w:tcPr>
            <w:tcW w:w="8700" w:type="dxa"/>
            <w:vAlign w:val="bottom"/>
            <w:tcBorders>
              <w:bottom w:val="single" w:sz="8" w:color="DBDBDB"/>
            </w:tcBorders>
            <w:gridSpan w:val="24"/>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80" w:type="dxa"/>
            <w:vAlign w:val="bottom"/>
            <w:tcBorders>
              <w:bottom w:val="single" w:sz="8" w:color="DBDBDB"/>
              <w:right w:val="single" w:sz="8" w:color="DBDBDB"/>
            </w:tcBorders>
            <w:shd w:val="clear" w:color="auto" w:fill="DBDBDB"/>
          </w:tcPr>
          <w:p>
            <w:pPr>
              <w:spacing w:after="0"/>
              <w:rPr>
                <w:sz w:val="17"/>
                <w:szCs w:val="17"/>
                <w:color w:val="auto"/>
              </w:rPr>
            </w:pPr>
          </w:p>
        </w:tc>
        <w:tc>
          <w:tcPr>
            <w:tcW w:w="2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20" w:type="dxa"/>
            <w:vAlign w:val="bottom"/>
            <w:gridSpan w:val="4"/>
          </w:tcPr>
          <w:p>
            <w:pPr>
              <w:spacing w:after="0" w:line="162" w:lineRule="exact"/>
              <w:rPr>
                <w:sz w:val="20"/>
                <w:szCs w:val="20"/>
                <w:color w:val="auto"/>
              </w:rPr>
            </w:pPr>
            <w:r>
              <w:rPr>
                <w:rFonts w:ascii="Calibri" w:cs="Calibri" w:eastAsia="Calibri" w:hAnsi="Calibri"/>
                <w:sz w:val="16"/>
                <w:szCs w:val="16"/>
                <w:color w:val="0000FF"/>
              </w:rPr>
              <w:t>Item 1.</w:t>
            </w:r>
          </w:p>
        </w:tc>
        <w:tc>
          <w:tcPr>
            <w:tcW w:w="9120" w:type="dxa"/>
            <w:vAlign w:val="bottom"/>
            <w:gridSpan w:val="25"/>
          </w:tcPr>
          <w:p>
            <w:pPr>
              <w:spacing w:after="0" w:line="162" w:lineRule="exact"/>
              <w:rPr>
                <w:sz w:val="20"/>
                <w:szCs w:val="20"/>
                <w:color w:val="auto"/>
              </w:rPr>
            </w:pPr>
            <w:r>
              <w:rPr>
                <w:rFonts w:ascii="Calibri" w:cs="Calibri" w:eastAsia="Calibri" w:hAnsi="Calibri"/>
                <w:sz w:val="16"/>
                <w:szCs w:val="16"/>
                <w:color w:val="0000FF"/>
              </w:rPr>
              <w:t>Business</w:t>
            </w:r>
          </w:p>
        </w:tc>
        <w:tc>
          <w:tcPr>
            <w:tcW w:w="960" w:type="dxa"/>
            <w:vAlign w:val="bottom"/>
            <w:gridSpan w:val="4"/>
          </w:tcPr>
          <w:p>
            <w:pPr>
              <w:jc w:val="right"/>
              <w:spacing w:after="0" w:line="162" w:lineRule="exact"/>
              <w:rPr>
                <w:sz w:val="20"/>
                <w:szCs w:val="20"/>
                <w:color w:val="auto"/>
              </w:rPr>
            </w:pPr>
            <w:r>
              <w:rPr>
                <w:rFonts w:ascii="Calibri" w:cs="Calibri" w:eastAsia="Calibri" w:hAnsi="Calibri"/>
                <w:sz w:val="16"/>
                <w:szCs w:val="16"/>
                <w:color w:val="0000FF"/>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gridSpan w:val="3"/>
          </w:tcPr>
          <w:p>
            <w:pPr>
              <w:spacing w:after="0"/>
              <w:rPr>
                <w:sz w:val="20"/>
                <w:szCs w:val="20"/>
                <w:color w:val="auto"/>
              </w:rPr>
            </w:pPr>
            <w:r>
              <w:rPr>
                <w:rFonts w:ascii="Calibri" w:cs="Calibri" w:eastAsia="Calibri" w:hAnsi="Calibri"/>
                <w:sz w:val="16"/>
                <w:szCs w:val="16"/>
                <w:color w:val="0000FF"/>
              </w:rPr>
              <w:t>Item 1A.</w:t>
            </w:r>
          </w:p>
        </w:tc>
        <w:tc>
          <w:tcPr>
            <w:tcW w:w="520" w:type="dxa"/>
            <w:vAlign w:val="bottom"/>
          </w:tcPr>
          <w:p>
            <w:pPr>
              <w:spacing w:after="0"/>
              <w:rPr>
                <w:sz w:val="17"/>
                <w:szCs w:val="17"/>
                <w:color w:val="auto"/>
              </w:rPr>
            </w:pPr>
          </w:p>
        </w:tc>
        <w:tc>
          <w:tcPr>
            <w:tcW w:w="9120" w:type="dxa"/>
            <w:vAlign w:val="bottom"/>
            <w:gridSpan w:val="25"/>
          </w:tcPr>
          <w:p>
            <w:pPr>
              <w:spacing w:after="0"/>
              <w:rPr>
                <w:sz w:val="20"/>
                <w:szCs w:val="20"/>
                <w:color w:val="auto"/>
              </w:rPr>
            </w:pPr>
            <w:r>
              <w:rPr>
                <w:rFonts w:ascii="Calibri" w:cs="Calibri" w:eastAsia="Calibri" w:hAnsi="Calibri"/>
                <w:sz w:val="16"/>
                <w:szCs w:val="16"/>
                <w:color w:val="0000FF"/>
              </w:rPr>
              <w:t>Risk Factors</w:t>
            </w:r>
          </w:p>
        </w:tc>
        <w:tc>
          <w:tcPr>
            <w:tcW w:w="960" w:type="dxa"/>
            <w:vAlign w:val="bottom"/>
            <w:gridSpan w:val="4"/>
          </w:tcPr>
          <w:p>
            <w:pPr>
              <w:jc w:val="right"/>
              <w:spacing w:after="0"/>
              <w:rPr>
                <w:sz w:val="20"/>
                <w:szCs w:val="20"/>
                <w:color w:val="auto"/>
              </w:rPr>
            </w:pPr>
            <w:r>
              <w:rPr>
                <w:rFonts w:ascii="Calibri" w:cs="Calibri" w:eastAsia="Calibri" w:hAnsi="Calibri"/>
                <w:sz w:val="16"/>
                <w:szCs w:val="16"/>
                <w:color w:val="0000FF"/>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gridSpan w:val="3"/>
          </w:tcPr>
          <w:p>
            <w:pPr>
              <w:spacing w:after="0"/>
              <w:rPr>
                <w:sz w:val="20"/>
                <w:szCs w:val="20"/>
                <w:color w:val="auto"/>
              </w:rPr>
            </w:pPr>
            <w:r>
              <w:rPr>
                <w:rFonts w:ascii="Calibri" w:cs="Calibri" w:eastAsia="Calibri" w:hAnsi="Calibri"/>
                <w:sz w:val="16"/>
                <w:szCs w:val="16"/>
                <w:color w:val="0000FF"/>
              </w:rPr>
              <w:t>Item 1B.</w:t>
            </w:r>
          </w:p>
        </w:tc>
        <w:tc>
          <w:tcPr>
            <w:tcW w:w="520" w:type="dxa"/>
            <w:vAlign w:val="bottom"/>
          </w:tcPr>
          <w:p>
            <w:pPr>
              <w:spacing w:after="0"/>
              <w:rPr>
                <w:sz w:val="17"/>
                <w:szCs w:val="17"/>
                <w:color w:val="auto"/>
              </w:rPr>
            </w:pPr>
          </w:p>
        </w:tc>
        <w:tc>
          <w:tcPr>
            <w:tcW w:w="9120" w:type="dxa"/>
            <w:vAlign w:val="bottom"/>
            <w:gridSpan w:val="25"/>
          </w:tcPr>
          <w:p>
            <w:pPr>
              <w:spacing w:after="0"/>
              <w:rPr>
                <w:sz w:val="20"/>
                <w:szCs w:val="20"/>
                <w:color w:val="auto"/>
              </w:rPr>
            </w:pPr>
            <w:r>
              <w:rPr>
                <w:rFonts w:ascii="Calibri" w:cs="Calibri" w:eastAsia="Calibri" w:hAnsi="Calibri"/>
                <w:sz w:val="16"/>
                <w:szCs w:val="16"/>
                <w:color w:val="0000FF"/>
              </w:rPr>
              <w:t>Unresolved Staf Comments</w:t>
            </w:r>
          </w:p>
        </w:tc>
        <w:tc>
          <w:tcPr>
            <w:tcW w:w="980" w:type="dxa"/>
            <w:vAlign w:val="bottom"/>
            <w:gridSpan w:val="5"/>
          </w:tcPr>
          <w:p>
            <w:pPr>
              <w:jc w:val="right"/>
              <w:ind w:right="20"/>
              <w:spacing w:after="0"/>
              <w:rPr>
                <w:sz w:val="20"/>
                <w:szCs w:val="20"/>
                <w:color w:val="auto"/>
              </w:rPr>
            </w:pPr>
            <w:r>
              <w:rPr>
                <w:rFonts w:ascii="Calibri" w:cs="Calibri" w:eastAsia="Calibri" w:hAnsi="Calibri"/>
                <w:sz w:val="16"/>
                <w:szCs w:val="16"/>
                <w:color w:val="0000FF"/>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Calibri" w:cs="Calibri" w:eastAsia="Calibri" w:hAnsi="Calibri"/>
                <w:sz w:val="16"/>
                <w:szCs w:val="16"/>
                <w:color w:val="0000FF"/>
                <w:w w:val="88"/>
              </w:rPr>
              <w:t>Item 1C.</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gridSpan w:val="7"/>
          </w:tcPr>
          <w:p>
            <w:pPr>
              <w:spacing w:after="0"/>
              <w:rPr>
                <w:sz w:val="20"/>
                <w:szCs w:val="20"/>
                <w:color w:val="auto"/>
              </w:rPr>
            </w:pPr>
            <w:r>
              <w:rPr>
                <w:rFonts w:ascii="Calibri" w:cs="Calibri" w:eastAsia="Calibri" w:hAnsi="Calibri"/>
                <w:sz w:val="16"/>
                <w:szCs w:val="16"/>
                <w:color w:val="0000FF"/>
                <w:w w:val="89"/>
              </w:rPr>
              <w:t>Cybersecurity</w:t>
            </w:r>
          </w:p>
        </w:tc>
        <w:tc>
          <w:tcPr>
            <w:tcW w:w="980" w:type="dxa"/>
            <w:vAlign w:val="bottom"/>
            <w:gridSpan w:val="6"/>
          </w:tcPr>
          <w:p>
            <w:pPr>
              <w:spacing w:after="0"/>
              <w:rPr>
                <w:sz w:val="17"/>
                <w:szCs w:val="17"/>
                <w:color w:val="auto"/>
              </w:rPr>
            </w:pPr>
          </w:p>
        </w:tc>
        <w:tc>
          <w:tcPr>
            <w:tcW w:w="7300" w:type="dxa"/>
            <w:vAlign w:val="bottom"/>
            <w:gridSpan w:val="12"/>
          </w:tcPr>
          <w:p>
            <w:pPr>
              <w:spacing w:after="0"/>
              <w:rPr>
                <w:sz w:val="17"/>
                <w:szCs w:val="17"/>
                <w:color w:val="auto"/>
              </w:rPr>
            </w:pPr>
          </w:p>
        </w:tc>
        <w:tc>
          <w:tcPr>
            <w:tcW w:w="980" w:type="dxa"/>
            <w:vAlign w:val="bottom"/>
            <w:gridSpan w:val="5"/>
          </w:tcPr>
          <w:p>
            <w:pPr>
              <w:jc w:val="right"/>
              <w:ind w:right="20"/>
              <w:spacing w:after="0"/>
              <w:rPr>
                <w:sz w:val="20"/>
                <w:szCs w:val="20"/>
                <w:color w:val="auto"/>
              </w:rPr>
            </w:pPr>
            <w:r>
              <w:rPr>
                <w:rFonts w:ascii="Calibri" w:cs="Calibri" w:eastAsia="Calibri" w:hAnsi="Calibri"/>
                <w:sz w:val="16"/>
                <w:szCs w:val="16"/>
                <w:color w:val="0000FF"/>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Calibri" w:cs="Calibri" w:eastAsia="Calibri" w:hAnsi="Calibri"/>
                <w:sz w:val="16"/>
                <w:szCs w:val="16"/>
                <w:color w:val="0000FF"/>
              </w:rPr>
              <w:t>Item 2.</w:t>
            </w:r>
          </w:p>
        </w:tc>
        <w:tc>
          <w:tcPr>
            <w:tcW w:w="600" w:type="dxa"/>
            <w:vAlign w:val="bottom"/>
            <w:gridSpan w:val="2"/>
          </w:tcPr>
          <w:p>
            <w:pPr>
              <w:spacing w:after="0"/>
              <w:rPr>
                <w:sz w:val="17"/>
                <w:szCs w:val="17"/>
                <w:color w:val="auto"/>
              </w:rPr>
            </w:pPr>
          </w:p>
        </w:tc>
        <w:tc>
          <w:tcPr>
            <w:tcW w:w="840" w:type="dxa"/>
            <w:vAlign w:val="bottom"/>
            <w:gridSpan w:val="7"/>
          </w:tcPr>
          <w:p>
            <w:pPr>
              <w:spacing w:after="0"/>
              <w:rPr>
                <w:sz w:val="20"/>
                <w:szCs w:val="20"/>
                <w:color w:val="auto"/>
              </w:rPr>
            </w:pPr>
            <w:r>
              <w:rPr>
                <w:rFonts w:ascii="Calibri" w:cs="Calibri" w:eastAsia="Calibri" w:hAnsi="Calibri"/>
                <w:sz w:val="16"/>
                <w:szCs w:val="16"/>
                <w:color w:val="0000FF"/>
              </w:rPr>
              <w:t>Propertes</w:t>
            </w:r>
          </w:p>
        </w:tc>
        <w:tc>
          <w:tcPr>
            <w:tcW w:w="8280" w:type="dxa"/>
            <w:vAlign w:val="bottom"/>
            <w:gridSpan w:val="18"/>
          </w:tcPr>
          <w:p>
            <w:pPr>
              <w:spacing w:after="0"/>
              <w:rPr>
                <w:sz w:val="17"/>
                <w:szCs w:val="17"/>
                <w:color w:val="auto"/>
              </w:rPr>
            </w:pPr>
          </w:p>
        </w:tc>
        <w:tc>
          <w:tcPr>
            <w:tcW w:w="980" w:type="dxa"/>
            <w:vAlign w:val="bottom"/>
            <w:gridSpan w:val="5"/>
          </w:tcPr>
          <w:p>
            <w:pPr>
              <w:jc w:val="right"/>
              <w:ind w:right="20"/>
              <w:spacing w:after="0"/>
              <w:rPr>
                <w:sz w:val="20"/>
                <w:szCs w:val="20"/>
                <w:color w:val="auto"/>
              </w:rPr>
            </w:pPr>
            <w:r>
              <w:rPr>
                <w:rFonts w:ascii="Calibri" w:cs="Calibri" w:eastAsia="Calibri" w:hAnsi="Calibri"/>
                <w:sz w:val="16"/>
                <w:szCs w:val="16"/>
                <w:color w:val="0000FF"/>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gridSpan w:val="4"/>
          </w:tcPr>
          <w:p>
            <w:pPr>
              <w:spacing w:after="0"/>
              <w:rPr>
                <w:sz w:val="20"/>
                <w:szCs w:val="20"/>
                <w:color w:val="auto"/>
              </w:rPr>
            </w:pPr>
            <w:r>
              <w:rPr>
                <w:rFonts w:ascii="Calibri" w:cs="Calibri" w:eastAsia="Calibri" w:hAnsi="Calibri"/>
                <w:sz w:val="16"/>
                <w:szCs w:val="16"/>
                <w:color w:val="0000FF"/>
              </w:rPr>
              <w:t>Item 3.</w:t>
            </w:r>
          </w:p>
        </w:tc>
        <w:tc>
          <w:tcPr>
            <w:tcW w:w="9120" w:type="dxa"/>
            <w:vAlign w:val="bottom"/>
            <w:gridSpan w:val="25"/>
          </w:tcPr>
          <w:p>
            <w:pPr>
              <w:spacing w:after="0"/>
              <w:rPr>
                <w:sz w:val="20"/>
                <w:szCs w:val="20"/>
                <w:color w:val="auto"/>
              </w:rPr>
            </w:pPr>
            <w:r>
              <w:rPr>
                <w:rFonts w:ascii="Calibri" w:cs="Calibri" w:eastAsia="Calibri" w:hAnsi="Calibri"/>
                <w:sz w:val="16"/>
                <w:szCs w:val="16"/>
                <w:color w:val="0000FF"/>
              </w:rPr>
              <w:t>Legal Proceedings</w:t>
            </w:r>
          </w:p>
        </w:tc>
        <w:tc>
          <w:tcPr>
            <w:tcW w:w="980" w:type="dxa"/>
            <w:vAlign w:val="bottom"/>
            <w:gridSpan w:val="5"/>
          </w:tcPr>
          <w:p>
            <w:pPr>
              <w:jc w:val="right"/>
              <w:ind w:right="20"/>
              <w:spacing w:after="0"/>
              <w:rPr>
                <w:sz w:val="20"/>
                <w:szCs w:val="20"/>
                <w:color w:val="auto"/>
              </w:rPr>
            </w:pPr>
            <w:r>
              <w:rPr>
                <w:rFonts w:ascii="Calibri" w:cs="Calibri" w:eastAsia="Calibri" w:hAnsi="Calibri"/>
                <w:sz w:val="16"/>
                <w:szCs w:val="16"/>
                <w:color w:val="0000FF"/>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gridSpan w:val="4"/>
          </w:tcPr>
          <w:p>
            <w:pPr>
              <w:spacing w:after="0"/>
              <w:rPr>
                <w:sz w:val="20"/>
                <w:szCs w:val="20"/>
                <w:color w:val="auto"/>
              </w:rPr>
            </w:pPr>
            <w:r>
              <w:rPr>
                <w:rFonts w:ascii="Calibri" w:cs="Calibri" w:eastAsia="Calibri" w:hAnsi="Calibri"/>
                <w:sz w:val="16"/>
                <w:szCs w:val="16"/>
                <w:color w:val="0000FF"/>
              </w:rPr>
              <w:t>Item 4.</w:t>
            </w:r>
          </w:p>
        </w:tc>
        <w:tc>
          <w:tcPr>
            <w:tcW w:w="9120" w:type="dxa"/>
            <w:vAlign w:val="bottom"/>
            <w:gridSpan w:val="25"/>
          </w:tcPr>
          <w:p>
            <w:pPr>
              <w:spacing w:after="0"/>
              <w:rPr>
                <w:sz w:val="20"/>
                <w:szCs w:val="20"/>
                <w:color w:val="auto"/>
              </w:rPr>
            </w:pPr>
            <w:r>
              <w:rPr>
                <w:rFonts w:ascii="Calibri" w:cs="Calibri" w:eastAsia="Calibri" w:hAnsi="Calibri"/>
                <w:sz w:val="16"/>
                <w:szCs w:val="16"/>
                <w:color w:val="0000FF"/>
              </w:rPr>
              <w:t>Mine Safety Disclosures</w:t>
            </w:r>
          </w:p>
        </w:tc>
        <w:tc>
          <w:tcPr>
            <w:tcW w:w="980" w:type="dxa"/>
            <w:vAlign w:val="bottom"/>
            <w:gridSpan w:val="5"/>
          </w:tcPr>
          <w:p>
            <w:pPr>
              <w:jc w:val="right"/>
              <w:ind w:right="20"/>
              <w:spacing w:after="0"/>
              <w:rPr>
                <w:sz w:val="20"/>
                <w:szCs w:val="20"/>
                <w:color w:val="auto"/>
              </w:rPr>
            </w:pPr>
            <w:r>
              <w:rPr>
                <w:rFonts w:ascii="Calibri" w:cs="Calibri" w:eastAsia="Calibri" w:hAnsi="Calibri"/>
                <w:sz w:val="16"/>
                <w:szCs w:val="16"/>
                <w:color w:val="0000FF"/>
              </w:rPr>
              <w:t>107</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DBDBDB"/>
            </w:tcBorders>
            <w:shd w:val="clear" w:color="auto" w:fill="DBDBDB"/>
          </w:tcPr>
          <w:p>
            <w:pPr>
              <w:spacing w:after="0"/>
              <w:rPr>
                <w:sz w:val="17"/>
                <w:szCs w:val="17"/>
                <w:color w:val="auto"/>
              </w:rPr>
            </w:pPr>
          </w:p>
        </w:tc>
        <w:tc>
          <w:tcPr>
            <w:tcW w:w="460" w:type="dxa"/>
            <w:vAlign w:val="bottom"/>
            <w:tcBorders>
              <w:bottom w:val="single" w:sz="8" w:color="DBDBDB"/>
            </w:tcBorders>
            <w:shd w:val="clear" w:color="auto" w:fill="DBDBDB"/>
          </w:tcPr>
          <w:p>
            <w:pPr>
              <w:spacing w:after="0"/>
              <w:rPr>
                <w:sz w:val="17"/>
                <w:szCs w:val="17"/>
                <w:color w:val="auto"/>
              </w:rPr>
            </w:pPr>
          </w:p>
        </w:tc>
        <w:tc>
          <w:tcPr>
            <w:tcW w:w="60" w:type="dxa"/>
            <w:vAlign w:val="bottom"/>
            <w:tcBorders>
              <w:bottom w:val="single" w:sz="8" w:color="DBDBDB"/>
            </w:tcBorders>
            <w:shd w:val="clear" w:color="auto" w:fill="DBDBDB"/>
          </w:tcPr>
          <w:p>
            <w:pPr>
              <w:spacing w:after="0"/>
              <w:rPr>
                <w:sz w:val="17"/>
                <w:szCs w:val="17"/>
                <w:color w:val="auto"/>
              </w:rPr>
            </w:pPr>
          </w:p>
        </w:tc>
        <w:tc>
          <w:tcPr>
            <w:tcW w:w="80" w:type="dxa"/>
            <w:vAlign w:val="bottom"/>
            <w:tcBorders>
              <w:left w:val="single" w:sz="8" w:color="DBDBDB"/>
              <w:bottom w:val="single" w:sz="8" w:color="DBDBDB"/>
            </w:tcBorders>
            <w:shd w:val="clear" w:color="auto" w:fill="DBDBDB"/>
          </w:tcPr>
          <w:p>
            <w:pPr>
              <w:spacing w:after="0"/>
              <w:rPr>
                <w:sz w:val="17"/>
                <w:szCs w:val="17"/>
                <w:color w:val="auto"/>
              </w:rPr>
            </w:pPr>
          </w:p>
        </w:tc>
        <w:tc>
          <w:tcPr>
            <w:tcW w:w="520" w:type="dxa"/>
            <w:vAlign w:val="bottom"/>
            <w:tcBorders>
              <w:left w:val="single" w:sz="8" w:color="DBDBDB"/>
              <w:bottom w:val="single" w:sz="8" w:color="DBDBDB"/>
            </w:tcBorders>
            <w:shd w:val="clear" w:color="auto" w:fill="DBDBDB"/>
          </w:tcPr>
          <w:p>
            <w:pPr>
              <w:spacing w:after="0"/>
              <w:rPr>
                <w:sz w:val="17"/>
                <w:szCs w:val="17"/>
                <w:color w:val="auto"/>
              </w:rPr>
            </w:pPr>
          </w:p>
        </w:tc>
        <w:tc>
          <w:tcPr>
            <w:tcW w:w="460" w:type="dxa"/>
            <w:vAlign w:val="bottom"/>
            <w:tcBorders>
              <w:bottom w:val="single" w:sz="8" w:color="0000FF"/>
            </w:tcBorders>
            <w:gridSpan w:val="2"/>
            <w:shd w:val="clear" w:color="auto" w:fill="DBDBDB"/>
          </w:tcPr>
          <w:p>
            <w:pPr>
              <w:spacing w:after="0" w:line="162" w:lineRule="exact"/>
              <w:rPr>
                <w:sz w:val="20"/>
                <w:szCs w:val="20"/>
                <w:color w:val="auto"/>
              </w:rPr>
            </w:pPr>
            <w:r>
              <w:rPr>
                <w:rFonts w:ascii="Calibri" w:cs="Calibri" w:eastAsia="Calibri" w:hAnsi="Calibri"/>
                <w:sz w:val="16"/>
                <w:szCs w:val="16"/>
                <w:b w:val="1"/>
                <w:bCs w:val="1"/>
                <w:color w:val="0000FF"/>
                <w:w w:val="92"/>
              </w:rPr>
              <w:t>PART II</w:t>
            </w:r>
          </w:p>
        </w:tc>
        <w:tc>
          <w:tcPr>
            <w:tcW w:w="8660" w:type="dxa"/>
            <w:vAlign w:val="bottom"/>
            <w:tcBorders>
              <w:bottom w:val="single" w:sz="8" w:color="DBDBDB"/>
            </w:tcBorders>
            <w:gridSpan w:val="23"/>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80" w:type="dxa"/>
            <w:vAlign w:val="bottom"/>
            <w:tcBorders>
              <w:bottom w:val="single" w:sz="8" w:color="DBDBDB"/>
              <w:right w:val="single" w:sz="8" w:color="DBDBDB"/>
            </w:tcBorders>
            <w:shd w:val="clear" w:color="auto" w:fill="DBDBDB"/>
          </w:tcPr>
          <w:p>
            <w:pPr>
              <w:spacing w:after="0"/>
              <w:rPr>
                <w:sz w:val="17"/>
                <w:szCs w:val="17"/>
                <w:color w:val="auto"/>
              </w:rPr>
            </w:pPr>
          </w:p>
        </w:tc>
        <w:tc>
          <w:tcPr>
            <w:tcW w:w="2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20" w:type="dxa"/>
            <w:vAlign w:val="bottom"/>
            <w:gridSpan w:val="4"/>
          </w:tcPr>
          <w:p>
            <w:pPr>
              <w:spacing w:after="0" w:line="162" w:lineRule="exact"/>
              <w:rPr>
                <w:sz w:val="20"/>
                <w:szCs w:val="20"/>
                <w:color w:val="auto"/>
              </w:rPr>
            </w:pPr>
            <w:r>
              <w:rPr>
                <w:rFonts w:ascii="Calibri" w:cs="Calibri" w:eastAsia="Calibri" w:hAnsi="Calibri"/>
                <w:sz w:val="16"/>
                <w:szCs w:val="16"/>
                <w:color w:val="0000FF"/>
              </w:rPr>
              <w:t>Item 5.</w:t>
            </w:r>
          </w:p>
        </w:tc>
        <w:tc>
          <w:tcPr>
            <w:tcW w:w="9120" w:type="dxa"/>
            <w:vAlign w:val="bottom"/>
            <w:gridSpan w:val="25"/>
          </w:tcPr>
          <w:p>
            <w:pPr>
              <w:spacing w:after="0" w:line="162" w:lineRule="exact"/>
              <w:rPr>
                <w:sz w:val="20"/>
                <w:szCs w:val="20"/>
                <w:color w:val="auto"/>
              </w:rPr>
            </w:pPr>
            <w:r>
              <w:rPr>
                <w:rFonts w:ascii="Calibri" w:cs="Calibri" w:eastAsia="Calibri" w:hAnsi="Calibri"/>
                <w:sz w:val="16"/>
                <w:szCs w:val="16"/>
                <w:color w:val="0000FF"/>
              </w:rPr>
              <w:t>Market for Registrant’s Common Equity, Related Stockholder Maters and Issuer Purchases of Equity Securites</w:t>
            </w:r>
          </w:p>
        </w:tc>
        <w:tc>
          <w:tcPr>
            <w:tcW w:w="980" w:type="dxa"/>
            <w:vAlign w:val="bottom"/>
            <w:gridSpan w:val="5"/>
          </w:tcPr>
          <w:p>
            <w:pPr>
              <w:jc w:val="right"/>
              <w:ind w:right="20"/>
              <w:spacing w:after="0" w:line="162" w:lineRule="exact"/>
              <w:rPr>
                <w:sz w:val="20"/>
                <w:szCs w:val="20"/>
                <w:color w:val="auto"/>
              </w:rPr>
            </w:pPr>
            <w:r>
              <w:rPr>
                <w:rFonts w:ascii="Calibri" w:cs="Calibri" w:eastAsia="Calibri" w:hAnsi="Calibri"/>
                <w:sz w:val="16"/>
                <w:szCs w:val="16"/>
                <w:color w:val="0000FF"/>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gridSpan w:val="4"/>
          </w:tcPr>
          <w:p>
            <w:pPr>
              <w:spacing w:after="0"/>
              <w:rPr>
                <w:sz w:val="20"/>
                <w:szCs w:val="20"/>
                <w:color w:val="auto"/>
              </w:rPr>
            </w:pPr>
            <w:r>
              <w:rPr>
                <w:rFonts w:ascii="Calibri" w:cs="Calibri" w:eastAsia="Calibri" w:hAnsi="Calibri"/>
                <w:sz w:val="16"/>
                <w:szCs w:val="16"/>
                <w:color w:val="0000FF"/>
              </w:rPr>
              <w:t>Item 6.</w:t>
            </w:r>
          </w:p>
        </w:tc>
        <w:tc>
          <w:tcPr>
            <w:tcW w:w="9120" w:type="dxa"/>
            <w:vAlign w:val="bottom"/>
            <w:gridSpan w:val="25"/>
          </w:tcPr>
          <w:p>
            <w:pPr>
              <w:spacing w:after="0"/>
              <w:rPr>
                <w:sz w:val="20"/>
                <w:szCs w:val="20"/>
                <w:color w:val="auto"/>
              </w:rPr>
            </w:pPr>
            <w:r>
              <w:rPr>
                <w:rFonts w:ascii="Calibri" w:cs="Calibri" w:eastAsia="Calibri" w:hAnsi="Calibri"/>
                <w:sz w:val="16"/>
                <w:szCs w:val="16"/>
                <w:color w:val="auto"/>
              </w:rPr>
              <w:t>[Reserved]</w:t>
            </w:r>
          </w:p>
        </w:tc>
        <w:tc>
          <w:tcPr>
            <w:tcW w:w="980" w:type="dxa"/>
            <w:vAlign w:val="bottom"/>
            <w:gridSpan w:val="5"/>
          </w:tcPr>
          <w:p>
            <w:pPr>
              <w:jc w:val="right"/>
              <w:ind w:right="20"/>
              <w:spacing w:after="0"/>
              <w:rPr>
                <w:sz w:val="20"/>
                <w:szCs w:val="20"/>
                <w:color w:val="auto"/>
              </w:rPr>
            </w:pPr>
            <w:r>
              <w:rPr>
                <w:rFonts w:ascii="Calibri" w:cs="Calibri" w:eastAsia="Calibri" w:hAnsi="Calibri"/>
                <w:sz w:val="16"/>
                <w:szCs w:val="16"/>
                <w:color w:val="0000FF"/>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gridSpan w:val="4"/>
          </w:tcPr>
          <w:p>
            <w:pPr>
              <w:spacing w:after="0"/>
              <w:rPr>
                <w:sz w:val="20"/>
                <w:szCs w:val="20"/>
                <w:color w:val="auto"/>
              </w:rPr>
            </w:pPr>
            <w:r>
              <w:rPr>
                <w:rFonts w:ascii="Calibri" w:cs="Calibri" w:eastAsia="Calibri" w:hAnsi="Calibri"/>
                <w:sz w:val="16"/>
                <w:szCs w:val="16"/>
                <w:color w:val="0000FF"/>
              </w:rPr>
              <w:t>Item 7.</w:t>
            </w:r>
          </w:p>
        </w:tc>
        <w:tc>
          <w:tcPr>
            <w:tcW w:w="9120" w:type="dxa"/>
            <w:vAlign w:val="bottom"/>
            <w:gridSpan w:val="25"/>
          </w:tcPr>
          <w:p>
            <w:pPr>
              <w:spacing w:after="0"/>
              <w:rPr>
                <w:sz w:val="20"/>
                <w:szCs w:val="20"/>
                <w:color w:val="auto"/>
              </w:rPr>
            </w:pPr>
            <w:r>
              <w:rPr>
                <w:rFonts w:ascii="Calibri" w:cs="Calibri" w:eastAsia="Calibri" w:hAnsi="Calibri"/>
                <w:sz w:val="16"/>
                <w:szCs w:val="16"/>
                <w:color w:val="0000FF"/>
              </w:rPr>
              <w:t>Management’s Discussion and Analysis of Financial Conditon and Results of Operatons</w:t>
            </w:r>
          </w:p>
        </w:tc>
        <w:tc>
          <w:tcPr>
            <w:tcW w:w="980" w:type="dxa"/>
            <w:vAlign w:val="bottom"/>
            <w:gridSpan w:val="5"/>
          </w:tcPr>
          <w:p>
            <w:pPr>
              <w:jc w:val="right"/>
              <w:ind w:right="20"/>
              <w:spacing w:after="0"/>
              <w:rPr>
                <w:sz w:val="20"/>
                <w:szCs w:val="20"/>
                <w:color w:val="auto"/>
              </w:rPr>
            </w:pPr>
            <w:r>
              <w:rPr>
                <w:rFonts w:ascii="Calibri" w:cs="Calibri" w:eastAsia="Calibri" w:hAnsi="Calibri"/>
                <w:sz w:val="16"/>
                <w:szCs w:val="16"/>
                <w:color w:val="0000FF"/>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gridSpan w:val="3"/>
          </w:tcPr>
          <w:p>
            <w:pPr>
              <w:spacing w:after="0"/>
              <w:rPr>
                <w:sz w:val="20"/>
                <w:szCs w:val="20"/>
                <w:color w:val="auto"/>
              </w:rPr>
            </w:pPr>
            <w:r>
              <w:rPr>
                <w:rFonts w:ascii="Calibri" w:cs="Calibri" w:eastAsia="Calibri" w:hAnsi="Calibri"/>
                <w:sz w:val="16"/>
                <w:szCs w:val="16"/>
                <w:color w:val="0000FF"/>
              </w:rPr>
              <w:t>Item 7A.</w:t>
            </w:r>
          </w:p>
        </w:tc>
        <w:tc>
          <w:tcPr>
            <w:tcW w:w="520" w:type="dxa"/>
            <w:vAlign w:val="bottom"/>
          </w:tcPr>
          <w:p>
            <w:pPr>
              <w:spacing w:after="0"/>
              <w:rPr>
                <w:sz w:val="17"/>
                <w:szCs w:val="17"/>
                <w:color w:val="auto"/>
              </w:rPr>
            </w:pPr>
          </w:p>
        </w:tc>
        <w:tc>
          <w:tcPr>
            <w:tcW w:w="3880" w:type="dxa"/>
            <w:vAlign w:val="bottom"/>
            <w:gridSpan w:val="18"/>
          </w:tcPr>
          <w:p>
            <w:pPr>
              <w:spacing w:after="0"/>
              <w:rPr>
                <w:sz w:val="20"/>
                <w:szCs w:val="20"/>
                <w:color w:val="auto"/>
              </w:rPr>
            </w:pPr>
            <w:r>
              <w:rPr>
                <w:rFonts w:ascii="Calibri" w:cs="Calibri" w:eastAsia="Calibri" w:hAnsi="Calibri"/>
                <w:sz w:val="16"/>
                <w:szCs w:val="16"/>
                <w:color w:val="0000FF"/>
              </w:rPr>
              <w:t>Quanttatve and Qualitatve Disclosures About Market Risk</w:t>
            </w:r>
          </w:p>
        </w:tc>
        <w:tc>
          <w:tcPr>
            <w:tcW w:w="5240" w:type="dxa"/>
            <w:vAlign w:val="bottom"/>
            <w:gridSpan w:val="7"/>
          </w:tcPr>
          <w:p>
            <w:pPr>
              <w:spacing w:after="0"/>
              <w:rPr>
                <w:sz w:val="17"/>
                <w:szCs w:val="17"/>
                <w:color w:val="auto"/>
              </w:rPr>
            </w:pPr>
          </w:p>
        </w:tc>
        <w:tc>
          <w:tcPr>
            <w:tcW w:w="980" w:type="dxa"/>
            <w:vAlign w:val="bottom"/>
            <w:gridSpan w:val="5"/>
          </w:tcPr>
          <w:p>
            <w:pPr>
              <w:jc w:val="right"/>
              <w:ind w:right="20"/>
              <w:spacing w:after="0"/>
              <w:rPr>
                <w:sz w:val="20"/>
                <w:szCs w:val="20"/>
                <w:color w:val="auto"/>
              </w:rPr>
            </w:pPr>
            <w:r>
              <w:rPr>
                <w:rFonts w:ascii="Calibri" w:cs="Calibri" w:eastAsia="Calibri" w:hAnsi="Calibri"/>
                <w:sz w:val="16"/>
                <w:szCs w:val="16"/>
                <w:color w:val="0000FF"/>
              </w:rPr>
              <w:t>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gridSpan w:val="3"/>
          </w:tcPr>
          <w:p>
            <w:pPr>
              <w:spacing w:after="0"/>
              <w:rPr>
                <w:sz w:val="20"/>
                <w:szCs w:val="20"/>
                <w:color w:val="auto"/>
              </w:rPr>
            </w:pPr>
            <w:r>
              <w:rPr>
                <w:rFonts w:ascii="Calibri" w:cs="Calibri" w:eastAsia="Calibri" w:hAnsi="Calibri"/>
                <w:sz w:val="16"/>
                <w:szCs w:val="16"/>
                <w:color w:val="0000FF"/>
              </w:rPr>
              <w:t>Item 8.</w:t>
            </w:r>
          </w:p>
        </w:tc>
        <w:tc>
          <w:tcPr>
            <w:tcW w:w="520" w:type="dxa"/>
            <w:vAlign w:val="bottom"/>
          </w:tcPr>
          <w:p>
            <w:pPr>
              <w:spacing w:after="0"/>
              <w:rPr>
                <w:sz w:val="17"/>
                <w:szCs w:val="17"/>
                <w:color w:val="auto"/>
              </w:rPr>
            </w:pPr>
          </w:p>
        </w:tc>
        <w:tc>
          <w:tcPr>
            <w:tcW w:w="3880" w:type="dxa"/>
            <w:vAlign w:val="bottom"/>
            <w:gridSpan w:val="18"/>
          </w:tcPr>
          <w:p>
            <w:pPr>
              <w:spacing w:after="0"/>
              <w:rPr>
                <w:sz w:val="20"/>
                <w:szCs w:val="20"/>
                <w:color w:val="auto"/>
              </w:rPr>
            </w:pPr>
            <w:r>
              <w:rPr>
                <w:rFonts w:ascii="Calibri" w:cs="Calibri" w:eastAsia="Calibri" w:hAnsi="Calibri"/>
                <w:sz w:val="16"/>
                <w:szCs w:val="16"/>
                <w:color w:val="0000FF"/>
              </w:rPr>
              <w:t>Financial Statements and Supplementary Data</w:t>
            </w:r>
          </w:p>
        </w:tc>
        <w:tc>
          <w:tcPr>
            <w:tcW w:w="5240" w:type="dxa"/>
            <w:vAlign w:val="bottom"/>
            <w:gridSpan w:val="7"/>
          </w:tcPr>
          <w:p>
            <w:pPr>
              <w:spacing w:after="0"/>
              <w:rPr>
                <w:sz w:val="17"/>
                <w:szCs w:val="17"/>
                <w:color w:val="auto"/>
              </w:rPr>
            </w:pPr>
          </w:p>
        </w:tc>
        <w:tc>
          <w:tcPr>
            <w:tcW w:w="980" w:type="dxa"/>
            <w:vAlign w:val="bottom"/>
            <w:gridSpan w:val="5"/>
          </w:tcPr>
          <w:p>
            <w:pPr>
              <w:jc w:val="right"/>
              <w:ind w:right="20"/>
              <w:spacing w:after="0"/>
              <w:rPr>
                <w:sz w:val="20"/>
                <w:szCs w:val="20"/>
                <w:color w:val="auto"/>
              </w:rPr>
            </w:pPr>
            <w:r>
              <w:rPr>
                <w:rFonts w:ascii="Calibri" w:cs="Calibri" w:eastAsia="Calibri" w:hAnsi="Calibri"/>
                <w:sz w:val="16"/>
                <w:szCs w:val="16"/>
                <w:color w:val="0000FF"/>
              </w:rPr>
              <w:t>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gridSpan w:val="4"/>
          </w:tcPr>
          <w:p>
            <w:pPr>
              <w:spacing w:after="0"/>
              <w:rPr>
                <w:sz w:val="20"/>
                <w:szCs w:val="20"/>
                <w:color w:val="auto"/>
              </w:rPr>
            </w:pPr>
            <w:r>
              <w:rPr>
                <w:rFonts w:ascii="Calibri" w:cs="Calibri" w:eastAsia="Calibri" w:hAnsi="Calibri"/>
                <w:sz w:val="16"/>
                <w:szCs w:val="16"/>
                <w:color w:val="0000FF"/>
              </w:rPr>
              <w:t>Item 9.</w:t>
            </w:r>
          </w:p>
        </w:tc>
        <w:tc>
          <w:tcPr>
            <w:tcW w:w="9120" w:type="dxa"/>
            <w:vAlign w:val="bottom"/>
            <w:gridSpan w:val="25"/>
          </w:tcPr>
          <w:p>
            <w:pPr>
              <w:spacing w:after="0"/>
              <w:rPr>
                <w:sz w:val="20"/>
                <w:szCs w:val="20"/>
                <w:color w:val="auto"/>
              </w:rPr>
            </w:pPr>
            <w:r>
              <w:rPr>
                <w:rFonts w:ascii="Calibri" w:cs="Calibri" w:eastAsia="Calibri" w:hAnsi="Calibri"/>
                <w:sz w:val="16"/>
                <w:szCs w:val="16"/>
                <w:color w:val="0000FF"/>
              </w:rPr>
              <w:t>Changes in and Disagreements with Accountants on Accountng and Financial Disclosure</w:t>
            </w:r>
          </w:p>
        </w:tc>
        <w:tc>
          <w:tcPr>
            <w:tcW w:w="980" w:type="dxa"/>
            <w:vAlign w:val="bottom"/>
            <w:gridSpan w:val="5"/>
          </w:tcPr>
          <w:p>
            <w:pPr>
              <w:jc w:val="right"/>
              <w:ind w:right="20"/>
              <w:spacing w:after="0"/>
              <w:rPr>
                <w:sz w:val="20"/>
                <w:szCs w:val="20"/>
                <w:color w:val="auto"/>
              </w:rPr>
            </w:pPr>
            <w:r>
              <w:rPr>
                <w:rFonts w:ascii="Calibri" w:cs="Calibri" w:eastAsia="Calibri" w:hAnsi="Calibri"/>
                <w:sz w:val="16"/>
                <w:szCs w:val="16"/>
                <w:color w:val="0000FF"/>
              </w:rPr>
              <w:t>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gridSpan w:val="3"/>
          </w:tcPr>
          <w:p>
            <w:pPr>
              <w:spacing w:after="0"/>
              <w:rPr>
                <w:sz w:val="20"/>
                <w:szCs w:val="20"/>
                <w:color w:val="auto"/>
              </w:rPr>
            </w:pPr>
            <w:r>
              <w:rPr>
                <w:rFonts w:ascii="Calibri" w:cs="Calibri" w:eastAsia="Calibri" w:hAnsi="Calibri"/>
                <w:sz w:val="16"/>
                <w:szCs w:val="16"/>
                <w:color w:val="0000FF"/>
              </w:rPr>
              <w:t>Item 9A.</w:t>
            </w:r>
          </w:p>
        </w:tc>
        <w:tc>
          <w:tcPr>
            <w:tcW w:w="520" w:type="dxa"/>
            <w:vAlign w:val="bottom"/>
          </w:tcPr>
          <w:p>
            <w:pPr>
              <w:spacing w:after="0"/>
              <w:rPr>
                <w:sz w:val="17"/>
                <w:szCs w:val="17"/>
                <w:color w:val="auto"/>
              </w:rPr>
            </w:pPr>
          </w:p>
        </w:tc>
        <w:tc>
          <w:tcPr>
            <w:tcW w:w="1600" w:type="dxa"/>
            <w:vAlign w:val="bottom"/>
            <w:gridSpan w:val="12"/>
          </w:tcPr>
          <w:p>
            <w:pPr>
              <w:spacing w:after="0"/>
              <w:rPr>
                <w:sz w:val="20"/>
                <w:szCs w:val="20"/>
                <w:color w:val="auto"/>
              </w:rPr>
            </w:pPr>
            <w:r>
              <w:rPr>
                <w:rFonts w:ascii="Calibri" w:cs="Calibri" w:eastAsia="Calibri" w:hAnsi="Calibri"/>
                <w:sz w:val="16"/>
                <w:szCs w:val="16"/>
                <w:color w:val="0000FF"/>
                <w:w w:val="97"/>
              </w:rPr>
              <w:t>Controls and Procedures</w:t>
            </w:r>
          </w:p>
        </w:tc>
        <w:tc>
          <w:tcPr>
            <w:tcW w:w="7520" w:type="dxa"/>
            <w:vAlign w:val="bottom"/>
            <w:gridSpan w:val="13"/>
          </w:tcPr>
          <w:p>
            <w:pPr>
              <w:spacing w:after="0"/>
              <w:rPr>
                <w:sz w:val="17"/>
                <w:szCs w:val="17"/>
                <w:color w:val="auto"/>
              </w:rPr>
            </w:pPr>
          </w:p>
        </w:tc>
        <w:tc>
          <w:tcPr>
            <w:tcW w:w="980" w:type="dxa"/>
            <w:vAlign w:val="bottom"/>
            <w:gridSpan w:val="5"/>
          </w:tcPr>
          <w:p>
            <w:pPr>
              <w:jc w:val="right"/>
              <w:ind w:right="20"/>
              <w:spacing w:after="0"/>
              <w:rPr>
                <w:sz w:val="20"/>
                <w:szCs w:val="20"/>
                <w:color w:val="auto"/>
              </w:rPr>
            </w:pPr>
            <w:r>
              <w:rPr>
                <w:rFonts w:ascii="Calibri" w:cs="Calibri" w:eastAsia="Calibri" w:hAnsi="Calibri"/>
                <w:sz w:val="16"/>
                <w:szCs w:val="16"/>
                <w:color w:val="0000FF"/>
              </w:rPr>
              <w:t>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gridSpan w:val="3"/>
          </w:tcPr>
          <w:p>
            <w:pPr>
              <w:spacing w:after="0"/>
              <w:rPr>
                <w:sz w:val="20"/>
                <w:szCs w:val="20"/>
                <w:color w:val="auto"/>
              </w:rPr>
            </w:pPr>
            <w:r>
              <w:rPr>
                <w:rFonts w:ascii="Calibri" w:cs="Calibri" w:eastAsia="Calibri" w:hAnsi="Calibri"/>
                <w:sz w:val="16"/>
                <w:szCs w:val="16"/>
                <w:color w:val="0000FF"/>
              </w:rPr>
              <w:t>Item 9B</w:t>
            </w:r>
            <w:r>
              <w:rPr>
                <w:rFonts w:ascii="Calibri" w:cs="Calibri" w:eastAsia="Calibri" w:hAnsi="Calibri"/>
                <w:sz w:val="16"/>
                <w:szCs w:val="16"/>
                <w:color w:val="000000"/>
              </w:rPr>
              <w:t>.</w:t>
            </w:r>
          </w:p>
        </w:tc>
        <w:tc>
          <w:tcPr>
            <w:tcW w:w="520" w:type="dxa"/>
            <w:vAlign w:val="bottom"/>
          </w:tcPr>
          <w:p>
            <w:pPr>
              <w:spacing w:after="0"/>
              <w:rPr>
                <w:sz w:val="17"/>
                <w:szCs w:val="17"/>
                <w:color w:val="auto"/>
              </w:rPr>
            </w:pPr>
          </w:p>
        </w:tc>
        <w:tc>
          <w:tcPr>
            <w:tcW w:w="1600" w:type="dxa"/>
            <w:vAlign w:val="bottom"/>
            <w:gridSpan w:val="12"/>
          </w:tcPr>
          <w:p>
            <w:pPr>
              <w:spacing w:after="0"/>
              <w:rPr>
                <w:sz w:val="20"/>
                <w:szCs w:val="20"/>
                <w:color w:val="auto"/>
              </w:rPr>
            </w:pPr>
            <w:r>
              <w:rPr>
                <w:rFonts w:ascii="Calibri" w:cs="Calibri" w:eastAsia="Calibri" w:hAnsi="Calibri"/>
                <w:sz w:val="16"/>
                <w:szCs w:val="16"/>
                <w:color w:val="0000FF"/>
              </w:rPr>
              <w:t>Other Informaton</w:t>
            </w:r>
          </w:p>
        </w:tc>
        <w:tc>
          <w:tcPr>
            <w:tcW w:w="7520" w:type="dxa"/>
            <w:vAlign w:val="bottom"/>
            <w:gridSpan w:val="13"/>
          </w:tcPr>
          <w:p>
            <w:pPr>
              <w:spacing w:after="0"/>
              <w:rPr>
                <w:sz w:val="17"/>
                <w:szCs w:val="17"/>
                <w:color w:val="auto"/>
              </w:rPr>
            </w:pPr>
          </w:p>
        </w:tc>
        <w:tc>
          <w:tcPr>
            <w:tcW w:w="980" w:type="dxa"/>
            <w:vAlign w:val="bottom"/>
            <w:gridSpan w:val="5"/>
          </w:tcPr>
          <w:p>
            <w:pPr>
              <w:jc w:val="right"/>
              <w:ind w:right="20"/>
              <w:spacing w:after="0"/>
              <w:rPr>
                <w:sz w:val="20"/>
                <w:szCs w:val="20"/>
                <w:color w:val="auto"/>
              </w:rPr>
            </w:pPr>
            <w:r>
              <w:rPr>
                <w:rFonts w:ascii="Calibri" w:cs="Calibri" w:eastAsia="Calibri" w:hAnsi="Calibri"/>
                <w:sz w:val="16"/>
                <w:szCs w:val="16"/>
                <w:color w:val="0000FF"/>
              </w:rPr>
              <w:t>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gridSpan w:val="4"/>
          </w:tcPr>
          <w:p>
            <w:pPr>
              <w:spacing w:after="0"/>
              <w:rPr>
                <w:sz w:val="20"/>
                <w:szCs w:val="20"/>
                <w:color w:val="auto"/>
              </w:rPr>
            </w:pPr>
            <w:r>
              <w:rPr>
                <w:rFonts w:ascii="Calibri" w:cs="Calibri" w:eastAsia="Calibri" w:hAnsi="Calibri"/>
                <w:sz w:val="16"/>
                <w:szCs w:val="16"/>
                <w:color w:val="0000FF"/>
              </w:rPr>
              <w:t>Item 9C</w:t>
            </w:r>
            <w:r>
              <w:rPr>
                <w:rFonts w:ascii="Calibri" w:cs="Calibri" w:eastAsia="Calibri" w:hAnsi="Calibri"/>
                <w:sz w:val="16"/>
                <w:szCs w:val="16"/>
                <w:color w:val="000000"/>
              </w:rPr>
              <w:t>.</w:t>
            </w:r>
          </w:p>
        </w:tc>
        <w:tc>
          <w:tcPr>
            <w:tcW w:w="9120" w:type="dxa"/>
            <w:vAlign w:val="bottom"/>
            <w:gridSpan w:val="25"/>
          </w:tcPr>
          <w:p>
            <w:pPr>
              <w:spacing w:after="0"/>
              <w:rPr>
                <w:sz w:val="20"/>
                <w:szCs w:val="20"/>
                <w:color w:val="auto"/>
              </w:rPr>
            </w:pPr>
            <w:r>
              <w:rPr>
                <w:rFonts w:ascii="Calibri" w:cs="Calibri" w:eastAsia="Calibri" w:hAnsi="Calibri"/>
                <w:sz w:val="16"/>
                <w:szCs w:val="16"/>
                <w:color w:val="0000FF"/>
              </w:rPr>
              <w:t>Disclosure Regarding Foreign Jurisdictons that Prevent Inspectons</w:t>
            </w:r>
          </w:p>
        </w:tc>
        <w:tc>
          <w:tcPr>
            <w:tcW w:w="980" w:type="dxa"/>
            <w:vAlign w:val="bottom"/>
            <w:gridSpan w:val="5"/>
          </w:tcPr>
          <w:p>
            <w:pPr>
              <w:jc w:val="right"/>
              <w:ind w:right="20"/>
              <w:spacing w:after="0"/>
              <w:rPr>
                <w:sz w:val="20"/>
                <w:szCs w:val="20"/>
                <w:color w:val="auto"/>
              </w:rPr>
            </w:pPr>
            <w:r>
              <w:rPr>
                <w:rFonts w:ascii="Calibri" w:cs="Calibri" w:eastAsia="Calibri" w:hAnsi="Calibri"/>
                <w:sz w:val="16"/>
                <w:szCs w:val="16"/>
                <w:color w:val="0000FF"/>
              </w:rPr>
              <w:t>167</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DBDBDB"/>
          </w:tcPr>
          <w:p>
            <w:pPr>
              <w:spacing w:after="0"/>
              <w:rPr>
                <w:sz w:val="14"/>
                <w:szCs w:val="14"/>
                <w:color w:val="auto"/>
              </w:rPr>
            </w:pPr>
          </w:p>
        </w:tc>
        <w:tc>
          <w:tcPr>
            <w:tcW w:w="46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80" w:type="dxa"/>
            <w:vAlign w:val="bottom"/>
            <w:tcBorders>
              <w:left w:val="single" w:sz="8" w:color="DBDBDB"/>
            </w:tcBorders>
            <w:shd w:val="clear" w:color="auto" w:fill="DBDBDB"/>
          </w:tcPr>
          <w:p>
            <w:pPr>
              <w:spacing w:after="0"/>
              <w:rPr>
                <w:sz w:val="14"/>
                <w:szCs w:val="14"/>
                <w:color w:val="auto"/>
              </w:rPr>
            </w:pPr>
          </w:p>
        </w:tc>
        <w:tc>
          <w:tcPr>
            <w:tcW w:w="520" w:type="dxa"/>
            <w:vAlign w:val="bottom"/>
            <w:tcBorders>
              <w:left w:val="single" w:sz="8" w:color="DBDBDB"/>
            </w:tcBorders>
            <w:shd w:val="clear" w:color="auto" w:fill="DBDBDB"/>
          </w:tcPr>
          <w:p>
            <w:pPr>
              <w:spacing w:after="0"/>
              <w:rPr>
                <w:sz w:val="14"/>
                <w:szCs w:val="14"/>
                <w:color w:val="auto"/>
              </w:rPr>
            </w:pPr>
          </w:p>
        </w:tc>
        <w:tc>
          <w:tcPr>
            <w:tcW w:w="9120" w:type="dxa"/>
            <w:vAlign w:val="bottom"/>
            <w:gridSpan w:val="25"/>
            <w:shd w:val="clear" w:color="auto" w:fill="DBDBDB"/>
          </w:tcPr>
          <w:p>
            <w:pPr>
              <w:spacing w:after="0" w:line="162" w:lineRule="exact"/>
              <w:rPr>
                <w:sz w:val="20"/>
                <w:szCs w:val="20"/>
                <w:color w:val="auto"/>
              </w:rPr>
            </w:pPr>
            <w:r>
              <w:rPr>
                <w:rFonts w:ascii="Calibri" w:cs="Calibri" w:eastAsia="Calibri" w:hAnsi="Calibri"/>
                <w:sz w:val="16"/>
                <w:szCs w:val="16"/>
                <w:b w:val="1"/>
                <w:bCs w:val="1"/>
                <w:color w:val="0000FF"/>
              </w:rPr>
              <w:t>PART III</w:t>
            </w:r>
          </w:p>
        </w:tc>
        <w:tc>
          <w:tcPr>
            <w:tcW w:w="7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80" w:type="dxa"/>
            <w:vAlign w:val="bottom"/>
            <w:tcBorders>
              <w:right w:val="single" w:sz="8" w:color="DBDBDB"/>
            </w:tcBorders>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DBDBDB"/>
            </w:tcBorders>
            <w:shd w:val="clear" w:color="auto" w:fill="DBDBDB"/>
          </w:tcPr>
          <w:p>
            <w:pPr>
              <w:spacing w:after="0"/>
              <w:rPr>
                <w:sz w:val="2"/>
                <w:szCs w:val="2"/>
                <w:color w:val="auto"/>
              </w:rPr>
            </w:pPr>
          </w:p>
        </w:tc>
        <w:tc>
          <w:tcPr>
            <w:tcW w:w="460" w:type="dxa"/>
            <w:vAlign w:val="bottom"/>
            <w:tcBorders>
              <w:top w:val="single" w:sz="8" w:color="DBDBDB"/>
            </w:tcBorders>
            <w:shd w:val="clear" w:color="auto" w:fill="DBDBDB"/>
          </w:tcPr>
          <w:p>
            <w:pPr>
              <w:spacing w:after="0"/>
              <w:rPr>
                <w:sz w:val="2"/>
                <w:szCs w:val="2"/>
                <w:color w:val="auto"/>
              </w:rPr>
            </w:pPr>
          </w:p>
        </w:tc>
        <w:tc>
          <w:tcPr>
            <w:tcW w:w="6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left w:val="single" w:sz="8" w:color="DBDBDB"/>
            </w:tcBorders>
            <w:shd w:val="clear" w:color="auto" w:fill="DBDBDB"/>
          </w:tcPr>
          <w:p>
            <w:pPr>
              <w:spacing w:after="0"/>
              <w:rPr>
                <w:sz w:val="2"/>
                <w:szCs w:val="2"/>
                <w:color w:val="auto"/>
              </w:rPr>
            </w:pPr>
          </w:p>
        </w:tc>
        <w:tc>
          <w:tcPr>
            <w:tcW w:w="520" w:type="dxa"/>
            <w:vAlign w:val="bottom"/>
            <w:tcBorders>
              <w:top w:val="single" w:sz="8" w:color="DBDBDB"/>
              <w:left w:val="single" w:sz="8" w:color="DBDBDB"/>
            </w:tcBorders>
            <w:shd w:val="clear" w:color="auto" w:fill="DBDBDB"/>
          </w:tcPr>
          <w:p>
            <w:pPr>
              <w:spacing w:after="0"/>
              <w:rPr>
                <w:sz w:val="2"/>
                <w:szCs w:val="2"/>
                <w:color w:val="auto"/>
              </w:rPr>
            </w:pPr>
          </w:p>
        </w:tc>
        <w:tc>
          <w:tcPr>
            <w:tcW w:w="420" w:type="dxa"/>
            <w:vAlign w:val="bottom"/>
            <w:tcBorders>
              <w:top w:val="single" w:sz="8" w:color="0000FF"/>
            </w:tcBorders>
            <w:shd w:val="clear" w:color="auto" w:fill="DBDBDB"/>
          </w:tcPr>
          <w:p>
            <w:pPr>
              <w:spacing w:after="0"/>
              <w:rPr>
                <w:sz w:val="2"/>
                <w:szCs w:val="2"/>
                <w:color w:val="auto"/>
              </w:rPr>
            </w:pPr>
          </w:p>
        </w:tc>
        <w:tc>
          <w:tcPr>
            <w:tcW w:w="40" w:type="dxa"/>
            <w:vAlign w:val="bottom"/>
            <w:tcBorders>
              <w:top w:val="single" w:sz="8" w:color="0000FF"/>
            </w:tcBorders>
            <w:shd w:val="clear" w:color="auto" w:fill="DBDBDB"/>
          </w:tcPr>
          <w:p>
            <w:pPr>
              <w:spacing w:after="0"/>
              <w:rPr>
                <w:sz w:val="2"/>
                <w:szCs w:val="2"/>
                <w:color w:val="auto"/>
              </w:rPr>
            </w:pPr>
          </w:p>
        </w:tc>
        <w:tc>
          <w:tcPr>
            <w:tcW w:w="40" w:type="dxa"/>
            <w:vAlign w:val="bottom"/>
            <w:tcBorders>
              <w:top w:val="single" w:sz="8" w:color="0000FF"/>
            </w:tcBorders>
            <w:shd w:val="clear" w:color="auto" w:fill="DBDBDB"/>
          </w:tcPr>
          <w:p>
            <w:pPr>
              <w:spacing w:after="0"/>
              <w:rPr>
                <w:sz w:val="2"/>
                <w:szCs w:val="2"/>
                <w:color w:val="auto"/>
              </w:rPr>
            </w:pPr>
          </w:p>
        </w:tc>
        <w:tc>
          <w:tcPr>
            <w:tcW w:w="60" w:type="dxa"/>
            <w:vAlign w:val="bottom"/>
            <w:tcBorders>
              <w:top w:val="single" w:sz="8" w:color="DBDBDB"/>
              <w:right w:val="single" w:sz="8" w:color="DBDBDB"/>
            </w:tcBorders>
            <w:shd w:val="clear" w:color="auto" w:fill="DBDBDB"/>
          </w:tcPr>
          <w:p>
            <w:pPr>
              <w:spacing w:after="0"/>
              <w:rPr>
                <w:sz w:val="2"/>
                <w:szCs w:val="2"/>
                <w:color w:val="auto"/>
              </w:rPr>
            </w:pPr>
          </w:p>
        </w:tc>
        <w:tc>
          <w:tcPr>
            <w:tcW w:w="12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320" w:type="dxa"/>
            <w:vAlign w:val="bottom"/>
            <w:tcBorders>
              <w:top w:val="single" w:sz="8" w:color="DBDBDB"/>
              <w:left w:val="single" w:sz="8" w:color="DBDBDB"/>
            </w:tcBorders>
            <w:shd w:val="clear" w:color="auto" w:fill="DBDBDB"/>
          </w:tcPr>
          <w:p>
            <w:pPr>
              <w:spacing w:after="0"/>
              <w:rPr>
                <w:sz w:val="2"/>
                <w:szCs w:val="2"/>
                <w:color w:val="auto"/>
              </w:rPr>
            </w:pPr>
          </w:p>
        </w:tc>
        <w:tc>
          <w:tcPr>
            <w:tcW w:w="40" w:type="dxa"/>
            <w:vAlign w:val="bottom"/>
            <w:tcBorders>
              <w:top w:val="single" w:sz="8" w:color="DBDBDB"/>
            </w:tcBorders>
            <w:shd w:val="clear" w:color="auto" w:fill="DBDBDB"/>
          </w:tcPr>
          <w:p>
            <w:pPr>
              <w:spacing w:after="0"/>
              <w:rPr>
                <w:sz w:val="2"/>
                <w:szCs w:val="2"/>
                <w:color w:val="auto"/>
              </w:rPr>
            </w:pPr>
          </w:p>
        </w:tc>
        <w:tc>
          <w:tcPr>
            <w:tcW w:w="140" w:type="dxa"/>
            <w:vAlign w:val="bottom"/>
            <w:tcBorders>
              <w:top w:val="single" w:sz="8" w:color="DBDBDB"/>
            </w:tcBorders>
            <w:shd w:val="clear" w:color="auto" w:fill="DBDBDB"/>
          </w:tcPr>
          <w:p>
            <w:pPr>
              <w:spacing w:after="0"/>
              <w:rPr>
                <w:sz w:val="2"/>
                <w:szCs w:val="2"/>
                <w:color w:val="auto"/>
              </w:rPr>
            </w:pPr>
          </w:p>
        </w:tc>
        <w:tc>
          <w:tcPr>
            <w:tcW w:w="200" w:type="dxa"/>
            <w:vAlign w:val="bottom"/>
            <w:tcBorders>
              <w:top w:val="single" w:sz="8" w:color="DBDBDB"/>
            </w:tcBorders>
            <w:shd w:val="clear" w:color="auto" w:fill="DBDBDB"/>
          </w:tcPr>
          <w:p>
            <w:pPr>
              <w:spacing w:after="0"/>
              <w:rPr>
                <w:sz w:val="2"/>
                <w:szCs w:val="2"/>
                <w:color w:val="auto"/>
              </w:rPr>
            </w:pPr>
          </w:p>
        </w:tc>
        <w:tc>
          <w:tcPr>
            <w:tcW w:w="60" w:type="dxa"/>
            <w:vAlign w:val="bottom"/>
            <w:tcBorders>
              <w:top w:val="single" w:sz="8" w:color="DBDBDB"/>
            </w:tcBorders>
            <w:shd w:val="clear" w:color="auto" w:fill="DBDBDB"/>
          </w:tcPr>
          <w:p>
            <w:pPr>
              <w:spacing w:after="0"/>
              <w:rPr>
                <w:sz w:val="2"/>
                <w:szCs w:val="2"/>
                <w:color w:val="auto"/>
              </w:rPr>
            </w:pPr>
          </w:p>
        </w:tc>
        <w:tc>
          <w:tcPr>
            <w:tcW w:w="220" w:type="dxa"/>
            <w:vAlign w:val="bottom"/>
            <w:tcBorders>
              <w:top w:val="single" w:sz="8" w:color="DBDBDB"/>
              <w:left w:val="single" w:sz="8" w:color="DBDBDB"/>
            </w:tcBorders>
            <w:shd w:val="clear" w:color="auto" w:fill="DBDBDB"/>
          </w:tcPr>
          <w:p>
            <w:pPr>
              <w:spacing w:after="0"/>
              <w:rPr>
                <w:sz w:val="2"/>
                <w:szCs w:val="2"/>
                <w:color w:val="auto"/>
              </w:rPr>
            </w:pPr>
          </w:p>
        </w:tc>
        <w:tc>
          <w:tcPr>
            <w:tcW w:w="720" w:type="dxa"/>
            <w:vAlign w:val="bottom"/>
            <w:tcBorders>
              <w:top w:val="single" w:sz="8" w:color="DBDBDB"/>
            </w:tcBorders>
            <w:shd w:val="clear" w:color="auto" w:fill="DBDBDB"/>
          </w:tcPr>
          <w:p>
            <w:pPr>
              <w:spacing w:after="0"/>
              <w:rPr>
                <w:sz w:val="2"/>
                <w:szCs w:val="2"/>
                <w:color w:val="auto"/>
              </w:rPr>
            </w:pPr>
          </w:p>
        </w:tc>
        <w:tc>
          <w:tcPr>
            <w:tcW w:w="280" w:type="dxa"/>
            <w:vAlign w:val="bottom"/>
            <w:tcBorders>
              <w:top w:val="single" w:sz="8" w:color="DBDBDB"/>
            </w:tcBorders>
            <w:shd w:val="clear" w:color="auto" w:fill="DBDBDB"/>
          </w:tcPr>
          <w:p>
            <w:pPr>
              <w:spacing w:after="0"/>
              <w:rPr>
                <w:sz w:val="2"/>
                <w:szCs w:val="2"/>
                <w:color w:val="auto"/>
              </w:rPr>
            </w:pPr>
          </w:p>
        </w:tc>
        <w:tc>
          <w:tcPr>
            <w:tcW w:w="200" w:type="dxa"/>
            <w:vAlign w:val="bottom"/>
            <w:tcBorders>
              <w:top w:val="single" w:sz="8" w:color="DBDBDB"/>
            </w:tcBorders>
            <w:shd w:val="clear" w:color="auto" w:fill="DBDBDB"/>
          </w:tcPr>
          <w:p>
            <w:pPr>
              <w:spacing w:after="0"/>
              <w:rPr>
                <w:sz w:val="2"/>
                <w:szCs w:val="2"/>
                <w:color w:val="auto"/>
              </w:rPr>
            </w:pPr>
          </w:p>
        </w:tc>
        <w:tc>
          <w:tcPr>
            <w:tcW w:w="620" w:type="dxa"/>
            <w:vAlign w:val="bottom"/>
            <w:tcBorders>
              <w:top w:val="single" w:sz="8" w:color="DBDBDB"/>
            </w:tcBorders>
            <w:shd w:val="clear" w:color="auto" w:fill="DBDBDB"/>
          </w:tcPr>
          <w:p>
            <w:pPr>
              <w:spacing w:after="0"/>
              <w:rPr>
                <w:sz w:val="2"/>
                <w:szCs w:val="2"/>
                <w:color w:val="auto"/>
              </w:rPr>
            </w:pPr>
          </w:p>
        </w:tc>
        <w:tc>
          <w:tcPr>
            <w:tcW w:w="240" w:type="dxa"/>
            <w:vAlign w:val="bottom"/>
            <w:tcBorders>
              <w:top w:val="single" w:sz="8" w:color="DBDBDB"/>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560" w:type="dxa"/>
            <w:vAlign w:val="bottom"/>
            <w:tcBorders>
              <w:top w:val="single" w:sz="8" w:color="DBDBDB"/>
            </w:tcBorders>
            <w:shd w:val="clear" w:color="auto" w:fill="DBDBDB"/>
          </w:tcPr>
          <w:p>
            <w:pPr>
              <w:spacing w:after="0"/>
              <w:rPr>
                <w:sz w:val="2"/>
                <w:szCs w:val="2"/>
                <w:color w:val="auto"/>
              </w:rPr>
            </w:pPr>
          </w:p>
        </w:tc>
        <w:tc>
          <w:tcPr>
            <w:tcW w:w="820" w:type="dxa"/>
            <w:vAlign w:val="bottom"/>
            <w:tcBorders>
              <w:top w:val="single" w:sz="8" w:color="DBDBDB"/>
            </w:tcBorders>
            <w:shd w:val="clear" w:color="auto" w:fill="DBDBDB"/>
          </w:tcPr>
          <w:p>
            <w:pPr>
              <w:spacing w:after="0"/>
              <w:rPr>
                <w:sz w:val="2"/>
                <w:szCs w:val="2"/>
                <w:color w:val="auto"/>
              </w:rPr>
            </w:pPr>
          </w:p>
        </w:tc>
        <w:tc>
          <w:tcPr>
            <w:tcW w:w="40" w:type="dxa"/>
            <w:vAlign w:val="bottom"/>
            <w:tcBorders>
              <w:top w:val="single" w:sz="8" w:color="DBDBDB"/>
            </w:tcBorders>
            <w:shd w:val="clear" w:color="auto" w:fill="DBDBDB"/>
          </w:tcPr>
          <w:p>
            <w:pPr>
              <w:spacing w:after="0"/>
              <w:rPr>
                <w:sz w:val="2"/>
                <w:szCs w:val="2"/>
                <w:color w:val="auto"/>
              </w:rPr>
            </w:pPr>
          </w:p>
        </w:tc>
        <w:tc>
          <w:tcPr>
            <w:tcW w:w="780" w:type="dxa"/>
            <w:vAlign w:val="bottom"/>
            <w:tcBorders>
              <w:top w:val="single" w:sz="8" w:color="DBDBDB"/>
            </w:tcBorders>
            <w:shd w:val="clear" w:color="auto" w:fill="DBDBDB"/>
          </w:tcPr>
          <w:p>
            <w:pPr>
              <w:spacing w:after="0"/>
              <w:rPr>
                <w:sz w:val="2"/>
                <w:szCs w:val="2"/>
                <w:color w:val="auto"/>
              </w:rPr>
            </w:pPr>
          </w:p>
        </w:tc>
        <w:tc>
          <w:tcPr>
            <w:tcW w:w="660" w:type="dxa"/>
            <w:vAlign w:val="bottom"/>
            <w:tcBorders>
              <w:top w:val="single" w:sz="8" w:color="DBDBDB"/>
            </w:tcBorders>
            <w:shd w:val="clear" w:color="auto" w:fill="DBDBDB"/>
          </w:tcPr>
          <w:p>
            <w:pPr>
              <w:spacing w:after="0"/>
              <w:rPr>
                <w:sz w:val="2"/>
                <w:szCs w:val="2"/>
                <w:color w:val="auto"/>
              </w:rPr>
            </w:pPr>
          </w:p>
        </w:tc>
        <w:tc>
          <w:tcPr>
            <w:tcW w:w="1900" w:type="dxa"/>
            <w:vAlign w:val="bottom"/>
            <w:tcBorders>
              <w:top w:val="single" w:sz="8" w:color="DBDBDB"/>
            </w:tcBorders>
            <w:shd w:val="clear" w:color="auto" w:fill="DBDBDB"/>
          </w:tcPr>
          <w:p>
            <w:pPr>
              <w:spacing w:after="0"/>
              <w:rPr>
                <w:sz w:val="2"/>
                <w:szCs w:val="2"/>
                <w:color w:val="auto"/>
              </w:rPr>
            </w:pPr>
          </w:p>
        </w:tc>
        <w:tc>
          <w:tcPr>
            <w:tcW w:w="72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right w:val="single" w:sz="8" w:color="DBDBDB"/>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gridSpan w:val="2"/>
          </w:tcPr>
          <w:p>
            <w:pPr>
              <w:spacing w:after="0" w:line="162" w:lineRule="exact"/>
              <w:rPr>
                <w:sz w:val="20"/>
                <w:szCs w:val="20"/>
                <w:color w:val="auto"/>
              </w:rPr>
            </w:pPr>
            <w:r>
              <w:rPr>
                <w:rFonts w:ascii="Calibri" w:cs="Calibri" w:eastAsia="Calibri" w:hAnsi="Calibri"/>
                <w:sz w:val="16"/>
                <w:szCs w:val="16"/>
                <w:color w:val="0000FF"/>
                <w:w w:val="88"/>
              </w:rPr>
              <w:t>Item 10.</w:t>
            </w:r>
          </w:p>
        </w:tc>
        <w:tc>
          <w:tcPr>
            <w:tcW w:w="600" w:type="dxa"/>
            <w:vAlign w:val="bottom"/>
            <w:gridSpan w:val="2"/>
          </w:tcPr>
          <w:p>
            <w:pPr>
              <w:spacing w:after="0"/>
              <w:rPr>
                <w:sz w:val="14"/>
                <w:szCs w:val="14"/>
                <w:color w:val="auto"/>
              </w:rPr>
            </w:pPr>
          </w:p>
        </w:tc>
        <w:tc>
          <w:tcPr>
            <w:tcW w:w="3640" w:type="dxa"/>
            <w:vAlign w:val="bottom"/>
            <w:gridSpan w:val="17"/>
          </w:tcPr>
          <w:p>
            <w:pPr>
              <w:spacing w:after="0" w:line="162" w:lineRule="exact"/>
              <w:rPr>
                <w:sz w:val="20"/>
                <w:szCs w:val="20"/>
                <w:color w:val="auto"/>
              </w:rPr>
            </w:pPr>
            <w:r>
              <w:rPr>
                <w:rFonts w:ascii="Calibri" w:cs="Calibri" w:eastAsia="Calibri" w:hAnsi="Calibri"/>
                <w:sz w:val="16"/>
                <w:szCs w:val="16"/>
                <w:color w:val="0000FF"/>
              </w:rPr>
              <w:t>Directors, Executve Ofcers and Corporate Governance</w:t>
            </w:r>
          </w:p>
        </w:tc>
        <w:tc>
          <w:tcPr>
            <w:tcW w:w="5480" w:type="dxa"/>
            <w:vAlign w:val="bottom"/>
            <w:gridSpan w:val="8"/>
          </w:tcPr>
          <w:p>
            <w:pPr>
              <w:spacing w:after="0"/>
              <w:rPr>
                <w:sz w:val="14"/>
                <w:szCs w:val="14"/>
                <w:color w:val="auto"/>
              </w:rPr>
            </w:pPr>
          </w:p>
        </w:tc>
        <w:tc>
          <w:tcPr>
            <w:tcW w:w="980" w:type="dxa"/>
            <w:vAlign w:val="bottom"/>
            <w:gridSpan w:val="5"/>
          </w:tcPr>
          <w:p>
            <w:pPr>
              <w:jc w:val="right"/>
              <w:ind w:right="20"/>
              <w:spacing w:after="0" w:line="162" w:lineRule="exact"/>
              <w:rPr>
                <w:sz w:val="20"/>
                <w:szCs w:val="20"/>
                <w:color w:val="auto"/>
              </w:rPr>
            </w:pPr>
            <w:r>
              <w:rPr>
                <w:rFonts w:ascii="Calibri" w:cs="Calibri" w:eastAsia="Calibri" w:hAnsi="Calibri"/>
                <w:sz w:val="16"/>
                <w:szCs w:val="16"/>
                <w:color w:val="0000FF"/>
              </w:rPr>
              <w:t>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4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Calibri" w:cs="Calibri" w:eastAsia="Calibri" w:hAnsi="Calibri"/>
                <w:sz w:val="16"/>
                <w:szCs w:val="16"/>
                <w:color w:val="0000FF"/>
                <w:w w:val="88"/>
              </w:rPr>
              <w:t>Item 11.</w:t>
            </w:r>
          </w:p>
        </w:tc>
        <w:tc>
          <w:tcPr>
            <w:tcW w:w="600" w:type="dxa"/>
            <w:vAlign w:val="bottom"/>
            <w:gridSpan w:val="2"/>
          </w:tcPr>
          <w:p>
            <w:pPr>
              <w:spacing w:after="0"/>
              <w:rPr>
                <w:sz w:val="17"/>
                <w:szCs w:val="17"/>
                <w:color w:val="auto"/>
              </w:rPr>
            </w:pPr>
          </w:p>
        </w:tc>
        <w:tc>
          <w:tcPr>
            <w:tcW w:w="3640" w:type="dxa"/>
            <w:vAlign w:val="bottom"/>
            <w:gridSpan w:val="17"/>
          </w:tcPr>
          <w:p>
            <w:pPr>
              <w:spacing w:after="0"/>
              <w:rPr>
                <w:sz w:val="20"/>
                <w:szCs w:val="20"/>
                <w:color w:val="auto"/>
              </w:rPr>
            </w:pPr>
            <w:r>
              <w:rPr>
                <w:rFonts w:ascii="Calibri" w:cs="Calibri" w:eastAsia="Calibri" w:hAnsi="Calibri"/>
                <w:sz w:val="16"/>
                <w:szCs w:val="16"/>
                <w:color w:val="0000FF"/>
              </w:rPr>
              <w:t>Executve Compensaton</w:t>
            </w:r>
          </w:p>
        </w:tc>
        <w:tc>
          <w:tcPr>
            <w:tcW w:w="5480" w:type="dxa"/>
            <w:vAlign w:val="bottom"/>
            <w:gridSpan w:val="8"/>
          </w:tcPr>
          <w:p>
            <w:pPr>
              <w:spacing w:after="0"/>
              <w:rPr>
                <w:sz w:val="17"/>
                <w:szCs w:val="17"/>
                <w:color w:val="auto"/>
              </w:rPr>
            </w:pPr>
          </w:p>
        </w:tc>
        <w:tc>
          <w:tcPr>
            <w:tcW w:w="980" w:type="dxa"/>
            <w:vAlign w:val="bottom"/>
            <w:gridSpan w:val="5"/>
          </w:tcPr>
          <w:p>
            <w:pPr>
              <w:jc w:val="right"/>
              <w:ind w:right="20"/>
              <w:spacing w:after="0"/>
              <w:rPr>
                <w:sz w:val="20"/>
                <w:szCs w:val="20"/>
                <w:color w:val="auto"/>
              </w:rPr>
            </w:pPr>
            <w:r>
              <w:rPr>
                <w:rFonts w:ascii="Calibri" w:cs="Calibri" w:eastAsia="Calibri" w:hAnsi="Calibri"/>
                <w:sz w:val="16"/>
                <w:szCs w:val="16"/>
                <w:color w:val="0000FF"/>
              </w:rPr>
              <w:t>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Calibri" w:cs="Calibri" w:eastAsia="Calibri" w:hAnsi="Calibri"/>
                <w:sz w:val="16"/>
                <w:szCs w:val="16"/>
                <w:color w:val="0000FF"/>
                <w:w w:val="88"/>
              </w:rPr>
              <w:t>Item 12.</w:t>
            </w:r>
          </w:p>
        </w:tc>
        <w:tc>
          <w:tcPr>
            <w:tcW w:w="600" w:type="dxa"/>
            <w:vAlign w:val="bottom"/>
            <w:gridSpan w:val="2"/>
          </w:tcPr>
          <w:p>
            <w:pPr>
              <w:spacing w:after="0"/>
              <w:rPr>
                <w:sz w:val="17"/>
                <w:szCs w:val="17"/>
                <w:color w:val="auto"/>
              </w:rPr>
            </w:pPr>
          </w:p>
        </w:tc>
        <w:tc>
          <w:tcPr>
            <w:tcW w:w="9120" w:type="dxa"/>
            <w:vAlign w:val="bottom"/>
            <w:gridSpan w:val="25"/>
          </w:tcPr>
          <w:p>
            <w:pPr>
              <w:spacing w:after="0"/>
              <w:rPr>
                <w:sz w:val="20"/>
                <w:szCs w:val="20"/>
                <w:color w:val="auto"/>
              </w:rPr>
            </w:pPr>
            <w:r>
              <w:rPr>
                <w:rFonts w:ascii="Calibri" w:cs="Calibri" w:eastAsia="Calibri" w:hAnsi="Calibri"/>
                <w:sz w:val="16"/>
                <w:szCs w:val="16"/>
                <w:color w:val="0000FF"/>
              </w:rPr>
              <w:t>Security Ownership of Certain Benefcial Owners and Management and Related Stockholder Maters</w:t>
            </w:r>
          </w:p>
        </w:tc>
        <w:tc>
          <w:tcPr>
            <w:tcW w:w="980" w:type="dxa"/>
            <w:vAlign w:val="bottom"/>
            <w:gridSpan w:val="5"/>
          </w:tcPr>
          <w:p>
            <w:pPr>
              <w:jc w:val="right"/>
              <w:ind w:right="20"/>
              <w:spacing w:after="0"/>
              <w:rPr>
                <w:sz w:val="20"/>
                <w:szCs w:val="20"/>
                <w:color w:val="auto"/>
              </w:rPr>
            </w:pPr>
            <w:r>
              <w:rPr>
                <w:rFonts w:ascii="Calibri" w:cs="Calibri" w:eastAsia="Calibri" w:hAnsi="Calibri"/>
                <w:sz w:val="16"/>
                <w:szCs w:val="16"/>
                <w:color w:val="0000FF"/>
              </w:rPr>
              <w:t>168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Borders>
              <w:right w:val="single" w:sz="8" w:color="0000FF"/>
            </w:tcBorders>
            <w:gridSpan w:val="4"/>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00" w:type="dxa"/>
            <w:vAlign w:val="bottom"/>
            <w:gridSpan w:val="5"/>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Calibri" w:cs="Calibri" w:eastAsia="Calibri" w:hAnsi="Calibri"/>
                <w:sz w:val="16"/>
                <w:szCs w:val="16"/>
                <w:color w:val="0000FF"/>
                <w:w w:val="88"/>
              </w:rPr>
              <w:t>Item 13.</w:t>
            </w:r>
          </w:p>
        </w:tc>
        <w:tc>
          <w:tcPr>
            <w:tcW w:w="600" w:type="dxa"/>
            <w:vAlign w:val="bottom"/>
            <w:gridSpan w:val="2"/>
          </w:tcPr>
          <w:p>
            <w:pPr>
              <w:spacing w:after="0"/>
              <w:rPr>
                <w:sz w:val="17"/>
                <w:szCs w:val="17"/>
                <w:color w:val="auto"/>
              </w:rPr>
            </w:pPr>
          </w:p>
        </w:tc>
        <w:tc>
          <w:tcPr>
            <w:tcW w:w="6560" w:type="dxa"/>
            <w:vAlign w:val="bottom"/>
            <w:gridSpan w:val="23"/>
          </w:tcPr>
          <w:p>
            <w:pPr>
              <w:spacing w:after="0"/>
              <w:rPr>
                <w:sz w:val="20"/>
                <w:szCs w:val="20"/>
                <w:color w:val="auto"/>
              </w:rPr>
            </w:pPr>
            <w:r>
              <w:rPr>
                <w:rFonts w:ascii="Calibri" w:cs="Calibri" w:eastAsia="Calibri" w:hAnsi="Calibri"/>
                <w:sz w:val="16"/>
                <w:szCs w:val="16"/>
                <w:color w:val="0000FF"/>
              </w:rPr>
              <w:t>Certain Relatonships and Related Transactons, and Director Independence</w:t>
            </w:r>
          </w:p>
        </w:tc>
        <w:tc>
          <w:tcPr>
            <w:tcW w:w="2560" w:type="dxa"/>
            <w:vAlign w:val="bottom"/>
            <w:gridSpan w:val="2"/>
          </w:tcPr>
          <w:p>
            <w:pPr>
              <w:spacing w:after="0"/>
              <w:rPr>
                <w:sz w:val="17"/>
                <w:szCs w:val="17"/>
                <w:color w:val="auto"/>
              </w:rPr>
            </w:pPr>
          </w:p>
        </w:tc>
        <w:tc>
          <w:tcPr>
            <w:tcW w:w="980" w:type="dxa"/>
            <w:vAlign w:val="bottom"/>
            <w:gridSpan w:val="5"/>
          </w:tcPr>
          <w:p>
            <w:pPr>
              <w:jc w:val="right"/>
              <w:ind w:right="20"/>
              <w:spacing w:after="0"/>
              <w:rPr>
                <w:sz w:val="20"/>
                <w:szCs w:val="20"/>
                <w:color w:val="auto"/>
              </w:rPr>
            </w:pPr>
            <w:r>
              <w:rPr>
                <w:rFonts w:ascii="Calibri" w:cs="Calibri" w:eastAsia="Calibri" w:hAnsi="Calibri"/>
                <w:sz w:val="16"/>
                <w:szCs w:val="16"/>
                <w:color w:val="0000FF"/>
              </w:rPr>
              <w:t>168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Borders>
              <w:top w:val="single" w:sz="8" w:color="0000FF"/>
            </w:tcBorders>
            <w:gridSpan w:val="2"/>
          </w:tcPr>
          <w:p>
            <w:pPr>
              <w:spacing w:after="0"/>
              <w:rPr>
                <w:sz w:val="20"/>
                <w:szCs w:val="20"/>
                <w:color w:val="auto"/>
              </w:rPr>
            </w:pPr>
            <w:r>
              <w:rPr>
                <w:rFonts w:ascii="Calibri" w:cs="Calibri" w:eastAsia="Calibri" w:hAnsi="Calibri"/>
                <w:sz w:val="16"/>
                <w:szCs w:val="16"/>
                <w:color w:val="0000FF"/>
                <w:w w:val="88"/>
              </w:rPr>
              <w:t>Item 14.</w:t>
            </w:r>
          </w:p>
        </w:tc>
        <w:tc>
          <w:tcPr>
            <w:tcW w:w="600" w:type="dxa"/>
            <w:vAlign w:val="bottom"/>
            <w:gridSpan w:val="2"/>
          </w:tcPr>
          <w:p>
            <w:pPr>
              <w:spacing w:after="0"/>
              <w:rPr>
                <w:sz w:val="17"/>
                <w:szCs w:val="17"/>
                <w:color w:val="auto"/>
              </w:rPr>
            </w:pPr>
          </w:p>
        </w:tc>
        <w:tc>
          <w:tcPr>
            <w:tcW w:w="4920" w:type="dxa"/>
            <w:vAlign w:val="bottom"/>
            <w:tcBorders>
              <w:top w:val="single" w:sz="8" w:color="0000FF"/>
            </w:tcBorders>
            <w:gridSpan w:val="20"/>
          </w:tcPr>
          <w:p>
            <w:pPr>
              <w:spacing w:after="0"/>
              <w:rPr>
                <w:sz w:val="20"/>
                <w:szCs w:val="20"/>
                <w:color w:val="auto"/>
              </w:rPr>
            </w:pPr>
            <w:r>
              <w:rPr>
                <w:rFonts w:ascii="Calibri" w:cs="Calibri" w:eastAsia="Calibri" w:hAnsi="Calibri"/>
                <w:sz w:val="16"/>
                <w:szCs w:val="16"/>
                <w:color w:val="0000FF"/>
              </w:rPr>
              <w:t>Principal Accountant Fees and Services</w:t>
            </w:r>
          </w:p>
        </w:tc>
        <w:tc>
          <w:tcPr>
            <w:tcW w:w="4200" w:type="dxa"/>
            <w:vAlign w:val="bottom"/>
            <w:gridSpan w:val="5"/>
          </w:tcPr>
          <w:p>
            <w:pPr>
              <w:spacing w:after="0"/>
              <w:rPr>
                <w:sz w:val="17"/>
                <w:szCs w:val="17"/>
                <w:color w:val="auto"/>
              </w:rPr>
            </w:pPr>
          </w:p>
        </w:tc>
        <w:tc>
          <w:tcPr>
            <w:tcW w:w="980" w:type="dxa"/>
            <w:vAlign w:val="bottom"/>
            <w:gridSpan w:val="5"/>
          </w:tcPr>
          <w:p>
            <w:pPr>
              <w:jc w:val="right"/>
              <w:ind w:right="20"/>
              <w:spacing w:after="0"/>
              <w:rPr>
                <w:sz w:val="20"/>
                <w:szCs w:val="20"/>
                <w:color w:val="auto"/>
              </w:rPr>
            </w:pPr>
            <w:r>
              <w:rPr>
                <w:rFonts w:ascii="Calibri" w:cs="Calibri" w:eastAsia="Calibri" w:hAnsi="Calibri"/>
                <w:sz w:val="16"/>
                <w:szCs w:val="16"/>
                <w:color w:val="0000FF"/>
              </w:rPr>
              <w:t>168</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shd w:val="clear" w:color="auto" w:fill="DBDBDB"/>
          </w:tcPr>
          <w:p>
            <w:pPr>
              <w:spacing w:after="0"/>
              <w:rPr>
                <w:sz w:val="14"/>
                <w:szCs w:val="14"/>
                <w:color w:val="auto"/>
              </w:rPr>
            </w:pPr>
          </w:p>
        </w:tc>
        <w:tc>
          <w:tcPr>
            <w:tcW w:w="460" w:type="dxa"/>
            <w:vAlign w:val="bottom"/>
            <w:shd w:val="clear" w:color="auto" w:fill="DBDBDB"/>
          </w:tcPr>
          <w:p>
            <w:pPr>
              <w:spacing w:after="0"/>
              <w:rPr>
                <w:sz w:val="14"/>
                <w:szCs w:val="14"/>
                <w:color w:val="auto"/>
              </w:rPr>
            </w:pPr>
          </w:p>
        </w:tc>
        <w:tc>
          <w:tcPr>
            <w:tcW w:w="60" w:type="dxa"/>
            <w:vAlign w:val="bottom"/>
            <w:shd w:val="clear" w:color="auto" w:fill="DBDBDB"/>
          </w:tcPr>
          <w:p>
            <w:pPr>
              <w:spacing w:after="0"/>
              <w:rPr>
                <w:sz w:val="14"/>
                <w:szCs w:val="14"/>
                <w:color w:val="auto"/>
              </w:rPr>
            </w:pPr>
          </w:p>
        </w:tc>
        <w:tc>
          <w:tcPr>
            <w:tcW w:w="80" w:type="dxa"/>
            <w:vAlign w:val="bottom"/>
            <w:tcBorders>
              <w:left w:val="single" w:sz="8" w:color="DBDBDB"/>
            </w:tcBorders>
            <w:shd w:val="clear" w:color="auto" w:fill="DBDBDB"/>
          </w:tcPr>
          <w:p>
            <w:pPr>
              <w:spacing w:after="0"/>
              <w:rPr>
                <w:sz w:val="14"/>
                <w:szCs w:val="14"/>
                <w:color w:val="auto"/>
              </w:rPr>
            </w:pPr>
          </w:p>
        </w:tc>
        <w:tc>
          <w:tcPr>
            <w:tcW w:w="520" w:type="dxa"/>
            <w:vAlign w:val="bottom"/>
            <w:tcBorders>
              <w:left w:val="single" w:sz="8" w:color="DBDBDB"/>
            </w:tcBorders>
            <w:shd w:val="clear" w:color="auto" w:fill="DBDBDB"/>
          </w:tcPr>
          <w:p>
            <w:pPr>
              <w:spacing w:after="0"/>
              <w:rPr>
                <w:sz w:val="14"/>
                <w:szCs w:val="14"/>
                <w:color w:val="auto"/>
              </w:rPr>
            </w:pPr>
          </w:p>
        </w:tc>
        <w:tc>
          <w:tcPr>
            <w:tcW w:w="560" w:type="dxa"/>
            <w:vAlign w:val="bottom"/>
            <w:tcBorders>
              <w:right w:val="single" w:sz="8" w:color="DBDBDB"/>
            </w:tcBorders>
            <w:gridSpan w:val="4"/>
            <w:shd w:val="clear" w:color="auto" w:fill="DBDBDB"/>
          </w:tcPr>
          <w:p>
            <w:pPr>
              <w:spacing w:after="0" w:line="162" w:lineRule="exact"/>
              <w:rPr>
                <w:sz w:val="20"/>
                <w:szCs w:val="20"/>
                <w:color w:val="auto"/>
              </w:rPr>
            </w:pPr>
            <w:r>
              <w:rPr>
                <w:rFonts w:ascii="Calibri" w:cs="Calibri" w:eastAsia="Calibri" w:hAnsi="Calibri"/>
                <w:sz w:val="16"/>
                <w:szCs w:val="16"/>
                <w:b w:val="1"/>
                <w:bCs w:val="1"/>
                <w:color w:val="0000FF"/>
                <w:w w:val="98"/>
              </w:rPr>
              <w:t>PART IV</w:t>
            </w:r>
          </w:p>
        </w:tc>
        <w:tc>
          <w:tcPr>
            <w:tcW w:w="8560" w:type="dxa"/>
            <w:vAlign w:val="bottom"/>
            <w:gridSpan w:val="21"/>
            <w:shd w:val="clear" w:color="auto" w:fill="DBDBDB"/>
          </w:tcPr>
          <w:p>
            <w:pPr>
              <w:spacing w:after="0"/>
              <w:rPr>
                <w:sz w:val="14"/>
                <w:szCs w:val="14"/>
                <w:color w:val="auto"/>
              </w:rPr>
            </w:pPr>
          </w:p>
        </w:tc>
        <w:tc>
          <w:tcPr>
            <w:tcW w:w="980" w:type="dxa"/>
            <w:vAlign w:val="bottom"/>
            <w:gridSpan w:val="5"/>
            <w:shd w:val="clear" w:color="auto" w:fill="DBDBDB"/>
          </w:tcPr>
          <w:p>
            <w:pPr>
              <w:jc w:val="right"/>
              <w:ind w:right="20"/>
              <w:spacing w:after="0" w:line="162" w:lineRule="exact"/>
              <w:rPr>
                <w:sz w:val="20"/>
                <w:szCs w:val="20"/>
                <w:color w:val="auto"/>
              </w:rPr>
            </w:pPr>
            <w:r>
              <w:rPr>
                <w:rFonts w:ascii="Calibri" w:cs="Calibri" w:eastAsia="Calibri" w:hAnsi="Calibri"/>
                <w:sz w:val="16"/>
                <w:szCs w:val="16"/>
                <w:color w:val="0000FF"/>
              </w:rPr>
              <w:t>169</w:t>
            </w:r>
          </w:p>
        </w:tc>
        <w:tc>
          <w:tcPr>
            <w:tcW w:w="0" w:type="dxa"/>
            <w:vAlign w:val="bottom"/>
          </w:tcPr>
          <w:p>
            <w:pPr>
              <w:spacing w:after="0"/>
              <w:rPr>
                <w:sz w:val="1"/>
                <w:szCs w:val="1"/>
                <w:color w:val="auto"/>
              </w:rPr>
            </w:pPr>
          </w:p>
        </w:tc>
      </w:tr>
      <w:tr>
        <w:trPr>
          <w:trHeight w:val="34"/>
        </w:trPr>
        <w:tc>
          <w:tcPr>
            <w:tcW w:w="20" w:type="dxa"/>
            <w:vAlign w:val="bottom"/>
            <w:tcBorders>
              <w:top w:val="single" w:sz="8" w:color="DBDBDB"/>
            </w:tcBorders>
            <w:shd w:val="clear" w:color="auto" w:fill="DBDBDB"/>
          </w:tcPr>
          <w:p>
            <w:pPr>
              <w:spacing w:after="0"/>
              <w:rPr>
                <w:sz w:val="2"/>
                <w:szCs w:val="2"/>
                <w:color w:val="auto"/>
              </w:rPr>
            </w:pPr>
          </w:p>
        </w:tc>
        <w:tc>
          <w:tcPr>
            <w:tcW w:w="460" w:type="dxa"/>
            <w:vAlign w:val="bottom"/>
            <w:tcBorders>
              <w:top w:val="single" w:sz="8" w:color="DBDBDB"/>
            </w:tcBorders>
            <w:shd w:val="clear" w:color="auto" w:fill="DBDBDB"/>
          </w:tcPr>
          <w:p>
            <w:pPr>
              <w:spacing w:after="0"/>
              <w:rPr>
                <w:sz w:val="2"/>
                <w:szCs w:val="2"/>
                <w:color w:val="auto"/>
              </w:rPr>
            </w:pPr>
          </w:p>
        </w:tc>
        <w:tc>
          <w:tcPr>
            <w:tcW w:w="6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left w:val="single" w:sz="8" w:color="DBDBDB"/>
            </w:tcBorders>
            <w:shd w:val="clear" w:color="auto" w:fill="DBDBDB"/>
          </w:tcPr>
          <w:p>
            <w:pPr>
              <w:spacing w:after="0"/>
              <w:rPr>
                <w:sz w:val="2"/>
                <w:szCs w:val="2"/>
                <w:color w:val="auto"/>
              </w:rPr>
            </w:pPr>
          </w:p>
        </w:tc>
        <w:tc>
          <w:tcPr>
            <w:tcW w:w="520" w:type="dxa"/>
            <w:vAlign w:val="bottom"/>
            <w:tcBorders>
              <w:top w:val="single" w:sz="8" w:color="DBDBDB"/>
              <w:left w:val="single" w:sz="8" w:color="DBDBDB"/>
            </w:tcBorders>
            <w:shd w:val="clear" w:color="auto" w:fill="DBDBDB"/>
          </w:tcPr>
          <w:p>
            <w:pPr>
              <w:spacing w:after="0"/>
              <w:rPr>
                <w:sz w:val="2"/>
                <w:szCs w:val="2"/>
                <w:color w:val="auto"/>
              </w:rPr>
            </w:pPr>
          </w:p>
        </w:tc>
        <w:tc>
          <w:tcPr>
            <w:tcW w:w="420" w:type="dxa"/>
            <w:vAlign w:val="bottom"/>
            <w:tcBorders>
              <w:top w:val="single" w:sz="8" w:color="0000FF"/>
            </w:tcBorders>
            <w:shd w:val="clear" w:color="auto" w:fill="DBDBDB"/>
          </w:tcPr>
          <w:p>
            <w:pPr>
              <w:spacing w:after="0"/>
              <w:rPr>
                <w:sz w:val="2"/>
                <w:szCs w:val="2"/>
                <w:color w:val="auto"/>
              </w:rPr>
            </w:pPr>
          </w:p>
        </w:tc>
        <w:tc>
          <w:tcPr>
            <w:tcW w:w="40" w:type="dxa"/>
            <w:vAlign w:val="bottom"/>
            <w:tcBorders>
              <w:top w:val="single" w:sz="8" w:color="0000FF"/>
            </w:tcBorders>
            <w:shd w:val="clear" w:color="auto" w:fill="DBDBDB"/>
          </w:tcPr>
          <w:p>
            <w:pPr>
              <w:spacing w:after="0"/>
              <w:rPr>
                <w:sz w:val="2"/>
                <w:szCs w:val="2"/>
                <w:color w:val="auto"/>
              </w:rPr>
            </w:pPr>
          </w:p>
        </w:tc>
        <w:tc>
          <w:tcPr>
            <w:tcW w:w="40" w:type="dxa"/>
            <w:vAlign w:val="bottom"/>
            <w:tcBorders>
              <w:top w:val="single" w:sz="8" w:color="0000FF"/>
            </w:tcBorders>
            <w:shd w:val="clear" w:color="auto" w:fill="DBDBDB"/>
          </w:tcPr>
          <w:p>
            <w:pPr>
              <w:spacing w:after="0"/>
              <w:rPr>
                <w:sz w:val="2"/>
                <w:szCs w:val="2"/>
                <w:color w:val="auto"/>
              </w:rPr>
            </w:pPr>
          </w:p>
        </w:tc>
        <w:tc>
          <w:tcPr>
            <w:tcW w:w="60" w:type="dxa"/>
            <w:vAlign w:val="bottom"/>
            <w:tcBorders>
              <w:top w:val="single" w:sz="8" w:color="0000FF"/>
              <w:right w:val="single" w:sz="8" w:color="DBDBDB"/>
            </w:tcBorders>
            <w:shd w:val="clear" w:color="auto" w:fill="DBDBDB"/>
          </w:tcPr>
          <w:p>
            <w:pPr>
              <w:spacing w:after="0"/>
              <w:rPr>
                <w:sz w:val="2"/>
                <w:szCs w:val="2"/>
                <w:color w:val="auto"/>
              </w:rPr>
            </w:pPr>
          </w:p>
        </w:tc>
        <w:tc>
          <w:tcPr>
            <w:tcW w:w="12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DBDBDB"/>
            </w:tcBorders>
            <w:shd w:val="clear" w:color="auto" w:fill="DBDBDB"/>
          </w:tcPr>
          <w:p>
            <w:pPr>
              <w:spacing w:after="0"/>
              <w:rPr>
                <w:sz w:val="2"/>
                <w:szCs w:val="2"/>
                <w:color w:val="auto"/>
              </w:rPr>
            </w:pPr>
          </w:p>
        </w:tc>
        <w:tc>
          <w:tcPr>
            <w:tcW w:w="320" w:type="dxa"/>
            <w:vAlign w:val="bottom"/>
            <w:tcBorders>
              <w:top w:val="single" w:sz="8" w:color="DBDBDB"/>
              <w:left w:val="single" w:sz="8" w:color="DBDBDB"/>
            </w:tcBorders>
            <w:shd w:val="clear" w:color="auto" w:fill="DBDBDB"/>
          </w:tcPr>
          <w:p>
            <w:pPr>
              <w:spacing w:after="0"/>
              <w:rPr>
                <w:sz w:val="2"/>
                <w:szCs w:val="2"/>
                <w:color w:val="auto"/>
              </w:rPr>
            </w:pPr>
          </w:p>
        </w:tc>
        <w:tc>
          <w:tcPr>
            <w:tcW w:w="40" w:type="dxa"/>
            <w:vAlign w:val="bottom"/>
            <w:tcBorders>
              <w:top w:val="single" w:sz="8" w:color="DBDBDB"/>
            </w:tcBorders>
            <w:shd w:val="clear" w:color="auto" w:fill="DBDBDB"/>
          </w:tcPr>
          <w:p>
            <w:pPr>
              <w:spacing w:after="0"/>
              <w:rPr>
                <w:sz w:val="2"/>
                <w:szCs w:val="2"/>
                <w:color w:val="auto"/>
              </w:rPr>
            </w:pPr>
          </w:p>
        </w:tc>
        <w:tc>
          <w:tcPr>
            <w:tcW w:w="140" w:type="dxa"/>
            <w:vAlign w:val="bottom"/>
            <w:tcBorders>
              <w:top w:val="single" w:sz="8" w:color="DBDBDB"/>
            </w:tcBorders>
            <w:shd w:val="clear" w:color="auto" w:fill="DBDBDB"/>
          </w:tcPr>
          <w:p>
            <w:pPr>
              <w:spacing w:after="0"/>
              <w:rPr>
                <w:sz w:val="2"/>
                <w:szCs w:val="2"/>
                <w:color w:val="auto"/>
              </w:rPr>
            </w:pPr>
          </w:p>
        </w:tc>
        <w:tc>
          <w:tcPr>
            <w:tcW w:w="200" w:type="dxa"/>
            <w:vAlign w:val="bottom"/>
            <w:tcBorders>
              <w:top w:val="single" w:sz="8" w:color="DBDBDB"/>
            </w:tcBorders>
            <w:shd w:val="clear" w:color="auto" w:fill="DBDBDB"/>
          </w:tcPr>
          <w:p>
            <w:pPr>
              <w:spacing w:after="0"/>
              <w:rPr>
                <w:sz w:val="2"/>
                <w:szCs w:val="2"/>
                <w:color w:val="auto"/>
              </w:rPr>
            </w:pPr>
          </w:p>
        </w:tc>
        <w:tc>
          <w:tcPr>
            <w:tcW w:w="60" w:type="dxa"/>
            <w:vAlign w:val="bottom"/>
            <w:tcBorders>
              <w:top w:val="single" w:sz="8" w:color="DBDBDB"/>
            </w:tcBorders>
            <w:shd w:val="clear" w:color="auto" w:fill="DBDBDB"/>
          </w:tcPr>
          <w:p>
            <w:pPr>
              <w:spacing w:after="0"/>
              <w:rPr>
                <w:sz w:val="2"/>
                <w:szCs w:val="2"/>
                <w:color w:val="auto"/>
              </w:rPr>
            </w:pPr>
          </w:p>
        </w:tc>
        <w:tc>
          <w:tcPr>
            <w:tcW w:w="220" w:type="dxa"/>
            <w:vAlign w:val="bottom"/>
            <w:tcBorders>
              <w:top w:val="single" w:sz="8" w:color="DBDBDB"/>
              <w:left w:val="single" w:sz="8" w:color="DBDBDB"/>
            </w:tcBorders>
            <w:shd w:val="clear" w:color="auto" w:fill="DBDBDB"/>
          </w:tcPr>
          <w:p>
            <w:pPr>
              <w:spacing w:after="0"/>
              <w:rPr>
                <w:sz w:val="2"/>
                <w:szCs w:val="2"/>
                <w:color w:val="auto"/>
              </w:rPr>
            </w:pPr>
          </w:p>
        </w:tc>
        <w:tc>
          <w:tcPr>
            <w:tcW w:w="720" w:type="dxa"/>
            <w:vAlign w:val="bottom"/>
            <w:tcBorders>
              <w:top w:val="single" w:sz="8" w:color="DBDBDB"/>
            </w:tcBorders>
            <w:shd w:val="clear" w:color="auto" w:fill="DBDBDB"/>
          </w:tcPr>
          <w:p>
            <w:pPr>
              <w:spacing w:after="0"/>
              <w:rPr>
                <w:sz w:val="2"/>
                <w:szCs w:val="2"/>
                <w:color w:val="auto"/>
              </w:rPr>
            </w:pPr>
          </w:p>
        </w:tc>
        <w:tc>
          <w:tcPr>
            <w:tcW w:w="280" w:type="dxa"/>
            <w:vAlign w:val="bottom"/>
            <w:tcBorders>
              <w:top w:val="single" w:sz="8" w:color="DBDBDB"/>
            </w:tcBorders>
            <w:shd w:val="clear" w:color="auto" w:fill="DBDBDB"/>
          </w:tcPr>
          <w:p>
            <w:pPr>
              <w:spacing w:after="0"/>
              <w:rPr>
                <w:sz w:val="2"/>
                <w:szCs w:val="2"/>
                <w:color w:val="auto"/>
              </w:rPr>
            </w:pPr>
          </w:p>
        </w:tc>
        <w:tc>
          <w:tcPr>
            <w:tcW w:w="200" w:type="dxa"/>
            <w:vAlign w:val="bottom"/>
            <w:tcBorders>
              <w:top w:val="single" w:sz="8" w:color="DBDBDB"/>
            </w:tcBorders>
            <w:shd w:val="clear" w:color="auto" w:fill="DBDBDB"/>
          </w:tcPr>
          <w:p>
            <w:pPr>
              <w:spacing w:after="0"/>
              <w:rPr>
                <w:sz w:val="2"/>
                <w:szCs w:val="2"/>
                <w:color w:val="auto"/>
              </w:rPr>
            </w:pPr>
          </w:p>
        </w:tc>
        <w:tc>
          <w:tcPr>
            <w:tcW w:w="620" w:type="dxa"/>
            <w:vAlign w:val="bottom"/>
            <w:tcBorders>
              <w:top w:val="single" w:sz="8" w:color="DBDBDB"/>
            </w:tcBorders>
            <w:shd w:val="clear" w:color="auto" w:fill="DBDBDB"/>
          </w:tcPr>
          <w:p>
            <w:pPr>
              <w:spacing w:after="0"/>
              <w:rPr>
                <w:sz w:val="2"/>
                <w:szCs w:val="2"/>
                <w:color w:val="auto"/>
              </w:rPr>
            </w:pPr>
          </w:p>
        </w:tc>
        <w:tc>
          <w:tcPr>
            <w:tcW w:w="240" w:type="dxa"/>
            <w:vAlign w:val="bottom"/>
            <w:tcBorders>
              <w:top w:val="single" w:sz="8" w:color="DBDBDB"/>
            </w:tcBorders>
            <w:shd w:val="clear" w:color="auto" w:fill="DBDBDB"/>
          </w:tcPr>
          <w:p>
            <w:pPr>
              <w:spacing w:after="0"/>
              <w:rPr>
                <w:sz w:val="2"/>
                <w:szCs w:val="2"/>
                <w:color w:val="auto"/>
              </w:rPr>
            </w:pPr>
          </w:p>
        </w:tc>
        <w:tc>
          <w:tcPr>
            <w:tcW w:w="480" w:type="dxa"/>
            <w:vAlign w:val="bottom"/>
            <w:tcBorders>
              <w:top w:val="single" w:sz="8" w:color="DBDBDB"/>
            </w:tcBorders>
            <w:shd w:val="clear" w:color="auto" w:fill="DBDBDB"/>
          </w:tcPr>
          <w:p>
            <w:pPr>
              <w:spacing w:after="0"/>
              <w:rPr>
                <w:sz w:val="2"/>
                <w:szCs w:val="2"/>
                <w:color w:val="auto"/>
              </w:rPr>
            </w:pPr>
          </w:p>
        </w:tc>
        <w:tc>
          <w:tcPr>
            <w:tcW w:w="560" w:type="dxa"/>
            <w:vAlign w:val="bottom"/>
            <w:tcBorders>
              <w:top w:val="single" w:sz="8" w:color="DBDBDB"/>
            </w:tcBorders>
            <w:shd w:val="clear" w:color="auto" w:fill="DBDBDB"/>
          </w:tcPr>
          <w:p>
            <w:pPr>
              <w:spacing w:after="0"/>
              <w:rPr>
                <w:sz w:val="2"/>
                <w:szCs w:val="2"/>
                <w:color w:val="auto"/>
              </w:rPr>
            </w:pPr>
          </w:p>
        </w:tc>
        <w:tc>
          <w:tcPr>
            <w:tcW w:w="820" w:type="dxa"/>
            <w:vAlign w:val="bottom"/>
            <w:tcBorders>
              <w:top w:val="single" w:sz="8" w:color="DBDBDB"/>
            </w:tcBorders>
            <w:shd w:val="clear" w:color="auto" w:fill="DBDBDB"/>
          </w:tcPr>
          <w:p>
            <w:pPr>
              <w:spacing w:after="0"/>
              <w:rPr>
                <w:sz w:val="2"/>
                <w:szCs w:val="2"/>
                <w:color w:val="auto"/>
              </w:rPr>
            </w:pPr>
          </w:p>
        </w:tc>
        <w:tc>
          <w:tcPr>
            <w:tcW w:w="40" w:type="dxa"/>
            <w:vAlign w:val="bottom"/>
            <w:tcBorders>
              <w:top w:val="single" w:sz="8" w:color="DBDBDB"/>
            </w:tcBorders>
            <w:shd w:val="clear" w:color="auto" w:fill="DBDBDB"/>
          </w:tcPr>
          <w:p>
            <w:pPr>
              <w:spacing w:after="0"/>
              <w:rPr>
                <w:sz w:val="2"/>
                <w:szCs w:val="2"/>
                <w:color w:val="auto"/>
              </w:rPr>
            </w:pPr>
          </w:p>
        </w:tc>
        <w:tc>
          <w:tcPr>
            <w:tcW w:w="780" w:type="dxa"/>
            <w:vAlign w:val="bottom"/>
            <w:tcBorders>
              <w:top w:val="single" w:sz="8" w:color="DBDBDB"/>
            </w:tcBorders>
            <w:shd w:val="clear" w:color="auto" w:fill="DBDBDB"/>
          </w:tcPr>
          <w:p>
            <w:pPr>
              <w:spacing w:after="0"/>
              <w:rPr>
                <w:sz w:val="2"/>
                <w:szCs w:val="2"/>
                <w:color w:val="auto"/>
              </w:rPr>
            </w:pPr>
          </w:p>
        </w:tc>
        <w:tc>
          <w:tcPr>
            <w:tcW w:w="660" w:type="dxa"/>
            <w:vAlign w:val="bottom"/>
            <w:tcBorders>
              <w:top w:val="single" w:sz="8" w:color="DBDBDB"/>
            </w:tcBorders>
            <w:shd w:val="clear" w:color="auto" w:fill="DBDBDB"/>
          </w:tcPr>
          <w:p>
            <w:pPr>
              <w:spacing w:after="0"/>
              <w:rPr>
                <w:sz w:val="2"/>
                <w:szCs w:val="2"/>
                <w:color w:val="auto"/>
              </w:rPr>
            </w:pPr>
          </w:p>
        </w:tc>
        <w:tc>
          <w:tcPr>
            <w:tcW w:w="1900" w:type="dxa"/>
            <w:vAlign w:val="bottom"/>
            <w:tcBorders>
              <w:top w:val="single" w:sz="8" w:color="DBDBDB"/>
            </w:tcBorders>
            <w:shd w:val="clear" w:color="auto" w:fill="DBDBDB"/>
          </w:tcPr>
          <w:p>
            <w:pPr>
              <w:spacing w:after="0"/>
              <w:rPr>
                <w:sz w:val="2"/>
                <w:szCs w:val="2"/>
                <w:color w:val="auto"/>
              </w:rPr>
            </w:pPr>
          </w:p>
        </w:tc>
        <w:tc>
          <w:tcPr>
            <w:tcW w:w="720" w:type="dxa"/>
            <w:vAlign w:val="bottom"/>
            <w:tcBorders>
              <w:top w:val="single" w:sz="8" w:color="DBDBDB"/>
            </w:tcBorders>
            <w:shd w:val="clear" w:color="auto" w:fill="DBDBDB"/>
          </w:tcPr>
          <w:p>
            <w:pPr>
              <w:spacing w:after="0"/>
              <w:rPr>
                <w:sz w:val="2"/>
                <w:szCs w:val="2"/>
                <w:color w:val="auto"/>
              </w:rPr>
            </w:pPr>
          </w:p>
        </w:tc>
        <w:tc>
          <w:tcPr>
            <w:tcW w:w="80" w:type="dxa"/>
            <w:vAlign w:val="bottom"/>
            <w:tcBorders>
              <w:top w:val="single" w:sz="8" w:color="0000FF"/>
            </w:tcBorders>
            <w:shd w:val="clear" w:color="auto" w:fill="DBDBDB"/>
          </w:tcPr>
          <w:p>
            <w:pPr>
              <w:spacing w:after="0"/>
              <w:rPr>
                <w:sz w:val="2"/>
                <w:szCs w:val="2"/>
                <w:color w:val="auto"/>
              </w:rPr>
            </w:pPr>
          </w:p>
        </w:tc>
        <w:tc>
          <w:tcPr>
            <w:tcW w:w="80" w:type="dxa"/>
            <w:vAlign w:val="bottom"/>
            <w:tcBorders>
              <w:top w:val="single" w:sz="8" w:color="0000FF"/>
            </w:tcBorders>
            <w:shd w:val="clear" w:color="auto" w:fill="DBDBDB"/>
          </w:tcPr>
          <w:p>
            <w:pPr>
              <w:spacing w:after="0"/>
              <w:rPr>
                <w:sz w:val="2"/>
                <w:szCs w:val="2"/>
                <w:color w:val="auto"/>
              </w:rPr>
            </w:pPr>
          </w:p>
        </w:tc>
        <w:tc>
          <w:tcPr>
            <w:tcW w:w="80" w:type="dxa"/>
            <w:vAlign w:val="bottom"/>
            <w:tcBorders>
              <w:top w:val="single" w:sz="8" w:color="0000FF"/>
              <w:right w:val="single" w:sz="8" w:color="DBDBDB"/>
            </w:tcBorders>
            <w:shd w:val="clear" w:color="auto" w:fill="DBDBDB"/>
          </w:tcPr>
          <w:p>
            <w:pPr>
              <w:spacing w:after="0"/>
              <w:rPr>
                <w:sz w:val="2"/>
                <w:szCs w:val="2"/>
                <w:color w:val="auto"/>
              </w:rPr>
            </w:pPr>
          </w:p>
        </w:tc>
        <w:tc>
          <w:tcPr>
            <w:tcW w:w="20" w:type="dxa"/>
            <w:vAlign w:val="bottom"/>
            <w:tcBorders>
              <w:top w:val="single" w:sz="8" w:color="DBDBDB"/>
            </w:tcBorders>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520" w:type="dxa"/>
            <w:vAlign w:val="bottom"/>
            <w:gridSpan w:val="2"/>
          </w:tcPr>
          <w:p>
            <w:pPr>
              <w:spacing w:after="0" w:line="162" w:lineRule="exact"/>
              <w:rPr>
                <w:sz w:val="20"/>
                <w:szCs w:val="20"/>
                <w:color w:val="auto"/>
              </w:rPr>
            </w:pPr>
            <w:r>
              <w:rPr>
                <w:rFonts w:ascii="Calibri" w:cs="Calibri" w:eastAsia="Calibri" w:hAnsi="Calibri"/>
                <w:sz w:val="16"/>
                <w:szCs w:val="16"/>
                <w:color w:val="0000FF"/>
                <w:w w:val="88"/>
              </w:rPr>
              <w:t>Item 15.</w:t>
            </w:r>
          </w:p>
        </w:tc>
        <w:tc>
          <w:tcPr>
            <w:tcW w:w="600" w:type="dxa"/>
            <w:vAlign w:val="bottom"/>
            <w:gridSpan w:val="2"/>
          </w:tcPr>
          <w:p>
            <w:pPr>
              <w:spacing w:after="0"/>
              <w:rPr>
                <w:sz w:val="14"/>
                <w:szCs w:val="14"/>
                <w:color w:val="auto"/>
              </w:rPr>
            </w:pPr>
          </w:p>
        </w:tc>
        <w:tc>
          <w:tcPr>
            <w:tcW w:w="9120" w:type="dxa"/>
            <w:vAlign w:val="bottom"/>
            <w:gridSpan w:val="25"/>
          </w:tcPr>
          <w:p>
            <w:pPr>
              <w:spacing w:after="0" w:line="162" w:lineRule="exact"/>
              <w:rPr>
                <w:sz w:val="20"/>
                <w:szCs w:val="20"/>
                <w:color w:val="auto"/>
              </w:rPr>
            </w:pPr>
            <w:r>
              <w:rPr>
                <w:rFonts w:ascii="Calibri" w:cs="Calibri" w:eastAsia="Calibri" w:hAnsi="Calibri"/>
                <w:sz w:val="16"/>
                <w:szCs w:val="16"/>
                <w:color w:val="0000FF"/>
              </w:rPr>
              <w:t>Exhibits and Financial Statement Schedules</w:t>
            </w:r>
          </w:p>
        </w:tc>
        <w:tc>
          <w:tcPr>
            <w:tcW w:w="980" w:type="dxa"/>
            <w:vAlign w:val="bottom"/>
            <w:gridSpan w:val="5"/>
          </w:tcPr>
          <w:p>
            <w:pPr>
              <w:jc w:val="right"/>
              <w:ind w:right="20"/>
              <w:spacing w:after="0" w:line="162" w:lineRule="exact"/>
              <w:rPr>
                <w:sz w:val="20"/>
                <w:szCs w:val="20"/>
                <w:color w:val="auto"/>
              </w:rPr>
            </w:pPr>
            <w:r>
              <w:rPr>
                <w:rFonts w:ascii="Calibri" w:cs="Calibri" w:eastAsia="Calibri" w:hAnsi="Calibri"/>
                <w:sz w:val="16"/>
                <w:szCs w:val="16"/>
                <w:color w:val="0000FF"/>
              </w:rPr>
              <w:t>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40" w:type="dxa"/>
            <w:vAlign w:val="bottom"/>
            <w:gridSpan w:val="7"/>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6300" w:type="dxa"/>
            <w:vAlign w:val="bottom"/>
            <w:gridSpan w:val="1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Calibri" w:cs="Calibri" w:eastAsia="Calibri" w:hAnsi="Calibri"/>
                <w:sz w:val="16"/>
                <w:szCs w:val="16"/>
                <w:color w:val="0000FF"/>
                <w:w w:val="88"/>
              </w:rPr>
              <w:t>Item 16.</w:t>
            </w:r>
          </w:p>
        </w:tc>
        <w:tc>
          <w:tcPr>
            <w:tcW w:w="600" w:type="dxa"/>
            <w:vAlign w:val="bottom"/>
            <w:gridSpan w:val="2"/>
          </w:tcPr>
          <w:p>
            <w:pPr>
              <w:spacing w:after="0"/>
              <w:rPr>
                <w:sz w:val="17"/>
                <w:szCs w:val="17"/>
                <w:color w:val="auto"/>
              </w:rPr>
            </w:pPr>
          </w:p>
        </w:tc>
        <w:tc>
          <w:tcPr>
            <w:tcW w:w="1340" w:type="dxa"/>
            <w:vAlign w:val="bottom"/>
            <w:gridSpan w:val="10"/>
          </w:tcPr>
          <w:p>
            <w:pPr>
              <w:spacing w:after="0"/>
              <w:rPr>
                <w:sz w:val="20"/>
                <w:szCs w:val="20"/>
                <w:color w:val="auto"/>
              </w:rPr>
            </w:pPr>
            <w:r>
              <w:rPr>
                <w:rFonts w:ascii="Calibri" w:cs="Calibri" w:eastAsia="Calibri" w:hAnsi="Calibri"/>
                <w:sz w:val="16"/>
                <w:szCs w:val="16"/>
                <w:color w:val="0000FF"/>
                <w:w w:val="99"/>
              </w:rPr>
              <w:t>Form 10-K Summary</w:t>
            </w:r>
          </w:p>
        </w:tc>
        <w:tc>
          <w:tcPr>
            <w:tcW w:w="1480" w:type="dxa"/>
            <w:vAlign w:val="bottom"/>
            <w:gridSpan w:val="5"/>
          </w:tcPr>
          <w:p>
            <w:pPr>
              <w:spacing w:after="0"/>
              <w:rPr>
                <w:sz w:val="17"/>
                <w:szCs w:val="17"/>
                <w:color w:val="auto"/>
              </w:rPr>
            </w:pPr>
          </w:p>
        </w:tc>
        <w:tc>
          <w:tcPr>
            <w:tcW w:w="6300" w:type="dxa"/>
            <w:vAlign w:val="bottom"/>
            <w:gridSpan w:val="10"/>
          </w:tcPr>
          <w:p>
            <w:pPr>
              <w:spacing w:after="0"/>
              <w:rPr>
                <w:sz w:val="17"/>
                <w:szCs w:val="17"/>
                <w:color w:val="auto"/>
              </w:rPr>
            </w:pPr>
          </w:p>
        </w:tc>
        <w:tc>
          <w:tcPr>
            <w:tcW w:w="980" w:type="dxa"/>
            <w:vAlign w:val="bottom"/>
            <w:gridSpan w:val="5"/>
          </w:tcPr>
          <w:p>
            <w:pPr>
              <w:jc w:val="right"/>
              <w:ind w:right="20"/>
              <w:spacing w:after="0"/>
              <w:rPr>
                <w:sz w:val="20"/>
                <w:szCs w:val="20"/>
                <w:color w:val="auto"/>
              </w:rPr>
            </w:pPr>
            <w:r>
              <w:rPr>
                <w:rFonts w:ascii="Calibri" w:cs="Calibri" w:eastAsia="Calibri" w:hAnsi="Calibri"/>
                <w:sz w:val="16"/>
                <w:szCs w:val="16"/>
                <w:color w:val="0000FF"/>
              </w:rPr>
              <w:t>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7"/>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7780" w:type="dxa"/>
            <w:vAlign w:val="bottom"/>
            <w:gridSpan w:val="1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gridSpan w:val="7"/>
          </w:tcPr>
          <w:p>
            <w:pPr>
              <w:spacing w:after="0"/>
              <w:rPr>
                <w:sz w:val="20"/>
                <w:szCs w:val="20"/>
                <w:color w:val="auto"/>
              </w:rPr>
            </w:pPr>
            <w:r>
              <w:rPr>
                <w:rFonts w:ascii="Calibri" w:cs="Calibri" w:eastAsia="Calibri" w:hAnsi="Calibri"/>
                <w:sz w:val="16"/>
                <w:szCs w:val="16"/>
                <w:b w:val="1"/>
                <w:bCs w:val="1"/>
                <w:color w:val="0000FF"/>
                <w:w w:val="94"/>
              </w:rPr>
              <w:t>SIGNATURES</w:t>
            </w:r>
          </w:p>
        </w:tc>
        <w:tc>
          <w:tcPr>
            <w:tcW w:w="500" w:type="dxa"/>
            <w:vAlign w:val="bottom"/>
            <w:gridSpan w:val="3"/>
          </w:tcPr>
          <w:p>
            <w:pPr>
              <w:spacing w:after="0"/>
              <w:rPr>
                <w:sz w:val="17"/>
                <w:szCs w:val="17"/>
                <w:color w:val="auto"/>
              </w:rPr>
            </w:pPr>
          </w:p>
        </w:tc>
        <w:tc>
          <w:tcPr>
            <w:tcW w:w="7780" w:type="dxa"/>
            <w:vAlign w:val="bottom"/>
            <w:gridSpan w:val="15"/>
          </w:tcPr>
          <w:p>
            <w:pPr>
              <w:spacing w:after="0"/>
              <w:rPr>
                <w:sz w:val="17"/>
                <w:szCs w:val="17"/>
                <w:color w:val="auto"/>
              </w:rPr>
            </w:pPr>
          </w:p>
        </w:tc>
        <w:tc>
          <w:tcPr>
            <w:tcW w:w="980" w:type="dxa"/>
            <w:vAlign w:val="bottom"/>
            <w:gridSpan w:val="5"/>
          </w:tcPr>
          <w:p>
            <w:pPr>
              <w:jc w:val="right"/>
              <w:ind w:right="20"/>
              <w:spacing w:after="0"/>
              <w:rPr>
                <w:sz w:val="20"/>
                <w:szCs w:val="20"/>
                <w:color w:val="auto"/>
              </w:rPr>
            </w:pPr>
            <w:r>
              <w:rPr>
                <w:rFonts w:ascii="Calibri" w:cs="Calibri" w:eastAsia="Calibri" w:hAnsi="Calibri"/>
                <w:sz w:val="16"/>
                <w:szCs w:val="16"/>
                <w:color w:val="0000FF"/>
              </w:rPr>
              <w:t>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this Annual Report on Form 10-K, or </w:t>
      </w:r>
      <w:r>
        <w:rPr>
          <w:rFonts w:ascii="Calibri" w:cs="Calibri" w:eastAsia="Calibri" w:hAnsi="Calibri"/>
          <w:sz w:val="18"/>
          <w:szCs w:val="18"/>
          <w:u w:val="single" w:color="auto"/>
          <w:color w:val="auto"/>
        </w:rPr>
        <w:t>Form 10-K</w:t>
      </w:r>
      <w:r>
        <w:rPr>
          <w:rFonts w:ascii="Calibri" w:cs="Calibri" w:eastAsia="Calibri" w:hAnsi="Calibri"/>
          <w:sz w:val="18"/>
          <w:szCs w:val="18"/>
          <w:color w:val="auto"/>
        </w:rPr>
        <w:t xml:space="preserve">, unless otherwise stated or the context otherwise requires, references to “Akebia,” “we,” “us,” “our,” “the Company,” "our Company" and similar references refer to Akebia Therapeutcs, Inc. and, where appropriate, its consolidated subsidiaries. On December 12, 2018, in connecton with the consummaton of the merger, or </w:t>
      </w:r>
      <w:r>
        <w:rPr>
          <w:rFonts w:ascii="Calibri" w:cs="Calibri" w:eastAsia="Calibri" w:hAnsi="Calibri"/>
          <w:sz w:val="18"/>
          <w:szCs w:val="18"/>
          <w:u w:val="single" w:color="auto"/>
          <w:color w:val="auto"/>
        </w:rPr>
        <w:t>Merger</w:t>
      </w:r>
      <w:r>
        <w:rPr>
          <w:rFonts w:ascii="Calibri" w:cs="Calibri" w:eastAsia="Calibri" w:hAnsi="Calibri"/>
          <w:sz w:val="18"/>
          <w:szCs w:val="18"/>
          <w:color w:val="auto"/>
        </w:rPr>
        <w:t xml:space="preserve">, with Keryx Biopharmaceutcals, Inc., or </w:t>
      </w:r>
      <w:r>
        <w:rPr>
          <w:rFonts w:ascii="Calibri" w:cs="Calibri" w:eastAsia="Calibri" w:hAnsi="Calibri"/>
          <w:sz w:val="18"/>
          <w:szCs w:val="18"/>
          <w:u w:val="single" w:color="auto"/>
          <w:color w:val="auto"/>
        </w:rPr>
        <w:t>Keryx</w:t>
      </w:r>
      <w:r>
        <w:rPr>
          <w:rFonts w:ascii="Calibri" w:cs="Calibri" w:eastAsia="Calibri" w:hAnsi="Calibri"/>
          <w:sz w:val="18"/>
          <w:szCs w:val="18"/>
          <w:color w:val="auto"/>
        </w:rPr>
        <w:t>, Keryx became a wholly owned subsidiary of the Company.</w:t>
      </w:r>
    </w:p>
    <w:p>
      <w:pPr>
        <w:spacing w:after="0" w:line="111" w:lineRule="exact"/>
        <w:rPr>
          <w:sz w:val="20"/>
          <w:szCs w:val="20"/>
          <w:color w:val="auto"/>
        </w:rPr>
      </w:pPr>
    </w:p>
    <w:p>
      <w:pPr>
        <w:jc w:val="both"/>
        <w:spacing w:after="0" w:line="214" w:lineRule="auto"/>
        <w:rPr>
          <w:sz w:val="20"/>
          <w:szCs w:val="20"/>
          <w:color w:val="auto"/>
        </w:rPr>
      </w:pPr>
      <w:r>
        <w:rPr>
          <w:rFonts w:ascii="Calibri" w:cs="Calibri" w:eastAsia="Calibri" w:hAnsi="Calibri"/>
          <w:sz w:val="18"/>
          <w:szCs w:val="18"/>
          <w:color w:val="auto"/>
        </w:rPr>
        <w:t xml:space="preserve">AURYXIA®, AKEBIA Therapeutcs®, Vafseo® and their associated logos are trademarks of Akebia and/or its afliates. All other trademarks, trade names and service marks appearing in this Form 10-K are the property of their respectve owners. Solely for convenience, trademarks, trade names and service marks referred to in this Form 10-K may appear without the ® or </w:t>
      </w:r>
      <w:r>
        <w:rPr>
          <w:rFonts w:ascii="Calibri" w:cs="Calibri" w:eastAsia="Calibri" w:hAnsi="Calibri"/>
          <w:sz w:val="23"/>
          <w:szCs w:val="23"/>
          <w:color w:val="auto"/>
          <w:vertAlign w:val="superscript"/>
        </w:rPr>
        <w:t>TM</w:t>
      </w:r>
    </w:p>
    <w:p>
      <w:pPr>
        <w:spacing w:after="0" w:line="1" w:lineRule="exact"/>
        <w:rPr>
          <w:sz w:val="20"/>
          <w:szCs w:val="20"/>
          <w:color w:val="auto"/>
        </w:rPr>
      </w:pPr>
    </w:p>
    <w:p>
      <w:pPr>
        <w:jc w:val="both"/>
        <w:spacing w:after="0" w:line="207" w:lineRule="auto"/>
        <w:rPr>
          <w:sz w:val="20"/>
          <w:szCs w:val="20"/>
          <w:color w:val="auto"/>
        </w:rPr>
      </w:pPr>
      <w:r>
        <w:rPr>
          <w:rFonts w:ascii="Calibri" w:cs="Calibri" w:eastAsia="Calibri" w:hAnsi="Calibri"/>
          <w:sz w:val="18"/>
          <w:szCs w:val="18"/>
          <w:color w:val="auto"/>
        </w:rPr>
        <w:t>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relatonship with, or endorsement or sponsorship of us by, any other company.</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 w:name="page4"/>
    <w:bookmarkEnd w:id="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CAUTIONARY NOTE REGARDING FORWARD-LOOKING STATEMENTS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This Annual Report on Form 10-K, or </w:t>
      </w:r>
      <w:r>
        <w:rPr>
          <w:rFonts w:ascii="Calibri" w:cs="Calibri" w:eastAsia="Calibri" w:hAnsi="Calibri"/>
          <w:sz w:val="18"/>
          <w:szCs w:val="18"/>
          <w:u w:val="single" w:color="auto"/>
          <w:color w:val="auto"/>
        </w:rPr>
        <w:t>Form 10-K</w:t>
      </w:r>
      <w:r>
        <w:rPr>
          <w:rFonts w:ascii="Calibri" w:cs="Calibri" w:eastAsia="Calibri" w:hAnsi="Calibri"/>
          <w:sz w:val="18"/>
          <w:szCs w:val="18"/>
          <w:color w:val="auto"/>
        </w:rPr>
        <w:t>, contains forward-looking statements that are being made pursuant to the provisions of the U.S. Private Securites Litgaton Reform Act of 1995 with the intenton of obtaining the benefts of the “safe harbor” provisions of that Act. All statements contained in this Form 10-K other than statements of historical fact are forward-looking statements. These forward-looking statements may be accompanied by words such as “antcipate,” “believe,” “build,” “can,” “contemplate,” “contnue,” “could,” “should,” “designed,” “estmate,” “project,” “expect,” “forecast,” “future,” “goal,” “intend,” “likely,” “may,” “plan,” “possible,” “potental,” “predict,” “strategy,” “seek,” “target,” “will,” “would,” and other words and terms of similar meaning, but the absence of these words does not necessarily mean that a statement is not forward-looking. These forward-looking statements include, but are not limited to, statements about:</w:t>
      </w:r>
    </w:p>
    <w:p>
      <w:pPr>
        <w:spacing w:after="0" w:line="109" w:lineRule="exact"/>
        <w:rPr>
          <w:sz w:val="20"/>
          <w:szCs w:val="20"/>
          <w:color w:val="auto"/>
        </w:rPr>
      </w:pPr>
    </w:p>
    <w:p>
      <w:pPr>
        <w:ind w:left="1300" w:hanging="644"/>
        <w:spacing w:after="0"/>
        <w:tabs>
          <w:tab w:leader="none" w:pos="130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our plans with respect to commercializing Vafseo® (vadadustat) and label expansion opportunites currently under evaluaton for Vafseo;</w:t>
      </w:r>
    </w:p>
    <w:p>
      <w:pPr>
        <w:spacing w:after="0" w:line="50" w:lineRule="exact"/>
        <w:rPr>
          <w:rFonts w:ascii="Calibri" w:cs="Calibri" w:eastAsia="Calibri" w:hAnsi="Calibri"/>
          <w:sz w:val="18"/>
          <w:szCs w:val="18"/>
          <w:color w:val="auto"/>
        </w:rPr>
      </w:pPr>
    </w:p>
    <w:p>
      <w:pPr>
        <w:ind w:left="1300" w:hanging="644"/>
        <w:spacing w:after="0"/>
        <w:tabs>
          <w:tab w:leader="none" w:pos="130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our ability to maintain contracts with dialysis organizatons for the sale of Auryxia® (ferric citrate) and Vafseo in the U.S.;</w:t>
      </w:r>
    </w:p>
    <w:p>
      <w:pPr>
        <w:spacing w:after="0" w:line="50" w:lineRule="exact"/>
        <w:rPr>
          <w:rFonts w:ascii="Calibri" w:cs="Calibri" w:eastAsia="Calibri" w:hAnsi="Calibri"/>
          <w:sz w:val="18"/>
          <w:szCs w:val="18"/>
          <w:color w:val="auto"/>
        </w:rPr>
      </w:pPr>
    </w:p>
    <w:p>
      <w:pPr>
        <w:ind w:left="1300" w:hanging="644"/>
        <w:spacing w:after="0"/>
        <w:tabs>
          <w:tab w:leader="none" w:pos="130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the potental therapeutc benefts, safety profle, and efectveness of Vafseo;</w:t>
      </w:r>
    </w:p>
    <w:p>
      <w:pPr>
        <w:spacing w:after="0" w:line="50" w:lineRule="exact"/>
        <w:rPr>
          <w:rFonts w:ascii="Calibri" w:cs="Calibri" w:eastAsia="Calibri" w:hAnsi="Calibri"/>
          <w:sz w:val="18"/>
          <w:szCs w:val="18"/>
          <w:color w:val="auto"/>
        </w:rPr>
      </w:pPr>
    </w:p>
    <w:p>
      <w:pPr>
        <w:ind w:left="1300" w:hanging="644"/>
        <w:spacing w:after="0"/>
        <w:tabs>
          <w:tab w:leader="none" w:pos="130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our pipeline and portolio, including its potental, and our related research and development actvites;</w:t>
      </w:r>
    </w:p>
    <w:p>
      <w:pPr>
        <w:spacing w:after="0" w:line="55" w:lineRule="exact"/>
        <w:rPr>
          <w:rFonts w:ascii="Calibri" w:cs="Calibri" w:eastAsia="Calibri" w:hAnsi="Calibri"/>
          <w:sz w:val="18"/>
          <w:szCs w:val="18"/>
          <w:color w:val="auto"/>
        </w:rPr>
      </w:pPr>
    </w:p>
    <w:p>
      <w:pPr>
        <w:ind w:left="1300" w:hanging="644"/>
        <w:spacing w:after="0" w:line="235" w:lineRule="auto"/>
        <w:tabs>
          <w:tab w:leader="none" w:pos="129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the tming, investment and associated actvites involved in contnued commercializaton of Auryxia, its growth opportunites and our ability to execute thereon;</w:t>
      </w:r>
    </w:p>
    <w:p>
      <w:pPr>
        <w:spacing w:after="0" w:line="55" w:lineRule="exact"/>
        <w:rPr>
          <w:rFonts w:ascii="Calibri" w:cs="Calibri" w:eastAsia="Calibri" w:hAnsi="Calibri"/>
          <w:sz w:val="18"/>
          <w:szCs w:val="18"/>
          <w:color w:val="auto"/>
        </w:rPr>
      </w:pPr>
    </w:p>
    <w:p>
      <w:pPr>
        <w:ind w:left="1300" w:hanging="644"/>
        <w:spacing w:after="0" w:line="235" w:lineRule="auto"/>
        <w:tabs>
          <w:tab w:leader="none" w:pos="129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the potental indicatons, demand and market opportunity, potental and acceptance of Auryxia and Vafseo, including the size of eligible patent populatons;</w:t>
      </w:r>
    </w:p>
    <w:p>
      <w:pPr>
        <w:spacing w:after="0" w:line="50" w:lineRule="exact"/>
        <w:rPr>
          <w:rFonts w:ascii="Calibri" w:cs="Calibri" w:eastAsia="Calibri" w:hAnsi="Calibri"/>
          <w:sz w:val="18"/>
          <w:szCs w:val="18"/>
          <w:color w:val="auto"/>
        </w:rPr>
      </w:pPr>
    </w:p>
    <w:p>
      <w:pPr>
        <w:ind w:left="1300" w:hanging="644"/>
        <w:spacing w:after="0"/>
        <w:tabs>
          <w:tab w:leader="none" w:pos="130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the potental therapeutc applicatons of the hypoxia inducible factor pathway;</w:t>
      </w:r>
    </w:p>
    <w:p>
      <w:pPr>
        <w:spacing w:after="0" w:line="55" w:lineRule="exact"/>
        <w:rPr>
          <w:rFonts w:ascii="Calibri" w:cs="Calibri" w:eastAsia="Calibri" w:hAnsi="Calibri"/>
          <w:sz w:val="18"/>
          <w:szCs w:val="18"/>
          <w:color w:val="auto"/>
        </w:rPr>
      </w:pPr>
    </w:p>
    <w:p>
      <w:pPr>
        <w:ind w:left="1300" w:hanging="644"/>
        <w:spacing w:after="0" w:line="235" w:lineRule="auto"/>
        <w:tabs>
          <w:tab w:leader="none" w:pos="129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our compettve positon, including estmates, developments and projectons relatng to our compettors and their products and product candidates, and our industry;</w:t>
      </w:r>
    </w:p>
    <w:p>
      <w:pPr>
        <w:spacing w:after="0" w:line="55" w:lineRule="exact"/>
        <w:rPr>
          <w:rFonts w:ascii="Calibri" w:cs="Calibri" w:eastAsia="Calibri" w:hAnsi="Calibri"/>
          <w:sz w:val="18"/>
          <w:szCs w:val="18"/>
          <w:color w:val="auto"/>
        </w:rPr>
      </w:pPr>
    </w:p>
    <w:p>
      <w:pPr>
        <w:jc w:val="both"/>
        <w:ind w:left="1300" w:hanging="644"/>
        <w:spacing w:after="0" w:line="235" w:lineRule="auto"/>
        <w:tabs>
          <w:tab w:leader="none" w:pos="129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our expectatons, projectons and estmates regarding our capital requirements, need for additonal capital, fnancing our future cash needs, costs, expenses, revenues, capital resources, cash fows, fnancial performance, proftability, tax obligatons, liquidity, growth, contractual obligatons and the period of tme our cash resources will fund our current operatng plan, estmates with respect to our ability to operate as a going concern, our internal control over fnancial reportng and disclosure controls and procedures, and any future defciencies or material weaknesses in our internal controls and procedures;</w:t>
      </w:r>
    </w:p>
    <w:p>
      <w:pPr>
        <w:spacing w:after="0" w:line="58" w:lineRule="exact"/>
        <w:rPr>
          <w:rFonts w:ascii="Calibri" w:cs="Calibri" w:eastAsia="Calibri" w:hAnsi="Calibri"/>
          <w:sz w:val="18"/>
          <w:szCs w:val="18"/>
          <w:color w:val="auto"/>
        </w:rPr>
      </w:pPr>
    </w:p>
    <w:p>
      <w:pPr>
        <w:ind w:left="1300" w:hanging="644"/>
        <w:spacing w:after="0" w:line="235" w:lineRule="auto"/>
        <w:tabs>
          <w:tab w:leader="none" w:pos="129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delivering value broadly to the kidney community, as well as others who may beneft from our medicines, will result in delivering value for stockholders;</w:t>
      </w:r>
    </w:p>
    <w:p>
      <w:pPr>
        <w:spacing w:after="0" w:line="55" w:lineRule="exact"/>
        <w:rPr>
          <w:rFonts w:ascii="Calibri" w:cs="Calibri" w:eastAsia="Calibri" w:hAnsi="Calibri"/>
          <w:sz w:val="18"/>
          <w:szCs w:val="18"/>
          <w:color w:val="auto"/>
        </w:rPr>
      </w:pPr>
    </w:p>
    <w:p>
      <w:pPr>
        <w:ind w:left="1300" w:hanging="644"/>
        <w:spacing w:after="0" w:line="235" w:lineRule="auto"/>
        <w:tabs>
          <w:tab w:leader="none" w:pos="129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the direct or indirect impacts of the COVID-19 pandemic on our business, operatons and the markets and communites in which we and our partners, collaborators, vendors, and customers operate;</w:t>
      </w:r>
    </w:p>
    <w:p>
      <w:pPr>
        <w:spacing w:after="0" w:line="55" w:lineRule="exact"/>
        <w:rPr>
          <w:rFonts w:ascii="Calibri" w:cs="Calibri" w:eastAsia="Calibri" w:hAnsi="Calibri"/>
          <w:sz w:val="18"/>
          <w:szCs w:val="18"/>
          <w:color w:val="auto"/>
        </w:rPr>
      </w:pPr>
    </w:p>
    <w:p>
      <w:pPr>
        <w:ind w:left="1300" w:hanging="644"/>
        <w:spacing w:after="0" w:line="235" w:lineRule="auto"/>
        <w:tabs>
          <w:tab w:leader="none" w:pos="129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our manufacturing, supply and quality maters and any recalls, write-downs, impairments or other related consequences or potental consequences;</w:t>
      </w:r>
    </w:p>
    <w:p>
      <w:pPr>
        <w:spacing w:after="0" w:line="55" w:lineRule="exact"/>
        <w:rPr>
          <w:rFonts w:ascii="Calibri" w:cs="Calibri" w:eastAsia="Calibri" w:hAnsi="Calibri"/>
          <w:sz w:val="18"/>
          <w:szCs w:val="18"/>
          <w:color w:val="auto"/>
        </w:rPr>
      </w:pPr>
    </w:p>
    <w:p>
      <w:pPr>
        <w:ind w:left="1300" w:hanging="644"/>
        <w:spacing w:after="0" w:line="235" w:lineRule="auto"/>
        <w:tabs>
          <w:tab w:leader="none" w:pos="129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estmates, beliefs and judgments related to the valuaton of goodwill, debt and other assets and liabilites, including classifcaton of expenses, assets and liabilites, our impairment analyses and our methodology and assumptons regarding fair value measurements;</w:t>
      </w:r>
    </w:p>
    <w:p>
      <w:pPr>
        <w:spacing w:after="0" w:line="50" w:lineRule="exact"/>
        <w:rPr>
          <w:rFonts w:ascii="Calibri" w:cs="Calibri" w:eastAsia="Calibri" w:hAnsi="Calibri"/>
          <w:sz w:val="18"/>
          <w:szCs w:val="18"/>
          <w:color w:val="auto"/>
        </w:rPr>
      </w:pPr>
    </w:p>
    <w:p>
      <w:pPr>
        <w:ind w:left="1300" w:hanging="644"/>
        <w:spacing w:after="0"/>
        <w:tabs>
          <w:tab w:leader="none" w:pos="130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the tming of the availability and disclosure of clinical trial data and results;</w:t>
      </w:r>
    </w:p>
    <w:p>
      <w:pPr>
        <w:spacing w:after="0" w:line="50" w:lineRule="exact"/>
        <w:rPr>
          <w:rFonts w:ascii="Calibri" w:cs="Calibri" w:eastAsia="Calibri" w:hAnsi="Calibri"/>
          <w:sz w:val="18"/>
          <w:szCs w:val="18"/>
          <w:color w:val="auto"/>
        </w:rPr>
      </w:pPr>
    </w:p>
    <w:p>
      <w:pPr>
        <w:ind w:left="1300" w:hanging="644"/>
        <w:spacing w:after="0"/>
        <w:tabs>
          <w:tab w:leader="none" w:pos="130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the designs of our studies, and the type of informaton and data expected from our studies and the expected benefts thereof;</w:t>
      </w:r>
    </w:p>
    <w:p>
      <w:pPr>
        <w:spacing w:after="0" w:line="55" w:lineRule="exact"/>
        <w:rPr>
          <w:rFonts w:ascii="Calibri" w:cs="Calibri" w:eastAsia="Calibri" w:hAnsi="Calibri"/>
          <w:sz w:val="18"/>
          <w:szCs w:val="18"/>
          <w:color w:val="auto"/>
        </w:rPr>
      </w:pPr>
    </w:p>
    <w:p>
      <w:pPr>
        <w:ind w:left="1300" w:hanging="644"/>
        <w:spacing w:after="0" w:line="235" w:lineRule="auto"/>
        <w:tabs>
          <w:tab w:leader="none" w:pos="129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our and our collaborators’ strategy, plans and expectatons with respect to the development, manufacturing, supply, commercializaton, launch, marketng and sale of Auryxia and Vafseo and the associated tming thereof;</w:t>
      </w:r>
    </w:p>
    <w:p>
      <w:pPr>
        <w:spacing w:after="0" w:line="55" w:lineRule="exact"/>
        <w:rPr>
          <w:rFonts w:ascii="Calibri" w:cs="Calibri" w:eastAsia="Calibri" w:hAnsi="Calibri"/>
          <w:sz w:val="18"/>
          <w:szCs w:val="18"/>
          <w:color w:val="auto"/>
        </w:rPr>
      </w:pPr>
    </w:p>
    <w:p>
      <w:pPr>
        <w:ind w:left="1300" w:right="20" w:hanging="644"/>
        <w:spacing w:after="0" w:line="235" w:lineRule="auto"/>
        <w:tabs>
          <w:tab w:leader="none" w:pos="129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our ability to maintain any marketng authorizatons we currently hold or will obtain, including our marketng authorizatons for Auryxia and our ability to complete post-marketng requirements with respect thereto;</w:t>
      </w:r>
    </w:p>
    <w:p>
      <w:pPr>
        <w:spacing w:after="0" w:line="55" w:lineRule="exact"/>
        <w:rPr>
          <w:rFonts w:ascii="Calibri" w:cs="Calibri" w:eastAsia="Calibri" w:hAnsi="Calibri"/>
          <w:sz w:val="18"/>
          <w:szCs w:val="18"/>
          <w:color w:val="auto"/>
        </w:rPr>
      </w:pPr>
    </w:p>
    <w:p>
      <w:pPr>
        <w:ind w:left="1300" w:hanging="644"/>
        <w:spacing w:after="0" w:line="235" w:lineRule="auto"/>
        <w:tabs>
          <w:tab w:leader="none" w:pos="129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our ability to negotate, secure and maintain adequate pricing, coverage and reimbursement terms and processes on a tmely basis, or at all, with third-party payors for Auryxia and Vafseo;</w:t>
      </w:r>
    </w:p>
    <w:p>
      <w:pPr>
        <w:spacing w:after="0" w:line="50" w:lineRule="exact"/>
        <w:rPr>
          <w:rFonts w:ascii="Calibri" w:cs="Calibri" w:eastAsia="Calibri" w:hAnsi="Calibri"/>
          <w:sz w:val="18"/>
          <w:szCs w:val="18"/>
          <w:color w:val="auto"/>
        </w:rPr>
      </w:pPr>
    </w:p>
    <w:p>
      <w:pPr>
        <w:ind w:left="1300" w:hanging="644"/>
        <w:spacing w:after="0"/>
        <w:tabs>
          <w:tab w:leader="none" w:pos="1300"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the tming of initaton of our clinical trials and plans to conduct preclinical studies and clinical trials in the future;</w:t>
      </w:r>
    </w:p>
    <w:p>
      <w:pPr>
        <w:spacing w:after="0" w:line="55" w:lineRule="exact"/>
        <w:rPr>
          <w:rFonts w:ascii="Calibri" w:cs="Calibri" w:eastAsia="Calibri" w:hAnsi="Calibri"/>
          <w:sz w:val="18"/>
          <w:szCs w:val="18"/>
          <w:color w:val="auto"/>
        </w:rPr>
      </w:pPr>
    </w:p>
    <w:p>
      <w:pPr>
        <w:ind w:left="1300" w:right="20" w:hanging="644"/>
        <w:spacing w:after="0" w:line="235" w:lineRule="auto"/>
        <w:tabs>
          <w:tab w:leader="none" w:pos="1293" w:val="left"/>
        </w:tabs>
        <w:numPr>
          <w:ilvl w:val="0"/>
          <w:numId w:val="3"/>
        </w:numPr>
        <w:rPr>
          <w:rFonts w:ascii="Calibri" w:cs="Calibri" w:eastAsia="Calibri" w:hAnsi="Calibri"/>
          <w:sz w:val="18"/>
          <w:szCs w:val="18"/>
          <w:color w:val="auto"/>
        </w:rPr>
      </w:pPr>
      <w:r>
        <w:rPr>
          <w:rFonts w:ascii="Calibri" w:cs="Calibri" w:eastAsia="Calibri" w:hAnsi="Calibri"/>
          <w:sz w:val="18"/>
          <w:szCs w:val="18"/>
          <w:color w:val="auto"/>
        </w:rPr>
        <w:t>the tming and amounts of payments from or to our collaborators and licensees, and the antcipated arrangements and benefts under our collaboraton and license agreements, including with respect to milestones and royaltes;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 w:name="page5"/>
    <w:bookmarkEnd w:id="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300" w:hanging="644"/>
        <w:spacing w:after="0" w:line="254" w:lineRule="auto"/>
        <w:tabs>
          <w:tab w:leader="none" w:pos="1293" w:val="left"/>
        </w:tabs>
        <w:numPr>
          <w:ilvl w:val="0"/>
          <w:numId w:val="4"/>
        </w:numPr>
        <w:rPr>
          <w:rFonts w:ascii="Calibri" w:cs="Calibri" w:eastAsia="Calibri" w:hAnsi="Calibri"/>
          <w:sz w:val="17"/>
          <w:szCs w:val="17"/>
          <w:color w:val="auto"/>
        </w:rPr>
      </w:pPr>
      <w:r>
        <w:rPr>
          <w:rFonts w:ascii="Calibri" w:cs="Calibri" w:eastAsia="Calibri" w:hAnsi="Calibri"/>
          <w:sz w:val="17"/>
          <w:szCs w:val="17"/>
          <w:color w:val="auto"/>
        </w:rPr>
        <w:t>our intellectual property positon, including obtaining and maintaining patents, and the tming, outcome and impact of administratve, regulatory, legal and other proceedings relatng to our patents and other proprietary and intellectual property rights, patent infringement suits that we have fled or may fle, or other actons that we may take against companies, and the tming and resoluton thereof;</w:t>
      </w:r>
    </w:p>
    <w:p>
      <w:pPr>
        <w:spacing w:after="0" w:line="43" w:lineRule="exact"/>
        <w:rPr>
          <w:rFonts w:ascii="Calibri" w:cs="Calibri" w:eastAsia="Calibri" w:hAnsi="Calibri"/>
          <w:sz w:val="17"/>
          <w:szCs w:val="17"/>
          <w:color w:val="auto"/>
        </w:rPr>
      </w:pPr>
    </w:p>
    <w:p>
      <w:pPr>
        <w:ind w:left="1300" w:hanging="644"/>
        <w:spacing w:after="0" w:line="235" w:lineRule="auto"/>
        <w:tabs>
          <w:tab w:leader="none" w:pos="1293"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expected ongoing reliance on third partes, including with respect to the development, manufacturing, supply and commercializaton of Auryxia and Vafseo;</w:t>
      </w:r>
    </w:p>
    <w:p>
      <w:pPr>
        <w:spacing w:after="0" w:line="50" w:lineRule="exact"/>
        <w:rPr>
          <w:rFonts w:ascii="Calibri" w:cs="Calibri" w:eastAsia="Calibri" w:hAnsi="Calibri"/>
          <w:sz w:val="18"/>
          <w:szCs w:val="18"/>
          <w:color w:val="auto"/>
        </w:rPr>
      </w:pPr>
    </w:p>
    <w:p>
      <w:pPr>
        <w:ind w:left="1300" w:hanging="644"/>
        <w:spacing w:after="0"/>
        <w:tabs>
          <w:tab w:leader="none" w:pos="130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accountng standards and estmates, their impact, and their expected tming of completon;</w:t>
      </w:r>
    </w:p>
    <w:p>
      <w:pPr>
        <w:spacing w:after="0" w:line="50" w:lineRule="exact"/>
        <w:rPr>
          <w:rFonts w:ascii="Calibri" w:cs="Calibri" w:eastAsia="Calibri" w:hAnsi="Calibri"/>
          <w:sz w:val="18"/>
          <w:szCs w:val="18"/>
          <w:color w:val="auto"/>
        </w:rPr>
      </w:pPr>
    </w:p>
    <w:p>
      <w:pPr>
        <w:ind w:left="1300" w:hanging="644"/>
        <w:spacing w:after="0"/>
        <w:tabs>
          <w:tab w:leader="none" w:pos="130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estmated periods of performance of key contracts;</w:t>
      </w:r>
    </w:p>
    <w:p>
      <w:pPr>
        <w:spacing w:after="0" w:line="50" w:lineRule="exact"/>
        <w:rPr>
          <w:rFonts w:ascii="Calibri" w:cs="Calibri" w:eastAsia="Calibri" w:hAnsi="Calibri"/>
          <w:sz w:val="18"/>
          <w:szCs w:val="18"/>
          <w:color w:val="auto"/>
        </w:rPr>
      </w:pPr>
    </w:p>
    <w:p>
      <w:pPr>
        <w:ind w:left="1300" w:hanging="644"/>
        <w:spacing w:after="0"/>
        <w:tabs>
          <w:tab w:leader="none" w:pos="130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our facilites, lease commitments, and future availability of facilites;</w:t>
      </w:r>
    </w:p>
    <w:p>
      <w:pPr>
        <w:spacing w:after="0" w:line="50" w:lineRule="exact"/>
        <w:rPr>
          <w:rFonts w:ascii="Calibri" w:cs="Calibri" w:eastAsia="Calibri" w:hAnsi="Calibri"/>
          <w:sz w:val="18"/>
          <w:szCs w:val="18"/>
          <w:color w:val="auto"/>
        </w:rPr>
      </w:pPr>
    </w:p>
    <w:p>
      <w:pPr>
        <w:ind w:left="1300" w:hanging="644"/>
        <w:spacing w:after="0"/>
        <w:tabs>
          <w:tab w:leader="none" w:pos="130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cybersecurity;</w:t>
      </w:r>
    </w:p>
    <w:p>
      <w:pPr>
        <w:spacing w:after="0" w:line="50" w:lineRule="exact"/>
        <w:rPr>
          <w:rFonts w:ascii="Calibri" w:cs="Calibri" w:eastAsia="Calibri" w:hAnsi="Calibri"/>
          <w:sz w:val="18"/>
          <w:szCs w:val="18"/>
          <w:color w:val="auto"/>
        </w:rPr>
      </w:pPr>
    </w:p>
    <w:p>
      <w:pPr>
        <w:ind w:left="1300" w:hanging="644"/>
        <w:spacing w:after="0"/>
        <w:tabs>
          <w:tab w:leader="none" w:pos="130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insurance coverage;</w:t>
      </w:r>
    </w:p>
    <w:p>
      <w:pPr>
        <w:spacing w:after="0" w:line="55" w:lineRule="exact"/>
        <w:rPr>
          <w:rFonts w:ascii="Calibri" w:cs="Calibri" w:eastAsia="Calibri" w:hAnsi="Calibri"/>
          <w:sz w:val="18"/>
          <w:szCs w:val="18"/>
          <w:color w:val="auto"/>
        </w:rPr>
      </w:pPr>
    </w:p>
    <w:p>
      <w:pPr>
        <w:ind w:left="1300" w:right="20" w:hanging="644"/>
        <w:spacing w:after="0" w:line="235" w:lineRule="auto"/>
        <w:tabs>
          <w:tab w:leader="none" w:pos="1293"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management of personnel, including our management team, and our employees, including employee compensaton, employee relatons, and our ability to atract, train and retain high quality employees;</w:t>
      </w:r>
    </w:p>
    <w:p>
      <w:pPr>
        <w:spacing w:after="0" w:line="55" w:lineRule="exact"/>
        <w:rPr>
          <w:rFonts w:ascii="Calibri" w:cs="Calibri" w:eastAsia="Calibri" w:hAnsi="Calibri"/>
          <w:sz w:val="18"/>
          <w:szCs w:val="18"/>
          <w:color w:val="auto"/>
        </w:rPr>
      </w:pPr>
    </w:p>
    <w:p>
      <w:pPr>
        <w:ind w:left="1300" w:hanging="644"/>
        <w:spacing w:after="0" w:line="258" w:lineRule="auto"/>
        <w:tabs>
          <w:tab w:leader="none" w:pos="1293" w:val="left"/>
        </w:tabs>
        <w:numPr>
          <w:ilvl w:val="0"/>
          <w:numId w:val="4"/>
        </w:numPr>
        <w:rPr>
          <w:rFonts w:ascii="Calibri" w:cs="Calibri" w:eastAsia="Calibri" w:hAnsi="Calibri"/>
          <w:sz w:val="17"/>
          <w:szCs w:val="17"/>
          <w:color w:val="auto"/>
        </w:rPr>
      </w:pPr>
      <w:r>
        <w:rPr>
          <w:rFonts w:ascii="Calibri" w:cs="Calibri" w:eastAsia="Calibri" w:hAnsi="Calibri"/>
          <w:sz w:val="17"/>
          <w:szCs w:val="17"/>
          <w:color w:val="auto"/>
        </w:rPr>
        <w:t>the implementaton of our business model, current operatng plan, and strategic plans for our business, product candidates and technology, and business development opportunites including potental collaboratons, alliances, mergers, acquisitons or licensing of assets;</w:t>
      </w:r>
    </w:p>
    <w:p>
      <w:pPr>
        <w:spacing w:after="0" w:line="39" w:lineRule="exact"/>
        <w:rPr>
          <w:rFonts w:ascii="Calibri" w:cs="Calibri" w:eastAsia="Calibri" w:hAnsi="Calibri"/>
          <w:sz w:val="17"/>
          <w:szCs w:val="17"/>
          <w:color w:val="auto"/>
        </w:rPr>
      </w:pPr>
    </w:p>
    <w:p>
      <w:pPr>
        <w:ind w:left="1300" w:hanging="644"/>
        <w:spacing w:after="0" w:line="235" w:lineRule="auto"/>
        <w:tabs>
          <w:tab w:leader="none" w:pos="1293"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additonal costs we may incur due to events associated with or resultng from our prior workforce reductons or other operatng expenses, including additonal costs related to vadadustat and selling, general and administratve expenses; and</w:t>
      </w:r>
    </w:p>
    <w:p>
      <w:pPr>
        <w:spacing w:after="0" w:line="50" w:lineRule="exact"/>
        <w:rPr>
          <w:rFonts w:ascii="Calibri" w:cs="Calibri" w:eastAsia="Calibri" w:hAnsi="Calibri"/>
          <w:sz w:val="18"/>
          <w:szCs w:val="18"/>
          <w:color w:val="auto"/>
        </w:rPr>
      </w:pPr>
    </w:p>
    <w:p>
      <w:pPr>
        <w:ind w:left="1300" w:hanging="644"/>
        <w:spacing w:after="0"/>
        <w:tabs>
          <w:tab w:leader="none" w:pos="1300" w:val="left"/>
        </w:tabs>
        <w:numPr>
          <w:ilvl w:val="0"/>
          <w:numId w:val="4"/>
        </w:numPr>
        <w:rPr>
          <w:rFonts w:ascii="Calibri" w:cs="Calibri" w:eastAsia="Calibri" w:hAnsi="Calibri"/>
          <w:sz w:val="18"/>
          <w:szCs w:val="18"/>
          <w:color w:val="auto"/>
        </w:rPr>
      </w:pPr>
      <w:r>
        <w:rPr>
          <w:rFonts w:ascii="Calibri" w:cs="Calibri" w:eastAsia="Calibri" w:hAnsi="Calibri"/>
          <w:sz w:val="18"/>
          <w:szCs w:val="18"/>
          <w:color w:val="auto"/>
        </w:rPr>
        <w:t>the tming, outcome and impact of current and any future legal proceedings.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Any or all of these forward-looking statements in this Form 10-K may turn out to be inaccurate. These forward-looking statements involve risks and uncertaintes, including those that are discussed below under the heading "Risk Factors Summary", and the risk factors identfed further in Part I, Item 1A. "Risk Factors" included in this Form 10-K and elsewhere in this Form 10-K and in our Securites and Exchange Commission reports fled afer this report, that could cause our actual results, fnancial conditon, performance or achievements to be materially diferent from those indicated in these forward-looking statements. Given these risks and uncertaintes, you should not place undue reliance on these forward-looking statements. Forward-looking statements speak only as of the date of this Form 10-K. Except as required by law, we assume no obligaton to publicly update or revise these forward-looking statements for any reason. Unless otherwise stated, our forward-looking statements do not refect the potental impact of any future acquisitons, mergers, dispositons, joint ventures or investments we may make.</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This Form 10-K also contains estmates and other informaton concerning our industry and the markets for certain diseases, including data regarding the estmated size of those markets, and the incidence and prevalence of certain medical conditons. Unless otherwise expressly stated, we obtained this industry, market and other data from reports, research surveys, studies and similar data prepared by market research frms and other third partes, industry, medical and general publicatons, government data and similar sources.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 w:name="page6"/>
    <w:bookmarkEnd w:id="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RISK FACTORS SUMMARY</w:t>
      </w:r>
    </w:p>
    <w:p>
      <w:pPr>
        <w:spacing w:after="0" w:line="9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Investng in our common stock involves numerous risks, including the risks summarized below and described in further detail in “Part I, Item 1A. Risk Factors” of this Form 10-K, any one of which could materially adversely afect our business, fnancial conditon, results of operatons, and prospects. These risks include, but are not limited to, the following.</w:t>
      </w:r>
    </w:p>
    <w:p>
      <w:pPr>
        <w:spacing w:after="0" w:line="111" w:lineRule="exact"/>
        <w:rPr>
          <w:sz w:val="20"/>
          <w:szCs w:val="20"/>
          <w:color w:val="auto"/>
        </w:rPr>
      </w:pPr>
    </w:p>
    <w:p>
      <w:pPr>
        <w:ind w:left="660" w:hanging="328"/>
        <w:spacing w:after="0" w:line="235" w:lineRule="auto"/>
        <w:tabs>
          <w:tab w:leader="none" w:pos="653"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We have incurred signifcant losses since our incepton, and antcipate that we will contnue to incur losses and cannot guarantee when, if ever, we will become proftable or atain positve cash fows.</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We may require substantal additonal fnancing to fund our business. A failure to obtain this necessary capital when needed, or on acceptable terms, could force us to delay, limit, reduce or terminate our product development or commercializaton eforts.</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Raising additonal capital may cause diluton to our existng stockholders, restrict our operatons or require us to relinquish rights to our products and product candidates on unfavorable terms to us.</w:t>
      </w:r>
    </w:p>
    <w:p>
      <w:pPr>
        <w:spacing w:after="0" w:line="55" w:lineRule="exact"/>
        <w:rPr>
          <w:rFonts w:ascii="Calibri" w:cs="Calibri" w:eastAsia="Calibri" w:hAnsi="Calibri"/>
          <w:sz w:val="18"/>
          <w:szCs w:val="18"/>
          <w:color w:val="auto"/>
        </w:rPr>
      </w:pPr>
    </w:p>
    <w:p>
      <w:pPr>
        <w:jc w:val="both"/>
        <w:ind w:left="660" w:hanging="328"/>
        <w:spacing w:after="0" w:line="235" w:lineRule="auto"/>
        <w:tabs>
          <w:tab w:leader="none" w:pos="653"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We may not be successful in our eforts to identfy, acquire, in-license, discover, develop and commercialize additonal products or product candidates or our decisions to prioritze the development of certain product candidates over others may not be successful, which could impair our ability to grow.</w:t>
      </w:r>
    </w:p>
    <w:p>
      <w:pPr>
        <w:spacing w:after="0" w:line="56" w:lineRule="exact"/>
        <w:rPr>
          <w:rFonts w:ascii="Calibri" w:cs="Calibri" w:eastAsia="Calibri" w:hAnsi="Calibri"/>
          <w:sz w:val="18"/>
          <w:szCs w:val="18"/>
          <w:color w:val="auto"/>
        </w:rPr>
      </w:pPr>
    </w:p>
    <w:p>
      <w:pPr>
        <w:jc w:val="both"/>
        <w:ind w:left="660" w:hanging="328"/>
        <w:spacing w:after="0" w:line="235" w:lineRule="auto"/>
        <w:tabs>
          <w:tab w:leader="none" w:pos="653"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We may engage in strategic transactons to acquire assets, businesses, or rights to products, product candidates or technologies or form collaboratons or make investments in other companies or technologies that could harm our operatng results, dilute our stockholders’ ownership, increase our debt, or cause us to incur signifcant expense.</w:t>
      </w:r>
    </w:p>
    <w:p>
      <w:pPr>
        <w:spacing w:after="0" w:line="56"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Our obligatons in connecton with the BlackRock Credit Agreement and requirements and restrictons in the BlackRock Credit Agreement could adversely afect our fnancial conditon and restrict our operatons.</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Our Royalty Interest Acquisiton Agreement with HealthCare Royalty Partners IV, L.P. contains various covenants and other provisions, which, if violated, could materially adversely afect our fnancial conditon.</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Our business is substantally dependent on the commercial success of Auryxia and Vafseo. If we are unable to contnue to successfully commercialize Auryxia and Vafseo, our results of operatons and fnancial conditon will be materially harmed.</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If we are unable to maintain or expand sales and marketng capabilites or enter into additonal agreements with third partes, we may not be successful in commercializing Auryxia, Vafseo or any other product candidates that may be approved.</w:t>
      </w:r>
    </w:p>
    <w:p>
      <w:pPr>
        <w:spacing w:after="0" w:line="55" w:lineRule="exact"/>
        <w:rPr>
          <w:rFonts w:ascii="Calibri" w:cs="Calibri" w:eastAsia="Calibri" w:hAnsi="Calibri"/>
          <w:sz w:val="18"/>
          <w:szCs w:val="18"/>
          <w:color w:val="auto"/>
        </w:rPr>
      </w:pPr>
    </w:p>
    <w:p>
      <w:pPr>
        <w:jc w:val="both"/>
        <w:ind w:left="660" w:hanging="328"/>
        <w:spacing w:after="0" w:line="235" w:lineRule="auto"/>
        <w:tabs>
          <w:tab w:leader="none" w:pos="653"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Our, or our partners', failure to obtain or maintain adequate coverage, pricing and reimbursement for Auryxia, Vafseo or any other future approved products, could have a material adverse efect on our or our collaboraton partners’ ability to sell such approved products proftably and otherwise have a material adverse impact on our business.</w:t>
      </w:r>
    </w:p>
    <w:p>
      <w:pPr>
        <w:spacing w:after="0" w:line="56"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We face substantal competton, which may result in others discovering, developing or commercializing products before, or more successfully than, we do.</w:t>
      </w:r>
    </w:p>
    <w:p>
      <w:pPr>
        <w:spacing w:after="0" w:line="55" w:lineRule="exact"/>
        <w:rPr>
          <w:rFonts w:ascii="Calibri" w:cs="Calibri" w:eastAsia="Calibri" w:hAnsi="Calibri"/>
          <w:sz w:val="18"/>
          <w:szCs w:val="18"/>
          <w:color w:val="auto"/>
        </w:rPr>
      </w:pPr>
    </w:p>
    <w:p>
      <w:pPr>
        <w:jc w:val="both"/>
        <w:ind w:left="660" w:hanging="328"/>
        <w:spacing w:after="0" w:line="254" w:lineRule="auto"/>
        <w:tabs>
          <w:tab w:leader="none" w:pos="653" w:val="left"/>
        </w:tabs>
        <w:numPr>
          <w:ilvl w:val="0"/>
          <w:numId w:val="5"/>
        </w:numPr>
        <w:rPr>
          <w:rFonts w:ascii="Calibri" w:cs="Calibri" w:eastAsia="Calibri" w:hAnsi="Calibri"/>
          <w:sz w:val="17"/>
          <w:szCs w:val="17"/>
          <w:color w:val="auto"/>
        </w:rPr>
      </w:pPr>
      <w:r>
        <w:rPr>
          <w:rFonts w:ascii="Calibri" w:cs="Calibri" w:eastAsia="Calibri" w:hAnsi="Calibri"/>
          <w:sz w:val="17"/>
          <w:szCs w:val="17"/>
          <w:color w:val="auto"/>
        </w:rPr>
        <w:t xml:space="preserve">The commercializaton of ferric citrate, branded as Riona in Japan, Vafseo in Europe, Japan and other territories where it is approved, and our current and potental future eforts with respect to the development and commercializaton of our products and product candidates outside of the United States, or </w:t>
      </w:r>
      <w:r>
        <w:rPr>
          <w:rFonts w:ascii="Calibri" w:cs="Calibri" w:eastAsia="Calibri" w:hAnsi="Calibri"/>
          <w:sz w:val="17"/>
          <w:szCs w:val="17"/>
          <w:u w:val="single" w:color="auto"/>
          <w:color w:val="auto"/>
        </w:rPr>
        <w:t>U.S.</w:t>
      </w:r>
      <w:r>
        <w:rPr>
          <w:rFonts w:ascii="Calibri" w:cs="Calibri" w:eastAsia="Calibri" w:hAnsi="Calibri"/>
          <w:sz w:val="17"/>
          <w:szCs w:val="17"/>
          <w:color w:val="auto"/>
        </w:rPr>
        <w:t>, subject us to a variety of risks associated with internatonal operatons, which could materially adversely afect our business.</w:t>
      </w:r>
    </w:p>
    <w:p>
      <w:pPr>
        <w:spacing w:after="0" w:line="43" w:lineRule="exact"/>
        <w:rPr>
          <w:rFonts w:ascii="Calibri" w:cs="Calibri" w:eastAsia="Calibri" w:hAnsi="Calibri"/>
          <w:sz w:val="17"/>
          <w:szCs w:val="17"/>
          <w:color w:val="auto"/>
        </w:rPr>
      </w:pPr>
    </w:p>
    <w:p>
      <w:pPr>
        <w:ind w:left="660" w:hanging="328"/>
        <w:spacing w:after="0" w:line="235" w:lineRule="auto"/>
        <w:tabs>
          <w:tab w:leader="none" w:pos="653"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Clinical drug development involves a lengthy and expensive process with an uncertain outcome, and we will incur additonal costs in connecton with, and may experience delays in completng, or ultmately be unable to complete, the development of any of our product candidates.</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Auryxia, Vafseo or any other product or product candidate, including those that may be in-licensed or acquired, may cause undesirable side efects or have other propertes that may delay or prevent marketng approval or limit their commercial potental.</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We may not be able to obtain marketng approval for any label expansion for Vafseo or any current or future product candidate, or we may experience signifcant delays in doing so, any of which would materially harm our business.</w:t>
      </w:r>
    </w:p>
    <w:p>
      <w:pPr>
        <w:spacing w:after="0" w:line="109" w:lineRule="exact"/>
        <w:rPr>
          <w:rFonts w:ascii="Calibri" w:cs="Calibri" w:eastAsia="Calibri" w:hAnsi="Calibri"/>
          <w:sz w:val="18"/>
          <w:szCs w:val="18"/>
          <w:color w:val="auto"/>
        </w:rPr>
      </w:pPr>
    </w:p>
    <w:p>
      <w:pPr>
        <w:ind w:left="660" w:hanging="328"/>
        <w:spacing w:after="0" w:line="218" w:lineRule="auto"/>
        <w:tabs>
          <w:tab w:leader="none" w:pos="655" w:val="left"/>
        </w:tabs>
        <w:numPr>
          <w:ilvl w:val="0"/>
          <w:numId w:val="5"/>
        </w:numPr>
        <w:rPr>
          <w:rFonts w:ascii="Arial" w:cs="Arial" w:eastAsia="Arial" w:hAnsi="Arial"/>
          <w:sz w:val="22"/>
          <w:szCs w:val="22"/>
          <w:color w:val="auto"/>
        </w:rPr>
      </w:pPr>
      <w:r>
        <w:rPr>
          <w:rFonts w:ascii="Calibri" w:cs="Calibri" w:eastAsia="Calibri" w:hAnsi="Calibri"/>
          <w:sz w:val="18"/>
          <w:szCs w:val="18"/>
          <w:color w:val="auto"/>
        </w:rPr>
        <w:t>If we are unable to obtain or maintain marketng approval in jurisdictons outside the United States, we and our partners will not be able to market any product or product candidates outside of the United States.</w:t>
      </w:r>
    </w:p>
    <w:p>
      <w:pPr>
        <w:spacing w:after="0" w:line="55" w:lineRule="exact"/>
        <w:rPr>
          <w:rFonts w:ascii="Arial" w:cs="Arial" w:eastAsia="Arial" w:hAnsi="Arial"/>
          <w:sz w:val="22"/>
          <w:szCs w:val="22"/>
          <w:color w:val="auto"/>
        </w:rPr>
      </w:pPr>
    </w:p>
    <w:p>
      <w:pPr>
        <w:jc w:val="both"/>
        <w:ind w:left="660" w:hanging="328"/>
        <w:spacing w:after="0" w:line="235" w:lineRule="auto"/>
        <w:tabs>
          <w:tab w:leader="none" w:pos="653"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Products approved for marketng are subject to extensive post-marketng regulatory requirements, including post-approval pediatric studies for Auryxia and Vafseo, and could be subject to post-marketng restrictons or withdrawal from the market, and we may be subject to penaltes, including withdrawal of marketng approval, if we fail to comply with regulatory requirements or if we experience unantcipated problems with our products, or product candidates, when and if approved.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 w:name="page7"/>
    <w:bookmarkEnd w:id="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660" w:hanging="328"/>
        <w:spacing w:after="0" w:line="235" w:lineRule="auto"/>
        <w:tabs>
          <w:tab w:leader="none" w:pos="653"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We are subject to complex regulatory schemes that require signifcant resources to ensure compliance and our failure to comply with applicable laws could subject us to government scrutny or enforcement, potentally resultng in costly investgatons, fnes, penaltes or sanctons, contractual damages, reputatonal harm, administratve burdens and diminished profts and future earnings.</w:t>
      </w:r>
    </w:p>
    <w:p>
      <w:pPr>
        <w:spacing w:after="0" w:line="56"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We will incur signifcant liability if it is determined that we are promotng any “of-label” use of Auryxia, Vafseo or any other product we may develop, in-license or acquire or if it is determined that any of our actvites violates the federal Ant-Kickback Statute.</w:t>
      </w:r>
    </w:p>
    <w:p>
      <w:pPr>
        <w:spacing w:after="0" w:line="55" w:lineRule="exact"/>
        <w:rPr>
          <w:rFonts w:ascii="Calibri" w:cs="Calibri" w:eastAsia="Calibri" w:hAnsi="Calibri"/>
          <w:sz w:val="18"/>
          <w:szCs w:val="18"/>
          <w:color w:val="auto"/>
        </w:rPr>
      </w:pPr>
    </w:p>
    <w:p>
      <w:pPr>
        <w:jc w:val="both"/>
        <w:ind w:left="660" w:hanging="328"/>
        <w:spacing w:after="0" w:line="235" w:lineRule="auto"/>
        <w:tabs>
          <w:tab w:leader="none" w:pos="653"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Policy changes or disruptons at the U.S. Food and Drug Administraton, Centers for Medicare &amp; Medicaid Services, regulatory authorites outside the U.S. and other government agencies caused by funding shortages, global health concerns or other events could prevent products, product candidates and services from being developed or commercialized in a tmely manner, with expected terms or at all, which could negatvely impact our business.</w:t>
      </w:r>
    </w:p>
    <w:p>
      <w:pPr>
        <w:spacing w:after="0" w:line="57"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Legislatve and regulatory healthcare reform may increase the difculty and cost for us to obtain marketng approval of and commercialize our product candidates and afect the prices we may obtain for any products that are approved in the U.S. or foreign jurisdictons.</w:t>
      </w:r>
    </w:p>
    <w:p>
      <w:pPr>
        <w:spacing w:after="0" w:line="55" w:lineRule="exact"/>
        <w:rPr>
          <w:rFonts w:ascii="Calibri" w:cs="Calibri" w:eastAsia="Calibri" w:hAnsi="Calibri"/>
          <w:sz w:val="18"/>
          <w:szCs w:val="18"/>
          <w:color w:val="auto"/>
        </w:rPr>
      </w:pPr>
    </w:p>
    <w:p>
      <w:pPr>
        <w:jc w:val="both"/>
        <w:ind w:left="660" w:hanging="328"/>
        <w:spacing w:after="0" w:line="235" w:lineRule="auto"/>
        <w:tabs>
          <w:tab w:leader="none" w:pos="653"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We depend on collaboratons with third partes for the development and commercializaton of Auryxia, including an authorized generic version of Auryxia, Riona and Vafseo and, if these collaboratons are not successful or if our collaborators terminate their agreements with us, we may not be able to capitalize on the market potental of Auryxia, Riona and Vafseo, and our business could be materially harmed.</w:t>
      </w:r>
    </w:p>
    <w:p>
      <w:pPr>
        <w:spacing w:after="0" w:line="56" w:lineRule="exact"/>
        <w:rPr>
          <w:rFonts w:ascii="Calibri" w:cs="Calibri" w:eastAsia="Calibri" w:hAnsi="Calibri"/>
          <w:sz w:val="18"/>
          <w:szCs w:val="18"/>
          <w:color w:val="auto"/>
        </w:rPr>
      </w:pPr>
    </w:p>
    <w:p>
      <w:pPr>
        <w:jc w:val="both"/>
        <w:ind w:left="660" w:hanging="328"/>
        <w:spacing w:after="0" w:line="235" w:lineRule="auto"/>
        <w:tabs>
          <w:tab w:leader="none" w:pos="653"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We rely upon third partes to conduct all aspects of our product manufacturing and commercial distributon, and in many instances only have a single supplier or distributor, and the loss of these manufacturers or distributors, their failure to supply us on a tmely basis, or at all, or their failure to successfully carry out their contractual dutes or comply with regulatory requirements, cGMP requirements, or guidance could cause delays in or disruptons to our supply chain and substantally harm our business.</w:t>
      </w:r>
    </w:p>
    <w:p>
      <w:pPr>
        <w:spacing w:after="0" w:line="57" w:lineRule="exact"/>
        <w:rPr>
          <w:rFonts w:ascii="Calibri" w:cs="Calibri" w:eastAsia="Calibri" w:hAnsi="Calibri"/>
          <w:sz w:val="18"/>
          <w:szCs w:val="18"/>
          <w:color w:val="auto"/>
        </w:rPr>
      </w:pPr>
    </w:p>
    <w:p>
      <w:pPr>
        <w:jc w:val="both"/>
        <w:ind w:left="660" w:hanging="328"/>
        <w:spacing w:after="0" w:line="235" w:lineRule="auto"/>
        <w:tabs>
          <w:tab w:leader="none" w:pos="653"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We rely upon third partes to conduct our clinical trials and certain of our preclinical studies. If they do not successfully carry out their contractual dutes, comply with regulatory requirements or meet expected deadlines, we may not be able to obtain or maintain marketng approval for Auryxia, Vafseo or any of our product candidates, and our business could be substantally harmed.</w:t>
      </w:r>
    </w:p>
    <w:p>
      <w:pPr>
        <w:spacing w:after="0" w:line="56"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If the licensor of certain intellectual property relatng to Auryxia terminates, modifes or threatens to terminate existng contracts or relatonships with us, our business may be materially harmed.</w:t>
      </w:r>
    </w:p>
    <w:p>
      <w:pPr>
        <w:spacing w:after="0" w:line="82" w:lineRule="exact"/>
        <w:rPr>
          <w:rFonts w:ascii="Calibri" w:cs="Calibri" w:eastAsia="Calibri" w:hAnsi="Calibri"/>
          <w:sz w:val="18"/>
          <w:szCs w:val="18"/>
          <w:color w:val="auto"/>
        </w:rPr>
      </w:pPr>
    </w:p>
    <w:p>
      <w:pPr>
        <w:ind w:left="660" w:hanging="328"/>
        <w:spacing w:after="0" w:line="218" w:lineRule="auto"/>
        <w:tabs>
          <w:tab w:leader="none" w:pos="660" w:val="left"/>
        </w:tabs>
        <w:numPr>
          <w:ilvl w:val="0"/>
          <w:numId w:val="6"/>
        </w:numPr>
        <w:rPr>
          <w:rFonts w:ascii="Calibri" w:cs="Calibri" w:eastAsia="Calibri" w:hAnsi="Calibri"/>
          <w:sz w:val="22"/>
          <w:szCs w:val="22"/>
          <w:color w:val="auto"/>
        </w:rPr>
      </w:pPr>
      <w:r>
        <w:rPr>
          <w:rFonts w:ascii="Calibri" w:cs="Calibri" w:eastAsia="Calibri" w:hAnsi="Calibri"/>
          <w:sz w:val="18"/>
          <w:szCs w:val="18"/>
          <w:color w:val="auto"/>
        </w:rPr>
        <w:t>Changes in U.S. and internatonal trade policies, partcularly with respect to China and Canada, may adversely impact our business and operatng results.</w:t>
      </w:r>
    </w:p>
    <w:p>
      <w:pPr>
        <w:spacing w:after="0" w:line="55" w:lineRule="exact"/>
        <w:rPr>
          <w:rFonts w:ascii="Calibri" w:cs="Calibri" w:eastAsia="Calibri" w:hAnsi="Calibri"/>
          <w:sz w:val="22"/>
          <w:szCs w:val="22"/>
          <w:color w:val="auto"/>
        </w:rPr>
      </w:pPr>
    </w:p>
    <w:p>
      <w:pPr>
        <w:ind w:left="660" w:hanging="328"/>
        <w:spacing w:after="0" w:line="235" w:lineRule="auto"/>
        <w:tabs>
          <w:tab w:leader="none" w:pos="653"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If we are unable to adequately protect our intellectual property, third partes may be able to use our intellectual property, which could adversely afect our ability to compete in the market.</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We may not be able to protect our intellectual property rights throughout the world.</w:t>
      </w:r>
    </w:p>
    <w:p>
      <w:pPr>
        <w:spacing w:after="0" w:line="55" w:lineRule="exact"/>
        <w:rPr>
          <w:rFonts w:ascii="Calibri" w:cs="Calibri" w:eastAsia="Calibri" w:hAnsi="Calibri"/>
          <w:sz w:val="18"/>
          <w:szCs w:val="18"/>
          <w:color w:val="auto"/>
        </w:rPr>
      </w:pPr>
    </w:p>
    <w:p>
      <w:pPr>
        <w:ind w:left="660" w:hanging="328"/>
        <w:spacing w:after="0" w:line="258" w:lineRule="auto"/>
        <w:tabs>
          <w:tab w:leader="none" w:pos="653" w:val="left"/>
        </w:tabs>
        <w:numPr>
          <w:ilvl w:val="0"/>
          <w:numId w:val="6"/>
        </w:numPr>
        <w:rPr>
          <w:rFonts w:ascii="Calibri" w:cs="Calibri" w:eastAsia="Calibri" w:hAnsi="Calibri"/>
          <w:sz w:val="17"/>
          <w:szCs w:val="17"/>
          <w:color w:val="auto"/>
        </w:rPr>
      </w:pPr>
      <w:r>
        <w:rPr>
          <w:rFonts w:ascii="Calibri" w:cs="Calibri" w:eastAsia="Calibri" w:hAnsi="Calibri"/>
          <w:sz w:val="17"/>
          <w:szCs w:val="17"/>
          <w:color w:val="auto"/>
        </w:rPr>
        <w:t>The intellectual property that we own or have licensed and related non-patent exclusivity relatng to our current and future products is, and may be, limited, which could adversely afect our ability to compete in the market and adversely afect the value of Auryxia, Vafseo or other future products.</w:t>
      </w:r>
    </w:p>
    <w:p>
      <w:pPr>
        <w:spacing w:after="0" w:line="39" w:lineRule="exact"/>
        <w:rPr>
          <w:rFonts w:ascii="Calibri" w:cs="Calibri" w:eastAsia="Calibri" w:hAnsi="Calibri"/>
          <w:sz w:val="17"/>
          <w:szCs w:val="17"/>
          <w:color w:val="auto"/>
        </w:rPr>
      </w:pPr>
    </w:p>
    <w:p>
      <w:pPr>
        <w:ind w:left="660" w:hanging="328"/>
        <w:spacing w:after="0" w:line="235" w:lineRule="auto"/>
        <w:tabs>
          <w:tab w:leader="none" w:pos="653"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The market entry of one or more generic compettors or any third party’s atempt to challenge our intellectual property rights will likely limit Auryxia and Vafseo sales and have an adverse impact on our business and results of operaton.</w:t>
      </w:r>
    </w:p>
    <w:p>
      <w:pPr>
        <w:spacing w:after="0" w:line="55" w:lineRule="exact"/>
        <w:rPr>
          <w:rFonts w:ascii="Calibri" w:cs="Calibri" w:eastAsia="Calibri" w:hAnsi="Calibri"/>
          <w:sz w:val="18"/>
          <w:szCs w:val="18"/>
          <w:color w:val="auto"/>
        </w:rPr>
      </w:pPr>
    </w:p>
    <w:p>
      <w:pPr>
        <w:jc w:val="both"/>
        <w:ind w:left="660" w:hanging="328"/>
        <w:spacing w:after="0" w:line="235" w:lineRule="auto"/>
        <w:tabs>
          <w:tab w:leader="none" w:pos="653"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Litgaton and administratve proceedings, including third party claims of intellectual property infringement and oppositon/invalidaton proceedings against third party patents, may be costly and tme consuming and may delay or harm our drug discovery, development and commercializaton eforts.</w:t>
      </w:r>
    </w:p>
    <w:p>
      <w:pPr>
        <w:spacing w:after="0" w:line="56" w:lineRule="exact"/>
        <w:rPr>
          <w:rFonts w:ascii="Calibri" w:cs="Calibri" w:eastAsia="Calibri" w:hAnsi="Calibri"/>
          <w:sz w:val="18"/>
          <w:szCs w:val="18"/>
          <w:color w:val="auto"/>
        </w:rPr>
      </w:pPr>
    </w:p>
    <w:p>
      <w:pPr>
        <w:jc w:val="both"/>
        <w:ind w:left="660" w:hanging="328"/>
        <w:spacing w:after="0" w:line="235" w:lineRule="auto"/>
        <w:tabs>
          <w:tab w:leader="none" w:pos="653"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We have identfed a material weakness in our internal control over fnancial reportng as of December 31, 2024 relatng to our accountng for inventory and inventory related transactons. If we are not able to remediate this material weakness, or if we experience additonal material weaknesses or other defciencies in our internal control over fnancial reportng in the future or otherwise fail to maintain an efectve system of internal control over fnancial reportng, we may not be able to accurately or tmely report our fnancial results or prevent fraud, and we may conclude that our internal control over fnancial reportng is not efectve, which may adversely afect our business.</w:t>
      </w:r>
    </w:p>
    <w:p>
      <w:pPr>
        <w:spacing w:after="0" w:line="58"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Our stock price has been and may contnue to be volatle, which could result in substantal losses for holders or future purchasers of our common stock and lawsuits against us and our ofcers and directors and could result in substantal costs and divert management's atenton.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 w:name="page8"/>
    <w:bookmarkEnd w:id="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PART I</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Overview</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are a fully integrated biopharmaceutcal company with two commercial products for patents impacted by kidney disease. We have built a business focused on developing and commercializing innovatve therapeutcs that we believe serve as a foundaton for future growth. Our team has signifcant expertse in hypoxia-inducible factor, or </w:t>
      </w:r>
      <w:r>
        <w:rPr>
          <w:rFonts w:ascii="Calibri" w:cs="Calibri" w:eastAsia="Calibri" w:hAnsi="Calibri"/>
          <w:sz w:val="18"/>
          <w:szCs w:val="18"/>
          <w:u w:val="single" w:color="auto"/>
          <w:color w:val="auto"/>
        </w:rPr>
        <w:t>HIF</w:t>
      </w:r>
      <w:r>
        <w:rPr>
          <w:rFonts w:ascii="Calibri" w:cs="Calibri" w:eastAsia="Calibri" w:hAnsi="Calibri"/>
          <w:sz w:val="18"/>
          <w:szCs w:val="18"/>
          <w:color w:val="auto"/>
        </w:rPr>
        <w:t xml:space="preserve">, science having developed and commercialized Vafseo® (vadadustat), an oral HIF prolyl hydroxylase, or </w:t>
      </w:r>
      <w:r>
        <w:rPr>
          <w:rFonts w:ascii="Calibri" w:cs="Calibri" w:eastAsia="Calibri" w:hAnsi="Calibri"/>
          <w:sz w:val="18"/>
          <w:szCs w:val="18"/>
          <w:u w:val="single" w:color="auto"/>
          <w:color w:val="auto"/>
        </w:rPr>
        <w:t>HIF-PH</w:t>
      </w:r>
      <w:r>
        <w:rPr>
          <w:rFonts w:ascii="Calibri" w:cs="Calibri" w:eastAsia="Calibri" w:hAnsi="Calibri"/>
          <w:sz w:val="18"/>
          <w:szCs w:val="18"/>
          <w:color w:val="auto"/>
        </w:rPr>
        <w:t>, inhibitor and have selected two additonal HIF-based molecules for preclinical development.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have established the company as a leader in the kidney community, and we believe our cross-organizatonal expertse in renal disease positons us for success. Chronic kidney disease, or </w:t>
      </w:r>
      <w:r>
        <w:rPr>
          <w:rFonts w:ascii="Calibri" w:cs="Calibri" w:eastAsia="Calibri" w:hAnsi="Calibri"/>
          <w:sz w:val="18"/>
          <w:szCs w:val="18"/>
          <w:u w:val="single" w:color="auto"/>
          <w:color w:val="auto"/>
        </w:rPr>
        <w:t>CKD</w:t>
      </w:r>
      <w:r>
        <w:rPr>
          <w:rFonts w:ascii="Calibri" w:cs="Calibri" w:eastAsia="Calibri" w:hAnsi="Calibri"/>
          <w:sz w:val="18"/>
          <w:szCs w:val="18"/>
          <w:color w:val="auto"/>
        </w:rPr>
        <w:t xml:space="preserve">, is a conditon in which the kidneys are progressively damaged to the point that they cannot properly flter the blood circulatng in the body. This damage causes waste products to build up in the patent’s blood, leading to other health problems, including anemia, cardiovascular disease and bone disease. CKD signifcantly impacts the United States, or </w:t>
      </w:r>
      <w:r>
        <w:rPr>
          <w:rFonts w:ascii="Calibri" w:cs="Calibri" w:eastAsia="Calibri" w:hAnsi="Calibri"/>
          <w:sz w:val="18"/>
          <w:szCs w:val="18"/>
          <w:u w:val="single" w:color="auto"/>
          <w:color w:val="auto"/>
        </w:rPr>
        <w:t>U.S.</w:t>
      </w:r>
      <w:r>
        <w:rPr>
          <w:rFonts w:ascii="Calibri" w:cs="Calibri" w:eastAsia="Calibri" w:hAnsi="Calibri"/>
          <w:sz w:val="18"/>
          <w:szCs w:val="18"/>
          <w:color w:val="auto"/>
        </w:rPr>
        <w:t xml:space="preserve">, healthcare system, potentally afectng approximately 37 million patents and costng Medicare nearly $125 billion annually for treatng Medicare benefciaries with CKD or end-stage renal disease, or </w:t>
      </w:r>
      <w:r>
        <w:rPr>
          <w:rFonts w:ascii="Calibri" w:cs="Calibri" w:eastAsia="Calibri" w:hAnsi="Calibri"/>
          <w:sz w:val="18"/>
          <w:szCs w:val="18"/>
          <w:u w:val="single" w:color="auto"/>
          <w:color w:val="auto"/>
        </w:rPr>
        <w:t>ESRD</w:t>
      </w:r>
      <w:r>
        <w:rPr>
          <w:rFonts w:ascii="Calibri" w:cs="Calibri" w:eastAsia="Calibri" w:hAnsi="Calibri"/>
          <w:sz w:val="18"/>
          <w:szCs w:val="18"/>
          <w:color w:val="auto"/>
        </w:rPr>
        <w:t>, according to the Centers for Disease Control and Preventon. Our two commercial products address certain complicatons of kidney disease.</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color w:val="auto"/>
        </w:rPr>
        <w:t>Our current portolio includes:</w:t>
      </w:r>
    </w:p>
    <w:p>
      <w:pPr>
        <w:spacing w:after="0" w:line="109" w:lineRule="exact"/>
        <w:rPr>
          <w:sz w:val="20"/>
          <w:szCs w:val="20"/>
          <w:color w:val="auto"/>
        </w:rPr>
      </w:pPr>
    </w:p>
    <w:p>
      <w:pPr>
        <w:jc w:val="both"/>
        <w:ind w:left="660"/>
        <w:spacing w:after="0" w:line="235" w:lineRule="auto"/>
        <w:rPr>
          <w:sz w:val="20"/>
          <w:szCs w:val="20"/>
          <w:color w:val="auto"/>
        </w:rPr>
      </w:pPr>
      <w:r>
        <w:rPr>
          <w:rFonts w:ascii="Calibri" w:cs="Calibri" w:eastAsia="Calibri" w:hAnsi="Calibri"/>
          <w:sz w:val="18"/>
          <w:szCs w:val="18"/>
          <w:b w:val="1"/>
          <w:bCs w:val="1"/>
          <w:color w:val="auto"/>
        </w:rPr>
        <w:t xml:space="preserve">Vafseo </w:t>
      </w:r>
      <w:r>
        <w:rPr>
          <w:rFonts w:ascii="Calibri" w:cs="Calibri" w:eastAsia="Calibri" w:hAnsi="Calibri"/>
          <w:sz w:val="18"/>
          <w:szCs w:val="18"/>
          <w:color w:val="auto"/>
        </w:rPr>
        <w:t>was approved by the U.S. Food and Drug Administraton, or the</w:t>
      </w:r>
      <w:r>
        <w:rPr>
          <w:rFonts w:ascii="Calibri" w:cs="Calibri" w:eastAsia="Calibri" w:hAnsi="Calibri"/>
          <w:sz w:val="18"/>
          <w:szCs w:val="18"/>
          <w:b w:val="1"/>
          <w:bCs w:val="1"/>
          <w:color w:val="auto"/>
        </w:rPr>
        <w:t xml:space="preserve"> </w:t>
      </w:r>
      <w:r>
        <w:rPr>
          <w:rFonts w:ascii="Calibri" w:cs="Calibri" w:eastAsia="Calibri" w:hAnsi="Calibri"/>
          <w:sz w:val="18"/>
          <w:szCs w:val="18"/>
          <w:u w:val="single" w:color="auto"/>
          <w:color w:val="auto"/>
        </w:rPr>
        <w:t>FDA</w:t>
      </w:r>
      <w:r>
        <w:rPr>
          <w:rFonts w:ascii="Calibri" w:cs="Calibri" w:eastAsia="Calibri" w:hAnsi="Calibri"/>
          <w:sz w:val="18"/>
          <w:szCs w:val="18"/>
          <w:color w:val="auto"/>
        </w:rPr>
        <w:t>, in March 2024 for the treatment of anemia due to CKD in adult patents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 xml:space="preserve">on dialysis for at least three months. Shipment of Vafseo commenced in January 2025. We have commercial supply agreements for the purchase of Vafseo in place with dialysis organizatons caring for nearly 100% of dialysis patents in the U.S. The current U.S. market opportunity for the treatment of anemia due to CKD in patents with dialysis is approximately $1 billion based on current erythropoiesis-stmulatng agent, or </w:t>
      </w:r>
      <w:r>
        <w:rPr>
          <w:rFonts w:ascii="Calibri" w:cs="Calibri" w:eastAsia="Calibri" w:hAnsi="Calibri"/>
          <w:sz w:val="18"/>
          <w:szCs w:val="18"/>
          <w:u w:val="single" w:color="auto"/>
          <w:color w:val="auto"/>
        </w:rPr>
        <w:t>ESA</w:t>
      </w:r>
      <w:r>
        <w:rPr>
          <w:rFonts w:ascii="Calibri" w:cs="Calibri" w:eastAsia="Calibri" w:hAnsi="Calibri"/>
          <w:sz w:val="18"/>
          <w:szCs w:val="18"/>
          <w:color w:val="auto"/>
        </w:rPr>
        <w:t>, pricing, and Vafseo is the only oral HIF-based treatment available in the U.S.</w:t>
      </w:r>
    </w:p>
    <w:p>
      <w:pPr>
        <w:spacing w:after="0" w:line="112" w:lineRule="exact"/>
        <w:rPr>
          <w:sz w:val="20"/>
          <w:szCs w:val="20"/>
          <w:color w:val="auto"/>
        </w:rPr>
      </w:pPr>
    </w:p>
    <w:p>
      <w:pPr>
        <w:jc w:val="both"/>
        <w:ind w:left="660"/>
        <w:spacing w:after="0" w:line="235" w:lineRule="auto"/>
        <w:rPr>
          <w:sz w:val="20"/>
          <w:szCs w:val="20"/>
          <w:color w:val="auto"/>
        </w:rPr>
      </w:pPr>
      <w:r>
        <w:rPr>
          <w:rFonts w:ascii="Calibri" w:cs="Calibri" w:eastAsia="Calibri" w:hAnsi="Calibri"/>
          <w:sz w:val="18"/>
          <w:szCs w:val="18"/>
          <w:color w:val="auto"/>
        </w:rPr>
        <w:t xml:space="preserve">In the European Union, or </w:t>
      </w:r>
      <w:r>
        <w:rPr>
          <w:rFonts w:ascii="Calibri" w:cs="Calibri" w:eastAsia="Calibri" w:hAnsi="Calibri"/>
          <w:sz w:val="18"/>
          <w:szCs w:val="18"/>
          <w:u w:val="single" w:color="auto"/>
          <w:color w:val="auto"/>
        </w:rPr>
        <w:t>EU</w:t>
      </w:r>
      <w:r>
        <w:rPr>
          <w:rFonts w:ascii="Calibri" w:cs="Calibri" w:eastAsia="Calibri" w:hAnsi="Calibri"/>
          <w:sz w:val="18"/>
          <w:szCs w:val="18"/>
          <w:color w:val="auto"/>
        </w:rPr>
        <w:t xml:space="preserve">, the United Kingdom, or </w:t>
      </w:r>
      <w:r>
        <w:rPr>
          <w:rFonts w:ascii="Calibri" w:cs="Calibri" w:eastAsia="Calibri" w:hAnsi="Calibri"/>
          <w:sz w:val="18"/>
          <w:szCs w:val="18"/>
          <w:u w:val="single" w:color="auto"/>
          <w:color w:val="auto"/>
        </w:rPr>
        <w:t>UK</w:t>
      </w:r>
      <w:r>
        <w:rPr>
          <w:rFonts w:ascii="Calibri" w:cs="Calibri" w:eastAsia="Calibri" w:hAnsi="Calibri"/>
          <w:sz w:val="18"/>
          <w:szCs w:val="18"/>
          <w:color w:val="auto"/>
        </w:rPr>
        <w:t xml:space="preserve">, Switzerland and Australia, Vafseo is approved for the treatment of symptomatc anemia associated with CKD in adults on chronic maintenance dialysis. Our partner MEDICE Arzneimitel Püter GmbH &amp; Co. KG, or </w:t>
      </w:r>
      <w:r>
        <w:rPr>
          <w:rFonts w:ascii="Calibri" w:cs="Calibri" w:eastAsia="Calibri" w:hAnsi="Calibri"/>
          <w:sz w:val="18"/>
          <w:szCs w:val="18"/>
          <w:u w:val="single" w:color="auto"/>
          <w:color w:val="auto"/>
        </w:rPr>
        <w:t>Medice</w:t>
      </w:r>
      <w:r>
        <w:rPr>
          <w:rFonts w:ascii="Calibri" w:cs="Calibri" w:eastAsia="Calibri" w:hAnsi="Calibri"/>
          <w:sz w:val="18"/>
          <w:szCs w:val="18"/>
          <w:color w:val="auto"/>
        </w:rPr>
        <w:t>, has an exclusive license to develop and commercialize Vafseo for the treatment of anemia in patents with CKD in defned territories and launched Vafseo in Germany, Austria, Switzerland, the Netherlands and certain other countries in Europe in 2024.</w:t>
      </w:r>
    </w:p>
    <w:p>
      <w:pPr>
        <w:spacing w:after="0" w:line="111" w:lineRule="exact"/>
        <w:rPr>
          <w:sz w:val="20"/>
          <w:szCs w:val="20"/>
          <w:color w:val="auto"/>
        </w:rPr>
      </w:pPr>
    </w:p>
    <w:p>
      <w:pPr>
        <w:jc w:val="both"/>
        <w:ind w:left="660"/>
        <w:spacing w:after="0" w:line="235" w:lineRule="auto"/>
        <w:rPr>
          <w:sz w:val="20"/>
          <w:szCs w:val="20"/>
          <w:color w:val="auto"/>
        </w:rPr>
      </w:pPr>
      <w:r>
        <w:rPr>
          <w:rFonts w:ascii="Calibri" w:cs="Calibri" w:eastAsia="Calibri" w:hAnsi="Calibri"/>
          <w:sz w:val="18"/>
          <w:szCs w:val="18"/>
          <w:color w:val="auto"/>
        </w:rPr>
        <w:t xml:space="preserve">In Japan, Vafseo is approved as a treatment for anemia due to CKD in both dialysis dependent and non-dialysis dependent patents and is marketed and sold by our collaborator Mitsubishi Tanabe Pharma Corporaton, or </w:t>
      </w:r>
      <w:r>
        <w:rPr>
          <w:rFonts w:ascii="Calibri" w:cs="Calibri" w:eastAsia="Calibri" w:hAnsi="Calibri"/>
          <w:sz w:val="18"/>
          <w:szCs w:val="18"/>
          <w:u w:val="single" w:color="auto"/>
          <w:color w:val="auto"/>
        </w:rPr>
        <w:t>MTPC</w:t>
      </w:r>
      <w:r>
        <w:rPr>
          <w:rFonts w:ascii="Calibri" w:cs="Calibri" w:eastAsia="Calibri" w:hAnsi="Calibri"/>
          <w:sz w:val="18"/>
          <w:szCs w:val="18"/>
          <w:color w:val="auto"/>
        </w:rPr>
        <w:t>. In Taiwan, Vafseo is approved for the treatment of symptomatc anemia due to CKD in adult patents on chronic maintenance dialysis and was launched in October 2024 by Tai Tien Pharmaceutcal Company, an afliate of MTPC. In Korea, Vafseo is approved as an anemia treatment for patents with CKD on hemodialysis.</w:t>
      </w:r>
    </w:p>
    <w:p>
      <w:pPr>
        <w:spacing w:after="0" w:line="111" w:lineRule="exact"/>
        <w:rPr>
          <w:sz w:val="20"/>
          <w:szCs w:val="20"/>
          <w:color w:val="auto"/>
        </w:rPr>
      </w:pPr>
    </w:p>
    <w:p>
      <w:pPr>
        <w:jc w:val="both"/>
        <w:ind w:left="660"/>
        <w:spacing w:after="0" w:line="235" w:lineRule="auto"/>
        <w:rPr>
          <w:sz w:val="20"/>
          <w:szCs w:val="20"/>
          <w:color w:val="auto"/>
        </w:rPr>
      </w:pPr>
      <w:r>
        <w:rPr>
          <w:rFonts w:ascii="Calibri" w:cs="Calibri" w:eastAsia="Calibri" w:hAnsi="Calibri"/>
          <w:sz w:val="18"/>
          <w:szCs w:val="18"/>
          <w:b w:val="1"/>
          <w:bCs w:val="1"/>
          <w:color w:val="auto"/>
        </w:rPr>
        <w:t xml:space="preserve">Auryxia® (ferric citrate) </w:t>
      </w:r>
      <w:r>
        <w:rPr>
          <w:rFonts w:ascii="Calibri" w:cs="Calibri" w:eastAsia="Calibri" w:hAnsi="Calibri"/>
          <w:sz w:val="18"/>
          <w:szCs w:val="18"/>
          <w:color w:val="auto"/>
        </w:rPr>
        <w:t>is an orally administered medicine approved and marketed in the U.S. for two indicatons: (1) the control of serum</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 xml:space="preserve">phosphorus levels in adult patents with dialysis dependent chronic kidney disease, or </w:t>
      </w:r>
      <w:r>
        <w:rPr>
          <w:rFonts w:ascii="Calibri" w:cs="Calibri" w:eastAsia="Calibri" w:hAnsi="Calibri"/>
          <w:sz w:val="18"/>
          <w:szCs w:val="18"/>
          <w:u w:val="single" w:color="auto"/>
          <w:color w:val="auto"/>
        </w:rPr>
        <w:t>DD-CKD</w:t>
      </w:r>
      <w:r>
        <w:rPr>
          <w:rFonts w:ascii="Calibri" w:cs="Calibri" w:eastAsia="Calibri" w:hAnsi="Calibri"/>
          <w:sz w:val="18"/>
          <w:szCs w:val="18"/>
          <w:color w:val="auto"/>
        </w:rPr>
        <w:t xml:space="preserve">, and (2) the treatment of iron defciency anemia, or </w:t>
      </w:r>
      <w:r>
        <w:rPr>
          <w:rFonts w:ascii="Calibri" w:cs="Calibri" w:eastAsia="Calibri" w:hAnsi="Calibri"/>
          <w:sz w:val="18"/>
          <w:szCs w:val="18"/>
          <w:u w:val="single" w:color="auto"/>
          <w:color w:val="auto"/>
        </w:rPr>
        <w:t>IDA</w:t>
      </w:r>
      <w:r>
        <w:rPr>
          <w:rFonts w:ascii="Calibri" w:cs="Calibri" w:eastAsia="Calibri" w:hAnsi="Calibri"/>
          <w:sz w:val="18"/>
          <w:szCs w:val="18"/>
          <w:color w:val="auto"/>
        </w:rPr>
        <w:t xml:space="preserve">, in adult patents with non-dialysis-dependent chronic kidney disease, or </w:t>
      </w:r>
      <w:r>
        <w:rPr>
          <w:rFonts w:ascii="Calibri" w:cs="Calibri" w:eastAsia="Calibri" w:hAnsi="Calibri"/>
          <w:sz w:val="18"/>
          <w:szCs w:val="18"/>
          <w:u w:val="single" w:color="auto"/>
          <w:color w:val="auto"/>
        </w:rPr>
        <w:t>NDD-CKD</w:t>
      </w:r>
      <w:r>
        <w:rPr>
          <w:rFonts w:ascii="Calibri" w:cs="Calibri" w:eastAsia="Calibri" w:hAnsi="Calibri"/>
          <w:sz w:val="18"/>
          <w:szCs w:val="18"/>
          <w:color w:val="auto"/>
        </w:rPr>
        <w:t>.</w:t>
      </w:r>
    </w:p>
    <w:p>
      <w:pPr>
        <w:spacing w:after="0" w:line="111" w:lineRule="exact"/>
        <w:rPr>
          <w:sz w:val="20"/>
          <w:szCs w:val="20"/>
          <w:color w:val="auto"/>
        </w:rPr>
      </w:pPr>
    </w:p>
    <w:p>
      <w:pPr>
        <w:jc w:val="both"/>
        <w:ind w:left="660"/>
        <w:spacing w:after="0" w:line="235" w:lineRule="auto"/>
        <w:rPr>
          <w:sz w:val="20"/>
          <w:szCs w:val="20"/>
          <w:color w:val="auto"/>
        </w:rPr>
      </w:pPr>
      <w:r>
        <w:rPr>
          <w:rFonts w:ascii="Calibri" w:cs="Calibri" w:eastAsia="Calibri" w:hAnsi="Calibri"/>
          <w:sz w:val="18"/>
          <w:szCs w:val="18"/>
          <w:color w:val="auto"/>
        </w:rPr>
        <w:t xml:space="preserve">Today, we market Auryxia in the U.S. Auryxia became part of our portolio in 2018 and has historically contributed meaningful revenue to the business. In March 2025, Auryxia will lose exclusivity, or </w:t>
      </w:r>
      <w:r>
        <w:rPr>
          <w:rFonts w:ascii="Calibri" w:cs="Calibri" w:eastAsia="Calibri" w:hAnsi="Calibri"/>
          <w:sz w:val="18"/>
          <w:szCs w:val="18"/>
          <w:u w:val="single" w:color="auto"/>
          <w:color w:val="auto"/>
        </w:rPr>
        <w:t>LoE</w:t>
      </w:r>
      <w:r>
        <w:rPr>
          <w:rFonts w:ascii="Calibri" w:cs="Calibri" w:eastAsia="Calibri" w:hAnsi="Calibri"/>
          <w:sz w:val="18"/>
          <w:szCs w:val="18"/>
          <w:color w:val="auto"/>
        </w:rPr>
        <w:t>. We believe the dynamics of Auryxia reimbursement being included in the ESRD bundle under Medicare Part B could result in slower revenue decline afer the LoE date than in other LoE situatons, but the impact of LoE on future Auryxia revenues will depend on many factors, including our ability to maintain contracts with dialysis organizatons, the tming and number of generics and the pricing of generics and other products on the market that compete with Auryxia.</w:t>
      </w:r>
    </w:p>
    <w:p>
      <w:pPr>
        <w:spacing w:after="0" w:line="99" w:lineRule="exact"/>
        <w:rPr>
          <w:sz w:val="20"/>
          <w:szCs w:val="20"/>
          <w:color w:val="auto"/>
        </w:rPr>
      </w:pPr>
    </w:p>
    <w:p>
      <w:pPr>
        <w:jc w:val="both"/>
        <w:ind w:left="660"/>
        <w:spacing w:after="0" w:line="227" w:lineRule="auto"/>
        <w:rPr>
          <w:sz w:val="20"/>
          <w:szCs w:val="20"/>
          <w:color w:val="auto"/>
        </w:rPr>
      </w:pPr>
      <w:r>
        <w:rPr>
          <w:rFonts w:ascii="Calibri" w:cs="Calibri" w:eastAsia="Calibri" w:hAnsi="Calibri"/>
          <w:sz w:val="17"/>
          <w:szCs w:val="17"/>
          <w:color w:val="auto"/>
        </w:rPr>
        <w:t xml:space="preserve">Ferric citrate hydrate has also been approved in Japan, and is marketed and sold by our Japanese sublicensee, Japan Tobacco, Inc., and its subsidiary, Torii Pharmaceutcal Co., Ltd., collectvely, </w:t>
      </w:r>
      <w:r>
        <w:rPr>
          <w:rFonts w:ascii="Calibri" w:cs="Calibri" w:eastAsia="Calibri" w:hAnsi="Calibri"/>
          <w:sz w:val="17"/>
          <w:szCs w:val="17"/>
          <w:u w:val="single" w:color="auto"/>
          <w:color w:val="auto"/>
        </w:rPr>
        <w:t>JT and Torii</w:t>
      </w:r>
      <w:r>
        <w:rPr>
          <w:rFonts w:ascii="Calibri" w:cs="Calibri" w:eastAsia="Calibri" w:hAnsi="Calibri"/>
          <w:sz w:val="17"/>
          <w:szCs w:val="17"/>
          <w:color w:val="auto"/>
        </w:rPr>
        <w:t xml:space="preserve">, as an oral treatment for the improvement of hyperphosphatemia in patents with CKD, including DD-CKD and NDD-CKD, and for the treatment of adult patents with IDA under the trade name Riona in Japan. Averoa SAS, or </w:t>
      </w:r>
      <w:r>
        <w:rPr>
          <w:rFonts w:ascii="Calibri" w:cs="Calibri" w:eastAsia="Calibri" w:hAnsi="Calibri"/>
          <w:sz w:val="17"/>
          <w:szCs w:val="17"/>
          <w:u w:val="single" w:color="auto"/>
          <w:color w:val="auto"/>
        </w:rPr>
        <w:t>Averoa</w:t>
      </w:r>
      <w:r>
        <w:rPr>
          <w:rFonts w:ascii="Calibri" w:cs="Calibri" w:eastAsia="Calibri" w:hAnsi="Calibri"/>
          <w:sz w:val="17"/>
          <w:szCs w:val="17"/>
          <w:color w:val="auto"/>
        </w:rPr>
        <w:t xml:space="preserve">, has an exclusive license to develop and commercialize ferric citrate in the European Economic Area, or </w:t>
      </w:r>
      <w:r>
        <w:rPr>
          <w:rFonts w:ascii="Calibri" w:cs="Calibri" w:eastAsia="Calibri" w:hAnsi="Calibri"/>
          <w:sz w:val="17"/>
          <w:szCs w:val="17"/>
          <w:u w:val="single" w:color="auto"/>
          <w:color w:val="auto"/>
        </w:rPr>
        <w:t>EEA</w:t>
      </w:r>
      <w:r>
        <w:rPr>
          <w:rFonts w:ascii="Calibri" w:cs="Calibri" w:eastAsia="Calibri" w:hAnsi="Calibri"/>
          <w:sz w:val="17"/>
          <w:szCs w:val="17"/>
          <w:color w:val="auto"/>
        </w:rPr>
        <w:t>, Turkey, Switzerland, the UK, the Balkans and certain countries in Eastern Europe and the Middle East. Averoa applied for marketng authorizaton for ferric citrate in Europe in April 2024.</w:t>
      </w:r>
    </w:p>
    <w:p>
      <w:pPr>
        <w:spacing w:after="0" w:line="112" w:lineRule="exact"/>
        <w:rPr>
          <w:sz w:val="20"/>
          <w:szCs w:val="20"/>
          <w:color w:val="auto"/>
        </w:rPr>
      </w:pPr>
    </w:p>
    <w:p>
      <w:pPr>
        <w:jc w:val="both"/>
        <w:ind w:left="660"/>
        <w:spacing w:after="0" w:line="235" w:lineRule="auto"/>
        <w:rPr>
          <w:sz w:val="20"/>
          <w:szCs w:val="20"/>
          <w:color w:val="auto"/>
        </w:rPr>
      </w:pPr>
      <w:r>
        <w:rPr>
          <w:rFonts w:ascii="Calibri" w:cs="Calibri" w:eastAsia="Calibri" w:hAnsi="Calibri"/>
          <w:sz w:val="18"/>
          <w:szCs w:val="18"/>
          <w:b w:val="1"/>
          <w:bCs w:val="1"/>
          <w:color w:val="auto"/>
        </w:rPr>
        <w:t xml:space="preserve">Our HIF-based product candidates and other pipeline assets </w:t>
      </w:r>
      <w:r>
        <w:rPr>
          <w:rFonts w:ascii="Calibri" w:cs="Calibri" w:eastAsia="Calibri" w:hAnsi="Calibri"/>
          <w:sz w:val="18"/>
          <w:szCs w:val="18"/>
          <w:color w:val="auto"/>
        </w:rPr>
        <w:t>are being evaluated to target areas of unmet needs. The discovery of HIF laid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foundaton to explore the central role of oxygen sensing in many diseases. As we have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 w:name="page9"/>
    <w:bookmarkEnd w:id="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660"/>
        <w:spacing w:after="0" w:line="235" w:lineRule="auto"/>
        <w:rPr>
          <w:sz w:val="20"/>
          <w:szCs w:val="20"/>
          <w:color w:val="auto"/>
        </w:rPr>
      </w:pPr>
      <w:r>
        <w:rPr>
          <w:rFonts w:ascii="Calibri" w:cs="Calibri" w:eastAsia="Calibri" w:hAnsi="Calibri"/>
          <w:sz w:val="18"/>
          <w:szCs w:val="18"/>
          <w:color w:val="auto"/>
        </w:rPr>
        <w:t xml:space="preserve">seen through the development of Vafseo as a treatment for anemia due to CKD, when stabilized, HIF triggers wide-ranging adaptve, protectve responses during hypoxic or ischemic conditons. We have selected two additonal HIF molecules for preclinical development: AKB-9090, potentally for cardiac surgery-related acute kidney injury, or </w:t>
      </w:r>
      <w:r>
        <w:rPr>
          <w:rFonts w:ascii="Calibri" w:cs="Calibri" w:eastAsia="Calibri" w:hAnsi="Calibri"/>
          <w:sz w:val="18"/>
          <w:szCs w:val="18"/>
          <w:u w:val="single" w:color="auto"/>
          <w:color w:val="auto"/>
        </w:rPr>
        <w:t>CS-AKI</w:t>
      </w:r>
      <w:r>
        <w:rPr>
          <w:rFonts w:ascii="Calibri" w:cs="Calibri" w:eastAsia="Calibri" w:hAnsi="Calibri"/>
          <w:sz w:val="18"/>
          <w:szCs w:val="18"/>
          <w:color w:val="auto"/>
        </w:rPr>
        <w:t xml:space="preserve">, or acute respiratory distress syndrome, or </w:t>
      </w:r>
      <w:r>
        <w:rPr>
          <w:rFonts w:ascii="Calibri" w:cs="Calibri" w:eastAsia="Calibri" w:hAnsi="Calibri"/>
          <w:sz w:val="18"/>
          <w:szCs w:val="18"/>
          <w:u w:val="single" w:color="auto"/>
          <w:color w:val="auto"/>
        </w:rPr>
        <w:t>ARDS</w:t>
      </w:r>
      <w:r>
        <w:rPr>
          <w:rFonts w:ascii="Calibri" w:cs="Calibri" w:eastAsia="Calibri" w:hAnsi="Calibri"/>
          <w:sz w:val="18"/>
          <w:szCs w:val="18"/>
          <w:color w:val="auto"/>
        </w:rPr>
        <w:t xml:space="preserve">, and AKB-10108 for retnopathy of prematurity, or </w:t>
      </w:r>
      <w:r>
        <w:rPr>
          <w:rFonts w:ascii="Calibri" w:cs="Calibri" w:eastAsia="Calibri" w:hAnsi="Calibri"/>
          <w:sz w:val="18"/>
          <w:szCs w:val="18"/>
          <w:u w:val="single" w:color="auto"/>
          <w:color w:val="auto"/>
        </w:rPr>
        <w:t>ROP</w:t>
      </w:r>
      <w:r>
        <w:rPr>
          <w:rFonts w:ascii="Calibri" w:cs="Calibri" w:eastAsia="Calibri" w:hAnsi="Calibri"/>
          <w:sz w:val="18"/>
          <w:szCs w:val="18"/>
          <w:color w:val="auto"/>
        </w:rPr>
        <w:t>, in neonates.</w:t>
      </w:r>
    </w:p>
    <w:p>
      <w:pPr>
        <w:spacing w:after="0" w:line="111" w:lineRule="exact"/>
        <w:rPr>
          <w:sz w:val="20"/>
          <w:szCs w:val="20"/>
          <w:color w:val="auto"/>
        </w:rPr>
      </w:pPr>
    </w:p>
    <w:p>
      <w:pPr>
        <w:jc w:val="both"/>
        <w:ind w:left="660"/>
        <w:spacing w:after="0" w:line="235" w:lineRule="auto"/>
        <w:rPr>
          <w:sz w:val="20"/>
          <w:szCs w:val="20"/>
          <w:color w:val="auto"/>
        </w:rPr>
      </w:pPr>
      <w:r>
        <w:rPr>
          <w:rFonts w:ascii="Calibri" w:cs="Calibri" w:eastAsia="Calibri" w:hAnsi="Calibri"/>
          <w:sz w:val="18"/>
          <w:szCs w:val="18"/>
          <w:color w:val="auto"/>
        </w:rPr>
        <w:t xml:space="preserve">In June 2021, we acquired from Cyclerion Therapeutcs, Inc., or </w:t>
      </w:r>
      <w:r>
        <w:rPr>
          <w:rFonts w:ascii="Calibri" w:cs="Calibri" w:eastAsia="Calibri" w:hAnsi="Calibri"/>
          <w:sz w:val="18"/>
          <w:szCs w:val="18"/>
          <w:u w:val="single" w:color="auto"/>
          <w:color w:val="auto"/>
        </w:rPr>
        <w:t>Cyclerion</w:t>
      </w:r>
      <w:r>
        <w:rPr>
          <w:rFonts w:ascii="Calibri" w:cs="Calibri" w:eastAsia="Calibri" w:hAnsi="Calibri"/>
          <w:sz w:val="18"/>
          <w:szCs w:val="18"/>
          <w:color w:val="auto"/>
        </w:rPr>
        <w:t xml:space="preserve">, an exclusive global license under certain intellectual property rights to research, develop and commercialize praliciguat, an investgatonal oral soluble guanylate cyclase, or </w:t>
      </w:r>
      <w:r>
        <w:rPr>
          <w:rFonts w:ascii="Calibri" w:cs="Calibri" w:eastAsia="Calibri" w:hAnsi="Calibri"/>
          <w:sz w:val="18"/>
          <w:szCs w:val="18"/>
          <w:u w:val="single" w:color="auto"/>
          <w:color w:val="auto"/>
        </w:rPr>
        <w:t>sGC</w:t>
      </w:r>
      <w:r>
        <w:rPr>
          <w:rFonts w:ascii="Calibri" w:cs="Calibri" w:eastAsia="Calibri" w:hAnsi="Calibri"/>
          <w:sz w:val="18"/>
          <w:szCs w:val="18"/>
          <w:color w:val="auto"/>
        </w:rPr>
        <w:t>, stmulator. We believe there is potental to explore the use of praliciguat for indicatons within kidney disease.</w:t>
      </w:r>
    </w:p>
    <w:p>
      <w:pPr>
        <w:spacing w:after="0" w:line="111" w:lineRule="exact"/>
        <w:rPr>
          <w:sz w:val="20"/>
          <w:szCs w:val="20"/>
          <w:color w:val="auto"/>
        </w:rPr>
      </w:pPr>
    </w:p>
    <w:p>
      <w:pPr>
        <w:jc w:val="both"/>
        <w:ind w:left="660"/>
        <w:spacing w:after="0" w:line="235" w:lineRule="auto"/>
        <w:rPr>
          <w:sz w:val="20"/>
          <w:szCs w:val="20"/>
          <w:color w:val="auto"/>
        </w:rPr>
      </w:pPr>
      <w:r>
        <w:rPr>
          <w:rFonts w:ascii="Calibri" w:cs="Calibri" w:eastAsia="Calibri" w:hAnsi="Calibri"/>
          <w:sz w:val="18"/>
          <w:szCs w:val="18"/>
          <w:color w:val="auto"/>
        </w:rPr>
        <w:t>We contnue to explore additonal commercial and development opportunites to expand our pipeline and portolio of novel therapeutcs through both internal research and external innovaton to leverage our fully integrated team.</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Strategy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deep understanding of kidney disease helps us serve the unmet needs of kidney patents and others impacted by chronic and debilitatng illness. Our commitment to patents informs our business decisions and short and long-term planning. There is a clear need to improve quality of life outcomes for people living with kidney disease. The prevalence and incidence of CKD is increasing in the U.S. populaton. The progression of CKD towards renal failure is complicated by multple conditons which further deteriorate kidney functon and the general health of patents if lef untreated. Typically, the prevalence of these conditons increases as CKD progresses.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With two revenue-generatng products and the research and development capabilites to discover, advance and commercialize new therapies, our intenton is to both fulfll our purpose to beter the lives of those impacted by kidney disease as well as leverage our internally developed innovatons and explore therapies in other disease areas with high unmet needs.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Our strategic imperatves are threefold:</w:t>
      </w:r>
    </w:p>
    <w:p>
      <w:pPr>
        <w:spacing w:after="0" w:line="96" w:lineRule="exact"/>
        <w:rPr>
          <w:sz w:val="20"/>
          <w:szCs w:val="20"/>
          <w:color w:val="auto"/>
        </w:rPr>
      </w:pPr>
    </w:p>
    <w:p>
      <w:pPr>
        <w:jc w:val="both"/>
        <w:ind w:left="660" w:hanging="328"/>
        <w:spacing w:after="0" w:line="215" w:lineRule="auto"/>
        <w:tabs>
          <w:tab w:leader="none" w:pos="645"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We aim to drive Vafseo to be the standard of care for the treatment of anemia due to CKD in the U.S. in both dialysis and, if approved, non-dialysis patent populatons. We are commercializing Vafseo in the U.S. for adult patents on dialysis and began shipping product in January 2025. We have also advanced a plan to explore label expansion to the non-dialysis patent populaton and submited a protocol to the FDA for VALOR, a Phase 3 cardiovascular outcome study of approximately 1,500 patents in the U.S. with late-stage CKD anemia not on dialysis. We expect to meet with the FDA to discuss VALOR.</w:t>
      </w:r>
    </w:p>
    <w:p>
      <w:pPr>
        <w:spacing w:after="0" w:line="82" w:lineRule="exact"/>
        <w:rPr>
          <w:rFonts w:ascii="Calibri" w:cs="Calibri" w:eastAsia="Calibri" w:hAnsi="Calibri"/>
          <w:sz w:val="18"/>
          <w:szCs w:val="18"/>
          <w:color w:val="auto"/>
        </w:rPr>
      </w:pPr>
    </w:p>
    <w:p>
      <w:pPr>
        <w:jc w:val="both"/>
        <w:ind w:left="660" w:hanging="328"/>
        <w:spacing w:after="0" w:line="220" w:lineRule="auto"/>
        <w:tabs>
          <w:tab w:leader="none" w:pos="645"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Powered by Nobel prize-winning HIF science and in-licensed technology, we plan to work to create a future for Akebia both within and beyond kidney disease. We intend to leverage our cross organizatonal experience in nephrology gained through the commercializaton of Auryxia and our team’s robust discovery and research and development capabilites to advance our pipeline.</w:t>
      </w:r>
    </w:p>
    <w:p>
      <w:pPr>
        <w:spacing w:after="0" w:line="84" w:lineRule="exact"/>
        <w:rPr>
          <w:rFonts w:ascii="Calibri" w:cs="Calibri" w:eastAsia="Calibri" w:hAnsi="Calibri"/>
          <w:sz w:val="18"/>
          <w:szCs w:val="18"/>
          <w:color w:val="auto"/>
        </w:rPr>
      </w:pPr>
    </w:p>
    <w:p>
      <w:pPr>
        <w:ind w:left="660" w:hanging="328"/>
        <w:spacing w:after="0" w:line="220" w:lineRule="auto"/>
        <w:tabs>
          <w:tab w:leader="none" w:pos="645" w:val="left"/>
        </w:tabs>
        <w:numPr>
          <w:ilvl w:val="0"/>
          <w:numId w:val="7"/>
        </w:numPr>
        <w:rPr>
          <w:rFonts w:ascii="Calibri" w:cs="Calibri" w:eastAsia="Calibri" w:hAnsi="Calibri"/>
          <w:sz w:val="18"/>
          <w:szCs w:val="18"/>
          <w:color w:val="auto"/>
        </w:rPr>
      </w:pPr>
      <w:r>
        <w:rPr>
          <w:rFonts w:ascii="Calibri" w:cs="Calibri" w:eastAsia="Calibri" w:hAnsi="Calibri"/>
          <w:sz w:val="18"/>
          <w:szCs w:val="18"/>
          <w:color w:val="auto"/>
        </w:rPr>
        <w:t>We contnue to explore strategic growth, which includes additonal commercial and development opportunites to expand our pipeline and portolio of novel therapeutcs, through external innovaton to leverage our fully integrated team.</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plan to make strategic use of capital and will also contnue our approach of fnancial discipline, cross-organizatonal efciency and operatonal efectveness.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Drive Vafseo to be Standard of Care in the Treatment of Anemia due to CKD</w:t>
      </w:r>
    </w:p>
    <w:p>
      <w:pPr>
        <w:spacing w:after="0" w:line="109"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 xml:space="preserve">Anemia is common in patents with CKD, and its prevalence increases with disease progression. Anemia due to CKD results from inadequate erythropoietn, or </w:t>
      </w:r>
      <w:r>
        <w:rPr>
          <w:rFonts w:ascii="Calibri" w:cs="Calibri" w:eastAsia="Calibri" w:hAnsi="Calibri"/>
          <w:sz w:val="17"/>
          <w:szCs w:val="17"/>
          <w:u w:val="single" w:color="auto"/>
          <w:color w:val="auto"/>
        </w:rPr>
        <w:t>EPO</w:t>
      </w:r>
      <w:r>
        <w:rPr>
          <w:rFonts w:ascii="Calibri" w:cs="Calibri" w:eastAsia="Calibri" w:hAnsi="Calibri"/>
          <w:sz w:val="17"/>
          <w:szCs w:val="17"/>
          <w:color w:val="auto"/>
        </w:rPr>
        <w:t>, levels, negatvely afectng red blood cell producton. Lef untreated, anemia accelerates the overall deterioraton of patent health with increased morbidity and mortality. According to the U.S. Renal Data System 2022 Annual Data Report, there were nearly 558,000 patents in the U.S. on dialysis in 2020, of which 86% were on in-center hemodialysis and the remainder on home dialysis, which includes both peritoneal dialysis and home hemodialysis.</w:t>
      </w:r>
    </w:p>
    <w:p>
      <w:pPr>
        <w:spacing w:after="0" w:line="10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current standard of care for anemia due to CKD is treatment by injectable recombinant human ESAs such as Epogen® (epoetn alfa), Aranesp® (darbepoetn alfa) or Mircera® (methoxy polyethylene glycol-epoetn beta), or blood transfusion. When administered to a patent, injectable ESAs provide supraphysiological levels of exogenous EPO to stmulate producton of red blood cells, or </w:t>
      </w:r>
      <w:r>
        <w:rPr>
          <w:rFonts w:ascii="Calibri" w:cs="Calibri" w:eastAsia="Calibri" w:hAnsi="Calibri"/>
          <w:sz w:val="18"/>
          <w:szCs w:val="18"/>
          <w:u w:val="single" w:color="auto"/>
          <w:color w:val="auto"/>
        </w:rPr>
        <w:t>RBCs</w:t>
      </w:r>
      <w:r>
        <w:rPr>
          <w:rFonts w:ascii="Calibri" w:cs="Calibri" w:eastAsia="Calibri" w:hAnsi="Calibri"/>
          <w:sz w:val="18"/>
          <w:szCs w:val="18"/>
          <w:color w:val="auto"/>
        </w:rPr>
        <w:t>. While injectable ESAs can be efectve in raising hemoglobin levels, they have the potental to cause signifcant side efects and need to be injected subcutaneously or intravenously.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current market opportunity for the treatment of anemia due to CKD in adult patents on dialysis is approximately $1 billion in the U.S. based on current ESA pricing. We believe there is a signifcant opportunity for Vafseo to become the standard of care for the treatment of anemia due to CKD for adult patents on dialysis and, if approved, not on dialysis.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 w:name="page10"/>
    <w:bookmarkEnd w:id="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Vafseo is an oral HIF-PH inhibitor that stmulates the body's natural response to hypoxia. Through actvaton of the HIF pathway, Vafseo stmulates the body's natural producton of EPO and improves mobilizaton of stored iron to help dialysis patents with CKD manage their anemia. Our data from the INNO</w:t>
      </w:r>
      <w:r>
        <w:rPr>
          <w:rFonts w:ascii="Calibri" w:cs="Calibri" w:eastAsia="Calibri" w:hAnsi="Calibri"/>
          <w:sz w:val="23"/>
          <w:szCs w:val="23"/>
          <w:color w:val="auto"/>
          <w:vertAlign w:val="subscript"/>
        </w:rPr>
        <w:t>2</w:t>
      </w:r>
      <w:r>
        <w:rPr>
          <w:rFonts w:ascii="Calibri" w:cs="Calibri" w:eastAsia="Calibri" w:hAnsi="Calibri"/>
          <w:sz w:val="18"/>
          <w:szCs w:val="18"/>
          <w:color w:val="auto"/>
        </w:rPr>
        <w:t>VATE trials show Vafseo corrected and maintained hemoglobin within target range through a gradual increase over tme with evidence of fewer hemoglobin overshoots. Further, we saw in our studies fewer dose adjustments in an once daily oral dose for patents. Our clinical data showed that Vafseo has a safety profle similar to the ESA standard of care. These fndings contribute to why we believe Vafseo ofers a compelling new choice for physicians for anemia management.</w:t>
      </w:r>
    </w:p>
    <w:p>
      <w:pPr>
        <w:spacing w:after="0" w:line="106"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Vafseo – An oral treatment for anemia due to CKD for adult patents on dialysis</w:t>
      </w:r>
    </w:p>
    <w:p>
      <w:pPr>
        <w:spacing w:after="0" w:line="109" w:lineRule="exact"/>
        <w:rPr>
          <w:sz w:val="20"/>
          <w:szCs w:val="20"/>
          <w:color w:val="auto"/>
        </w:rPr>
      </w:pPr>
    </w:p>
    <w:p>
      <w:pPr>
        <w:jc w:val="both"/>
        <w:ind w:left="660"/>
        <w:spacing w:after="0" w:line="235" w:lineRule="auto"/>
        <w:rPr>
          <w:sz w:val="20"/>
          <w:szCs w:val="20"/>
          <w:color w:val="auto"/>
        </w:rPr>
      </w:pPr>
      <w:r>
        <w:rPr>
          <w:rFonts w:ascii="Calibri" w:cs="Calibri" w:eastAsia="Calibri" w:hAnsi="Calibri"/>
          <w:sz w:val="18"/>
          <w:szCs w:val="18"/>
          <w:color w:val="auto"/>
        </w:rPr>
        <w:t xml:space="preserve">Upon Vafseo approval, we implemented a launch plan to commercialize Vafseo for the treatment of anemia due to CKD in adult patents on dialysis, the critcal frst step toward Vafseo potentally becoming the standard of care. We have completed certain critcal commercializaton initatves, including securing reimbursement for Vafseo under the Transitonal Drug Add-on Payment Adjustment, or </w:t>
      </w:r>
      <w:r>
        <w:rPr>
          <w:rFonts w:ascii="Calibri" w:cs="Calibri" w:eastAsia="Calibri" w:hAnsi="Calibri"/>
          <w:sz w:val="18"/>
          <w:szCs w:val="18"/>
          <w:u w:val="single" w:color="auto"/>
          <w:color w:val="auto"/>
        </w:rPr>
        <w:t>TDAPA</w:t>
      </w:r>
      <w:r>
        <w:rPr>
          <w:rFonts w:ascii="Calibri" w:cs="Calibri" w:eastAsia="Calibri" w:hAnsi="Calibri"/>
          <w:sz w:val="18"/>
          <w:szCs w:val="18"/>
          <w:color w:val="auto"/>
        </w:rPr>
        <w:t>, and securing access to Vafseo for patents through commercial supply agreements with dialysis organizatons. In additon, we contnue to work to help dialysis organizatons establish protocols and to drive prescriber demand.</w:t>
      </w:r>
    </w:p>
    <w:p>
      <w:pPr>
        <w:spacing w:after="0" w:line="112" w:lineRule="exact"/>
        <w:rPr>
          <w:sz w:val="20"/>
          <w:szCs w:val="20"/>
          <w:color w:val="auto"/>
        </w:rPr>
      </w:pPr>
    </w:p>
    <w:p>
      <w:pPr>
        <w:jc w:val="both"/>
        <w:ind w:left="660"/>
        <w:spacing w:after="0" w:line="235" w:lineRule="auto"/>
        <w:rPr>
          <w:sz w:val="20"/>
          <w:szCs w:val="20"/>
          <w:color w:val="auto"/>
        </w:rPr>
      </w:pPr>
      <w:r>
        <w:rPr>
          <w:rFonts w:ascii="Calibri" w:cs="Calibri" w:eastAsia="Calibri" w:hAnsi="Calibri"/>
          <w:sz w:val="18"/>
          <w:szCs w:val="18"/>
          <w:color w:val="auto"/>
        </w:rPr>
        <w:t xml:space="preserve">Medicatons covered under the ESRD Prospectve Payment System, or </w:t>
      </w:r>
      <w:r>
        <w:rPr>
          <w:rFonts w:ascii="Calibri" w:cs="Calibri" w:eastAsia="Calibri" w:hAnsi="Calibri"/>
          <w:sz w:val="18"/>
          <w:szCs w:val="18"/>
          <w:u w:val="single" w:color="auto"/>
          <w:color w:val="auto"/>
        </w:rPr>
        <w:t>PPS</w:t>
      </w:r>
      <w:r>
        <w:rPr>
          <w:rFonts w:ascii="Calibri" w:cs="Calibri" w:eastAsia="Calibri" w:hAnsi="Calibri"/>
          <w:sz w:val="18"/>
          <w:szCs w:val="18"/>
          <w:color w:val="auto"/>
        </w:rPr>
        <w:t xml:space="preserve">, in Medicare are known as the ESRD Bundle, a payment structure with a fat base rate per dialysis session adjusted for individual patent and facility characteristcs. Dialysis-related drugs are included in the ESRD Bundle if they fall into functonal categories such as anemia management. In a fnal ESRD PPS rule published in November 2018, Centers for Medicare &amp; Medicaid Services, or </w:t>
      </w:r>
      <w:r>
        <w:rPr>
          <w:rFonts w:ascii="Calibri" w:cs="Calibri" w:eastAsia="Calibri" w:hAnsi="Calibri"/>
          <w:sz w:val="18"/>
          <w:szCs w:val="18"/>
          <w:u w:val="single" w:color="auto"/>
          <w:color w:val="auto"/>
        </w:rPr>
        <w:t>CMS,</w:t>
      </w:r>
      <w:r>
        <w:rPr>
          <w:rFonts w:ascii="Calibri" w:cs="Calibri" w:eastAsia="Calibri" w:hAnsi="Calibri"/>
          <w:sz w:val="18"/>
          <w:szCs w:val="18"/>
          <w:color w:val="auto"/>
        </w:rPr>
        <w:t xml:space="preserve"> confrmed that it will expand the TDAPA to all new dialysis drugs approved by the FDA afer January 1, 2020. The TDAPA provides separate payment for new drugs for two years based on the drug’s Average Sales Price that is in additon to the base rate in the bundle in order to facilitate the adopton of innovatve therapies. Vafseo met the criteria for TDAPA in the anemia management ESRD PPS functonal category beginning on January 1, 2025. The TDAPA program provides two years of reimbursement for Vafseo in additon to the ESRD bundled rate to dialysis organizatons.</w:t>
      </w:r>
    </w:p>
    <w:p>
      <w:pPr>
        <w:spacing w:after="0" w:line="115" w:lineRule="exact"/>
        <w:rPr>
          <w:sz w:val="20"/>
          <w:szCs w:val="20"/>
          <w:color w:val="auto"/>
        </w:rPr>
      </w:pPr>
    </w:p>
    <w:p>
      <w:pPr>
        <w:jc w:val="both"/>
        <w:ind w:left="660"/>
        <w:spacing w:after="0" w:line="235" w:lineRule="auto"/>
        <w:rPr>
          <w:sz w:val="20"/>
          <w:szCs w:val="20"/>
          <w:color w:val="auto"/>
        </w:rPr>
      </w:pPr>
      <w:r>
        <w:rPr>
          <w:rFonts w:ascii="Calibri" w:cs="Calibri" w:eastAsia="Calibri" w:hAnsi="Calibri"/>
          <w:sz w:val="18"/>
          <w:szCs w:val="18"/>
          <w:color w:val="auto"/>
        </w:rPr>
        <w:t xml:space="preserve">Most dialysis clinics operate within dialysis organizaton networks, the largest of which are DaVita, Inc., or </w:t>
      </w:r>
      <w:r>
        <w:rPr>
          <w:rFonts w:ascii="Calibri" w:cs="Calibri" w:eastAsia="Calibri" w:hAnsi="Calibri"/>
          <w:sz w:val="18"/>
          <w:szCs w:val="18"/>
          <w:u w:val="single" w:color="auto"/>
          <w:color w:val="auto"/>
        </w:rPr>
        <w:t>DaVita</w:t>
      </w:r>
      <w:r>
        <w:rPr>
          <w:rFonts w:ascii="Calibri" w:cs="Calibri" w:eastAsia="Calibri" w:hAnsi="Calibri"/>
          <w:sz w:val="18"/>
          <w:szCs w:val="18"/>
          <w:color w:val="auto"/>
        </w:rPr>
        <w:t xml:space="preserve">, Fresenius KidneyCare Group LLC, or </w:t>
      </w:r>
      <w:r>
        <w:rPr>
          <w:rFonts w:ascii="Calibri" w:cs="Calibri" w:eastAsia="Calibri" w:hAnsi="Calibri"/>
          <w:sz w:val="18"/>
          <w:szCs w:val="18"/>
          <w:u w:val="single" w:color="auto"/>
          <w:color w:val="auto"/>
        </w:rPr>
        <w:t>Fresenius</w:t>
      </w:r>
      <w:r>
        <w:rPr>
          <w:rFonts w:ascii="Calibri" w:cs="Calibri" w:eastAsia="Calibri" w:hAnsi="Calibri"/>
          <w:sz w:val="18"/>
          <w:szCs w:val="18"/>
          <w:color w:val="auto"/>
        </w:rPr>
        <w:t xml:space="preserve">, and U.S. Renal Care, or </w:t>
      </w:r>
      <w:r>
        <w:rPr>
          <w:rFonts w:ascii="Calibri" w:cs="Calibri" w:eastAsia="Calibri" w:hAnsi="Calibri"/>
          <w:sz w:val="18"/>
          <w:szCs w:val="18"/>
          <w:u w:val="single" w:color="auto"/>
          <w:color w:val="auto"/>
        </w:rPr>
        <w:t>USRC</w:t>
      </w:r>
      <w:r>
        <w:rPr>
          <w:rFonts w:ascii="Calibri" w:cs="Calibri" w:eastAsia="Calibri" w:hAnsi="Calibri"/>
          <w:sz w:val="18"/>
          <w:szCs w:val="18"/>
          <w:color w:val="auto"/>
        </w:rPr>
        <w:t>. Following Vafseo's U.S. approval, we engaged with dialysis organizatons to secure commercial supply agreements for Vafseo. Prior to frst shipping Vafseo in the U.S. in January 2025, we had contracts in place with dialysis organizatons caring for nearly 100% of dialysis patents.</w:t>
      </w:r>
    </w:p>
    <w:p>
      <w:pPr>
        <w:spacing w:after="0" w:line="111" w:lineRule="exact"/>
        <w:rPr>
          <w:sz w:val="20"/>
          <w:szCs w:val="20"/>
          <w:color w:val="auto"/>
        </w:rPr>
      </w:pPr>
    </w:p>
    <w:p>
      <w:pPr>
        <w:jc w:val="both"/>
        <w:ind w:left="660"/>
        <w:spacing w:after="0" w:line="235" w:lineRule="auto"/>
        <w:rPr>
          <w:sz w:val="20"/>
          <w:szCs w:val="20"/>
          <w:color w:val="auto"/>
        </w:rPr>
      </w:pPr>
      <w:r>
        <w:rPr>
          <w:rFonts w:ascii="Calibri" w:cs="Calibri" w:eastAsia="Calibri" w:hAnsi="Calibri"/>
          <w:sz w:val="18"/>
          <w:szCs w:val="18"/>
          <w:color w:val="auto"/>
        </w:rPr>
        <w:t>Treatment is usually driven by medical protocols that dialysis organizatons implement across their entre network of clinics. With commercial supply contracts in place, our medical team is working closely with dialysis organizaton medical professionals to develop protocols for the use of Vafseo in appropriate patent populatons as dictated by the Vafseo label. When implemented, protocols can result in rapid change applicable to large segments of the patent populaton covered by the protocol.</w:t>
      </w:r>
    </w:p>
    <w:p>
      <w:pPr>
        <w:spacing w:after="0" w:line="111" w:lineRule="exact"/>
        <w:rPr>
          <w:sz w:val="20"/>
          <w:szCs w:val="20"/>
          <w:color w:val="auto"/>
        </w:rPr>
      </w:pPr>
    </w:p>
    <w:p>
      <w:pPr>
        <w:jc w:val="both"/>
        <w:ind w:left="660"/>
        <w:spacing w:after="0" w:line="235" w:lineRule="auto"/>
        <w:rPr>
          <w:sz w:val="20"/>
          <w:szCs w:val="20"/>
          <w:color w:val="auto"/>
        </w:rPr>
      </w:pPr>
      <w:r>
        <w:rPr>
          <w:rFonts w:ascii="Calibri" w:cs="Calibri" w:eastAsia="Calibri" w:hAnsi="Calibri"/>
          <w:sz w:val="18"/>
          <w:szCs w:val="18"/>
          <w:color w:val="auto"/>
        </w:rPr>
        <w:t xml:space="preserve">Today, we have an established and embedded commercial team with approximately 35 key account managers, or </w:t>
      </w:r>
      <w:r>
        <w:rPr>
          <w:rFonts w:ascii="Calibri" w:cs="Calibri" w:eastAsia="Calibri" w:hAnsi="Calibri"/>
          <w:sz w:val="18"/>
          <w:szCs w:val="18"/>
          <w:u w:val="single" w:color="auto"/>
          <w:color w:val="auto"/>
        </w:rPr>
        <w:t>KAMs</w:t>
      </w:r>
      <w:r>
        <w:rPr>
          <w:rFonts w:ascii="Calibri" w:cs="Calibri" w:eastAsia="Calibri" w:hAnsi="Calibri"/>
          <w:sz w:val="18"/>
          <w:szCs w:val="18"/>
          <w:color w:val="auto"/>
        </w:rPr>
        <w:t>, supported by our commercial operatons team. Upon Vafseo's U.S. approval and in parallel with contractng and protocol development, our KAMs began detailing Vafseo to prescribers. Nephrologists have identfed partcularly underserved patent groups: home dialysis patents, a segment in which injectable ESAs are cumbersome, and patents on a higher ESA dose as higher doses of ESAs may be associated with all-cause mortality and cardiovascular complicatons independent of hemoglobin level. We antcipate Vafseo near-term adopton in these patent populatons.</w:t>
      </w:r>
    </w:p>
    <w:p>
      <w:pPr>
        <w:spacing w:after="0" w:line="112" w:lineRule="exact"/>
        <w:rPr>
          <w:sz w:val="20"/>
          <w:szCs w:val="20"/>
          <w:color w:val="auto"/>
        </w:rPr>
      </w:pPr>
    </w:p>
    <w:p>
      <w:pPr>
        <w:jc w:val="both"/>
        <w:ind w:left="660"/>
        <w:spacing w:after="0" w:line="235" w:lineRule="auto"/>
        <w:rPr>
          <w:sz w:val="20"/>
          <w:szCs w:val="20"/>
          <w:color w:val="auto"/>
        </w:rPr>
      </w:pPr>
      <w:r>
        <w:rPr>
          <w:rFonts w:ascii="Calibri" w:cs="Calibri" w:eastAsia="Calibri" w:hAnsi="Calibri"/>
          <w:sz w:val="18"/>
          <w:szCs w:val="18"/>
          <w:color w:val="auto"/>
        </w:rPr>
        <w:t>Efectve commercializaton provides the foundaton for a new treatment to potentally become the standard of care. We believe it is also important to generate new data to educate physicians. We initated a collaboratve clinical trial with USRC. In December 2024 the Vafseo Outcomes In-Center Experience trial began to enroll up to approximately 2,200 patents randomized to oral Vafseo 300 mg tablets administered three tmes per week or standard-of-care ESAs. The trial will end approximately 18 months afer the last patent is randomized. The primary endpoint is all-cause mortality, and the secondary endpoint is all-cause hospitalizaton. The trial was powered to demonstrate non-inferiority for all-cause mortality and superiority for a 10% reducton in all-cause hospitalizaton. As of early March, USRC has enrolled more than half of the total target of 2,200 patents in the trial, and we expect the trial to be fully enrolled by the end of 2025.</w:t>
      </w:r>
    </w:p>
    <w:p>
      <w:pPr>
        <w:spacing w:after="0" w:line="100" w:lineRule="exact"/>
        <w:rPr>
          <w:sz w:val="20"/>
          <w:szCs w:val="20"/>
          <w:color w:val="auto"/>
        </w:rPr>
      </w:pPr>
    </w:p>
    <w:p>
      <w:pPr>
        <w:jc w:val="both"/>
        <w:ind w:left="660"/>
        <w:spacing w:after="0" w:line="210" w:lineRule="auto"/>
        <w:rPr>
          <w:sz w:val="20"/>
          <w:szCs w:val="20"/>
          <w:color w:val="auto"/>
        </w:rPr>
      </w:pPr>
      <w:r>
        <w:rPr>
          <w:rFonts w:ascii="Calibri" w:cs="Calibri" w:eastAsia="Calibri" w:hAnsi="Calibri"/>
          <w:sz w:val="18"/>
          <w:szCs w:val="18"/>
          <w:color w:val="auto"/>
        </w:rPr>
        <w:t>Separately, additonal studies might provide relevant data to support Vafseo label expansion specifc to alternatve dosing to complement existng alternatve dosing data. We previously completed the FO2CUS study and the MO2DIFY study which both evaluated alternatve dosing. See Part I, Item 1, Clinical Development Programs, for additonal informaton on the FO</w:t>
      </w:r>
      <w:r>
        <w:rPr>
          <w:rFonts w:ascii="Calibri" w:cs="Calibri" w:eastAsia="Calibri" w:hAnsi="Calibri"/>
          <w:sz w:val="23"/>
          <w:szCs w:val="23"/>
          <w:color w:val="auto"/>
          <w:vertAlign w:val="subscript"/>
        </w:rPr>
        <w:t>2</w:t>
      </w:r>
      <w:r>
        <w:rPr>
          <w:rFonts w:ascii="Calibri" w:cs="Calibri" w:eastAsia="Calibri" w:hAnsi="Calibri"/>
          <w:sz w:val="18"/>
          <w:szCs w:val="18"/>
          <w:color w:val="auto"/>
        </w:rPr>
        <w:t>CUS study and the MO</w:t>
      </w:r>
      <w:r>
        <w:rPr>
          <w:rFonts w:ascii="Calibri" w:cs="Calibri" w:eastAsia="Calibri" w:hAnsi="Calibri"/>
          <w:sz w:val="23"/>
          <w:szCs w:val="23"/>
          <w:color w:val="auto"/>
          <w:vertAlign w:val="subscript"/>
        </w:rPr>
        <w:t>2</w:t>
      </w:r>
      <w:r>
        <w:rPr>
          <w:rFonts w:ascii="Calibri" w:cs="Calibri" w:eastAsia="Calibri" w:hAnsi="Calibri"/>
          <w:sz w:val="18"/>
          <w:szCs w:val="18"/>
          <w:color w:val="auto"/>
        </w:rPr>
        <w:t>DIFY study.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 w:name="page11"/>
    <w:bookmarkEnd w:id="1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Vafseo – The potental for label expansion for the treatment of anemia due to CKD for patents not on dialysis.</w:t>
      </w:r>
    </w:p>
    <w:p>
      <w:pPr>
        <w:spacing w:after="0" w:line="109" w:lineRule="exact"/>
        <w:rPr>
          <w:sz w:val="20"/>
          <w:szCs w:val="20"/>
          <w:color w:val="auto"/>
        </w:rPr>
      </w:pPr>
    </w:p>
    <w:p>
      <w:pPr>
        <w:jc w:val="both"/>
        <w:ind w:left="660"/>
        <w:spacing w:after="0" w:line="251" w:lineRule="auto"/>
        <w:rPr>
          <w:sz w:val="20"/>
          <w:szCs w:val="20"/>
          <w:color w:val="auto"/>
        </w:rPr>
      </w:pPr>
      <w:r>
        <w:rPr>
          <w:rFonts w:ascii="Calibri" w:cs="Calibri" w:eastAsia="Calibri" w:hAnsi="Calibri"/>
          <w:sz w:val="17"/>
          <w:szCs w:val="17"/>
          <w:color w:val="auto"/>
        </w:rPr>
        <w:t>There are approximately 550,000 patents with stage 4 or stage 5 CKD who are anemic and not receiving dialysis. Of these patents, only 25 percent are treated for anemia. As CKD is progressive and irreversible, these patents are likely to advance to ESRD and dialysis. Data suggests that if patents start dialysis with a hemoglobin level that is in the range of 9 g/dL to 10 g/dL, they have a signifcantly higher mortality rate at three months, six months and 12 months, even once their anemia is adequately managed. However, despite an appreciaton of the risks of startng dialysis with unmanaged anemia, industry research suggests that the use of ESAs is low and declining in the non-dialysis patent populaton. Today, ESAs in the non-dialysis CKD patent populaton are approved but use is limited, typically following label guidance when a patent’s hemoglobin is below 10 g/dL and to reduce the likelihood of requiring a red blood cell transfusion. Concerns with the potental risk of hemoglobin instability that is a result of labeling could contribute to non treatment with an ESA. Further, data suggests patents are hesitant to self-administer an injecton.</w:t>
      </w:r>
    </w:p>
    <w:p>
      <w:pPr>
        <w:spacing w:after="0" w:line="100" w:lineRule="exact"/>
        <w:rPr>
          <w:sz w:val="20"/>
          <w:szCs w:val="20"/>
          <w:color w:val="auto"/>
        </w:rPr>
      </w:pPr>
    </w:p>
    <w:p>
      <w:pPr>
        <w:jc w:val="both"/>
        <w:ind w:left="660"/>
        <w:spacing w:after="0" w:line="235" w:lineRule="auto"/>
        <w:rPr>
          <w:sz w:val="20"/>
          <w:szCs w:val="20"/>
          <w:color w:val="auto"/>
        </w:rPr>
      </w:pPr>
      <w:r>
        <w:rPr>
          <w:rFonts w:ascii="Calibri" w:cs="Calibri" w:eastAsia="Calibri" w:hAnsi="Calibri"/>
          <w:sz w:val="18"/>
          <w:szCs w:val="18"/>
          <w:color w:val="auto"/>
        </w:rPr>
        <w:t>We believe the availability of an oral HIF-PH inhibitor within the non-dialysis patent populaton could address the issues contributng to the decline in ESA use among that patent populaton. We believe physicians agree, as third-party data from a 2024 Spherix Global Insights report indicated that 87% of physicians agreed with the statement that their treatment of anemia in CKD non-dialysis dependent patents would increase substantally if HIF-PH inhibitors are FDA approved.</w:t>
      </w:r>
    </w:p>
    <w:p>
      <w:pPr>
        <w:spacing w:after="0" w:line="111" w:lineRule="exact"/>
        <w:rPr>
          <w:sz w:val="20"/>
          <w:szCs w:val="20"/>
          <w:color w:val="auto"/>
        </w:rPr>
      </w:pPr>
    </w:p>
    <w:p>
      <w:pPr>
        <w:jc w:val="both"/>
        <w:ind w:left="660"/>
        <w:spacing w:after="0" w:line="230" w:lineRule="auto"/>
        <w:rPr>
          <w:sz w:val="20"/>
          <w:szCs w:val="20"/>
          <w:color w:val="auto"/>
        </w:rPr>
      </w:pPr>
      <w:r>
        <w:rPr>
          <w:rFonts w:ascii="Calibri" w:cs="Calibri" w:eastAsia="Calibri" w:hAnsi="Calibri"/>
          <w:sz w:val="18"/>
          <w:szCs w:val="18"/>
          <w:color w:val="auto"/>
        </w:rPr>
        <w:t xml:space="preserve">We are commited to pursuing a path for label expansion for Vafseo for CKD non-dialysis dependent patents. We initally submited a New Drug Applicaton, or </w:t>
      </w:r>
      <w:r>
        <w:rPr>
          <w:rFonts w:ascii="Calibri" w:cs="Calibri" w:eastAsia="Calibri" w:hAnsi="Calibri"/>
          <w:sz w:val="18"/>
          <w:szCs w:val="18"/>
          <w:u w:val="single" w:color="auto"/>
          <w:color w:val="auto"/>
        </w:rPr>
        <w:t>NDA</w:t>
      </w:r>
      <w:r>
        <w:rPr>
          <w:rFonts w:ascii="Calibri" w:cs="Calibri" w:eastAsia="Calibri" w:hAnsi="Calibri"/>
          <w:sz w:val="18"/>
          <w:szCs w:val="18"/>
          <w:color w:val="auto"/>
        </w:rPr>
        <w:t xml:space="preserve">, to the FDA for vadadustat in March 2021 and in March 2022, the FDA issued a complete response leter, or </w:t>
      </w:r>
      <w:r>
        <w:rPr>
          <w:rFonts w:ascii="Calibri" w:cs="Calibri" w:eastAsia="Calibri" w:hAnsi="Calibri"/>
          <w:sz w:val="18"/>
          <w:szCs w:val="18"/>
          <w:u w:val="single" w:color="auto"/>
          <w:color w:val="auto"/>
        </w:rPr>
        <w:t>CRL</w:t>
      </w:r>
      <w:r>
        <w:rPr>
          <w:rFonts w:ascii="Calibri" w:cs="Calibri" w:eastAsia="Calibri" w:hAnsi="Calibri"/>
          <w:sz w:val="18"/>
          <w:szCs w:val="18"/>
          <w:color w:val="auto"/>
        </w:rPr>
        <w:t xml:space="preserve">, to our NDA. The FDA concluded that the data in the NDA did not support a favorable beneft-risk assessment of vadadustat for dialysis and non-dialysis patents. The FDA expressed safety concerns, notng failure to meet non-inferiority in Major Adverse Cardiovascular Events, or </w:t>
      </w:r>
      <w:r>
        <w:rPr>
          <w:rFonts w:ascii="Calibri" w:cs="Calibri" w:eastAsia="Calibri" w:hAnsi="Calibri"/>
          <w:sz w:val="18"/>
          <w:szCs w:val="18"/>
          <w:u w:val="single" w:color="auto"/>
          <w:color w:val="auto"/>
        </w:rPr>
        <w:t>MACE</w:t>
      </w:r>
      <w:r>
        <w:rPr>
          <w:rFonts w:ascii="Calibri" w:cs="Calibri" w:eastAsia="Calibri" w:hAnsi="Calibri"/>
          <w:sz w:val="18"/>
          <w:szCs w:val="18"/>
          <w:color w:val="auto"/>
          <w:highlight w:val="white"/>
        </w:rPr>
        <w:t>, in the non-dialysis patent</w:t>
      </w:r>
      <w:r>
        <w:rPr>
          <w:rFonts w:ascii="Calibri" w:cs="Calibri" w:eastAsia="Calibri" w:hAnsi="Calibri"/>
          <w:sz w:val="18"/>
          <w:szCs w:val="18"/>
          <w:color w:val="auto"/>
        </w:rPr>
        <w:t xml:space="preserve"> populaton. While we have since secured FDA approval for use in dialysis patents, we believe there are compelling data supportng a positve beneft-risk profle for the use of Vafseo broadly in patents with CKD. In additon, we submited a protocol to the FDA for VALOR, a Phase 3 cardiovascular outcome study of approximately 1,500 U.S. subjects with late-stage CKD anemia not on dialysis with a comparator to standard of care. We received FDA feedback on the protocol and expect to meet with the FDA to discuss VALOR. We intend to initate the study by the second half of 2025. The study will be one part of what we believe will be a robust data package that will likely include data from the 1,700 U.S. patents in the Global Phase 3 PRO</w:t>
      </w:r>
      <w:r>
        <w:rPr>
          <w:rFonts w:ascii="Calibri" w:cs="Calibri" w:eastAsia="Calibri" w:hAnsi="Calibri"/>
          <w:sz w:val="23"/>
          <w:szCs w:val="23"/>
          <w:color w:val="auto"/>
          <w:vertAlign w:val="subscript"/>
        </w:rPr>
        <w:t>2</w:t>
      </w:r>
      <w:r>
        <w:rPr>
          <w:rFonts w:ascii="Calibri" w:cs="Calibri" w:eastAsia="Calibri" w:hAnsi="Calibri"/>
          <w:sz w:val="18"/>
          <w:szCs w:val="18"/>
          <w:color w:val="auto"/>
        </w:rPr>
        <w:t>TECT Program, as well as safety data from the commercial use of Vafseo in the U.S. in dialysis patents, and data on the use of Vafseo in Japan in dialysis and non-dialysis patents where Vafseo has been in the market since 2020.</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Create a Future for Akebia both within and beyond Kidney Disease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believe our leadership in the kidney community and deep understanding of the CKD market creates a compettve advantage and positons us for success partcularly through the launch of Vafseo. We seek to explore opportunites where we can leverage our commercial excellence atained over the past decade commercializing Auryxia in the kidney space.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Hyperphosphatemia is a metabolic disorder characterized by elevated serum phosphorus levels. Phosphorus is a vital element required for most cellular processes and, in individuals with normal kidney functon, excess dietary phosphorus is removed by the kidneys and excreted in urine. In adults with functoning kidneys, normal serum phosphorus levels are 2.5 to 4.5 mg/dL. In adults with DD-CKD, elevated phosphorus levels, or hyperphosphatemia, can be associated with adverse efects, including increased risk for cardiovascular disease, bone disease and death.</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Phosphate binders and phosphate inhibitors are the only interventons marketed for the treatment of hyperphosphatemia. According to the U.S. Renal Data System 2022 Annual Data Report, there were nearly 558,000 patents in the U.S. on dialysis in 2020, of which approximately 80% were treated with a phosphate binder. Phosphate binders need to be taken with meals and snacks, and it is not uncommon for CKD patents receiving dialysis to be prescribed as many as 12 or more phosphate binder pills per day, among other medicatons. Patents taking phosphate binders also experience gastrointestnal tolerability issues. As a result of the pill burden and tolerability issues associated phosphate binders, prescribed phosphate binders are ofen intolerable for many patents, leading to lack of treatment adherence.</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in 2020 approximately 44% of patents treated with a phosphate binder were treated solely with a calcium-based binder, which can lead to side efects such as increased cardiovascular risk, hypercalcemia and gastrointestnal-related adverse events. Due to the risks associated with calcium-based binders, in 2017 Kidney Disease: Improving Global Outcomes, recommended that clinicians limit the use of calcium-based binders.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IDA is a common form of anemia that is caused by patents not having enough iron to manufacture healthy RBCs. Although anyone can develop IDA, it is partcularly common in NDD-CKD patents. IDA is associated with fatgue, lethargy, decrease quality of life, cardiovascular complicatons, hospitalizatons and increased mortality.</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 w:name="page12"/>
    <w:bookmarkEnd w:id="1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estmate that there are more than 500,000 adult patents in the U.S. with NDD-CKD diagnosed with IDA and managed by a nephrologist. Currently, there are two forms of iron therapy used to treat IDA: oral iron supplements and iron delivered via intravenous infusion, or </w:t>
      </w:r>
      <w:r>
        <w:rPr>
          <w:rFonts w:ascii="Calibri" w:cs="Calibri" w:eastAsia="Calibri" w:hAnsi="Calibri"/>
          <w:sz w:val="18"/>
          <w:szCs w:val="18"/>
          <w:u w:val="single" w:color="auto"/>
          <w:color w:val="auto"/>
        </w:rPr>
        <w:t>IV</w:t>
      </w:r>
      <w:r>
        <w:rPr>
          <w:rFonts w:ascii="Calibri" w:cs="Calibri" w:eastAsia="Calibri" w:hAnsi="Calibri"/>
          <w:sz w:val="18"/>
          <w:szCs w:val="18"/>
          <w:color w:val="auto"/>
        </w:rPr>
        <w:t>. Oral iron is currently the frst-line iron replacement therapy for most physicians; however, oral iron supplements are poorly absorbed by many patents, which may adversely impact their efectveness, and are associated with certain side efects, such as constpaton, diarrhea and cramping, that may adversely afect treatment adherence. IV iron is viewed as an efectve treatment; however, like other intravenous medicines, it is logistcally difcult to administer in an ofce setng, where NDD-CKD patents are more ofen treated.</w:t>
      </w:r>
    </w:p>
    <w:p>
      <w:pPr>
        <w:spacing w:after="0" w:line="108"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i w:val="1"/>
          <w:iCs w:val="1"/>
          <w:color w:val="auto"/>
        </w:rPr>
        <w:t>Auryxia – An oral treatment for hyperphosphatemia and iron defciency anemia</w:t>
      </w:r>
    </w:p>
    <w:p>
      <w:pPr>
        <w:spacing w:after="0" w:line="104"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We market Auryxia in the U.S. through our well-established, nephrology-focused sales force and commercial organizaton.</w:t>
      </w:r>
    </w:p>
    <w:p>
      <w:pPr>
        <w:spacing w:after="0" w:line="109" w:lineRule="exact"/>
        <w:rPr>
          <w:sz w:val="20"/>
          <w:szCs w:val="20"/>
          <w:color w:val="auto"/>
        </w:rPr>
      </w:pPr>
    </w:p>
    <w:p>
      <w:pPr>
        <w:jc w:val="both"/>
        <w:ind w:left="660"/>
        <w:spacing w:after="0" w:line="235" w:lineRule="auto"/>
        <w:rPr>
          <w:sz w:val="20"/>
          <w:szCs w:val="20"/>
          <w:color w:val="auto"/>
        </w:rPr>
      </w:pPr>
      <w:r>
        <w:rPr>
          <w:rFonts w:ascii="Calibri" w:cs="Calibri" w:eastAsia="Calibri" w:hAnsi="Calibri"/>
          <w:sz w:val="18"/>
          <w:szCs w:val="18"/>
          <w:color w:val="auto"/>
        </w:rPr>
        <w:t>Auryxia, an oral-only phosphate binder, was included in the ESRD PPS bundle payment beginning in January 2025, representng a shif, as Auryxia was previously covered by Medicare under Part D and commercial channels. In additon, dialysis organizatons will receive a TDAPA payment for claims that include phosphate binders for the next two years. Afer two years, CMS will adjust the bundle price based on the amount spent on phosphate binders during that tme and no longer include an extra TDAPA payment in claims. The shif in reimbursement initated a change in the distributon of Auryxia to patents and a change in our contractng strategy. We had previously distributed Auryxia primarily in the retail channel through wholesalers or through large dialysis organizaton pharmacies, such as Fresenius Rx. Now, patents with hyperphosphatemia have access to Auryxia through dialysis organizatons in the U.S. and distributon of Auryxia sits with the dialysis organizaton through dialysis organizatons’ pharmacies, or other specialty pharmacies or distributors.</w:t>
      </w:r>
    </w:p>
    <w:p>
      <w:pPr>
        <w:spacing w:after="0" w:line="115" w:lineRule="exact"/>
        <w:rPr>
          <w:sz w:val="20"/>
          <w:szCs w:val="20"/>
          <w:color w:val="auto"/>
        </w:rPr>
      </w:pPr>
    </w:p>
    <w:p>
      <w:pPr>
        <w:jc w:val="both"/>
        <w:ind w:left="660"/>
        <w:spacing w:after="0" w:line="235" w:lineRule="auto"/>
        <w:rPr>
          <w:sz w:val="20"/>
          <w:szCs w:val="20"/>
          <w:color w:val="auto"/>
        </w:rPr>
      </w:pPr>
      <w:r>
        <w:rPr>
          <w:rFonts w:ascii="Calibri" w:cs="Calibri" w:eastAsia="Calibri" w:hAnsi="Calibri"/>
          <w:sz w:val="18"/>
          <w:szCs w:val="18"/>
          <w:color w:val="auto"/>
        </w:rPr>
        <w:t>In preparaton for this change, throughout 2024 we began contractng directly with dialysis organizatons for Auryxia. Some of the dialysis organizatons had their own specialty pharmacies and could distribute medicaton to patents, while others needed to partner with a specialty pharmacy to provide this service. We determined that, in order to ensure patent access, we needed to contract with distributon partners of the dialysis organizatons as well. We enabled broad access to Auryxia by executng contracts with dialysis organizatons that care for nearly 100% of patents on dialysis in the U.S. Akebia now delivers Auryxia directly to dialysis organizatons or to their distributon partners rather than to wholesalers.</w:t>
      </w:r>
    </w:p>
    <w:p>
      <w:pPr>
        <w:spacing w:after="0" w:line="113" w:lineRule="exact"/>
        <w:rPr>
          <w:sz w:val="20"/>
          <w:szCs w:val="20"/>
          <w:color w:val="auto"/>
        </w:rPr>
      </w:pPr>
    </w:p>
    <w:p>
      <w:pPr>
        <w:jc w:val="both"/>
        <w:ind w:left="660"/>
        <w:spacing w:after="0" w:line="235" w:lineRule="auto"/>
        <w:rPr>
          <w:sz w:val="20"/>
          <w:szCs w:val="20"/>
          <w:color w:val="auto"/>
        </w:rPr>
      </w:pPr>
      <w:r>
        <w:rPr>
          <w:rFonts w:ascii="Calibri" w:cs="Calibri" w:eastAsia="Calibri" w:hAnsi="Calibri"/>
          <w:sz w:val="18"/>
          <w:szCs w:val="18"/>
          <w:color w:val="auto"/>
        </w:rPr>
        <w:t>We currently have exclusive rights under a series of patents and patent applicatons to commercialize Auryxia in the U.S. that protect us from generic drug competton untl March 2025. We believe the dynamics of Auryxia reimbursement being included in the ESRD bundle under Medicare Part B could result in slower revenue decline afer the LoE date than in other LoE situatons, but the impact of LoE on future Auryxia revenues will depend on many factors including our ability to maintain contracts with dialysis organizatons, the tming and number of generics and the pricing of generics and other products on the market that compete with Auryxia.</w:t>
      </w:r>
    </w:p>
    <w:p>
      <w:pPr>
        <w:spacing w:after="0" w:line="112" w:lineRule="exact"/>
        <w:rPr>
          <w:sz w:val="20"/>
          <w:szCs w:val="20"/>
          <w:color w:val="auto"/>
        </w:rPr>
      </w:pPr>
    </w:p>
    <w:p>
      <w:pPr>
        <w:jc w:val="both"/>
        <w:ind w:left="660" w:right="20"/>
        <w:spacing w:after="0" w:line="235" w:lineRule="auto"/>
        <w:rPr>
          <w:sz w:val="20"/>
          <w:szCs w:val="20"/>
          <w:color w:val="auto"/>
        </w:rPr>
      </w:pPr>
      <w:r>
        <w:rPr>
          <w:rFonts w:ascii="Calibri" w:cs="Calibri" w:eastAsia="Calibri" w:hAnsi="Calibri"/>
          <w:sz w:val="18"/>
          <w:szCs w:val="18"/>
          <w:color w:val="auto"/>
        </w:rPr>
        <w:t>Outside the U.S., JT and Torii market Riona in Japan, and we receive tered double-digit royaltes based on their sales in Japan. Averoa applied for marketng authorizaton for ferric citrate in Europe.</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also leverage our research and development competency and expertse in HIF-based technology to both build on our commitment to kidney disease and also address areas of unmet medical need outside of kidney disease. We have invested resources to build out a preclinical portolio and have selected two candidates for further preclinical development: AKB-9090 and AKB-10108. We intend to explore AKB-9090 for potental use in CS-AKI and ARDS, and AKB-10108 for potental use in ROP.</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Cardiac Surgery-related Acute Kidney Injury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AKI is a sudden decline in the ability of the kidneys to work and perform their normal functons. AKI occurs in many setngs including in 20-30% of the approximately two million patents who undergo cardiac surgery with use of cardio-pulmonary bypass each year worldwide. There are no current treatments available for CS-AKI. Stabilizaton of HIF by prolyl hydroxylase inhibiton leads to the release of erythropoietn, a shif to anaerobic metabolism (glycolysis) and decreased infammatory responses that collectvely lessen kidney ischemia-reperfusion injury and ameliorate the decline in kidney functon seen in many clinical setngs including CS-AKI. Data from our preclinical studies showed AKB-9090 to be highly actve in lessening the severity of AKI in an animal model of ischemia-reperfusion injury. We expect to initate a Phase 1 trial of AKB-9090 in 2025.</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Acute Respiratory Distress Syndrome (ARDS)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ARDS is a life-threatening acute form of lung disease characterized by acute bilateral pulmonary edema and severe hypoxemia (low blood oxygen). Despite improvement in supportve care, a third-party study indicated high hospital mortality rates for patents with ARDS admited to partcipatng intensive care units. The mortality rate among patents with ARDS in the study was: 34.9% with mild ARDS; 40.3% with moderate ARDS and 46.1% with severe ARDS. There are currently no treatments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 w:name="page13"/>
    <w:bookmarkEnd w:id="1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available for ARDS except for supportve care. Stabilizaton of HIF by prolyl hydroxylase inhibiton leads to the release of erythropoietn, increased extracellular adenosine signaling, increased glycolytc actvity and decreased infammaton in lung epithelial cells that promote resoluton of the lung injury. Our plan is to frst study HIF actvity in vadadustat for the treatment of ARDS due to suspected aspiraton, pathogen-associated pneumonia, or sepsis in hospitalized patents, which could provide clinical data from an investgator-initated trial, and then to use these fndings to support clinical development of an alternatve HIF-based molecule such as AKB 9090 for ARDS. In earlier studies, vadadustat lessened the severity of COVID-19 pneumonia in a clinical trial (NCT04478071) and improved outcomes in animal models of acute lung injury.</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Retnopathy of Prematurity (ROP)</w:t>
      </w:r>
    </w:p>
    <w:p>
      <w:pPr>
        <w:spacing w:after="0" w:line="10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ROP is the leading cause of blindness in preterm infants globally and occurs due to incomplete retnal development and abnormal blood vessel growth in the retna. ROP is caused by the high oxygen therapy used to treat preterm babies, which prevents retna growth. Annually, there are approximately 100,000 new cases of infant blindness worldwide due to ROP and currently no preventatve therapy. HIF-PH inhibitors can protect the retna by stabilizing HIF, which degrades during hyperoxia, allowing normal retnal development and preventng abnormal blood vessel growth that can lead to scarring, bleeding, retnal detachment and blindness. Data from our preclinical studies of AKB-10108 in mouse and rat models of ROP showed signifcant improvements in retnal development under hyperoxic conditons, as well as signifcant reductons in abnormal blood vessel growth afer returning to normal oxygen levels.</w:t>
      </w:r>
    </w:p>
    <w:p>
      <w:pPr>
        <w:spacing w:after="0" w:line="9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Clinical Development Programs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Below is a summary of the clinical development work completed for vadadustat.</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Vadadustat Global Phase 3 Clinical Program in Anemia Due To CKD</w:t>
      </w:r>
    </w:p>
    <w:p>
      <w:pPr>
        <w:spacing w:after="0" w:line="66" w:lineRule="exact"/>
        <w:rPr>
          <w:sz w:val="20"/>
          <w:szCs w:val="20"/>
          <w:color w:val="auto"/>
        </w:rPr>
      </w:pPr>
    </w:p>
    <w:p>
      <w:pPr>
        <w:jc w:val="both"/>
        <w:spacing w:after="0" w:line="217" w:lineRule="auto"/>
        <w:rPr>
          <w:sz w:val="20"/>
          <w:szCs w:val="20"/>
          <w:color w:val="auto"/>
        </w:rPr>
      </w:pPr>
      <w:r>
        <w:rPr>
          <w:rFonts w:ascii="Calibri" w:cs="Calibri" w:eastAsia="Calibri" w:hAnsi="Calibri"/>
          <w:sz w:val="18"/>
          <w:szCs w:val="18"/>
          <w:color w:val="auto"/>
        </w:rPr>
        <w:t>We conducted a global Phase 3 clinical development program for vadadustat, which included two programs, INNO</w:t>
      </w:r>
      <w:r>
        <w:rPr>
          <w:rFonts w:ascii="Calibri" w:cs="Calibri" w:eastAsia="Calibri" w:hAnsi="Calibri"/>
          <w:sz w:val="23"/>
          <w:szCs w:val="23"/>
          <w:color w:val="auto"/>
          <w:vertAlign w:val="subscript"/>
        </w:rPr>
        <w:t>2</w:t>
      </w:r>
      <w:r>
        <w:rPr>
          <w:rFonts w:ascii="Calibri" w:cs="Calibri" w:eastAsia="Calibri" w:hAnsi="Calibri"/>
          <w:sz w:val="18"/>
          <w:szCs w:val="18"/>
          <w:color w:val="auto"/>
        </w:rPr>
        <w:t>VATE and PRO</w:t>
      </w:r>
      <w:r>
        <w:rPr>
          <w:rFonts w:ascii="Calibri" w:cs="Calibri" w:eastAsia="Calibri" w:hAnsi="Calibri"/>
          <w:sz w:val="23"/>
          <w:szCs w:val="23"/>
          <w:color w:val="auto"/>
          <w:vertAlign w:val="subscript"/>
        </w:rPr>
        <w:t>2</w:t>
      </w:r>
      <w:r>
        <w:rPr>
          <w:rFonts w:ascii="Calibri" w:cs="Calibri" w:eastAsia="Calibri" w:hAnsi="Calibri"/>
          <w:sz w:val="18"/>
          <w:szCs w:val="18"/>
          <w:color w:val="auto"/>
        </w:rPr>
        <w:t>TECT. INNO</w:t>
      </w:r>
      <w:r>
        <w:rPr>
          <w:rFonts w:ascii="Calibri" w:cs="Calibri" w:eastAsia="Calibri" w:hAnsi="Calibri"/>
          <w:sz w:val="23"/>
          <w:szCs w:val="23"/>
          <w:color w:val="auto"/>
          <w:vertAlign w:val="subscript"/>
        </w:rPr>
        <w:t>2</w:t>
      </w:r>
      <w:r>
        <w:rPr>
          <w:rFonts w:ascii="Calibri" w:cs="Calibri" w:eastAsia="Calibri" w:hAnsi="Calibri"/>
          <w:sz w:val="18"/>
          <w:szCs w:val="18"/>
          <w:color w:val="auto"/>
        </w:rPr>
        <w:t>VATE evaluated vadadustat in adult DD-CKD patents with anemia due to CKD in two studies, and PRO</w:t>
      </w:r>
      <w:r>
        <w:rPr>
          <w:rFonts w:ascii="Calibri" w:cs="Calibri" w:eastAsia="Calibri" w:hAnsi="Calibri"/>
          <w:sz w:val="23"/>
          <w:szCs w:val="23"/>
          <w:color w:val="auto"/>
          <w:vertAlign w:val="subscript"/>
        </w:rPr>
        <w:t>2</w:t>
      </w:r>
      <w:r>
        <w:rPr>
          <w:rFonts w:ascii="Calibri" w:cs="Calibri" w:eastAsia="Calibri" w:hAnsi="Calibri"/>
          <w:sz w:val="18"/>
          <w:szCs w:val="18"/>
          <w:color w:val="auto"/>
        </w:rPr>
        <w:t>TECT evaluated vadadustat in adult NDD-CKD patents with anemia due to CKD in two studies. Combined, we enrolled approximately 7,500 patents in these studies and evaluated a once daily oral dosing of vadadustat against an injectable ESA actve comparator, darbepoetn alfa.</w:t>
      </w:r>
    </w:p>
    <w:p>
      <w:pPr>
        <w:spacing w:after="0" w:line="67" w:lineRule="exact"/>
        <w:rPr>
          <w:sz w:val="20"/>
          <w:szCs w:val="20"/>
          <w:color w:val="auto"/>
        </w:rPr>
      </w:pPr>
    </w:p>
    <w:p>
      <w:pPr>
        <w:jc w:val="both"/>
        <w:spacing w:after="0" w:line="227" w:lineRule="auto"/>
        <w:rPr>
          <w:sz w:val="20"/>
          <w:szCs w:val="20"/>
          <w:color w:val="auto"/>
        </w:rPr>
      </w:pPr>
      <w:r>
        <w:rPr>
          <w:rFonts w:ascii="Calibri" w:cs="Calibri" w:eastAsia="Calibri" w:hAnsi="Calibri"/>
          <w:sz w:val="17"/>
          <w:szCs w:val="17"/>
          <w:color w:val="auto"/>
        </w:rPr>
        <w:t>Both the INNO</w:t>
      </w:r>
      <w:r>
        <w:rPr>
          <w:rFonts w:ascii="Calibri" w:cs="Calibri" w:eastAsia="Calibri" w:hAnsi="Calibri"/>
          <w:sz w:val="22"/>
          <w:szCs w:val="22"/>
          <w:color w:val="auto"/>
          <w:vertAlign w:val="subscript"/>
        </w:rPr>
        <w:t>2</w:t>
      </w:r>
      <w:r>
        <w:rPr>
          <w:rFonts w:ascii="Calibri" w:cs="Calibri" w:eastAsia="Calibri" w:hAnsi="Calibri"/>
          <w:sz w:val="17"/>
          <w:szCs w:val="17"/>
          <w:color w:val="auto"/>
        </w:rPr>
        <w:t>VATE and PRO</w:t>
      </w:r>
      <w:r>
        <w:rPr>
          <w:rFonts w:ascii="Calibri" w:cs="Calibri" w:eastAsia="Calibri" w:hAnsi="Calibri"/>
          <w:sz w:val="22"/>
          <w:szCs w:val="22"/>
          <w:color w:val="auto"/>
          <w:vertAlign w:val="subscript"/>
        </w:rPr>
        <w:t>2</w:t>
      </w:r>
      <w:r>
        <w:rPr>
          <w:rFonts w:ascii="Calibri" w:cs="Calibri" w:eastAsia="Calibri" w:hAnsi="Calibri"/>
          <w:sz w:val="17"/>
          <w:szCs w:val="17"/>
          <w:color w:val="auto"/>
        </w:rPr>
        <w:t>TECT Phase 3 programs were global, multcenter, open-label, sponsor-blind, actve-controlled non-inferiority programs. In both programs, patents were randomized 1:1 to receive either oral vadadustat or injectable darbepoetn alfa. The primary efcacy endpoint for each study in the INNO</w:t>
      </w:r>
      <w:r>
        <w:rPr>
          <w:rFonts w:ascii="Calibri" w:cs="Calibri" w:eastAsia="Calibri" w:hAnsi="Calibri"/>
          <w:sz w:val="22"/>
          <w:szCs w:val="22"/>
          <w:color w:val="auto"/>
          <w:vertAlign w:val="subscript"/>
        </w:rPr>
        <w:t>2</w:t>
      </w:r>
      <w:r>
        <w:rPr>
          <w:rFonts w:ascii="Calibri" w:cs="Calibri" w:eastAsia="Calibri" w:hAnsi="Calibri"/>
          <w:sz w:val="17"/>
          <w:szCs w:val="17"/>
          <w:color w:val="auto"/>
        </w:rPr>
        <w:t>VATE and PRO</w:t>
      </w:r>
      <w:r>
        <w:rPr>
          <w:rFonts w:ascii="Calibri" w:cs="Calibri" w:eastAsia="Calibri" w:hAnsi="Calibri"/>
          <w:sz w:val="22"/>
          <w:szCs w:val="22"/>
          <w:color w:val="auto"/>
          <w:vertAlign w:val="subscript"/>
        </w:rPr>
        <w:t>2</w:t>
      </w:r>
      <w:r>
        <w:rPr>
          <w:rFonts w:ascii="Calibri" w:cs="Calibri" w:eastAsia="Calibri" w:hAnsi="Calibri"/>
          <w:sz w:val="17"/>
          <w:szCs w:val="17"/>
          <w:color w:val="auto"/>
        </w:rPr>
        <w:t xml:space="preserve">TECT programs was the mean change in hemoglobin between baseline and the primary evaluaton period. Non-inferiority, or </w:t>
      </w:r>
      <w:r>
        <w:rPr>
          <w:rFonts w:ascii="Calibri" w:cs="Calibri" w:eastAsia="Calibri" w:hAnsi="Calibri"/>
          <w:sz w:val="17"/>
          <w:szCs w:val="17"/>
          <w:u w:val="single" w:color="auto"/>
          <w:color w:val="auto"/>
        </w:rPr>
        <w:t>NI</w:t>
      </w:r>
      <w:r>
        <w:rPr>
          <w:rFonts w:ascii="Calibri" w:cs="Calibri" w:eastAsia="Calibri" w:hAnsi="Calibri"/>
          <w:sz w:val="17"/>
          <w:szCs w:val="17"/>
          <w:color w:val="auto"/>
        </w:rPr>
        <w:t>, for the primary efcacy endpoint was achieved if the lower bound of the 95% confdence interval for the between-group diference of the mean hemoglobin change did not fall below the pre-specifed NI margin. Both the INNO</w:t>
      </w:r>
      <w:r>
        <w:rPr>
          <w:rFonts w:ascii="Calibri" w:cs="Calibri" w:eastAsia="Calibri" w:hAnsi="Calibri"/>
          <w:sz w:val="22"/>
          <w:szCs w:val="22"/>
          <w:color w:val="auto"/>
          <w:vertAlign w:val="subscript"/>
        </w:rPr>
        <w:t>2</w:t>
      </w:r>
      <w:r>
        <w:rPr>
          <w:rFonts w:ascii="Calibri" w:cs="Calibri" w:eastAsia="Calibri" w:hAnsi="Calibri"/>
          <w:sz w:val="17"/>
          <w:szCs w:val="17"/>
          <w:color w:val="auto"/>
        </w:rPr>
        <w:t>VATE and PRO</w:t>
      </w:r>
      <w:r>
        <w:rPr>
          <w:rFonts w:ascii="Calibri" w:cs="Calibri" w:eastAsia="Calibri" w:hAnsi="Calibri"/>
          <w:sz w:val="22"/>
          <w:szCs w:val="22"/>
          <w:color w:val="auto"/>
          <w:vertAlign w:val="subscript"/>
        </w:rPr>
        <w:t>2</w:t>
      </w:r>
      <w:r>
        <w:rPr>
          <w:rFonts w:ascii="Calibri" w:cs="Calibri" w:eastAsia="Calibri" w:hAnsi="Calibri"/>
          <w:sz w:val="17"/>
          <w:szCs w:val="17"/>
          <w:color w:val="auto"/>
        </w:rPr>
        <w:t>TECT programs included the primary safety endpoint of the assessment of MACE, with a comparison of vadadustat to darbepoetn alfa. MACE is defned as the composite endpoint of all-cause mortality, non-fatal myocardial infarcton, or non-fatal stroke. The primary safety analysis for each program was based on the combined MACE events from the two studies in each of INNO</w:t>
      </w:r>
      <w:r>
        <w:rPr>
          <w:rFonts w:ascii="Calibri" w:cs="Calibri" w:eastAsia="Calibri" w:hAnsi="Calibri"/>
          <w:sz w:val="22"/>
          <w:szCs w:val="22"/>
          <w:color w:val="auto"/>
          <w:vertAlign w:val="subscript"/>
        </w:rPr>
        <w:t>2</w:t>
      </w:r>
      <w:r>
        <w:rPr>
          <w:rFonts w:ascii="Calibri" w:cs="Calibri" w:eastAsia="Calibri" w:hAnsi="Calibri"/>
          <w:sz w:val="17"/>
          <w:szCs w:val="17"/>
          <w:color w:val="auto"/>
        </w:rPr>
        <w:t>VATE and PRO</w:t>
      </w:r>
      <w:r>
        <w:rPr>
          <w:rFonts w:ascii="Calibri" w:cs="Calibri" w:eastAsia="Calibri" w:hAnsi="Calibri"/>
          <w:sz w:val="22"/>
          <w:szCs w:val="22"/>
          <w:color w:val="auto"/>
          <w:vertAlign w:val="subscript"/>
        </w:rPr>
        <w:t>2</w:t>
      </w:r>
      <w:r>
        <w:rPr>
          <w:rFonts w:ascii="Calibri" w:cs="Calibri" w:eastAsia="Calibri" w:hAnsi="Calibri"/>
          <w:sz w:val="17"/>
          <w:szCs w:val="17"/>
          <w:color w:val="auto"/>
        </w:rPr>
        <w:t xml:space="preserve">TECT. NI for the primary safety analysis was achieved if the upper bound of the 95% confdence interval for the hazard rato, or </w:t>
      </w:r>
      <w:r>
        <w:rPr>
          <w:rFonts w:ascii="Calibri" w:cs="Calibri" w:eastAsia="Calibri" w:hAnsi="Calibri"/>
          <w:sz w:val="17"/>
          <w:szCs w:val="17"/>
          <w:u w:val="single" w:color="auto"/>
          <w:color w:val="auto"/>
        </w:rPr>
        <w:t>HR</w:t>
      </w:r>
      <w:r>
        <w:rPr>
          <w:rFonts w:ascii="Calibri" w:cs="Calibri" w:eastAsia="Calibri" w:hAnsi="Calibri"/>
          <w:sz w:val="17"/>
          <w:szCs w:val="17"/>
          <w:color w:val="auto"/>
        </w:rPr>
        <w:t>, of vadadustat to darbepoetn alfa did not exceed the pre-specifed NI margin. We prospectvely defned and agreed to non-inferiority margins with the U.S. and European regulatory authorites and agreed with the U.S. regulatory authorites on the key components of our statstcal analysis plan.</w:t>
      </w:r>
    </w:p>
    <w:p>
      <w:pPr>
        <w:spacing w:after="0" w:line="6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Top-line Results from Global Phase 3 INNO</w:t>
      </w:r>
      <w:r>
        <w:rPr>
          <w:rFonts w:ascii="Calibri" w:cs="Calibri" w:eastAsia="Calibri" w:hAnsi="Calibri"/>
          <w:sz w:val="23"/>
          <w:szCs w:val="23"/>
          <w:i w:val="1"/>
          <w:iCs w:val="1"/>
          <w:color w:val="auto"/>
          <w:vertAlign w:val="subscript"/>
        </w:rPr>
        <w:t>2</w:t>
      </w:r>
      <w:r>
        <w:rPr>
          <w:rFonts w:ascii="Calibri" w:cs="Calibri" w:eastAsia="Calibri" w:hAnsi="Calibri"/>
          <w:sz w:val="18"/>
          <w:szCs w:val="18"/>
          <w:i w:val="1"/>
          <w:iCs w:val="1"/>
          <w:color w:val="auto"/>
        </w:rPr>
        <w:t>VATE Program within DD-CKD Adult Patents</w:t>
      </w:r>
    </w:p>
    <w:p>
      <w:pPr>
        <w:spacing w:after="0" w:line="55" w:lineRule="exact"/>
        <w:rPr>
          <w:sz w:val="20"/>
          <w:szCs w:val="20"/>
          <w:color w:val="auto"/>
        </w:rPr>
      </w:pPr>
    </w:p>
    <w:p>
      <w:pPr>
        <w:jc w:val="both"/>
        <w:ind w:right="20"/>
        <w:spacing w:after="0" w:line="227" w:lineRule="auto"/>
        <w:rPr>
          <w:sz w:val="20"/>
          <w:szCs w:val="20"/>
          <w:color w:val="auto"/>
        </w:rPr>
      </w:pPr>
      <w:r>
        <w:rPr>
          <w:rFonts w:ascii="Calibri" w:cs="Calibri" w:eastAsia="Calibri" w:hAnsi="Calibri"/>
          <w:sz w:val="18"/>
          <w:szCs w:val="18"/>
          <w:color w:val="auto"/>
        </w:rPr>
        <w:t>The two INNO</w:t>
      </w:r>
      <w:r>
        <w:rPr>
          <w:rFonts w:ascii="Calibri" w:cs="Calibri" w:eastAsia="Calibri" w:hAnsi="Calibri"/>
          <w:sz w:val="23"/>
          <w:szCs w:val="23"/>
          <w:color w:val="auto"/>
          <w:vertAlign w:val="subscript"/>
        </w:rPr>
        <w:t>2</w:t>
      </w:r>
      <w:r>
        <w:rPr>
          <w:rFonts w:ascii="Calibri" w:cs="Calibri" w:eastAsia="Calibri" w:hAnsi="Calibri"/>
          <w:sz w:val="18"/>
          <w:szCs w:val="18"/>
          <w:color w:val="auto"/>
        </w:rPr>
        <w:t>VATE studies (Correcton/Conversion and Conversion), which collectvely enrolled 3,923 patents, evaluated the efcacy and safety of vadadustat versus darbepoetn alfa for the treatment of anemia due to CKD in DD-CKD adult patents.</w:t>
      </w:r>
    </w:p>
    <w:p>
      <w:pPr>
        <w:spacing w:after="0" w:line="67" w:lineRule="exact"/>
        <w:rPr>
          <w:sz w:val="20"/>
          <w:szCs w:val="20"/>
          <w:color w:val="auto"/>
        </w:rPr>
      </w:pPr>
    </w:p>
    <w:p>
      <w:pPr>
        <w:jc w:val="both"/>
        <w:spacing w:after="0" w:line="207" w:lineRule="auto"/>
        <w:rPr>
          <w:sz w:val="20"/>
          <w:szCs w:val="20"/>
          <w:color w:val="auto"/>
        </w:rPr>
      </w:pPr>
      <w:r>
        <w:rPr>
          <w:rFonts w:ascii="Calibri" w:cs="Calibri" w:eastAsia="Calibri" w:hAnsi="Calibri"/>
          <w:sz w:val="18"/>
          <w:szCs w:val="18"/>
          <w:color w:val="auto"/>
        </w:rPr>
        <w:t>Vadadustat achieved the primary and key secondary efcacy endpoint in each of the two INNO</w:t>
      </w:r>
      <w:r>
        <w:rPr>
          <w:rFonts w:ascii="Calibri" w:cs="Calibri" w:eastAsia="Calibri" w:hAnsi="Calibri"/>
          <w:sz w:val="23"/>
          <w:szCs w:val="23"/>
          <w:color w:val="auto"/>
          <w:vertAlign w:val="subscript"/>
        </w:rPr>
        <w:t>2</w:t>
      </w:r>
      <w:r>
        <w:rPr>
          <w:rFonts w:ascii="Calibri" w:cs="Calibri" w:eastAsia="Calibri" w:hAnsi="Calibri"/>
          <w:sz w:val="18"/>
          <w:szCs w:val="18"/>
          <w:color w:val="auto"/>
        </w:rPr>
        <w:t xml:space="preserve">VATE studies, demonstratng non-inferiority to darbepoetn alfa as measured by a mean change in hemoglobin, or </w:t>
      </w:r>
      <w:r>
        <w:rPr>
          <w:rFonts w:ascii="Calibri" w:cs="Calibri" w:eastAsia="Calibri" w:hAnsi="Calibri"/>
          <w:sz w:val="18"/>
          <w:szCs w:val="18"/>
          <w:u w:val="single" w:color="auto"/>
          <w:color w:val="auto"/>
        </w:rPr>
        <w:t>Hb</w:t>
      </w:r>
      <w:r>
        <w:rPr>
          <w:rFonts w:ascii="Calibri" w:cs="Calibri" w:eastAsia="Calibri" w:hAnsi="Calibri"/>
          <w:sz w:val="18"/>
          <w:szCs w:val="18"/>
          <w:color w:val="auto"/>
        </w:rPr>
        <w:t>, between baseline and the primary evaluaton period (weeks 24 to 36) and secondary evaluaton period (weeks 40 to 52). Vadadustat also achieved the primary safety endpoint of the INNO</w:t>
      </w:r>
      <w:r>
        <w:rPr>
          <w:rFonts w:ascii="Calibri" w:cs="Calibri" w:eastAsia="Calibri" w:hAnsi="Calibri"/>
          <w:sz w:val="23"/>
          <w:szCs w:val="23"/>
          <w:color w:val="auto"/>
          <w:vertAlign w:val="subscript"/>
        </w:rPr>
        <w:t>2</w:t>
      </w:r>
      <w:r>
        <w:rPr>
          <w:rFonts w:ascii="Calibri" w:cs="Calibri" w:eastAsia="Calibri" w:hAnsi="Calibri"/>
          <w:sz w:val="18"/>
          <w:szCs w:val="18"/>
          <w:color w:val="auto"/>
        </w:rPr>
        <w:t>VATE program, defned as non-inferiority of vadadustat versus darbepoetn alfa in tme to frst occurrence of MACE across both INNO</w:t>
      </w:r>
      <w:r>
        <w:rPr>
          <w:rFonts w:ascii="Calibri" w:cs="Calibri" w:eastAsia="Calibri" w:hAnsi="Calibri"/>
          <w:sz w:val="23"/>
          <w:szCs w:val="23"/>
          <w:color w:val="auto"/>
          <w:vertAlign w:val="subscript"/>
        </w:rPr>
        <w:t>2</w:t>
      </w:r>
      <w:r>
        <w:rPr>
          <w:rFonts w:ascii="Calibri" w:cs="Calibri" w:eastAsia="Calibri" w:hAnsi="Calibri"/>
          <w:sz w:val="18"/>
          <w:szCs w:val="18"/>
          <w:color w:val="auto"/>
        </w:rPr>
        <w:t>VATE studies.</w:t>
      </w:r>
    </w:p>
    <w:p>
      <w:pPr>
        <w:spacing w:after="0" w:line="56" w:lineRule="exact"/>
        <w:rPr>
          <w:sz w:val="20"/>
          <w:szCs w:val="20"/>
          <w:color w:val="auto"/>
        </w:rPr>
      </w:pPr>
    </w:p>
    <w:p>
      <w:pPr>
        <w:jc w:val="both"/>
        <w:spacing w:after="0" w:line="217" w:lineRule="auto"/>
        <w:rPr>
          <w:sz w:val="20"/>
          <w:szCs w:val="20"/>
          <w:color w:val="auto"/>
        </w:rPr>
      </w:pPr>
      <w:r>
        <w:rPr>
          <w:rFonts w:ascii="Calibri" w:cs="Calibri" w:eastAsia="Calibri" w:hAnsi="Calibri"/>
          <w:sz w:val="18"/>
          <w:szCs w:val="18"/>
          <w:color w:val="auto"/>
        </w:rPr>
        <w:t>Vadadustat achieved the INNO</w:t>
      </w:r>
      <w:r>
        <w:rPr>
          <w:rFonts w:ascii="Calibri" w:cs="Calibri" w:eastAsia="Calibri" w:hAnsi="Calibri"/>
          <w:sz w:val="23"/>
          <w:szCs w:val="23"/>
          <w:color w:val="auto"/>
          <w:vertAlign w:val="subscript"/>
        </w:rPr>
        <w:t>2</w:t>
      </w:r>
      <w:r>
        <w:rPr>
          <w:rFonts w:ascii="Calibri" w:cs="Calibri" w:eastAsia="Calibri" w:hAnsi="Calibri"/>
          <w:sz w:val="18"/>
          <w:szCs w:val="18"/>
          <w:color w:val="auto"/>
        </w:rPr>
        <w:t>VATE program’s primary safety endpoint of non-inferiority for MACE. In the primary analysis of tme to frst MACE event, vadadustat demonstrated non-inferiority to darbepoetn alfa using a non-inferiority margin of 1.25 based on discussion with the FDA and a non-inferiority margin of 1.3 based on discussion with the EMA. INNO</w:t>
      </w:r>
      <w:r>
        <w:rPr>
          <w:rFonts w:ascii="Calibri" w:cs="Calibri" w:eastAsia="Calibri" w:hAnsi="Calibri"/>
          <w:sz w:val="23"/>
          <w:szCs w:val="23"/>
          <w:color w:val="auto"/>
          <w:vertAlign w:val="subscript"/>
        </w:rPr>
        <w:t>2</w:t>
      </w:r>
      <w:r>
        <w:rPr>
          <w:rFonts w:ascii="Calibri" w:cs="Calibri" w:eastAsia="Calibri" w:hAnsi="Calibri"/>
          <w:sz w:val="18"/>
          <w:szCs w:val="18"/>
          <w:color w:val="auto"/>
        </w:rPr>
        <w:t>VATE results on key secondary safety endpoints showed that vadadustat also demonstrated non-inferiority to darbepoetn alfa in analyses of expanded MACE, cardiovascular MACE, cardiovascular mortality, and all-cause mortality.</w:t>
      </w:r>
    </w:p>
    <w:p>
      <w:pPr>
        <w:spacing w:after="0" w:line="5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Top-line Results from Global Phase 3 PRO</w:t>
      </w:r>
      <w:r>
        <w:rPr>
          <w:rFonts w:ascii="Calibri" w:cs="Calibri" w:eastAsia="Calibri" w:hAnsi="Calibri"/>
          <w:sz w:val="23"/>
          <w:szCs w:val="23"/>
          <w:i w:val="1"/>
          <w:iCs w:val="1"/>
          <w:color w:val="auto"/>
          <w:vertAlign w:val="subscript"/>
        </w:rPr>
        <w:t>2</w:t>
      </w:r>
      <w:r>
        <w:rPr>
          <w:rFonts w:ascii="Calibri" w:cs="Calibri" w:eastAsia="Calibri" w:hAnsi="Calibri"/>
          <w:sz w:val="18"/>
          <w:szCs w:val="18"/>
          <w:i w:val="1"/>
          <w:iCs w:val="1"/>
          <w:color w:val="auto"/>
        </w:rPr>
        <w:t>TECT Program within NDD-CKD Adult Patents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 w:name="page14"/>
    <w:bookmarkEnd w:id="1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The two PRO</w:t>
      </w:r>
      <w:r>
        <w:rPr>
          <w:rFonts w:ascii="Calibri" w:cs="Calibri" w:eastAsia="Calibri" w:hAnsi="Calibri"/>
          <w:sz w:val="23"/>
          <w:szCs w:val="23"/>
          <w:color w:val="auto"/>
          <w:vertAlign w:val="subscript"/>
        </w:rPr>
        <w:t>2</w:t>
      </w:r>
      <w:r>
        <w:rPr>
          <w:rFonts w:ascii="Calibri" w:cs="Calibri" w:eastAsia="Calibri" w:hAnsi="Calibri"/>
          <w:sz w:val="18"/>
          <w:szCs w:val="18"/>
          <w:color w:val="auto"/>
        </w:rPr>
        <w:t>TECT studies (Correcton and Conversion), which collectvely enrolled 3,476 patents, evaluated the efcacy and safety of vadadustat for the treatment of anemia due to CKD in NDD-CKD adult patents.</w:t>
      </w:r>
    </w:p>
    <w:p>
      <w:pPr>
        <w:spacing w:after="0" w:line="67" w:lineRule="exact"/>
        <w:rPr>
          <w:sz w:val="20"/>
          <w:szCs w:val="20"/>
          <w:color w:val="auto"/>
        </w:rPr>
      </w:pPr>
    </w:p>
    <w:p>
      <w:pPr>
        <w:jc w:val="both"/>
        <w:spacing w:after="0" w:line="207" w:lineRule="auto"/>
        <w:rPr>
          <w:sz w:val="20"/>
          <w:szCs w:val="20"/>
          <w:color w:val="auto"/>
        </w:rPr>
      </w:pPr>
      <w:r>
        <w:rPr>
          <w:rFonts w:ascii="Calibri" w:cs="Calibri" w:eastAsia="Calibri" w:hAnsi="Calibri"/>
          <w:sz w:val="18"/>
          <w:szCs w:val="18"/>
          <w:color w:val="auto"/>
        </w:rPr>
        <w:t>Vadadustat achieved the primary and key secondary efcacy endpoint in each of the two PRO</w:t>
      </w:r>
      <w:r>
        <w:rPr>
          <w:rFonts w:ascii="Calibri" w:cs="Calibri" w:eastAsia="Calibri" w:hAnsi="Calibri"/>
          <w:sz w:val="23"/>
          <w:szCs w:val="23"/>
          <w:color w:val="auto"/>
          <w:vertAlign w:val="subscript"/>
        </w:rPr>
        <w:t>2</w:t>
      </w:r>
      <w:r>
        <w:rPr>
          <w:rFonts w:ascii="Calibri" w:cs="Calibri" w:eastAsia="Calibri" w:hAnsi="Calibri"/>
          <w:sz w:val="18"/>
          <w:szCs w:val="18"/>
          <w:color w:val="auto"/>
        </w:rPr>
        <w:t>TECT studies, demonstratng non-inferiority to darbepoetn alfa as measured by a mean change in Hb between baseline and the primary evaluaton period (weeks 24 to 36) and secondary evaluaton period (weeks 40 to 52). Vadadustat did not meet the primary safety endpoint of the PRO</w:t>
      </w:r>
      <w:r>
        <w:rPr>
          <w:rFonts w:ascii="Calibri" w:cs="Calibri" w:eastAsia="Calibri" w:hAnsi="Calibri"/>
          <w:sz w:val="23"/>
          <w:szCs w:val="23"/>
          <w:color w:val="auto"/>
          <w:vertAlign w:val="subscript"/>
        </w:rPr>
        <w:t>2</w:t>
      </w:r>
      <w:r>
        <w:rPr>
          <w:rFonts w:ascii="Calibri" w:cs="Calibri" w:eastAsia="Calibri" w:hAnsi="Calibri"/>
          <w:sz w:val="18"/>
          <w:szCs w:val="18"/>
          <w:color w:val="auto"/>
        </w:rPr>
        <w:t>TECT program, defned as non-inferiority of vadadustat versus darbepoetn alfa in tme to frst occurrence of MACE, across both PRO</w:t>
      </w:r>
      <w:r>
        <w:rPr>
          <w:rFonts w:ascii="Calibri" w:cs="Calibri" w:eastAsia="Calibri" w:hAnsi="Calibri"/>
          <w:sz w:val="23"/>
          <w:szCs w:val="23"/>
          <w:color w:val="auto"/>
          <w:vertAlign w:val="subscript"/>
        </w:rPr>
        <w:t>2</w:t>
      </w:r>
      <w:r>
        <w:rPr>
          <w:rFonts w:ascii="Calibri" w:cs="Calibri" w:eastAsia="Calibri" w:hAnsi="Calibri"/>
          <w:sz w:val="18"/>
          <w:szCs w:val="18"/>
          <w:color w:val="auto"/>
        </w:rPr>
        <w:t>TECT studies.</w:t>
      </w:r>
    </w:p>
    <w:p>
      <w:pPr>
        <w:spacing w:after="0" w:line="94"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Primary and Key Secondary Efcacy Endpoint Results</w:t>
      </w:r>
    </w:p>
    <w:p>
      <w:pPr>
        <w:spacing w:after="0" w:line="66"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Vadadustat achieved each of the PRO</w:t>
      </w:r>
      <w:r>
        <w:rPr>
          <w:rFonts w:ascii="Calibri" w:cs="Calibri" w:eastAsia="Calibri" w:hAnsi="Calibri"/>
          <w:sz w:val="23"/>
          <w:szCs w:val="23"/>
          <w:color w:val="auto"/>
          <w:vertAlign w:val="subscript"/>
        </w:rPr>
        <w:t>2</w:t>
      </w:r>
      <w:r>
        <w:rPr>
          <w:rFonts w:ascii="Calibri" w:cs="Calibri" w:eastAsia="Calibri" w:hAnsi="Calibri"/>
          <w:sz w:val="18"/>
          <w:szCs w:val="18"/>
          <w:color w:val="auto"/>
        </w:rPr>
        <w:t>TECT studies' primary efcacy endpoints of mean change in Hb between baseline and the primary evaluaton period compared to darbepoetn alfa, in adult patents on dialysis, demonstratng non-inferiority to darbepoetn alfa using an NI margin of -0.75 g/dL.</w:t>
      </w:r>
    </w:p>
    <w:p>
      <w:pPr>
        <w:spacing w:after="0" w:line="55" w:lineRule="exact"/>
        <w:rPr>
          <w:sz w:val="20"/>
          <w:szCs w:val="20"/>
          <w:color w:val="auto"/>
        </w:rPr>
      </w:pPr>
    </w:p>
    <w:p>
      <w:pPr>
        <w:spacing w:after="0"/>
        <w:rPr>
          <w:sz w:val="20"/>
          <w:szCs w:val="20"/>
          <w:color w:val="auto"/>
        </w:rPr>
      </w:pPr>
      <w:r>
        <w:rPr>
          <w:rFonts w:ascii="Calibri" w:cs="Calibri" w:eastAsia="Calibri" w:hAnsi="Calibri"/>
          <w:sz w:val="18"/>
          <w:szCs w:val="18"/>
          <w:color w:val="auto"/>
        </w:rPr>
        <w:t>In PRO</w:t>
      </w:r>
      <w:r>
        <w:rPr>
          <w:rFonts w:ascii="Calibri" w:cs="Calibri" w:eastAsia="Calibri" w:hAnsi="Calibri"/>
          <w:sz w:val="23"/>
          <w:szCs w:val="23"/>
          <w:color w:val="auto"/>
          <w:vertAlign w:val="subscript"/>
        </w:rPr>
        <w:t>2</w:t>
      </w:r>
      <w:r>
        <w:rPr>
          <w:rFonts w:ascii="Calibri" w:cs="Calibri" w:eastAsia="Calibri" w:hAnsi="Calibri"/>
          <w:sz w:val="18"/>
          <w:szCs w:val="18"/>
          <w:color w:val="auto"/>
        </w:rPr>
        <w:t>TECT's Correcton study (n=1,751):</w:t>
      </w:r>
    </w:p>
    <w:p>
      <w:pPr>
        <w:spacing w:after="0" w:line="85" w:lineRule="exact"/>
        <w:rPr>
          <w:sz w:val="20"/>
          <w:szCs w:val="20"/>
          <w:color w:val="auto"/>
        </w:rPr>
      </w:pPr>
    </w:p>
    <w:p>
      <w:pPr>
        <w:jc w:val="both"/>
        <w:ind w:left="660" w:hanging="328"/>
        <w:spacing w:after="0" w:line="225" w:lineRule="auto"/>
        <w:tabs>
          <w:tab w:leader="none" w:pos="653" w:val="left"/>
        </w:tabs>
        <w:numPr>
          <w:ilvl w:val="0"/>
          <w:numId w:val="8"/>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Primary Efcacy Endpoint Result</w:t>
      </w:r>
      <w:r>
        <w:rPr>
          <w:rFonts w:ascii="Calibri" w:cs="Calibri" w:eastAsia="Calibri" w:hAnsi="Calibri"/>
          <w:sz w:val="18"/>
          <w:szCs w:val="18"/>
          <w:color w:val="auto"/>
        </w:rPr>
        <w:t>: Vadadustat was non-inferior to darbepoetn alfa. The least square mean diference in Hb was 0.05 g/dL (95% CI:</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-0.04, 0.15), achieving the pre-specifed NI criterion of -0.75 g/dL. The mean (SD) Hb level at week 24 to week 36 was 10.39 (0.99) g/dL for vadadustat-treated patents compared to 10.35 (1.03) g/dL for darbepoetn alfa-treated patents.</w:t>
      </w:r>
    </w:p>
    <w:p>
      <w:pPr>
        <w:spacing w:after="0" w:line="1" w:lineRule="exact"/>
        <w:rPr>
          <w:rFonts w:ascii="Calibri" w:cs="Calibri" w:eastAsia="Calibri" w:hAnsi="Calibri"/>
          <w:sz w:val="18"/>
          <w:szCs w:val="18"/>
          <w:color w:val="auto"/>
        </w:rPr>
      </w:pPr>
    </w:p>
    <w:p>
      <w:pPr>
        <w:ind w:left="640" w:hanging="308"/>
        <w:spacing w:after="0" w:line="234" w:lineRule="auto"/>
        <w:tabs>
          <w:tab w:leader="none" w:pos="640" w:val="left"/>
        </w:tabs>
        <w:numPr>
          <w:ilvl w:val="0"/>
          <w:numId w:val="8"/>
        </w:numPr>
        <w:rPr>
          <w:rFonts w:ascii="Calibri" w:cs="Calibri" w:eastAsia="Calibri" w:hAnsi="Calibri"/>
          <w:sz w:val="17"/>
          <w:szCs w:val="17"/>
          <w:color w:val="auto"/>
        </w:rPr>
      </w:pPr>
      <w:r>
        <w:rPr>
          <w:rFonts w:ascii="Calibri" w:cs="Calibri" w:eastAsia="Calibri" w:hAnsi="Calibri"/>
          <w:sz w:val="17"/>
          <w:szCs w:val="17"/>
          <w:b w:val="1"/>
          <w:bCs w:val="1"/>
          <w:i w:val="1"/>
          <w:iCs w:val="1"/>
          <w:color w:val="auto"/>
        </w:rPr>
        <w:t>Key Secondary Efcacy Endpoint Result</w:t>
      </w:r>
      <w:r>
        <w:rPr>
          <w:rFonts w:ascii="Calibri" w:cs="Calibri" w:eastAsia="Calibri" w:hAnsi="Calibri"/>
          <w:sz w:val="17"/>
          <w:szCs w:val="17"/>
          <w:color w:val="auto"/>
        </w:rPr>
        <w:t>: Vadadustat sustained the target Hb efcacy response at weeks 40 to 52 achieving non-inferiority compared</w:t>
      </w:r>
    </w:p>
    <w:p>
      <w:pPr>
        <w:ind w:left="660"/>
        <w:spacing w:after="0" w:line="221" w:lineRule="auto"/>
        <w:rPr>
          <w:rFonts w:ascii="Calibri" w:cs="Calibri" w:eastAsia="Calibri" w:hAnsi="Calibri"/>
          <w:sz w:val="17"/>
          <w:szCs w:val="17"/>
          <w:color w:val="auto"/>
        </w:rPr>
      </w:pPr>
      <w:r>
        <w:rPr>
          <w:rFonts w:ascii="Calibri" w:cs="Calibri" w:eastAsia="Calibri" w:hAnsi="Calibri"/>
          <w:sz w:val="18"/>
          <w:szCs w:val="18"/>
          <w:color w:val="auto"/>
        </w:rPr>
        <w:t>to darbepoetn alfa. The least square mean diference in Hb was 0.04 g/dL (95% CI: -0.06, 0.14). The mean (SD) Hb level at week 40 to week 52 was 10.48 (1.05) g/dL for vadadustat-treated patents compared to 10.45 (1.01) g/dL for darbepoetn alfa-treated patents.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In PRO</w:t>
      </w:r>
      <w:r>
        <w:rPr>
          <w:rFonts w:ascii="Calibri" w:cs="Calibri" w:eastAsia="Calibri" w:hAnsi="Calibri"/>
          <w:sz w:val="11"/>
          <w:szCs w:val="11"/>
          <w:color w:val="auto"/>
        </w:rPr>
        <w:t>2</w:t>
      </w:r>
      <w:r>
        <w:rPr>
          <w:rFonts w:ascii="Calibri" w:cs="Calibri" w:eastAsia="Calibri" w:hAnsi="Calibri"/>
          <w:sz w:val="18"/>
          <w:szCs w:val="18"/>
          <w:color w:val="auto"/>
        </w:rPr>
        <w:t>TECT's Conversion study (n=1,725):</w:t>
      </w:r>
    </w:p>
    <w:p>
      <w:pPr>
        <w:spacing w:after="0" w:line="96" w:lineRule="exact"/>
        <w:rPr>
          <w:sz w:val="20"/>
          <w:szCs w:val="20"/>
          <w:color w:val="auto"/>
        </w:rPr>
      </w:pPr>
    </w:p>
    <w:p>
      <w:pPr>
        <w:jc w:val="both"/>
        <w:ind w:left="660" w:hanging="328"/>
        <w:spacing w:after="0" w:line="220" w:lineRule="auto"/>
        <w:tabs>
          <w:tab w:leader="none" w:pos="653" w:val="left"/>
        </w:tabs>
        <w:numPr>
          <w:ilvl w:val="0"/>
          <w:numId w:val="9"/>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Primary Efcacy Endpoint Result</w:t>
      </w:r>
      <w:r>
        <w:rPr>
          <w:rFonts w:ascii="Calibri" w:cs="Calibri" w:eastAsia="Calibri" w:hAnsi="Calibri"/>
          <w:sz w:val="18"/>
          <w:szCs w:val="18"/>
          <w:color w:val="auto"/>
        </w:rPr>
        <w:t>: Vadadustat was non-inferior to darbepoetn alfa. The least square mean diference in Hb was -0.01 g/dL (95% CI:</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-0.09, 0.07), achieving the pre-specifed NI criterion of -0.75 g/dL. The mean (SD) Hb level at week 24 to week 36 was 10.77 (0.98) g/dL for vadadustat-treated patents compared to 10.77 (0.99) g/dL for darbepoetn alfa-treated patents.</w:t>
      </w:r>
    </w:p>
    <w:p>
      <w:pPr>
        <w:spacing w:after="0" w:line="2" w:lineRule="exact"/>
        <w:rPr>
          <w:rFonts w:ascii="Calibri" w:cs="Calibri" w:eastAsia="Calibri" w:hAnsi="Calibri"/>
          <w:sz w:val="18"/>
          <w:szCs w:val="18"/>
          <w:color w:val="auto"/>
        </w:rPr>
      </w:pPr>
    </w:p>
    <w:p>
      <w:pPr>
        <w:ind w:left="640" w:hanging="308"/>
        <w:spacing w:after="0" w:line="221" w:lineRule="auto"/>
        <w:tabs>
          <w:tab w:leader="none" w:pos="640" w:val="left"/>
        </w:tabs>
        <w:numPr>
          <w:ilvl w:val="0"/>
          <w:numId w:val="9"/>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Key Secondary Efcacy Endpoint Result</w:t>
      </w:r>
      <w:r>
        <w:rPr>
          <w:rFonts w:ascii="Calibri" w:cs="Calibri" w:eastAsia="Calibri" w:hAnsi="Calibri"/>
          <w:sz w:val="18"/>
          <w:szCs w:val="18"/>
          <w:color w:val="auto"/>
        </w:rPr>
        <w:t>: Vadadustat sustained efcacy in the Conversion study demonstratng non-inferiority to darbepoetn with a</w:t>
      </w:r>
    </w:p>
    <w:p>
      <w:pPr>
        <w:ind w:left="660"/>
        <w:spacing w:after="0" w:line="221" w:lineRule="auto"/>
        <w:rPr>
          <w:rFonts w:ascii="Calibri" w:cs="Calibri" w:eastAsia="Calibri" w:hAnsi="Calibri"/>
          <w:sz w:val="18"/>
          <w:szCs w:val="18"/>
          <w:color w:val="auto"/>
        </w:rPr>
      </w:pPr>
      <w:r>
        <w:rPr>
          <w:rFonts w:ascii="Calibri" w:cs="Calibri" w:eastAsia="Calibri" w:hAnsi="Calibri"/>
          <w:sz w:val="18"/>
          <w:szCs w:val="18"/>
          <w:color w:val="auto"/>
        </w:rPr>
        <w:t>least square mean diference in Hb of 0.00 g/dL (95% CI: -0.10, 0.09). The mean (SD) Hb level at week 40 to week 52 was 10.80 (1.04) g/dL in the vadadustat-treated patents compared to 10.79 (1.05) g/dL for darbepoetn alpha-treated patents.</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Primary Safety Major Adverse Cardiovascular Events (MACE) Endpoint Result</w:t>
      </w:r>
    </w:p>
    <w:p>
      <w:pPr>
        <w:spacing w:after="0" w:line="54" w:lineRule="exact"/>
        <w:rPr>
          <w:sz w:val="20"/>
          <w:szCs w:val="20"/>
          <w:color w:val="auto"/>
        </w:rPr>
      </w:pPr>
    </w:p>
    <w:p>
      <w:pPr>
        <w:spacing w:after="0"/>
        <w:rPr>
          <w:sz w:val="20"/>
          <w:szCs w:val="20"/>
          <w:color w:val="auto"/>
        </w:rPr>
      </w:pPr>
      <w:r>
        <w:rPr>
          <w:rFonts w:ascii="Calibri" w:cs="Calibri" w:eastAsia="Calibri" w:hAnsi="Calibri"/>
          <w:sz w:val="18"/>
          <w:szCs w:val="18"/>
          <w:color w:val="auto"/>
        </w:rPr>
        <w:t>The PRO</w:t>
      </w:r>
      <w:r>
        <w:rPr>
          <w:rFonts w:ascii="Calibri" w:cs="Calibri" w:eastAsia="Calibri" w:hAnsi="Calibri"/>
          <w:sz w:val="23"/>
          <w:szCs w:val="23"/>
          <w:color w:val="auto"/>
          <w:vertAlign w:val="subscript"/>
        </w:rPr>
        <w:t>2</w:t>
      </w:r>
      <w:r>
        <w:rPr>
          <w:rFonts w:ascii="Calibri" w:cs="Calibri" w:eastAsia="Calibri" w:hAnsi="Calibri"/>
          <w:sz w:val="18"/>
          <w:szCs w:val="18"/>
          <w:color w:val="auto"/>
        </w:rPr>
        <w:t>TECT program (Correcton and Conversion studies) (n=3,471):</w:t>
      </w:r>
    </w:p>
    <w:p>
      <w:pPr>
        <w:spacing w:after="0" w:line="85" w:lineRule="exact"/>
        <w:rPr>
          <w:sz w:val="20"/>
          <w:szCs w:val="20"/>
          <w:color w:val="auto"/>
        </w:rPr>
      </w:pPr>
    </w:p>
    <w:p>
      <w:pPr>
        <w:jc w:val="both"/>
        <w:ind w:left="660" w:hanging="328"/>
        <w:spacing w:after="0" w:line="225" w:lineRule="auto"/>
        <w:tabs>
          <w:tab w:leader="none" w:pos="653" w:val="left"/>
        </w:tabs>
        <w:numPr>
          <w:ilvl w:val="0"/>
          <w:numId w:val="10"/>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Primary Safety MACE Endpoint Result</w:t>
      </w:r>
      <w:r>
        <w:rPr>
          <w:rFonts w:ascii="Calibri" w:cs="Calibri" w:eastAsia="Calibri" w:hAnsi="Calibri"/>
          <w:sz w:val="18"/>
          <w:szCs w:val="18"/>
          <w:color w:val="auto"/>
        </w:rPr>
        <w:t>: Vadadustat did not meet the PRO2TECT program's primary safety endpoint of non-inferiority for MACE. The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upper bound of the 95% confdence interval of the HR was above the pre-specifed NI margin of 1.25 for primary MACE analysis (HR 1.17, 95% CI: 1.01, 1.36).</w:t>
      </w:r>
    </w:p>
    <w:p>
      <w:pPr>
        <w:spacing w:after="0" w:line="68" w:lineRule="exact"/>
        <w:rPr>
          <w:sz w:val="20"/>
          <w:szCs w:val="20"/>
          <w:color w:val="auto"/>
        </w:rPr>
      </w:pPr>
    </w:p>
    <w:p>
      <w:pPr>
        <w:jc w:val="both"/>
        <w:spacing w:after="0" w:line="229" w:lineRule="auto"/>
        <w:rPr>
          <w:sz w:val="20"/>
          <w:szCs w:val="20"/>
          <w:color w:val="auto"/>
        </w:rPr>
      </w:pPr>
      <w:r>
        <w:rPr>
          <w:rFonts w:ascii="Calibri" w:cs="Calibri" w:eastAsia="Calibri" w:hAnsi="Calibri"/>
          <w:sz w:val="18"/>
          <w:szCs w:val="18"/>
          <w:color w:val="auto"/>
        </w:rPr>
        <w:t>Analysis of MACE events conducted by the Company in the PRO</w:t>
      </w:r>
      <w:r>
        <w:rPr>
          <w:rFonts w:ascii="Calibri" w:cs="Calibri" w:eastAsia="Calibri" w:hAnsi="Calibri"/>
          <w:sz w:val="23"/>
          <w:szCs w:val="23"/>
          <w:color w:val="auto"/>
          <w:vertAlign w:val="subscript"/>
        </w:rPr>
        <w:t>2</w:t>
      </w:r>
      <w:r>
        <w:rPr>
          <w:rFonts w:ascii="Calibri" w:cs="Calibri" w:eastAsia="Calibri" w:hAnsi="Calibri"/>
          <w:sz w:val="18"/>
          <w:szCs w:val="18"/>
          <w:color w:val="auto"/>
        </w:rPr>
        <w:t>TECT program revealed that the greater number of MACE events observed among vadadustat patents as compared to the actve comparator was primarily related to an excess of non-cardiovascular death and death-of-unknown-cause in regions outside of the U.S. where signifcant diferences in treatment paterns for NDD-CKD patents were observed.</w:t>
      </w:r>
    </w:p>
    <w:p>
      <w:pPr>
        <w:spacing w:after="0" w:line="69" w:lineRule="exact"/>
        <w:rPr>
          <w:sz w:val="20"/>
          <w:szCs w:val="20"/>
          <w:color w:val="auto"/>
        </w:rPr>
      </w:pPr>
    </w:p>
    <w:p>
      <w:pPr>
        <w:jc w:val="both"/>
        <w:spacing w:after="0" w:line="220" w:lineRule="auto"/>
        <w:rPr>
          <w:sz w:val="20"/>
          <w:szCs w:val="20"/>
          <w:color w:val="auto"/>
        </w:rPr>
      </w:pPr>
      <w:r>
        <w:rPr>
          <w:rFonts w:ascii="Calibri" w:cs="Calibri" w:eastAsia="Calibri" w:hAnsi="Calibri"/>
          <w:sz w:val="18"/>
          <w:szCs w:val="18"/>
          <w:color w:val="auto"/>
        </w:rPr>
        <w:t>The PRO</w:t>
      </w:r>
      <w:r>
        <w:rPr>
          <w:rFonts w:ascii="Calibri" w:cs="Calibri" w:eastAsia="Calibri" w:hAnsi="Calibri"/>
          <w:sz w:val="23"/>
          <w:szCs w:val="23"/>
          <w:color w:val="auto"/>
          <w:vertAlign w:val="subscript"/>
        </w:rPr>
        <w:t>2</w:t>
      </w:r>
      <w:r>
        <w:rPr>
          <w:rFonts w:ascii="Calibri" w:cs="Calibri" w:eastAsia="Calibri" w:hAnsi="Calibri"/>
          <w:sz w:val="18"/>
          <w:szCs w:val="18"/>
          <w:color w:val="auto"/>
        </w:rPr>
        <w:t>TECT analysis plan was prospectvely designed to analyze the efect of regional diferences, most notably, well-known diferences in Hb treatment targets. Within PRO</w:t>
      </w:r>
      <w:r>
        <w:rPr>
          <w:rFonts w:ascii="Calibri" w:cs="Calibri" w:eastAsia="Calibri" w:hAnsi="Calibri"/>
          <w:sz w:val="23"/>
          <w:szCs w:val="23"/>
          <w:color w:val="auto"/>
          <w:vertAlign w:val="subscript"/>
        </w:rPr>
        <w:t>2</w:t>
      </w:r>
      <w:r>
        <w:rPr>
          <w:rFonts w:ascii="Calibri" w:cs="Calibri" w:eastAsia="Calibri" w:hAnsi="Calibri"/>
          <w:sz w:val="18"/>
          <w:szCs w:val="18"/>
          <w:color w:val="auto"/>
        </w:rPr>
        <w:t>TECT, U.S. patents were treated to a target Hb range of 10 to 11 g/dL and non-U.S. patents were treated to a target Hb range of 10 to 12 g/dL. In October of 2020, we presented a pre-specifed regional analysis that showed vadadustat was not associated with a clinically meaningful increase in cardiovascular risk compared to darbepoetn alfa in U.S. patents treated to a target Hb range of 10 to 11 g/dL, in an analysis of MACE (HR 1.06, 95% CI: 0.87, 1.29).</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incidence of treatment emergent adverse events, or </w:t>
      </w:r>
      <w:r>
        <w:rPr>
          <w:rFonts w:ascii="Calibri" w:cs="Calibri" w:eastAsia="Calibri" w:hAnsi="Calibri"/>
          <w:sz w:val="18"/>
          <w:szCs w:val="18"/>
          <w:u w:val="single" w:color="auto"/>
          <w:color w:val="auto"/>
        </w:rPr>
        <w:t>TEAEs</w:t>
      </w:r>
      <w:r>
        <w:rPr>
          <w:rFonts w:ascii="Calibri" w:cs="Calibri" w:eastAsia="Calibri" w:hAnsi="Calibri"/>
          <w:sz w:val="18"/>
          <w:szCs w:val="18"/>
          <w:color w:val="auto"/>
        </w:rPr>
        <w:t>, during the Correcton study in the vadadustat-treated patents was 90.9%, and 91.6% in darbepoetn alfa-treated patents. During the study, the most common TEAEs reported in vadadustat/darbepoetn alfa-treated patents were end-stage renal disease (34.7%/ 35.2%), hypertension (17.7%/ 22.1.%), hyperkalemia (12.3.%/ 15.6%), urinary tract infecton (12.9%/ 12.0%), diarrhea (13.9%/ 10.0%), peripheral oedema (12.5%/ 10.5%), fall (9.6%/ 10%) and nausea (10%/ 8.2%). Serious TEAEs were 65.3% for vadadustat-treated patents and 64.5% for darbepoetn alfa-treated patents. The incidence of TEAEs during the Conversion study in vadadustat treated patents was 89.1% and 87.7% in darbepoetn alfa-treated patents. During the study, the most common TEAEs reported in vadadustat/darbepoetn alfa-treated patents were end-stage renal disease (27.5%/ 28.4%), hypertension (14.4%/ 14.8%), urinary tract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 w:name="page15"/>
    <w:bookmarkEnd w:id="1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infecton (12.2%/ 14.5%), diarrhea (13.8.%/ 8.8.%), peripheral oedema (9.9%/ 10.1%) and pneumonia (10.0%/ 9.7%). Serious TEAEs were 58.5% for vadadustat-treated patents and 56.6% for darbepoetn alfa-treated patents.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Hepatc Safety Profle of Vadadustat in Clinical Studies</w:t>
      </w:r>
    </w:p>
    <w:p>
      <w:pPr>
        <w:spacing w:after="0" w:line="96" w:lineRule="exact"/>
        <w:rPr>
          <w:sz w:val="20"/>
          <w:szCs w:val="20"/>
          <w:color w:val="auto"/>
        </w:rPr>
      </w:pPr>
    </w:p>
    <w:p>
      <w:pPr>
        <w:jc w:val="both"/>
        <w:spacing w:after="0" w:line="221" w:lineRule="auto"/>
        <w:rPr>
          <w:sz w:val="20"/>
          <w:szCs w:val="20"/>
          <w:color w:val="auto"/>
        </w:rPr>
      </w:pPr>
      <w:r>
        <w:rPr>
          <w:rFonts w:ascii="Calibri" w:cs="Calibri" w:eastAsia="Calibri" w:hAnsi="Calibri"/>
          <w:sz w:val="18"/>
          <w:szCs w:val="18"/>
          <w:color w:val="auto"/>
        </w:rPr>
        <w:t>During the conduct of our Phase 3 program our team and hepatc experts analyzed hepatc cases (unblinded to treatment). Further, following the completon of our global Phase 3 clinical program for vadadustat, there was a review of hepatc safety across the vadadustat clinical program, which included eight completed Phase 2 and 3 studies in NDD-CKD patents, 10 completed Phase 1, 2, and 3 studies, and two then-ongoing Phase 3b studies in DD-CKD patents, and 18 completed studies in healthy subjects (17 Phase 1 and one Phase 3). This review consisted of a blinded re-assessment of hepatc events conducted by a separate panel of hepatc experts. While hepatocellular injury atributed to vadadustat was reported in less than 1% of patents, there was one case of severe hepatocellular injury with jaundice, and we cannot guarantee that similar events will not happen in the future. In the clinical review of our NDA in March 2024, the FDA concluded that there is a hepatocellular injury risk with the use of vadadustat in patents with CKD, although the risk of serious liver injury appears rare.</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Modifed Dosing Studies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From May 2020 to January 2023, we also conducted additonal studies of vadadustat evaluatng a modifed approach to a once-daily and three-tmes weekly dosing, including assessment of a vadadustat startng dose based on an individual’s pre-conversion ESA dose prior to study entry and higher ttraton doses of vadadustat (up to 1200 mg).</w:t>
      </w:r>
    </w:p>
    <w:p>
      <w:pPr>
        <w:spacing w:after="0" w:line="67" w:lineRule="exact"/>
        <w:rPr>
          <w:sz w:val="20"/>
          <w:szCs w:val="20"/>
          <w:color w:val="auto"/>
        </w:rPr>
      </w:pPr>
    </w:p>
    <w:p>
      <w:pPr>
        <w:jc w:val="both"/>
        <w:spacing w:after="0" w:line="217" w:lineRule="auto"/>
        <w:rPr>
          <w:sz w:val="20"/>
          <w:szCs w:val="20"/>
          <w:color w:val="auto"/>
        </w:rPr>
      </w:pPr>
      <w:r>
        <w:rPr>
          <w:rFonts w:ascii="Calibri" w:cs="Calibri" w:eastAsia="Calibri" w:hAnsi="Calibri"/>
          <w:sz w:val="18"/>
          <w:szCs w:val="18"/>
          <w:color w:val="auto"/>
        </w:rPr>
        <w:t>The FO</w:t>
      </w:r>
      <w:r>
        <w:rPr>
          <w:rFonts w:ascii="Calibri" w:cs="Calibri" w:eastAsia="Calibri" w:hAnsi="Calibri"/>
          <w:sz w:val="23"/>
          <w:szCs w:val="23"/>
          <w:color w:val="auto"/>
          <w:vertAlign w:val="subscript"/>
        </w:rPr>
        <w:t>2</w:t>
      </w:r>
      <w:r>
        <w:rPr>
          <w:rFonts w:ascii="Calibri" w:cs="Calibri" w:eastAsia="Calibri" w:hAnsi="Calibri"/>
          <w:sz w:val="18"/>
          <w:szCs w:val="18"/>
          <w:color w:val="auto"/>
        </w:rPr>
        <w:t>CUS study evaluated the efcacy and safety of vadadustat in hemodialysis patents who were converted from a long-actng ESA to three-tmes weekly oral vadadustat dosing for the maintenance treatment of anemia. FO</w:t>
      </w:r>
      <w:r>
        <w:rPr>
          <w:rFonts w:ascii="Calibri" w:cs="Calibri" w:eastAsia="Calibri" w:hAnsi="Calibri"/>
          <w:sz w:val="23"/>
          <w:szCs w:val="23"/>
          <w:color w:val="auto"/>
          <w:vertAlign w:val="subscript"/>
        </w:rPr>
        <w:t>2</w:t>
      </w:r>
      <w:r>
        <w:rPr>
          <w:rFonts w:ascii="Calibri" w:cs="Calibri" w:eastAsia="Calibri" w:hAnsi="Calibri"/>
          <w:sz w:val="18"/>
          <w:szCs w:val="18"/>
          <w:color w:val="auto"/>
        </w:rPr>
        <w:t>CUS was an open-label, actve-controlled, sponsor-blinded study that evaluated 456 hemodialysis patents who were randomized (1:1:1) into a vadadustat 600mg startng dose, vadadustat 900mg startng dose, or a long-actng ESA (Mircera®) treatment arms.</w:t>
      </w:r>
    </w:p>
    <w:p>
      <w:pPr>
        <w:spacing w:after="0" w:line="67" w:lineRule="exact"/>
        <w:rPr>
          <w:sz w:val="20"/>
          <w:szCs w:val="20"/>
          <w:color w:val="auto"/>
        </w:rPr>
      </w:pPr>
    </w:p>
    <w:p>
      <w:pPr>
        <w:jc w:val="both"/>
        <w:spacing w:after="0" w:line="207" w:lineRule="auto"/>
        <w:rPr>
          <w:sz w:val="20"/>
          <w:szCs w:val="20"/>
          <w:color w:val="auto"/>
        </w:rPr>
      </w:pPr>
      <w:r>
        <w:rPr>
          <w:rFonts w:ascii="Calibri" w:cs="Calibri" w:eastAsia="Calibri" w:hAnsi="Calibri"/>
          <w:sz w:val="18"/>
          <w:szCs w:val="18"/>
          <w:color w:val="auto"/>
        </w:rPr>
        <w:t>The MO</w:t>
      </w:r>
      <w:r>
        <w:rPr>
          <w:rFonts w:ascii="Calibri" w:cs="Calibri" w:eastAsia="Calibri" w:hAnsi="Calibri"/>
          <w:sz w:val="23"/>
          <w:szCs w:val="23"/>
          <w:color w:val="auto"/>
          <w:vertAlign w:val="subscript"/>
        </w:rPr>
        <w:t>2</w:t>
      </w:r>
      <w:r>
        <w:rPr>
          <w:rFonts w:ascii="Calibri" w:cs="Calibri" w:eastAsia="Calibri" w:hAnsi="Calibri"/>
          <w:sz w:val="18"/>
          <w:szCs w:val="18"/>
          <w:color w:val="auto"/>
        </w:rPr>
        <w:t>DIFY study evaluated the efcacy and safety of vadadustat in hemodialysis patents using a modifed once-daily dosing regimen diferent from the INNO</w:t>
      </w:r>
      <w:r>
        <w:rPr>
          <w:rFonts w:ascii="Calibri" w:cs="Calibri" w:eastAsia="Calibri" w:hAnsi="Calibri"/>
          <w:sz w:val="23"/>
          <w:szCs w:val="23"/>
          <w:color w:val="auto"/>
          <w:vertAlign w:val="subscript"/>
        </w:rPr>
        <w:t>2</w:t>
      </w:r>
      <w:r>
        <w:rPr>
          <w:rFonts w:ascii="Calibri" w:cs="Calibri" w:eastAsia="Calibri" w:hAnsi="Calibri"/>
          <w:sz w:val="18"/>
          <w:szCs w:val="18"/>
          <w:color w:val="auto"/>
        </w:rPr>
        <w:t>VATE program dosing and a three-tmes-weekly dosing regimen of oral vadadustat compared to darbepoetn alfa.</w:t>
      </w:r>
    </w:p>
    <w:p>
      <w:pPr>
        <w:spacing w:after="0" w:line="4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FO</w:t>
      </w:r>
      <w:r>
        <w:rPr>
          <w:rFonts w:ascii="Calibri" w:cs="Calibri" w:eastAsia="Calibri" w:hAnsi="Calibri"/>
          <w:sz w:val="23"/>
          <w:szCs w:val="23"/>
          <w:i w:val="1"/>
          <w:iCs w:val="1"/>
          <w:color w:val="auto"/>
          <w:vertAlign w:val="subscript"/>
        </w:rPr>
        <w:t>2</w:t>
      </w:r>
      <w:r>
        <w:rPr>
          <w:rFonts w:ascii="Calibri" w:cs="Calibri" w:eastAsia="Calibri" w:hAnsi="Calibri"/>
          <w:sz w:val="18"/>
          <w:szCs w:val="18"/>
          <w:i w:val="1"/>
          <w:iCs w:val="1"/>
          <w:color w:val="auto"/>
        </w:rPr>
        <w:t>CUS Study</w:t>
      </w:r>
    </w:p>
    <w:p>
      <w:pPr>
        <w:spacing w:after="0" w:line="93"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Primary and Secondary Efcacy Endpoint Results</w:t>
      </w:r>
    </w:p>
    <w:p>
      <w:pPr>
        <w:spacing w:after="0" w:line="66" w:lineRule="exact"/>
        <w:rPr>
          <w:sz w:val="20"/>
          <w:szCs w:val="20"/>
          <w:color w:val="auto"/>
        </w:rPr>
      </w:pPr>
    </w:p>
    <w:p>
      <w:pPr>
        <w:jc w:val="both"/>
        <w:spacing w:after="0" w:line="232" w:lineRule="auto"/>
        <w:rPr>
          <w:sz w:val="20"/>
          <w:szCs w:val="20"/>
          <w:color w:val="auto"/>
        </w:rPr>
      </w:pPr>
      <w:r>
        <w:rPr>
          <w:rFonts w:ascii="Calibri" w:cs="Calibri" w:eastAsia="Calibri" w:hAnsi="Calibri"/>
          <w:sz w:val="18"/>
          <w:szCs w:val="18"/>
          <w:color w:val="auto"/>
        </w:rPr>
        <w:t>In the FO</w:t>
      </w:r>
      <w:r>
        <w:rPr>
          <w:rFonts w:ascii="Calibri" w:cs="Calibri" w:eastAsia="Calibri" w:hAnsi="Calibri"/>
          <w:sz w:val="23"/>
          <w:szCs w:val="23"/>
          <w:color w:val="auto"/>
          <w:vertAlign w:val="subscript"/>
        </w:rPr>
        <w:t>2</w:t>
      </w:r>
      <w:r>
        <w:rPr>
          <w:rFonts w:ascii="Calibri" w:cs="Calibri" w:eastAsia="Calibri" w:hAnsi="Calibri"/>
          <w:sz w:val="18"/>
          <w:szCs w:val="18"/>
          <w:color w:val="auto"/>
        </w:rPr>
        <w:t>CUS study, each vadadustat startng dose regimen (600 mg, 900 mg) and the combined vadadustat-treated group achieved the primary efcacy endpoint of the mean change in Hb between baseline and the primary evaluaton period (weeks 20-26) compared to Mircera in adult patents on hemodialysis, demonstratng non-inferiority to Mircera based on a non-inferiority margin of -0.75 g/dL. Similarly, each startng dose regimen of vadadustat and the combined vadadustat-treated group achieved the secondary efcacy endpoint of the mean change in Hb between baseline and the secondary evaluaton period (weeks 46-52).</w:t>
      </w:r>
    </w:p>
    <w:p>
      <w:pPr>
        <w:spacing w:after="0" w:line="55" w:lineRule="exact"/>
        <w:rPr>
          <w:sz w:val="20"/>
          <w:szCs w:val="20"/>
          <w:color w:val="auto"/>
        </w:rPr>
      </w:pPr>
    </w:p>
    <w:p>
      <w:pPr>
        <w:spacing w:after="0"/>
        <w:rPr>
          <w:sz w:val="20"/>
          <w:szCs w:val="20"/>
          <w:color w:val="auto"/>
        </w:rPr>
      </w:pPr>
      <w:r>
        <w:rPr>
          <w:rFonts w:ascii="Calibri" w:cs="Calibri" w:eastAsia="Calibri" w:hAnsi="Calibri"/>
          <w:sz w:val="18"/>
          <w:szCs w:val="18"/>
          <w:color w:val="auto"/>
        </w:rPr>
        <w:t>In the FO</w:t>
      </w:r>
      <w:r>
        <w:rPr>
          <w:rFonts w:ascii="Calibri" w:cs="Calibri" w:eastAsia="Calibri" w:hAnsi="Calibri"/>
          <w:sz w:val="23"/>
          <w:szCs w:val="23"/>
          <w:color w:val="auto"/>
          <w:vertAlign w:val="subscript"/>
        </w:rPr>
        <w:t>2</w:t>
      </w:r>
      <w:r>
        <w:rPr>
          <w:rFonts w:ascii="Calibri" w:cs="Calibri" w:eastAsia="Calibri" w:hAnsi="Calibri"/>
          <w:sz w:val="18"/>
          <w:szCs w:val="18"/>
          <w:color w:val="auto"/>
        </w:rPr>
        <w:t>CUS study in hemodialysis patents (n=456):</w:t>
      </w:r>
    </w:p>
    <w:p>
      <w:pPr>
        <w:spacing w:after="0" w:line="85" w:lineRule="exact"/>
        <w:rPr>
          <w:sz w:val="20"/>
          <w:szCs w:val="20"/>
          <w:color w:val="auto"/>
        </w:rPr>
      </w:pPr>
    </w:p>
    <w:p>
      <w:pPr>
        <w:jc w:val="both"/>
        <w:ind w:left="660" w:hanging="328"/>
        <w:spacing w:after="0" w:line="223" w:lineRule="auto"/>
        <w:tabs>
          <w:tab w:leader="none" w:pos="653" w:val="left"/>
        </w:tabs>
        <w:numPr>
          <w:ilvl w:val="0"/>
          <w:numId w:val="11"/>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Primary Efcacy Endpoint Results</w:t>
      </w:r>
      <w:r>
        <w:rPr>
          <w:rFonts w:ascii="Calibri" w:cs="Calibri" w:eastAsia="Calibri" w:hAnsi="Calibri"/>
          <w:sz w:val="18"/>
          <w:szCs w:val="18"/>
          <w:color w:val="auto"/>
        </w:rPr>
        <w:t>: Vadadustat demonstrated non-inferiority to Mircera. The least square mean diference in Hb was -0.43 g/dL</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(-0.67, -0.20) for the vadadustat 600 mg startng dose group, -0.23 g/dL (-0.46, 0.01) for the vadadustat 900 mg startng dose group, and -0.33 g/dL (-0.53, -0.13) for the combined vadadustat-treated group, achieving the pre-specifed non-inferiority margin of -0.75 g/dL. The mean Hb level during the primary evaluaton period was 10.11 (0.061) g/dL for the combined vadadustat-treated group compared to 10.41 (0.068) g/dL for Mircera-treated group.</w:t>
      </w:r>
    </w:p>
    <w:p>
      <w:pPr>
        <w:spacing w:after="0" w:line="4" w:lineRule="exact"/>
        <w:rPr>
          <w:rFonts w:ascii="Calibri" w:cs="Calibri" w:eastAsia="Calibri" w:hAnsi="Calibri"/>
          <w:sz w:val="18"/>
          <w:szCs w:val="18"/>
          <w:color w:val="auto"/>
        </w:rPr>
      </w:pPr>
    </w:p>
    <w:p>
      <w:pPr>
        <w:jc w:val="both"/>
        <w:ind w:left="660" w:hanging="328"/>
        <w:spacing w:after="0" w:line="221" w:lineRule="auto"/>
        <w:tabs>
          <w:tab w:leader="none" w:pos="653" w:val="left"/>
        </w:tabs>
        <w:numPr>
          <w:ilvl w:val="0"/>
          <w:numId w:val="11"/>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 xml:space="preserve">Secondary Efcacy Endpoint Results: </w:t>
      </w:r>
      <w:r>
        <w:rPr>
          <w:rFonts w:ascii="Calibri" w:cs="Calibri" w:eastAsia="Calibri" w:hAnsi="Calibri"/>
          <w:sz w:val="18"/>
          <w:szCs w:val="18"/>
          <w:color w:val="auto"/>
        </w:rPr>
        <w:t>Vadadustat demonstrated non-inferiority to Mircera. The least square mean diference in Hb was -0.27 g/dL</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(-0.54, -0.00) for the vadadustat 600 mg startng dose group, -0.38 g/dL (-0.67, -0.10) for the vadadustat 900 mg startng dose group, and -0.33 g/dL (-0.56, -0.09) for the combined vadadustat-treated group. The mean Hb level during the secondary evaluaton period was 10.03 (0.066) g/dL for the combined vadadustat-treated group compared to 10.28 (0.076) g/dL for the Mircera-treated group.</w:t>
      </w:r>
    </w:p>
    <w:p>
      <w:pPr>
        <w:spacing w:after="0" w:line="240"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Safety Results</w:t>
      </w:r>
    </w:p>
    <w:p>
      <w:pPr>
        <w:spacing w:after="0" w:line="66" w:lineRule="exact"/>
        <w:rPr>
          <w:sz w:val="20"/>
          <w:szCs w:val="20"/>
          <w:color w:val="auto"/>
        </w:rPr>
      </w:pPr>
    </w:p>
    <w:p>
      <w:pPr>
        <w:jc w:val="both"/>
        <w:spacing w:after="0" w:line="231" w:lineRule="auto"/>
        <w:rPr>
          <w:sz w:val="20"/>
          <w:szCs w:val="20"/>
          <w:color w:val="auto"/>
        </w:rPr>
      </w:pPr>
      <w:r>
        <w:rPr>
          <w:rFonts w:ascii="Calibri" w:cs="Calibri" w:eastAsia="Calibri" w:hAnsi="Calibri"/>
          <w:sz w:val="18"/>
          <w:szCs w:val="18"/>
          <w:color w:val="auto"/>
        </w:rPr>
        <w:t>In the FO</w:t>
      </w:r>
      <w:r>
        <w:rPr>
          <w:rFonts w:ascii="Calibri" w:cs="Calibri" w:eastAsia="Calibri" w:hAnsi="Calibri"/>
          <w:sz w:val="23"/>
          <w:szCs w:val="23"/>
          <w:color w:val="auto"/>
          <w:vertAlign w:val="subscript"/>
        </w:rPr>
        <w:t>2</w:t>
      </w:r>
      <w:r>
        <w:rPr>
          <w:rFonts w:ascii="Calibri" w:cs="Calibri" w:eastAsia="Calibri" w:hAnsi="Calibri"/>
          <w:sz w:val="18"/>
          <w:szCs w:val="18"/>
          <w:color w:val="auto"/>
        </w:rPr>
        <w:t>CUS study, a total of 78.7% of patents experienced any TEAEs in the combined vadadustat-treated group, and 75.3% experienced any TEAEs in the Mircera-treated group. The data demonstrated that 44.5% of patents experienced any serious TEAEs in the combined vadadustat-treated group, and 44.7% of patents experienced any serious TEAEs in the Mircera-treated group. During the study, the most common TEAEs reported in vadadustat-/Mircera- treated patents were COVID-19 (14.6%/16.0%), diarrhea (12.3%/8.0%) and hyperkalaemia (9.0%/10.7%).</w:t>
      </w:r>
    </w:p>
    <w:p>
      <w:pPr>
        <w:spacing w:after="0" w:line="5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MO</w:t>
      </w:r>
      <w:r>
        <w:rPr>
          <w:rFonts w:ascii="Calibri" w:cs="Calibri" w:eastAsia="Calibri" w:hAnsi="Calibri"/>
          <w:sz w:val="23"/>
          <w:szCs w:val="23"/>
          <w:i w:val="1"/>
          <w:iCs w:val="1"/>
          <w:color w:val="auto"/>
          <w:vertAlign w:val="subscript"/>
        </w:rPr>
        <w:t>2</w:t>
      </w:r>
      <w:r>
        <w:rPr>
          <w:rFonts w:ascii="Calibri" w:cs="Calibri" w:eastAsia="Calibri" w:hAnsi="Calibri"/>
          <w:sz w:val="18"/>
          <w:szCs w:val="18"/>
          <w:i w:val="1"/>
          <w:iCs w:val="1"/>
          <w:color w:val="auto"/>
        </w:rPr>
        <w:t>DIFY Study</w:t>
      </w:r>
    </w:p>
    <w:p>
      <w:pPr>
        <w:spacing w:after="0" w:line="93"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Primary and Secondary Efcacy Endpoint Results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 w:name="page16"/>
    <w:bookmarkEnd w:id="1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32" w:lineRule="auto"/>
        <w:rPr>
          <w:sz w:val="20"/>
          <w:szCs w:val="20"/>
          <w:color w:val="auto"/>
        </w:rPr>
      </w:pPr>
      <w:r>
        <w:rPr>
          <w:rFonts w:ascii="Calibri" w:cs="Calibri" w:eastAsia="Calibri" w:hAnsi="Calibri"/>
          <w:sz w:val="18"/>
          <w:szCs w:val="18"/>
          <w:color w:val="auto"/>
        </w:rPr>
        <w:t>In the MO</w:t>
      </w:r>
      <w:r>
        <w:rPr>
          <w:rFonts w:ascii="Calibri" w:cs="Calibri" w:eastAsia="Calibri" w:hAnsi="Calibri"/>
          <w:sz w:val="23"/>
          <w:szCs w:val="23"/>
          <w:color w:val="auto"/>
          <w:vertAlign w:val="subscript"/>
        </w:rPr>
        <w:t>2</w:t>
      </w:r>
      <w:r>
        <w:rPr>
          <w:rFonts w:ascii="Calibri" w:cs="Calibri" w:eastAsia="Calibri" w:hAnsi="Calibri"/>
          <w:sz w:val="18"/>
          <w:szCs w:val="18"/>
          <w:color w:val="auto"/>
        </w:rPr>
        <w:t xml:space="preserve">DIFY study, the vadadustat once-daily, or </w:t>
      </w:r>
      <w:r>
        <w:rPr>
          <w:rFonts w:ascii="Calibri" w:cs="Calibri" w:eastAsia="Calibri" w:hAnsi="Calibri"/>
          <w:sz w:val="18"/>
          <w:szCs w:val="18"/>
          <w:u w:val="single" w:color="auto"/>
          <w:color w:val="auto"/>
        </w:rPr>
        <w:t>QD</w:t>
      </w:r>
      <w:r>
        <w:rPr>
          <w:rFonts w:ascii="Calibri" w:cs="Calibri" w:eastAsia="Calibri" w:hAnsi="Calibri"/>
          <w:sz w:val="18"/>
          <w:szCs w:val="18"/>
          <w:color w:val="auto"/>
        </w:rPr>
        <w:t xml:space="preserve">, treatment (startng dose: 300 or 450 mg) achieved the primary efcacy endpoint of the mean change in Hb from baseline to the primary evaluaton period (weeks 20-26) compared to darbepoetn alfa in adult patents on hemodialysis, demonstratng non-inferiority to darbepoetn alfa based on a non-inferiority margin of -0.75 g/dL. Vadadustat three-tmes-weekly, or </w:t>
      </w:r>
      <w:r>
        <w:rPr>
          <w:rFonts w:ascii="Calibri" w:cs="Calibri" w:eastAsia="Calibri" w:hAnsi="Calibri"/>
          <w:sz w:val="18"/>
          <w:szCs w:val="18"/>
          <w:u w:val="single" w:color="auto"/>
          <w:color w:val="auto"/>
        </w:rPr>
        <w:t>TIW</w:t>
      </w:r>
      <w:r>
        <w:rPr>
          <w:rFonts w:ascii="Calibri" w:cs="Calibri" w:eastAsia="Calibri" w:hAnsi="Calibri"/>
          <w:sz w:val="18"/>
          <w:szCs w:val="18"/>
          <w:color w:val="auto"/>
        </w:rPr>
        <w:t>, treatment (startng dose: 600 or 750) did not demonstrate noninferiority to darbepoetn alfa. Based on a sensitvity analysis using the per protocol populaton, both vadadustat dosing regimens demonstrated noninferiority to darbepoetn alfa of the mean change in Hb between baseline and the primary evaluaton period.</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Neither dosing regimen of vadadustat achieved the secondary efcacy endpoint of the mean change in Hb between baseline and the secondary evaluaton period (weeks 46-52).</w:t>
      </w:r>
    </w:p>
    <w:p>
      <w:pPr>
        <w:spacing w:after="0" w:line="55" w:lineRule="exact"/>
        <w:rPr>
          <w:sz w:val="20"/>
          <w:szCs w:val="20"/>
          <w:color w:val="auto"/>
        </w:rPr>
      </w:pPr>
    </w:p>
    <w:p>
      <w:pPr>
        <w:spacing w:after="0"/>
        <w:rPr>
          <w:sz w:val="20"/>
          <w:szCs w:val="20"/>
          <w:color w:val="auto"/>
        </w:rPr>
      </w:pPr>
      <w:r>
        <w:rPr>
          <w:rFonts w:ascii="Calibri" w:cs="Calibri" w:eastAsia="Calibri" w:hAnsi="Calibri"/>
          <w:sz w:val="18"/>
          <w:szCs w:val="18"/>
          <w:color w:val="auto"/>
        </w:rPr>
        <w:t>In the MO</w:t>
      </w:r>
      <w:r>
        <w:rPr>
          <w:rFonts w:ascii="Calibri" w:cs="Calibri" w:eastAsia="Calibri" w:hAnsi="Calibri"/>
          <w:sz w:val="23"/>
          <w:szCs w:val="23"/>
          <w:color w:val="auto"/>
          <w:vertAlign w:val="subscript"/>
        </w:rPr>
        <w:t>2</w:t>
      </w:r>
      <w:r>
        <w:rPr>
          <w:rFonts w:ascii="Calibri" w:cs="Calibri" w:eastAsia="Calibri" w:hAnsi="Calibri"/>
          <w:sz w:val="18"/>
          <w:szCs w:val="18"/>
          <w:color w:val="auto"/>
        </w:rPr>
        <w:t>DIFY study in hemodialysis patents (n=319):</w:t>
      </w:r>
    </w:p>
    <w:p>
      <w:pPr>
        <w:spacing w:after="0" w:line="98" w:lineRule="exact"/>
        <w:rPr>
          <w:sz w:val="20"/>
          <w:szCs w:val="20"/>
          <w:color w:val="auto"/>
        </w:rPr>
      </w:pPr>
    </w:p>
    <w:p>
      <w:pPr>
        <w:jc w:val="both"/>
        <w:ind w:left="660" w:hanging="328"/>
        <w:spacing w:after="0" w:line="235" w:lineRule="auto"/>
        <w:tabs>
          <w:tab w:leader="none" w:pos="653" w:val="left"/>
        </w:tabs>
        <w:numPr>
          <w:ilvl w:val="0"/>
          <w:numId w:val="12"/>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Primary Efcacy Endpoint Results</w:t>
      </w:r>
      <w:r>
        <w:rPr>
          <w:rFonts w:ascii="Calibri" w:cs="Calibri" w:eastAsia="Calibri" w:hAnsi="Calibri"/>
          <w:sz w:val="18"/>
          <w:szCs w:val="18"/>
          <w:color w:val="auto"/>
        </w:rPr>
        <w:t>: Vadadustat QD treatment was non-inferior to darbepoetn alfa. The least square mean diference in Hb was -0.27</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g/dL (-0.55, 0.01) for the vadadustat QD-treated group, meetng the pre-specifed non-inferiority margin of -0.75 g/dL. The least square mean diference in Hb was -0.53 g/dL (-0.80, -0.25) for the vadadustat TIW-treated group. The mean Hb level during the primary evaluaton period was 10.23 (1.07) g/dL and 10.02 (0.87) g/dL for the vadadustat QD and vadadustat TIW groups respectvely, compared to 10.45 (0.83) g/dL for the darbepoetn alfa group.</w:t>
      </w:r>
    </w:p>
    <w:p>
      <w:pPr>
        <w:spacing w:after="0" w:line="112" w:lineRule="exact"/>
        <w:rPr>
          <w:rFonts w:ascii="Calibri" w:cs="Calibri" w:eastAsia="Calibri" w:hAnsi="Calibri"/>
          <w:sz w:val="18"/>
          <w:szCs w:val="18"/>
          <w:color w:val="auto"/>
        </w:rPr>
      </w:pPr>
    </w:p>
    <w:p>
      <w:pPr>
        <w:jc w:val="both"/>
        <w:ind w:left="660" w:hanging="328"/>
        <w:spacing w:after="0" w:line="235" w:lineRule="auto"/>
        <w:tabs>
          <w:tab w:leader="none" w:pos="653" w:val="left"/>
        </w:tabs>
        <w:numPr>
          <w:ilvl w:val="0"/>
          <w:numId w:val="12"/>
        </w:numPr>
        <w:rPr>
          <w:rFonts w:ascii="Calibri" w:cs="Calibri" w:eastAsia="Calibri" w:hAnsi="Calibri"/>
          <w:sz w:val="18"/>
          <w:szCs w:val="18"/>
          <w:color w:val="auto"/>
        </w:rPr>
      </w:pPr>
      <w:r>
        <w:rPr>
          <w:rFonts w:ascii="Calibri" w:cs="Calibri" w:eastAsia="Calibri" w:hAnsi="Calibri"/>
          <w:sz w:val="18"/>
          <w:szCs w:val="18"/>
          <w:b w:val="1"/>
          <w:bCs w:val="1"/>
          <w:i w:val="1"/>
          <w:iCs w:val="1"/>
          <w:color w:val="auto"/>
        </w:rPr>
        <w:t>Secondary Efcacy Endpoint Results</w:t>
      </w:r>
      <w:r>
        <w:rPr>
          <w:rFonts w:ascii="Calibri" w:cs="Calibri" w:eastAsia="Calibri" w:hAnsi="Calibri"/>
          <w:sz w:val="18"/>
          <w:szCs w:val="18"/>
          <w:color w:val="auto"/>
        </w:rPr>
        <w:t>: The secondary efcacy endpoint was the change in average Hb between baseline and the secondary evaluaton</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period (Weeks 46 to 52). The least square mean diference in Hb was -0.40 g/dL (-0.79, -0.02) for the vadadustat QD-treated group and -0.42 g/dL (-0.81, -0.02) for the vadadustat TIW-treated group. Since noninferiority for the secondary efcacy endpoint of vadadustat TIW to darbepoetn alfa was not established, no claims of noninferiority were made for the secondary efcacy endpoint.</w:t>
      </w:r>
    </w:p>
    <w:p>
      <w:pPr>
        <w:spacing w:after="0" w:line="111" w:lineRule="exact"/>
        <w:rPr>
          <w:rFonts w:ascii="Calibri" w:cs="Calibri" w:eastAsia="Calibri" w:hAnsi="Calibri"/>
          <w:sz w:val="18"/>
          <w:szCs w:val="18"/>
          <w:color w:val="auto"/>
        </w:rPr>
      </w:pPr>
    </w:p>
    <w:p>
      <w:pPr>
        <w:jc w:val="both"/>
        <w:ind w:left="660" w:hanging="328"/>
        <w:spacing w:after="0" w:line="254" w:lineRule="auto"/>
        <w:tabs>
          <w:tab w:leader="none" w:pos="653" w:val="left"/>
        </w:tabs>
        <w:numPr>
          <w:ilvl w:val="0"/>
          <w:numId w:val="12"/>
        </w:numPr>
        <w:rPr>
          <w:rFonts w:ascii="Calibri" w:cs="Calibri" w:eastAsia="Calibri" w:hAnsi="Calibri"/>
          <w:sz w:val="17"/>
          <w:szCs w:val="17"/>
          <w:color w:val="auto"/>
        </w:rPr>
      </w:pPr>
      <w:r>
        <w:rPr>
          <w:rFonts w:ascii="Calibri" w:cs="Calibri" w:eastAsia="Calibri" w:hAnsi="Calibri"/>
          <w:sz w:val="17"/>
          <w:szCs w:val="17"/>
          <w:b w:val="1"/>
          <w:bCs w:val="1"/>
          <w:i w:val="1"/>
          <w:iCs w:val="1"/>
          <w:color w:val="auto"/>
        </w:rPr>
        <w:t xml:space="preserve">Other efcacy Endpoint: </w:t>
      </w:r>
      <w:r>
        <w:rPr>
          <w:rFonts w:ascii="Calibri" w:cs="Calibri" w:eastAsia="Calibri" w:hAnsi="Calibri"/>
          <w:sz w:val="17"/>
          <w:szCs w:val="17"/>
          <w:color w:val="auto"/>
        </w:rPr>
        <w:t>The proporton of subjects with an average Hb value within the target range (US [10.0 to 11.0 g/dL] and Europe [10.0 to</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12.0 g/dL]) was similar in the vadadustat QD, vadadustat TIW and darbepoetn alfa treatment groups during the primary evaluaton period (weeks 20 to 26) (51.0%, 50.7%, and 54.5%, respectvely) and secondary evaluaton period (weeks 46 to 52) (50.4%, 48.3%, and 51.3%, respectvely).</w:t>
      </w:r>
    </w:p>
    <w:p>
      <w:pPr>
        <w:spacing w:after="0" w:line="92"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Safety Results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Among all randomized patents who received at least one dose of the study medicaton (n=317), 84.8% and 84.6% of patents in the vadadustat QD and TIW groups, respectvely, experienced any TEAEs, compared to 80.6% in the darbepoetn alfa group. The data showed that 44.8% of patents in the vadadustat QD group and 45.2% in the vadadustat TIW group experienced any treatment-emergent serious adverse events, compared to 43.5% of patents in the darbepoetn alfa group. The most commonly reported TEAEs in patents treated with vadadustat QD, vadadustat TIW, and darbepoetn alfa were COVID-19 (13.3%, 12.5%, and 13.0% respectvely), diarrhea (13.3%, 14.4%, and 5.6% respectvely), and anemia (7.6%, 10.6%, and 9.3% respectvely).</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Manufacturing and Supply</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Overview</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neither own nor operate, and currently have no plans to own or operate, any manufacturing or distributon facilites. We rely on third-party contract manufacturing organizatons, or </w:t>
      </w:r>
      <w:r>
        <w:rPr>
          <w:rFonts w:ascii="Calibri" w:cs="Calibri" w:eastAsia="Calibri" w:hAnsi="Calibri"/>
          <w:sz w:val="18"/>
          <w:szCs w:val="18"/>
          <w:u w:val="single" w:color="auto"/>
          <w:color w:val="auto"/>
        </w:rPr>
        <w:t>CMOs</w:t>
      </w:r>
      <w:r>
        <w:rPr>
          <w:rFonts w:ascii="Calibri" w:cs="Calibri" w:eastAsia="Calibri" w:hAnsi="Calibri"/>
          <w:sz w:val="18"/>
          <w:szCs w:val="18"/>
          <w:color w:val="auto"/>
        </w:rPr>
        <w:t xml:space="preserve">, to produce all of our preclinical, clinical and commercial supply, and third-party distributors to distribute Auryxia and Vafseo. We have established relatonships with several CMOs and expect to contnue to rely on either existng or alternatve CMOs and distributors to manufacture or distribute our products to support ongoing and planned preclinical, clinical and commercial distributon actvites. Our CMOs have other clients and may have other priorites that could afect manufacturing line capacity and/or delivery schedules. Both of these occurrences would be beyond our control. All clinical and commercial supplies are manufactured under current Good Manufacturing Practces, or </w:t>
      </w:r>
      <w:r>
        <w:rPr>
          <w:rFonts w:ascii="Calibri" w:cs="Calibri" w:eastAsia="Calibri" w:hAnsi="Calibri"/>
          <w:sz w:val="18"/>
          <w:szCs w:val="18"/>
          <w:u w:val="single" w:color="auto"/>
          <w:color w:val="auto"/>
        </w:rPr>
        <w:t>cGMPs</w:t>
      </w:r>
      <w:r>
        <w:rPr>
          <w:rFonts w:ascii="Calibri" w:cs="Calibri" w:eastAsia="Calibri" w:hAnsi="Calibri"/>
          <w:sz w:val="18"/>
          <w:szCs w:val="18"/>
          <w:color w:val="auto"/>
        </w:rPr>
        <w:t>, which is a regulatory requirement for the producton of pharmaceutcals that will be used in humans.</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Vafseo</w:t>
      </w:r>
    </w:p>
    <w:p>
      <w:pPr>
        <w:spacing w:after="0" w:line="96" w:lineRule="exact"/>
        <w:rPr>
          <w:sz w:val="20"/>
          <w:szCs w:val="20"/>
          <w:color w:val="auto"/>
        </w:rPr>
      </w:pPr>
    </w:p>
    <w:p>
      <w:pPr>
        <w:jc w:val="both"/>
        <w:spacing w:after="0" w:line="213" w:lineRule="auto"/>
        <w:rPr>
          <w:sz w:val="20"/>
          <w:szCs w:val="20"/>
          <w:color w:val="auto"/>
        </w:rPr>
      </w:pPr>
      <w:r>
        <w:rPr>
          <w:rFonts w:ascii="Calibri" w:cs="Calibri" w:eastAsia="Calibri" w:hAnsi="Calibri"/>
          <w:sz w:val="18"/>
          <w:szCs w:val="18"/>
          <w:color w:val="auto"/>
        </w:rPr>
        <w:t xml:space="preserve">We currently rely on suppliers for the direct manufacture of our drug substance and drug product for clinical and commercial supply of Vafseo. We have entered into supply agreements with STA Pharmaceutcal Hong Kong Limited, or </w:t>
      </w:r>
      <w:r>
        <w:rPr>
          <w:rFonts w:ascii="Calibri" w:cs="Calibri" w:eastAsia="Calibri" w:hAnsi="Calibri"/>
          <w:sz w:val="18"/>
          <w:szCs w:val="18"/>
          <w:u w:val="single" w:color="auto"/>
          <w:color w:val="auto"/>
        </w:rPr>
        <w:t>STA</w:t>
      </w:r>
      <w:r>
        <w:rPr>
          <w:rFonts w:ascii="Calibri" w:cs="Calibri" w:eastAsia="Calibri" w:hAnsi="Calibri"/>
          <w:sz w:val="18"/>
          <w:szCs w:val="18"/>
          <w:color w:val="auto"/>
        </w:rPr>
        <w:t>, for the manufacture of Vafseo drug substance and drug product for commercial use and Patheon Inc. for the manufacture of Vafseo drug product for commercial use. In additon, we and Esteve Química, S.A. have agreed to negotate the terms of a new supply agreement for the manufacture of Vafseo drug substance for commercial use. We plan to mitgate potental commercial supply risks for Vafseo, if any, through inventory management and we may enter into additonal manufacturing arrangements for both drug substance and drug product. For more informaton about our manufacturing agreements for Vafseo, see Part II,</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 w:name="page17"/>
    <w:bookmarkEnd w:id="1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Item 7. Management’s Discussion and Analysis and Note 10, </w:t>
      </w:r>
      <w:r>
        <w:rPr>
          <w:rFonts w:ascii="Calibri" w:cs="Calibri" w:eastAsia="Calibri" w:hAnsi="Calibri"/>
          <w:sz w:val="18"/>
          <w:szCs w:val="18"/>
          <w:i w:val="1"/>
          <w:iCs w:val="1"/>
          <w:color w:val="auto"/>
        </w:rPr>
        <w:t>Commitments and Contngencies</w:t>
      </w:r>
      <w:r>
        <w:rPr>
          <w:rFonts w:ascii="Calibri" w:cs="Calibri" w:eastAsia="Calibri" w:hAnsi="Calibri"/>
          <w:sz w:val="18"/>
          <w:szCs w:val="18"/>
          <w:color w:val="auto"/>
        </w:rPr>
        <w:t>, to our consolidated fnancial statements in Part II, Item 8.</w:t>
      </w:r>
    </w:p>
    <w:p>
      <w:pPr>
        <w:spacing w:after="0" w:line="206" w:lineRule="auto"/>
        <w:rPr>
          <w:sz w:val="20"/>
          <w:szCs w:val="20"/>
          <w:color w:val="auto"/>
        </w:rPr>
      </w:pPr>
      <w:r>
        <w:rPr>
          <w:rFonts w:ascii="Calibri" w:cs="Calibri" w:eastAsia="Calibri" w:hAnsi="Calibri"/>
          <w:sz w:val="18"/>
          <w:szCs w:val="18"/>
          <w:color w:val="auto"/>
        </w:rPr>
        <w:t>Financial Statements and Supplementary Data.</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Vadadustat is a small molecule. The synthesis of vadadustat is reliable and reproducible from startng materials available from multple sources at commercially relevant scale using no unusual manufacturing equipment. Vadadustat can be formulated into compressed tablets using proprietary processes. As with any supply program, obtaining raw materials and fnished drug product of the required quality and quantty cannot be guaranteed, and we cannot ensure that we will be successful in this endeavor.</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Auryxia</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actve pharmaceutcal ingredient of Auryxia, ferric citrate, is a small molecule. The synthesis of ferric citrate is reliable and reproducible from startng materials available from multple sources at a commercial scale. Ferric citrate can be formulated into compressed tablets using proprietary manufacturing processes. As with any supply program, obtaining raw materials and fnished drug product of the required quality and quantty cannot be guaranteed, and we cannot ensure that we will be successful in this endeavor.</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have established CMO relatonships for the supply of Auryxia to help ensure that we will have sufcient material for ongoing commercial sales and clinical trials. We currently rely on single-source suppliers for the manufacture of our drug substance and drug product for clinical and commercial supply of Auryxia. The drug substance for Auryxia is supplied by Siegfried Evionnaz SA, or </w:t>
      </w:r>
      <w:r>
        <w:rPr>
          <w:rFonts w:ascii="Calibri" w:cs="Calibri" w:eastAsia="Calibri" w:hAnsi="Calibri"/>
          <w:sz w:val="18"/>
          <w:szCs w:val="18"/>
          <w:u w:val="single" w:color="auto"/>
          <w:color w:val="auto"/>
        </w:rPr>
        <w:t>Siegfried</w:t>
      </w:r>
      <w:r>
        <w:rPr>
          <w:rFonts w:ascii="Calibri" w:cs="Calibri" w:eastAsia="Calibri" w:hAnsi="Calibri"/>
          <w:sz w:val="18"/>
          <w:szCs w:val="18"/>
          <w:color w:val="auto"/>
        </w:rPr>
        <w:t xml:space="preserve">, pursuant to a supply agreement, as amended, with pricing structured on a per-kilogram basis. Auryxia drug product is supplied by Patheon Manufacturing Services LLC (Thermo Fisher) pursuant to a Master Manufacturing Service Agreement with per-botle pricing structured on a tered basis, with the price reduced as the product volume increases. The supply agreement with Siegfried requires that we satsfy certain minimum purchase requirements, but we are not obligated to use Siegfried as our exclusive supplier. For more informaton about our manufacturing agreements for Auryxia, see Part II, Item 7. Management’s Discussion and Analysis and Note 10, </w:t>
      </w:r>
      <w:r>
        <w:rPr>
          <w:rFonts w:ascii="Calibri" w:cs="Calibri" w:eastAsia="Calibri" w:hAnsi="Calibri"/>
          <w:sz w:val="18"/>
          <w:szCs w:val="18"/>
          <w:i w:val="1"/>
          <w:iCs w:val="1"/>
          <w:color w:val="auto"/>
        </w:rPr>
        <w:t>Commitments and Contngencies</w:t>
      </w:r>
      <w:r>
        <w:rPr>
          <w:rFonts w:ascii="Calibri" w:cs="Calibri" w:eastAsia="Calibri" w:hAnsi="Calibri"/>
          <w:sz w:val="18"/>
          <w:szCs w:val="18"/>
          <w:color w:val="auto"/>
        </w:rPr>
        <w:t>, to our consolidated fnancial statements in Part II, Item 8. Financial Statements and Supplementary Data.</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utlize third partes for the commercial distributon of Auryxia, including wholesale distributors and certain specialty pharmacy providers. We have also engaged Cardinal Health, Inc., as the exclusive third-party logistcs distributon agent for commercial sales of Auryxia and Vafseo. The third-party logistcs provides services to the Company that include storage, distributon, processing product returns, customer service support, logistcs support, electronic data interface and system access support.</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License and Collaboraton Agreements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Vafseo License and Collaboraton Agreements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Medice License Agreement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May 24, 2023, or the </w:t>
      </w:r>
      <w:r>
        <w:rPr>
          <w:rFonts w:ascii="Calibri" w:cs="Calibri" w:eastAsia="Calibri" w:hAnsi="Calibri"/>
          <w:sz w:val="18"/>
          <w:szCs w:val="18"/>
          <w:u w:val="single" w:color="auto"/>
          <w:color w:val="auto"/>
        </w:rPr>
        <w:t>Medice Efectve Date</w:t>
      </w:r>
      <w:r>
        <w:rPr>
          <w:rFonts w:ascii="Calibri" w:cs="Calibri" w:eastAsia="Calibri" w:hAnsi="Calibri"/>
          <w:sz w:val="18"/>
          <w:szCs w:val="18"/>
          <w:color w:val="auto"/>
        </w:rPr>
        <w:t xml:space="preserve">, we entered into a License Agreement, or the </w:t>
      </w:r>
      <w:r>
        <w:rPr>
          <w:rFonts w:ascii="Calibri" w:cs="Calibri" w:eastAsia="Calibri" w:hAnsi="Calibri"/>
          <w:sz w:val="18"/>
          <w:szCs w:val="18"/>
          <w:u w:val="single" w:color="auto"/>
          <w:color w:val="auto"/>
        </w:rPr>
        <w:t>Medice License Agreement</w:t>
      </w:r>
      <w:r>
        <w:rPr>
          <w:rFonts w:ascii="Calibri" w:cs="Calibri" w:eastAsia="Calibri" w:hAnsi="Calibri"/>
          <w:sz w:val="18"/>
          <w:szCs w:val="18"/>
          <w:color w:val="auto"/>
        </w:rPr>
        <w:t xml:space="preserve">, with Medice, under which we granted to Medice an exclusive license to develop and commercialize Vafseo for the treatment of anemia in adult patents with chronic kidney disease in the EEA, UK, Switzerland and Australia, or the </w:t>
      </w:r>
      <w:r>
        <w:rPr>
          <w:rFonts w:ascii="Calibri" w:cs="Calibri" w:eastAsia="Calibri" w:hAnsi="Calibri"/>
          <w:sz w:val="18"/>
          <w:szCs w:val="18"/>
          <w:u w:val="single" w:color="auto"/>
          <w:color w:val="auto"/>
        </w:rPr>
        <w:t>Medice Territory</w:t>
      </w:r>
      <w:r>
        <w:rPr>
          <w:rFonts w:ascii="Calibri" w:cs="Calibri" w:eastAsia="Calibri" w:hAnsi="Calibri"/>
          <w:sz w:val="18"/>
          <w:szCs w:val="18"/>
          <w:color w:val="auto"/>
        </w:rPr>
        <w:t>.</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Under the Medice License Agreement, we received an up-front payment of $10.0 million and are eligible to receive the following payments:</w:t>
      </w:r>
    </w:p>
    <w:p>
      <w:pPr>
        <w:spacing w:after="0" w:line="104" w:lineRule="exact"/>
        <w:rPr>
          <w:sz w:val="20"/>
          <w:szCs w:val="20"/>
          <w:color w:val="auto"/>
        </w:rPr>
      </w:pPr>
    </w:p>
    <w:p>
      <w:pPr>
        <w:ind w:left="840" w:hanging="346"/>
        <w:spacing w:after="0"/>
        <w:tabs>
          <w:tab w:leader="none" w:pos="840"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commercial milestone payments up to an aggregate of $100.0 million, and</w:t>
      </w:r>
    </w:p>
    <w:p>
      <w:pPr>
        <w:spacing w:after="0" w:line="55" w:lineRule="exact"/>
        <w:rPr>
          <w:rFonts w:ascii="Calibri" w:cs="Calibri" w:eastAsia="Calibri" w:hAnsi="Calibri"/>
          <w:sz w:val="18"/>
          <w:szCs w:val="18"/>
          <w:color w:val="auto"/>
        </w:rPr>
      </w:pPr>
    </w:p>
    <w:p>
      <w:pPr>
        <w:ind w:left="980" w:hanging="486"/>
        <w:spacing w:after="0" w:line="235" w:lineRule="auto"/>
        <w:tabs>
          <w:tab w:leader="none" w:pos="1032" w:val="left"/>
        </w:tabs>
        <w:numPr>
          <w:ilvl w:val="0"/>
          <w:numId w:val="13"/>
        </w:numPr>
        <w:rPr>
          <w:rFonts w:ascii="Calibri" w:cs="Calibri" w:eastAsia="Calibri" w:hAnsi="Calibri"/>
          <w:sz w:val="18"/>
          <w:szCs w:val="18"/>
          <w:color w:val="auto"/>
        </w:rPr>
      </w:pPr>
      <w:r>
        <w:rPr>
          <w:rFonts w:ascii="Calibri" w:cs="Calibri" w:eastAsia="Calibri" w:hAnsi="Calibri"/>
          <w:sz w:val="18"/>
          <w:szCs w:val="18"/>
          <w:color w:val="auto"/>
        </w:rPr>
        <w:t>tered royaltes ranging from 10% to 30% of Medice's annual net sales of Vafseo in the Medice Territory, subject to reducton in certain circumstances.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royaltes will expire on a country-by-country basis upon the latest to occur of (i) the date of expiraton of the last-to-expire valid claim of ours, Medice or joint patent that covers Vafseo in such country in the Medice Territory, (ii) the date of expiraton of data or regulatory exclusivity for Vafseo in such country in the Medice Territory and (iii) the date that is 12 years from frst commercial sale of Vafseo in such country in the Medice Territory.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Under the Medice License Agreement, we retain the right to develop Vafseo for non-dialysis patents with anemia due to CKD in the Medice Territory. If we develop Vafseo for non-dialysis patents and Vafseo receives marketng approval for non-dialysis patents in the Medice Territory, Medice will commercialize Vafseo for both indicatons in the Medice Territory. In this instance, we would receive 70% of the net product margin of any sales of Vafseo in the non-dialysis patent populaton, unless Medice requests to share the cost of the development necessary to gain approval to market Vafseo for non-dialysis patents in the Medice Territory and the partes agree on alternatve fnancial terms.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We and Medice established a joint steering commitee to oversee the development and commercializaton of Vafseo in the Medice Territory.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 w:name="page18"/>
    <w:bookmarkEnd w:id="1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Medice License Agreement expires on the date of expiraton of all payment obligatons due thereunder with respect to Vafseo in the last country in the Medice Territory, unless earlier terminated in accordance with the terms of the Medice License Agreement. Either party may, subject to a cure period, terminate the Medice License Agreement in the event of the other party's uncured material breach. Medice has the right to terminate the Medice License Agreement in its entrety for convenience upon twelve months' prior writen notce delivered on or afer the date that is twelve months afer the Medice Efectve Date.</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Medice License Agreement includes customary terms relatng to, among others, indemnifcaton, confdentality, remedies, and representatons and warrantes.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September 13, 2024, we entered into a supply agreement, or the </w:t>
      </w:r>
      <w:r>
        <w:rPr>
          <w:rFonts w:ascii="Calibri" w:cs="Calibri" w:eastAsia="Calibri" w:hAnsi="Calibri"/>
          <w:sz w:val="18"/>
          <w:szCs w:val="18"/>
          <w:u w:val="single" w:color="auto"/>
          <w:color w:val="auto"/>
        </w:rPr>
        <w:t>Medice Supply Agreement</w:t>
      </w:r>
      <w:r>
        <w:rPr>
          <w:rFonts w:ascii="Calibri" w:cs="Calibri" w:eastAsia="Calibri" w:hAnsi="Calibri"/>
          <w:sz w:val="18"/>
          <w:szCs w:val="18"/>
          <w:color w:val="auto"/>
        </w:rPr>
        <w:t>, with Medice under which we supply Vafseo drug product to Medice for commercial and developmental use in the Medice Territory.</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MTPC Collaboraton Agreement</w:t>
      </w:r>
    </w:p>
    <w:p>
      <w:pPr>
        <w:spacing w:after="0" w:line="10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 xml:space="preserve">In December 2015, we entered into a collaboraton agreement with MTPC, as amended, or the </w:t>
      </w:r>
      <w:r>
        <w:rPr>
          <w:rFonts w:ascii="Calibri" w:cs="Calibri" w:eastAsia="Calibri" w:hAnsi="Calibri"/>
          <w:sz w:val="18"/>
          <w:szCs w:val="18"/>
          <w:u w:val="single" w:color="auto"/>
          <w:color w:val="auto"/>
        </w:rPr>
        <w:t>MTPC Agreement</w:t>
      </w:r>
      <w:r>
        <w:rPr>
          <w:rFonts w:ascii="Calibri" w:cs="Calibri" w:eastAsia="Calibri" w:hAnsi="Calibri"/>
          <w:sz w:val="18"/>
          <w:szCs w:val="18"/>
          <w:color w:val="auto"/>
        </w:rPr>
        <w:t xml:space="preserve">, providing MTPC with exclusive development and commercializaton rights to Vafseo in Japan and certain other Asian countries, or the </w:t>
      </w:r>
      <w:r>
        <w:rPr>
          <w:rFonts w:ascii="Calibri" w:cs="Calibri" w:eastAsia="Calibri" w:hAnsi="Calibri"/>
          <w:sz w:val="18"/>
          <w:szCs w:val="18"/>
          <w:u w:val="single" w:color="auto"/>
          <w:color w:val="auto"/>
        </w:rPr>
        <w:t>MTPC Territory</w:t>
      </w:r>
      <w:r>
        <w:rPr>
          <w:rFonts w:ascii="Calibri" w:cs="Calibri" w:eastAsia="Calibri" w:hAnsi="Calibri"/>
          <w:sz w:val="18"/>
          <w:szCs w:val="18"/>
          <w:color w:val="auto"/>
        </w:rPr>
        <w:t>. In additon, we supply Vafseo to MTPC for both clinical and commercial use in the MTPC Territory, subject to MTPC’s opton to manufacture commercial drug product in the MTPC Territory. On July 15, 2020, we entered into a supply agreement with MTPC for the commercial supply of Vafseo for use in Japan and certain other Asian countries, as contemplated by the MTPC Agreement, which was amended efectve as of December 5, 2022.</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Unless earlier terminated, the MTPC Agreement will contnue in efect on a country-by-country basis untl the later of the following: (i) expiraton of the last-to-expire patent covering Vafseo in such country in the MTPC Territory; (ii) expiraton of marketng or regulatory exclusivity in such country in the MTPC Territory; or (iii) ten years afer the frst commercial sale of Vafseo in such country in the MTPC Territory. MTPC may terminate the MTPC Agreement upon twelve months’ notce. Either party may terminate the MTPC Agreement upon the material breach of the other party that is not cured within a specifed tme period or upon the insolvency of the other party.</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Under the terms of the MTPC Agreement, we are eligible to receive payments from MTPC of up to approximately $225.0 million in the aggregate based on the achievement of certain development, regulatory and sales milestones, as well as tered royalty payments ranging from 13% to 20% on annual net sales of Vafseo in the MTPC Territory, subject to reducton upon launch of a generic product on a country-by-country basis.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February 2021, we entered into a royalty interest acquisiton agreement with HealthCare Royalty Partners IV, L.P., or </w:t>
      </w:r>
      <w:r>
        <w:rPr>
          <w:rFonts w:ascii="Calibri" w:cs="Calibri" w:eastAsia="Calibri" w:hAnsi="Calibri"/>
          <w:sz w:val="18"/>
          <w:szCs w:val="18"/>
          <w:u w:val="single" w:color="auto"/>
          <w:color w:val="auto"/>
        </w:rPr>
        <w:t>HCR</w:t>
      </w:r>
      <w:r>
        <w:rPr>
          <w:rFonts w:ascii="Calibri" w:cs="Calibri" w:eastAsia="Calibri" w:hAnsi="Calibri"/>
          <w:sz w:val="18"/>
          <w:szCs w:val="18"/>
          <w:color w:val="auto"/>
        </w:rPr>
        <w:t xml:space="preserve">, whereby we sold our right to receive royaltes and sales milestones for Vafseo in Japan and certain other Asian countries in the MTPC territory under the MTPC Agreement, subject to certain caps and other terms and conditons. For more informaton on our royalty interest acquisiton agreement with HCR, see Note 8, </w:t>
      </w:r>
      <w:r>
        <w:rPr>
          <w:rFonts w:ascii="Calibri" w:cs="Calibri" w:eastAsia="Calibri" w:hAnsi="Calibri"/>
          <w:sz w:val="18"/>
          <w:szCs w:val="18"/>
          <w:i w:val="1"/>
          <w:iCs w:val="1"/>
          <w:color w:val="auto"/>
        </w:rPr>
        <w:t>Liability Related to</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Setlement Royaltes, Working Capital Fund Liability and Liability Related to Sale of Future Royaltes</w:t>
      </w:r>
      <w:r>
        <w:rPr>
          <w:rFonts w:ascii="Calibri" w:cs="Calibri" w:eastAsia="Calibri" w:hAnsi="Calibri"/>
          <w:sz w:val="18"/>
          <w:szCs w:val="18"/>
          <w:color w:val="auto"/>
        </w:rPr>
        <w:t>, to our consolidated fnancial statements in Part II, Item 8.</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Financial Statements and Supplementary Data of this Form 10-K.</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CSL Vifor License Agreement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February 18, 2022, we entered into a Second Amended and Restated License Agreement, or the </w:t>
      </w:r>
      <w:r>
        <w:rPr>
          <w:rFonts w:ascii="Calibri" w:cs="Calibri" w:eastAsia="Calibri" w:hAnsi="Calibri"/>
          <w:sz w:val="18"/>
          <w:szCs w:val="18"/>
          <w:u w:val="single" w:color="auto"/>
          <w:color w:val="auto"/>
        </w:rPr>
        <w:t>Vifor License Agreement</w:t>
      </w:r>
      <w:r>
        <w:rPr>
          <w:rFonts w:ascii="Calibri" w:cs="Calibri" w:eastAsia="Calibri" w:hAnsi="Calibri"/>
          <w:sz w:val="18"/>
          <w:szCs w:val="18"/>
          <w:color w:val="auto"/>
        </w:rPr>
        <w:t xml:space="preserve">, with Vifor (Internatonal) Ltd. (now a part of CSL Limited), or </w:t>
      </w:r>
      <w:r>
        <w:rPr>
          <w:rFonts w:ascii="Calibri" w:cs="Calibri" w:eastAsia="Calibri" w:hAnsi="Calibri"/>
          <w:sz w:val="18"/>
          <w:szCs w:val="18"/>
          <w:u w:val="single" w:color="auto"/>
          <w:color w:val="auto"/>
        </w:rPr>
        <w:t>CSL Vifor,</w:t>
      </w:r>
      <w:r>
        <w:rPr>
          <w:rFonts w:ascii="Calibri" w:cs="Calibri" w:eastAsia="Calibri" w:hAnsi="Calibri"/>
          <w:sz w:val="18"/>
          <w:szCs w:val="18"/>
          <w:color w:val="auto"/>
        </w:rPr>
        <w:t xml:space="preserve"> which amended and restated the License Agreement dated as of May 12, 2017. The Vifor License Agreement granted CSL Vifor an exclusive license to sell Vafseo to Fresenius Medical Care North America and its afliates, including Fresenius Kidney Care Group LLC, to certain third-party dialysis organizatons approved by us, to independent dialysis organizatons that are members of certain group purchasing organizatons and certain non-retail specialty pharmacies, collectvely, the </w:t>
      </w:r>
      <w:r>
        <w:rPr>
          <w:rFonts w:ascii="Calibri" w:cs="Calibri" w:eastAsia="Calibri" w:hAnsi="Calibri"/>
          <w:sz w:val="18"/>
          <w:szCs w:val="18"/>
          <w:u w:val="single" w:color="auto"/>
          <w:color w:val="auto"/>
        </w:rPr>
        <w:t>Supply Group</w:t>
      </w:r>
      <w:r>
        <w:rPr>
          <w:rFonts w:ascii="Calibri" w:cs="Calibri" w:eastAsia="Calibri" w:hAnsi="Calibri"/>
          <w:sz w:val="18"/>
          <w:szCs w:val="18"/>
          <w:color w:val="auto"/>
        </w:rPr>
        <w:t>, in the U.S.</w:t>
      </w:r>
    </w:p>
    <w:p>
      <w:pPr>
        <w:spacing w:after="0" w:line="112"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The Vifor License Agreement was structured as a proft share arrangement between us and CSL Vifor in which we would receive approximately 66% of the profts, net of certain pre-specifed costs. CSL Vifor made an upfront payment to us of $25.0 million in February 2022 in connecton with the amendment and restatement of the Vifor License Agreement. In additon, we entered into certain investment agreements with CSL Vifor, pursuant to which we sold CSL Vifor an aggregate of 7,571,429 shares of our common stock for a total of $70.0 million. The shares have not been registered pursuant to the Securites Act of 1933, as amended, or the Securites Act, and were issued and sold in reliance upon the exempton from registraton contained in Secton 4(a)(2) of the Securites Act and Rule 506 promulgated thereunder as the transacton did not involve any public ofering within the meaning of Secton 4(a)(2) of the Securites Act.</w:t>
      </w:r>
    </w:p>
    <w:p>
      <w:pPr>
        <w:spacing w:after="0" w:line="10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July 10, 2024, we and CSL Vifor entered into the Vifor Terminaton and Setlement Agreement, or the </w:t>
      </w:r>
      <w:r>
        <w:rPr>
          <w:rFonts w:ascii="Calibri" w:cs="Calibri" w:eastAsia="Calibri" w:hAnsi="Calibri"/>
          <w:sz w:val="18"/>
          <w:szCs w:val="18"/>
          <w:u w:val="single" w:color="auto"/>
          <w:color w:val="auto"/>
        </w:rPr>
        <w:t>Vifor Terminaton Agreement</w:t>
      </w:r>
      <w:r>
        <w:rPr>
          <w:rFonts w:ascii="Calibri" w:cs="Calibri" w:eastAsia="Calibri" w:hAnsi="Calibri"/>
          <w:sz w:val="18"/>
          <w:szCs w:val="18"/>
          <w:color w:val="auto"/>
        </w:rPr>
        <w:t>, pursuant to which we and CSL Vifor agreed, among other things, to terminate, efectve immediately, the Vifor License Agreement.</w:t>
      </w:r>
    </w:p>
    <w:p>
      <w:pPr>
        <w:spacing w:after="0" w:line="11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Pursuant to the terms of the Vifor Terminaton Agreement, we will pay CSL Vifor decreasing quarterly tered royalty payments ranging from a high single-digit percentage of our net sales of Vafseo up to $450.0 million to mid-single digit percentage of</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 w:name="page19"/>
    <w:bookmarkEnd w:id="1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 xml:space="preserve">our net sales of Vafseo above $450.0 million, in each case, in the U.S. during a calendar year, or the </w:t>
      </w:r>
      <w:r>
        <w:rPr>
          <w:rFonts w:ascii="Calibri" w:cs="Calibri" w:eastAsia="Calibri" w:hAnsi="Calibri"/>
          <w:sz w:val="17"/>
          <w:szCs w:val="17"/>
          <w:u w:val="single" w:color="auto"/>
          <w:color w:val="auto"/>
        </w:rPr>
        <w:t>Setlement Royalty Payments</w:t>
      </w:r>
      <w:r>
        <w:rPr>
          <w:rFonts w:ascii="Calibri" w:cs="Calibri" w:eastAsia="Calibri" w:hAnsi="Calibri"/>
          <w:sz w:val="17"/>
          <w:szCs w:val="17"/>
          <w:color w:val="auto"/>
        </w:rPr>
        <w:t xml:space="preserve">. The Setlement Royalty Payments will commence upon the frst sale of Vafseo by us, our afliates or third-party licensees to a third party for use in the U.S., and will contnue untl the later of the (i) expiraton of the last-to-expire valid claim listed in the FDA Orange Book that would be infringed by the making, using, selling or importng of Vafseo in the U.S. or (ii) the expiraton of marketng or regulatory exclusivity for Vafseo in the U.S., or the </w:t>
      </w:r>
      <w:r>
        <w:rPr>
          <w:rFonts w:ascii="Calibri" w:cs="Calibri" w:eastAsia="Calibri" w:hAnsi="Calibri"/>
          <w:sz w:val="17"/>
          <w:szCs w:val="17"/>
          <w:u w:val="single" w:color="auto"/>
          <w:color w:val="auto"/>
        </w:rPr>
        <w:t>Setlement Royalty Term</w:t>
      </w:r>
      <w:r>
        <w:rPr>
          <w:rFonts w:ascii="Calibri" w:cs="Calibri" w:eastAsia="Calibri" w:hAnsi="Calibri"/>
          <w:sz w:val="17"/>
          <w:szCs w:val="17"/>
          <w:color w:val="auto"/>
        </w:rPr>
        <w:t xml:space="preserve">. Beginning on July 1, 2027 and throughout the Setlement Royalty Term, we have the opton to make a one-tme payment to CSL Vifor, or the </w:t>
      </w:r>
      <w:r>
        <w:rPr>
          <w:rFonts w:ascii="Calibri" w:cs="Calibri" w:eastAsia="Calibri" w:hAnsi="Calibri"/>
          <w:sz w:val="17"/>
          <w:szCs w:val="17"/>
          <w:u w:val="single" w:color="auto"/>
          <w:color w:val="auto"/>
        </w:rPr>
        <w:t>Royalty Buy-Down Opton</w:t>
      </w:r>
      <w:r>
        <w:rPr>
          <w:rFonts w:ascii="Calibri" w:cs="Calibri" w:eastAsia="Calibri" w:hAnsi="Calibri"/>
          <w:sz w:val="17"/>
          <w:szCs w:val="17"/>
          <w:color w:val="auto"/>
        </w:rPr>
        <w:t>, upon which the Setlement Royalty Payments will be adjusted as of the date of exercise of the Royalty Buy-Down Opton such that we will then only pay CSL Vifor quarterly royalty payments based on a mid-single digit percentage of our net sales of Vafseo up to $450.0 million in the U.S. during a calendar year in lieu of the above Setlement Royalty Payments. If we exercise the Royalty Buy-Down Opton, the WCF Royalty Payments, as described below, will contnue.</w:t>
      </w:r>
    </w:p>
    <w:p>
      <w:pPr>
        <w:spacing w:after="0" w:line="10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WCF Royalty Payments, as described below, the Setlement Royalty Payments and the Royalty Buy-Down Opton are in consideraton for the terminaton of the Vifor License Agreement and all obligatons thereunder, and the covenants and agreements set forth in the Vifor Terminaton Agreement, including the setlement and release of all disputes and claims which could arise from the Vifor License Agreement.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Pursuant to the Vifor License Agreement, CSL Vifor contributed $40.0 million to a working capital facility, or Working Capital Fund, established to partally fund our costs of purchasing Vafseo from our contract manufacturers. On May 3, 2024, we and CSL Vifor entered into Amendment #1 to the Vifor License Agreement, or the </w:t>
      </w:r>
      <w:r>
        <w:rPr>
          <w:rFonts w:ascii="Calibri" w:cs="Calibri" w:eastAsia="Calibri" w:hAnsi="Calibri"/>
          <w:sz w:val="18"/>
          <w:szCs w:val="18"/>
          <w:u w:val="single" w:color="auto"/>
          <w:color w:val="auto"/>
        </w:rPr>
        <w:t>Vifor Amendment</w:t>
      </w:r>
      <w:r>
        <w:rPr>
          <w:rFonts w:ascii="Calibri" w:cs="Calibri" w:eastAsia="Calibri" w:hAnsi="Calibri"/>
          <w:sz w:val="18"/>
          <w:szCs w:val="18"/>
          <w:color w:val="auto"/>
        </w:rPr>
        <w:t xml:space="preserve">. Pursuant to the Vifor Amendment, and as modifed by the Vifor Terminaton Agreement, we and CSL Vifor agreed to modify the method of repayment of the Working Capital Fund such that the Working Capital Fund will be repaid through quarterly tered royalty payments ranging from 8% to 14% of our net sales of Vafseo in the U.S., or the </w:t>
      </w:r>
      <w:r>
        <w:rPr>
          <w:rFonts w:ascii="Calibri" w:cs="Calibri" w:eastAsia="Calibri" w:hAnsi="Calibri"/>
          <w:sz w:val="18"/>
          <w:szCs w:val="18"/>
          <w:u w:val="single" w:color="auto"/>
          <w:color w:val="auto"/>
        </w:rPr>
        <w:t>WCF Royalty Payments</w:t>
      </w:r>
      <w:r>
        <w:rPr>
          <w:rFonts w:ascii="Calibri" w:cs="Calibri" w:eastAsia="Calibri" w:hAnsi="Calibri"/>
          <w:sz w:val="18"/>
          <w:szCs w:val="18"/>
          <w:color w:val="auto"/>
        </w:rPr>
        <w:t xml:space="preserve">. The WCF Royalty Payments will commence on July 1, 2025, and will contnue untl the earlier of (i) the cumulatve total of the WCF Royalty Payments equals $40.0 million, or (ii) May 31, 2028, or the </w:t>
      </w:r>
      <w:r>
        <w:rPr>
          <w:rFonts w:ascii="Calibri" w:cs="Calibri" w:eastAsia="Calibri" w:hAnsi="Calibri"/>
          <w:sz w:val="18"/>
          <w:szCs w:val="18"/>
          <w:u w:val="single" w:color="auto"/>
          <w:color w:val="auto"/>
        </w:rPr>
        <w:t>WCF Royalty Term</w:t>
      </w:r>
      <w:r>
        <w:rPr>
          <w:rFonts w:ascii="Calibri" w:cs="Calibri" w:eastAsia="Calibri" w:hAnsi="Calibri"/>
          <w:sz w:val="18"/>
          <w:szCs w:val="18"/>
          <w:color w:val="auto"/>
        </w:rPr>
        <w:t xml:space="preserve">. The WCF Royalty Payments are subject to minimum true-up milestones of $10.0 million, $20.0 million and $40.0 million, or the </w:t>
      </w:r>
      <w:r>
        <w:rPr>
          <w:rFonts w:ascii="Calibri" w:cs="Calibri" w:eastAsia="Calibri" w:hAnsi="Calibri"/>
          <w:sz w:val="18"/>
          <w:szCs w:val="18"/>
          <w:u w:val="single" w:color="auto"/>
          <w:color w:val="auto"/>
        </w:rPr>
        <w:t>WCF Royalty True-Up Payments</w:t>
      </w:r>
      <w:r>
        <w:rPr>
          <w:rFonts w:ascii="Calibri" w:cs="Calibri" w:eastAsia="Calibri" w:hAnsi="Calibri"/>
          <w:sz w:val="18"/>
          <w:szCs w:val="18"/>
          <w:color w:val="auto"/>
        </w:rPr>
        <w:t xml:space="preserve">, on each of May 31, 2026, May 31, 2027 and May 31, 2028, respectvely, or the </w:t>
      </w:r>
      <w:r>
        <w:rPr>
          <w:rFonts w:ascii="Calibri" w:cs="Calibri" w:eastAsia="Calibri" w:hAnsi="Calibri"/>
          <w:sz w:val="18"/>
          <w:szCs w:val="18"/>
          <w:u w:val="single" w:color="auto"/>
          <w:color w:val="auto"/>
        </w:rPr>
        <w:t>WCF Royalty True-Up Dates</w:t>
      </w:r>
      <w:r>
        <w:rPr>
          <w:rFonts w:ascii="Calibri" w:cs="Calibri" w:eastAsia="Calibri" w:hAnsi="Calibri"/>
          <w:sz w:val="18"/>
          <w:szCs w:val="18"/>
          <w:color w:val="auto"/>
        </w:rPr>
        <w:t>. If the cumulatve total of the WCF Royalty Payments paid to CSL Vifor on any given WCF Royalty True-Up Date is less than the respectve WCF Royalty True-Up Payment, we will pay CSL Vifor a one-tme payment equal to the diference between the WCF Royalty True-Up Payment and the cumulatve total of the WCF Royalty Payments paid by us through such WCF Royalty True-Up Date.</w:t>
      </w:r>
    </w:p>
    <w:p>
      <w:pPr>
        <w:spacing w:after="0" w:line="11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Auryxia License and Collaboraton Agreements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Averoa License Agreement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December 22, 2022, we and Averoa entered into a license agreement, or </w:t>
      </w:r>
      <w:r>
        <w:rPr>
          <w:rFonts w:ascii="Calibri" w:cs="Calibri" w:eastAsia="Calibri" w:hAnsi="Calibri"/>
          <w:sz w:val="18"/>
          <w:szCs w:val="18"/>
          <w:u w:val="single" w:color="auto"/>
          <w:color w:val="auto"/>
        </w:rPr>
        <w:t>Averoa License Agreement</w:t>
      </w:r>
      <w:r>
        <w:rPr>
          <w:rFonts w:ascii="Calibri" w:cs="Calibri" w:eastAsia="Calibri" w:hAnsi="Calibri"/>
          <w:sz w:val="18"/>
          <w:szCs w:val="18"/>
          <w:color w:val="auto"/>
        </w:rPr>
        <w:t xml:space="preserve">, pursuant to which we granted to Averoa an exclusive license to develop and commercialize ferric citrate, or Averoa Licensed Product, in the EEA, Turkey, Switzerland and the United Kingdom, and in August 2024, we also granted Averoa an exclusive license to develop and commercialize ferric citrate in the Balkans and certain countries in Eastern Europe and the Middle East, or collectvely, the </w:t>
      </w:r>
      <w:r>
        <w:rPr>
          <w:rFonts w:ascii="Calibri" w:cs="Calibri" w:eastAsia="Calibri" w:hAnsi="Calibri"/>
          <w:sz w:val="18"/>
          <w:szCs w:val="18"/>
          <w:u w:val="single" w:color="auto"/>
          <w:color w:val="auto"/>
        </w:rPr>
        <w:t>Averoa Territory</w:t>
      </w:r>
      <w:r>
        <w:rPr>
          <w:rFonts w:ascii="Calibri" w:cs="Calibri" w:eastAsia="Calibri" w:hAnsi="Calibri"/>
          <w:sz w:val="18"/>
          <w:szCs w:val="18"/>
          <w:color w:val="auto"/>
        </w:rPr>
        <w:t>. We and Averoa have established a joint steering commitee to oversee the development, manufacturing and commercializaton of the Averoa Licensed Product in the Averoa Territory. In April 2024, Averoa submited its marketng authorizaton applicaton for ferric citrate in Europe and the applicaton is stll under review.</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Under the Averoa License Agreement, we are enttled to receive tered, escalatng royaltes ranging from a mid-single digit percentage to a low double-digit percentage of Averoa's annual net sales of the Averoa Licensed Product in the Averoa Territory, including certain minimum royalty amounts in certain years, and subject to reducton in certain circumstances. The royaltes will expire on a country-by-country basis upon the last to occur of (a) ten years following the date of frst commercial sale of the Licensed Product in such country; (b) expiraton of the last valid claim of our patent rights and joint patent rights in such country; and (c) the date of expiraton of the data, regulatory, or marketng exclusivity period conferred by the applicable regulatory authority in such country with respect to the Licensed Product. As of December 31, 2024, we have not received any royaltes under this agreement.</w:t>
      </w:r>
    </w:p>
    <w:p>
      <w:pPr>
        <w:spacing w:after="0" w:line="113"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color w:val="auto"/>
        </w:rPr>
        <w:t>The Averoa License Agreement expires on the date of expiraton of all royalty obligatons due thereunder with respect to the Averoa Licensed Product on a country-by-country basis in the Averoa Territory, unless earlier terminated in accordance with the Averoa License Agreement.</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Averoa License Agreement provides that we and Averoa will enter into a supply agreement pursuant to which we will supply the Averoa Licensed Product to Averoa for commercial use in the Averoa Territory. We will have the right to terminate the supply agreement upon twenty-four months' notce. We have not yet entered into a supply agreement with Averoa.</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Sublicense Agreement with Japan Tobacco Inc. and Torii Pharmaceutcal Co., Ltd.</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September 2007, we entered into a Sublicense Agreement with JT and Torii, under which JT and Torii obtained the exclusive sublicense rights for the development and commercializaton of ferric citrate in Japan. Efectve June 8, 2009, we entered into</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 w:name="page20"/>
    <w:bookmarkEnd w:id="1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an Amended and Restated Sublicense Agreement, which was amended in June 2013, or the </w:t>
      </w:r>
      <w:r>
        <w:rPr>
          <w:rFonts w:ascii="Calibri" w:cs="Calibri" w:eastAsia="Calibri" w:hAnsi="Calibri"/>
          <w:sz w:val="18"/>
          <w:szCs w:val="18"/>
          <w:u w:val="single" w:color="auto"/>
          <w:color w:val="auto"/>
        </w:rPr>
        <w:t>Revised Agreement</w:t>
      </w:r>
      <w:r>
        <w:rPr>
          <w:rFonts w:ascii="Calibri" w:cs="Calibri" w:eastAsia="Calibri" w:hAnsi="Calibri"/>
          <w:sz w:val="18"/>
          <w:szCs w:val="18"/>
          <w:color w:val="auto"/>
        </w:rPr>
        <w:t>, with JT and Torii.</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January 2014, JT and Torii received manufacturing and marketng approval of ferric citrate from the Japanese Ministry of Health, Labour and Welfare. Ferric citrate hydrate, which launched in May 2014 and is being marketed in Japan by Torii under the brand name Riona, is indicated as an oral treatment for the improvement of hyperphosphatemia in patents with CKD, including NDD-CKD and DD-CKD. In July 2019, JT and Torii, reported positve top-line results from a pivotal Phase 3 comparatve study evaluatng Riona for the treatment of IDA in adult patents in Japan, which was approved in March 2021. In May 2020, JT and Torii fled an applicaton for approval of IDA as an additonal indicaton for Riona in Japan. Under the terms of the Revised Agreement with JT and Torii, we are eligible to receive royalty payments based on a tered low double-digit percentage of net sales of Riona in Japan inclusive of amounts that we must pay to Panion &amp; BF Biotech, Inc., or </w:t>
      </w:r>
      <w:r>
        <w:rPr>
          <w:rFonts w:ascii="Calibri" w:cs="Calibri" w:eastAsia="Calibri" w:hAnsi="Calibri"/>
          <w:sz w:val="18"/>
          <w:szCs w:val="18"/>
          <w:u w:val="single" w:color="auto"/>
          <w:color w:val="auto"/>
        </w:rPr>
        <w:t>Panion</w:t>
      </w:r>
      <w:r>
        <w:rPr>
          <w:rFonts w:ascii="Calibri" w:cs="Calibri" w:eastAsia="Calibri" w:hAnsi="Calibri"/>
          <w:sz w:val="18"/>
          <w:szCs w:val="18"/>
          <w:color w:val="auto"/>
        </w:rPr>
        <w:t>, on JT and Torii’s net sales of Riona under the Panion Amended License Agreement, subject to certain reductons upon expiraton or terminaton of the Panion Amended License Agreement, and may also receive up to an additonal $55.0 million upon the achievement of certain annual net sales milestones. We recorded $5.4 million in license revenue related to royaltes earned on net sales of Riona in Japan during the year ended December 31, 2024.</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sublicense under the Revised Agreement terminates upon the expiraton of all underlying patent rights. Also, JT and Torii may terminate the Revised Agreement with or without cause upon at least six months prior writen notce to us. Additonally, either party may terminate the Revised Agreement for cause upon 60 days’ prior writen notce afer the breach of any uncured material provision of the Revised Agreement, or afer certain insolvency events.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License Agreement with Panion &amp; BF Biotech, Inc.</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April 17, 2019, we and Panion entered into a second amended and restated license agreement, or the </w:t>
      </w:r>
      <w:r>
        <w:rPr>
          <w:rFonts w:ascii="Calibri" w:cs="Calibri" w:eastAsia="Calibri" w:hAnsi="Calibri"/>
          <w:sz w:val="18"/>
          <w:szCs w:val="18"/>
          <w:u w:val="single" w:color="auto"/>
          <w:color w:val="auto"/>
        </w:rPr>
        <w:t>Panion Amended License Agreement</w:t>
      </w:r>
      <w:r>
        <w:rPr>
          <w:rFonts w:ascii="Calibri" w:cs="Calibri" w:eastAsia="Calibri" w:hAnsi="Calibri"/>
          <w:sz w:val="18"/>
          <w:szCs w:val="18"/>
          <w:color w:val="auto"/>
        </w:rPr>
        <w:t xml:space="preserve">, which amended and restated in full the license agreement between us and Panion. The Panion Amended License Agreement provides us with an exclusive license under Panion-owned know-how and patents covering the rights to sublicense, develop, make, use, sell, ofer for sale, import and export ferric citrate worldwide, excluding certain Asian Pacifc countes, or the </w:t>
      </w:r>
      <w:r>
        <w:rPr>
          <w:rFonts w:ascii="Calibri" w:cs="Calibri" w:eastAsia="Calibri" w:hAnsi="Calibri"/>
          <w:sz w:val="18"/>
          <w:szCs w:val="18"/>
          <w:u w:val="single" w:color="auto"/>
          <w:color w:val="auto"/>
        </w:rPr>
        <w:t>Licensor Territory</w:t>
      </w:r>
      <w:r>
        <w:rPr>
          <w:rFonts w:ascii="Calibri" w:cs="Calibri" w:eastAsia="Calibri" w:hAnsi="Calibri"/>
          <w:sz w:val="18"/>
          <w:szCs w:val="18"/>
          <w:color w:val="auto"/>
        </w:rPr>
        <w:t>. The Panion Amended License Agreement also provides Panion with an exclusive license under our patents covering the rights to sublicense (with our writen consent), develop, make, use, sell, ofer for sale, import and export ferric citrate in certain countries in the Licensor Territory. Consistent with the Panion License Agreement, under the Panion Amended License Agreement, Panion is eligible to receive from us or any sublicensee royalty payments based on a mid-single digit percentage of net sales of ferric citrate in our licensed territories. We are eligible to receive from Panion or any sublicensee royalty payments based on a mid-single digit percentage of net sales of ferric citrate in Panion’s licensed territories.</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Panion Amended License Agreement terminates upon the expiraton of each of our and Panion’s obligatons to pay royaltes thereunder. In additon, we may terminate the Panion Amended License Agreement (i) in its entrety or (ii) with respect to one or more countries in our licensed territory, in either case upon 90 days’ notce. We and Panion also each have the right to terminate the Panion Amended License Agreement upon the occurrence of a material breach of the Panion Amended License Agreement by the other party, subject to certain cure provisions, or certain insolvency events. The Panion Amended License Agreement also provides that, on a country-by-country basis, during the term and untl the second anniversary of the expiraton of our or Panion’s obligaton, as applicable, to pay royaltes in a country in which such party has ferric citrate for sale on the date of such expiraton, neither the other party nor its afliates will, directly or indirectly, sell, distribute or otherwise commercialize or supply or cause to supply ferric citrate to a third party for sale or distributon in such country. In additon, the Panion Amended License Agreement provides that each of us and Panion has the right, but not the obligaton, to conduct litgaton against any infringer of certain patent rights under the Panion Amended License Agreement in certain territories.</w:t>
      </w:r>
    </w:p>
    <w:p>
      <w:pPr>
        <w:spacing w:after="0" w:line="116"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During the year ended December 31, 2024, we recorded $9.1 million in royaltes due to Panion relatng to the sales of Auryxia in the U.S. and JT and Torii net sales of Riona in Japan.</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Cyclerion Therapeutcs License Agreement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June 2021, we entered into a license agreement, or the </w:t>
      </w:r>
      <w:r>
        <w:rPr>
          <w:rFonts w:ascii="Calibri" w:cs="Calibri" w:eastAsia="Calibri" w:hAnsi="Calibri"/>
          <w:sz w:val="18"/>
          <w:szCs w:val="18"/>
          <w:u w:val="single" w:color="auto"/>
          <w:color w:val="auto"/>
        </w:rPr>
        <w:t>Cyclerion Agreement</w:t>
      </w:r>
      <w:r>
        <w:rPr>
          <w:rFonts w:ascii="Calibri" w:cs="Calibri" w:eastAsia="Calibri" w:hAnsi="Calibri"/>
          <w:sz w:val="18"/>
          <w:szCs w:val="18"/>
          <w:color w:val="auto"/>
        </w:rPr>
        <w:t>, with Cyclerion under which Cyclerion granted us an exclusive global license under certain intellectual property rights to research, develop and commercialize praliciguat, an investgatonal oral sGC stmulator.</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Under the terms of the Cyclerion Agreement, we paid $3.0 million in cash upfront to Cyclerion and expensed the amount to research and development, or </w:t>
      </w:r>
      <w:r>
        <w:rPr>
          <w:rFonts w:ascii="Calibri" w:cs="Calibri" w:eastAsia="Calibri" w:hAnsi="Calibri"/>
          <w:sz w:val="18"/>
          <w:szCs w:val="18"/>
          <w:u w:val="single" w:color="auto"/>
          <w:color w:val="auto"/>
        </w:rPr>
        <w:t>R&amp;D</w:t>
      </w:r>
      <w:r>
        <w:rPr>
          <w:rFonts w:ascii="Calibri" w:cs="Calibri" w:eastAsia="Calibri" w:hAnsi="Calibri"/>
          <w:sz w:val="18"/>
          <w:szCs w:val="18"/>
          <w:color w:val="auto"/>
        </w:rPr>
        <w:t>, expense in June 2021. In December 2024, we amended the terms of the Cyclerion Agreement, pursuant to which we paid an additonal $1.25 million in cash upfront to Cyclerion and we will pay an additonal $0.5 million to Cyclerion on or before September 30, 2025. In additon, the partes agreed to the reducton of certain development milestones and the increase of certain royalty rates on net sales and sublicense income. We now control all</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0" w:name="page21"/>
    <w:bookmarkEnd w:id="20"/>
    <w:p>
      <w:pPr>
        <w:spacing w:after="0"/>
        <w:rPr>
          <w:sz w:val="20"/>
          <w:szCs w:val="20"/>
          <w:color w:val="auto"/>
        </w:rPr>
      </w:pPr>
      <w:r>
        <w:rPr>
          <w:rFonts w:ascii="MS PGothic" w:cs="MS PGothic" w:eastAsia="MS PGothic" w:hAnsi="MS PGothic"/>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334" w:lineRule="auto"/>
        <w:rPr>
          <w:sz w:val="20"/>
          <w:szCs w:val="20"/>
          <w:color w:val="auto"/>
        </w:rPr>
      </w:pPr>
      <w:r>
        <w:rPr>
          <w:rFonts w:ascii="MS PGothic" w:cs="MS PGothic" w:eastAsia="MS PGothic" w:hAnsi="MS PGothic"/>
          <w:sz w:val="18"/>
          <w:szCs w:val="18"/>
          <w:color w:val="auto"/>
        </w:rPr>
        <w:t>clinical and commercial manufacturing of praliciguat, which will be conducted by a third party manufacturer. We will also control patent prosecuton and pay intellectual property costs startng April 1, 2025.</w:t>
      </w:r>
    </w:p>
    <w:p>
      <w:pPr>
        <w:spacing w:after="0" w:line="39" w:lineRule="exact"/>
        <w:rPr>
          <w:sz w:val="20"/>
          <w:szCs w:val="20"/>
          <w:color w:val="auto"/>
        </w:rPr>
      </w:pPr>
    </w:p>
    <w:p>
      <w:pPr>
        <w:jc w:val="both"/>
        <w:spacing w:after="0" w:line="303" w:lineRule="auto"/>
        <w:rPr>
          <w:sz w:val="20"/>
          <w:szCs w:val="20"/>
          <w:color w:val="auto"/>
        </w:rPr>
      </w:pPr>
      <w:r>
        <w:rPr>
          <w:rFonts w:ascii="MS PGothic" w:cs="MS PGothic" w:eastAsia="MS PGothic" w:hAnsi="MS PGothic"/>
          <w:sz w:val="18"/>
          <w:szCs w:val="18"/>
          <w:color w:val="auto"/>
        </w:rPr>
        <w:t>In additon, Cyclerion is eligible to receive up to an aggregate of $198.5 million from us in specifed development and regulatory milestone payments on a product-by-product basis. Cyclerion will also be eligible to receive specifed commercial milestones as well as tered royaltes ranging from a mid-single-digit percentage to twenty percent of net sales, on a product-by-product basis, and subject to reducton upon expiraton of patent rights or the launch of a generic product in the territory.</w:t>
      </w:r>
    </w:p>
    <w:p>
      <w:pPr>
        <w:spacing w:after="0" w:line="63" w:lineRule="exact"/>
        <w:rPr>
          <w:sz w:val="20"/>
          <w:szCs w:val="20"/>
          <w:color w:val="auto"/>
        </w:rPr>
      </w:pPr>
    </w:p>
    <w:p>
      <w:pPr>
        <w:jc w:val="both"/>
        <w:spacing w:after="0" w:line="320" w:lineRule="auto"/>
        <w:rPr>
          <w:sz w:val="20"/>
          <w:szCs w:val="20"/>
          <w:color w:val="auto"/>
        </w:rPr>
      </w:pPr>
      <w:r>
        <w:rPr>
          <w:rFonts w:ascii="MS PGothic" w:cs="MS PGothic" w:eastAsia="MS PGothic" w:hAnsi="MS PGothic"/>
          <w:sz w:val="17"/>
          <w:szCs w:val="17"/>
          <w:color w:val="auto"/>
        </w:rPr>
        <w:t>Unless earlier terminated, the Cyclerion Agreement will expire on a product-by-product and country-by-country basis upon the expiraton of the last royalty term, which ends upon the longest of (i) the expiraton of the patents licensed under the Cyclerion Agreement, (ii) the expiraton of regulatory exclusivity for such product and (iii) 10 years from frst commercial sale of such product. We may terminate the Cyclerion Agreement in its entrety or only with respect to a partcular licensed compound or product upon 180 days' prior writen notce to Cyclerion. We and Cyclerion also have customary terminaton rights, subject to a cure period, in the event of the other party’s material breach of the Cyclerion Agreement or in the event of certain additonal circumstances.</w:t>
      </w:r>
    </w:p>
    <w:p>
      <w:pPr>
        <w:spacing w:after="0" w:line="5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Intellectual Property</w:t>
      </w:r>
    </w:p>
    <w:p>
      <w:pPr>
        <w:spacing w:after="0" w:line="109" w:lineRule="exact"/>
        <w:rPr>
          <w:sz w:val="20"/>
          <w:szCs w:val="20"/>
          <w:color w:val="auto"/>
        </w:rPr>
      </w:pPr>
    </w:p>
    <w:p>
      <w:pPr>
        <w:jc w:val="both"/>
        <w:spacing w:after="0" w:line="320" w:lineRule="auto"/>
        <w:rPr>
          <w:sz w:val="20"/>
          <w:szCs w:val="20"/>
          <w:color w:val="auto"/>
        </w:rPr>
      </w:pPr>
      <w:r>
        <w:rPr>
          <w:rFonts w:ascii="MS PGothic" w:cs="MS PGothic" w:eastAsia="MS PGothic" w:hAnsi="MS PGothic"/>
          <w:sz w:val="17"/>
          <w:szCs w:val="17"/>
          <w:color w:val="auto"/>
        </w:rPr>
        <w:t>The proprietary nature of, and protecton for, our products, product candidates and our discovery programs, processes and know-how are important to our business. Our policy is to seek to protect our proprietary positon by, among other methods, fling patent applicatons related to our proprietary technology, inventons and improvements that are important to the development and implementaton of our business. We also rely on know-how, contnuing technological innovaton and potental in-licensing opportunites to develop and maintain our proprietary positon. Additonally, we may beneft from a variety of statutory frameworks in the U.S., Europe and other countries that provide periods of non-patent-based exclusivity for qualifying molecules.</w:t>
      </w:r>
    </w:p>
    <w:p>
      <w:pPr>
        <w:spacing w:after="0" w:line="55" w:lineRule="exact"/>
        <w:rPr>
          <w:sz w:val="20"/>
          <w:szCs w:val="20"/>
          <w:color w:val="auto"/>
        </w:rPr>
      </w:pPr>
    </w:p>
    <w:p>
      <w:pPr>
        <w:jc w:val="both"/>
        <w:spacing w:after="0" w:line="293" w:lineRule="auto"/>
        <w:rPr>
          <w:sz w:val="20"/>
          <w:szCs w:val="20"/>
          <w:color w:val="auto"/>
        </w:rPr>
      </w:pPr>
      <w:r>
        <w:rPr>
          <w:rFonts w:ascii="MS PGothic" w:cs="MS PGothic" w:eastAsia="MS PGothic" w:hAnsi="MS PGothic"/>
          <w:sz w:val="18"/>
          <w:szCs w:val="18"/>
          <w:color w:val="auto"/>
        </w:rPr>
        <w:t>Our commercial success will depend in part on obtaining and maintaining patent protecton of our current products as well as current and future product candidates, methods of their use and the methods used to develop and manufacture them, as well as successfully defending these patents against third-party challenges. Our ability to stop third partes from making, using, selling, ofering to sell or importng our products depends on the extent to which we have rights under valid and enforceable patents that cover these actvites. We cannot be sure that patents will be granted with respect to any of our pending patent applicatons or with respect to any patent applicatons fled by us in the future, nor can we be sure that any of our existng patents or any patents that may be granted to us in the future will be commercially useful in protectng our product candidates, discovery programs and processes. Even once patents successfully issue, third partes may challenge the validity, enforceability, inventorship, or scope thereof, which may result in such patents being narrowed, invalidated or held not infringed or unenforceable. For this and more comprehensive risks related to our intellectual property, please see “Risk Factors—Risks Related to our Intellectual Property” in Part I, Item 1A. Risk Factors.</w:t>
      </w:r>
    </w:p>
    <w:p>
      <w:pPr>
        <w:spacing w:after="0" w:line="74" w:lineRule="exact"/>
        <w:rPr>
          <w:sz w:val="20"/>
          <w:szCs w:val="20"/>
          <w:color w:val="auto"/>
        </w:rPr>
      </w:pPr>
    </w:p>
    <w:p>
      <w:pPr>
        <w:jc w:val="both"/>
        <w:spacing w:after="0" w:line="312" w:lineRule="auto"/>
        <w:rPr>
          <w:sz w:val="20"/>
          <w:szCs w:val="20"/>
          <w:color w:val="auto"/>
        </w:rPr>
      </w:pPr>
      <w:r>
        <w:rPr>
          <w:rFonts w:ascii="MS PGothic" w:cs="MS PGothic" w:eastAsia="MS PGothic" w:hAnsi="MS PGothic"/>
          <w:sz w:val="17"/>
          <w:szCs w:val="17"/>
          <w:color w:val="auto"/>
        </w:rPr>
        <w:t xml:space="preserve">Individual patents extend for varying periods of tme depending on the date of fling of the patent applicaton or the date of patent issuance and the legal term of patents in the countries in which they are obtained. Generally, patents issued from applicatons fled in the U.S. are efectve for 20 years from the earliest fling date of a U.S. non-provisional applicaton or an internatonal applicaton fled under the Patent Cooperaton Treaty. In additon, in certain instances, a patent term can be extended to recapture a porton of the term efectvely lost as a result of the FDA regulatory review period, however, the restoraton period cannot be longer than fve years and the total patent term including the restoraton period must not exceed 14 years following FDA approval. The duraton of foreign patents varies in accordance with provisions of applicable local law, but typically is also 20 years from the earliest internatonal fling date. Patent term recapture for loss of term as a result of the regulatory review period is available in some foreign jurisdictons. In the U.S., a patent’s term may also be lengthened by patent term adjustment, which compensates a patentee for administratve delays by the U.S. Patent and Trademark Ofce, or </w:t>
      </w:r>
      <w:r>
        <w:rPr>
          <w:rFonts w:ascii="MS PGothic" w:cs="MS PGothic" w:eastAsia="MS PGothic" w:hAnsi="MS PGothic"/>
          <w:sz w:val="17"/>
          <w:szCs w:val="17"/>
          <w:u w:val="single" w:color="auto"/>
          <w:color w:val="auto"/>
        </w:rPr>
        <w:t>USPTO</w:t>
      </w:r>
      <w:r>
        <w:rPr>
          <w:rFonts w:ascii="MS PGothic" w:cs="MS PGothic" w:eastAsia="MS PGothic" w:hAnsi="MS PGothic"/>
          <w:sz w:val="17"/>
          <w:szCs w:val="17"/>
          <w:color w:val="auto"/>
        </w:rPr>
        <w:t>, in grantng a patent, or may be shortened if a patent is terminally disclaimed over an earlier‑fled patent.</w:t>
      </w:r>
    </w:p>
    <w:p>
      <w:pPr>
        <w:spacing w:after="0" w:line="63" w:lineRule="exact"/>
        <w:rPr>
          <w:sz w:val="20"/>
          <w:szCs w:val="20"/>
          <w:color w:val="auto"/>
        </w:rPr>
      </w:pPr>
    </w:p>
    <w:p>
      <w:pPr>
        <w:jc w:val="both"/>
        <w:spacing w:after="0" w:line="293" w:lineRule="auto"/>
        <w:rPr>
          <w:sz w:val="20"/>
          <w:szCs w:val="20"/>
          <w:color w:val="auto"/>
        </w:rPr>
      </w:pPr>
      <w:r>
        <w:rPr>
          <w:rFonts w:ascii="MS PGothic" w:cs="MS PGothic" w:eastAsia="MS PGothic" w:hAnsi="MS PGothic"/>
          <w:sz w:val="18"/>
          <w:szCs w:val="18"/>
          <w:color w:val="auto"/>
        </w:rPr>
        <w:t>Changes in either the patent laws or interpretatons of patent laws in the U.S. and other countries can diminish our ability to protect our inventons and enforce our intellectual property rights. Accordingly, we cannot predict the breadth or enforceability of claims that may be granted in our patents or in third-party patents. The biotechnology and pharmaceutcal industries are characterized by extensive litgaton regarding patents and other intellectual property rights. Our ability to maintain and solidify our proprietary positon for our drugs and technology will depend on our success in obtaining efectve claims and enforcing those claims once granted. We do not know whether any of the patent applicatons that we may fle or license from third partes will result in the issuance of any patents. The issued patents that we own or license or may receive or acquire in the future may be challenged, invalidated or circumvented, and the rights granted under any issued patents may not provide us with sufcient protecton or compettve advantages against compettors with similar technology. Furthermore, our compettors may be able to independently develop and commercialize similar drugs or duplicate our technology, business model or strategy without infringing our patents. Because of the extensive tme required for clinical</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MS PGothic" w:cs="MS PGothic" w:eastAsia="MS PGothic" w:hAnsi="MS PGothic"/>
          <w:sz w:val="18"/>
          <w:szCs w:val="18"/>
          <w:color w:val="auto"/>
        </w:rPr>
        <w:t>Akebia Therapeutcs, Inc. | Form 10-K |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development and regulatory review of a drug we may develop, it is possible that, before any of our drugs can be commercialized, any related patent may expire or remain in force for only a short period following commercializaton, thereby reducing any advantage of any such patent. The patent positons for vadadustat and Auryxia are summarized below.</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Vadadustat Patent Portolio</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hold 19 issued patents covering the compositon of mater, polymorph, method of treatng anemia, pharmaceutcal compositons of vadadustat, and processes for manufacturing vadadustat in the U.S. and additonal patents issued or pending in many other major jurisdictons worldwide, including Europe, Japan, China, South Korea, Brazil, Mexico, Russia, Israel and India. The expected expiraton dates for these patents are between 2027 and 2039 plus any extensions or adjustments of term available under natonal law.</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also hold patents and patent applicatons directed to startng materials and intermediates in the processes for manufacturing vadadustat, dosing regimens, formulatons and various other aspects relatng to the treatment of anemia using vadadustat that are expected to expire between 2032 and 2042 exclusive of possible patent term extensions or adjustments.</w:t>
      </w:r>
    </w:p>
    <w:p>
      <w:pPr>
        <w:spacing w:after="0" w:line="111" w:lineRule="exact"/>
        <w:rPr>
          <w:sz w:val="20"/>
          <w:szCs w:val="20"/>
          <w:color w:val="auto"/>
        </w:rPr>
      </w:pPr>
    </w:p>
    <w:p>
      <w:pPr>
        <w:ind w:right="540"/>
        <w:spacing w:after="0" w:line="348" w:lineRule="auto"/>
        <w:rPr>
          <w:sz w:val="20"/>
          <w:szCs w:val="20"/>
          <w:color w:val="auto"/>
        </w:rPr>
      </w:pPr>
      <w:r>
        <w:rPr>
          <w:rFonts w:ascii="Calibri" w:cs="Calibri" w:eastAsia="Calibri" w:hAnsi="Calibri"/>
          <w:sz w:val="18"/>
          <w:szCs w:val="18"/>
          <w:color w:val="auto"/>
        </w:rPr>
        <w:t xml:space="preserve">We have ongoing oppositon proceedings relatng to vadadustat. See Part I, Item 3. Legal Proceedings for further informaton relatng to these maters. </w:t>
      </w:r>
      <w:r>
        <w:rPr>
          <w:rFonts w:ascii="Calibri" w:cs="Calibri" w:eastAsia="Calibri" w:hAnsi="Calibri"/>
          <w:sz w:val="18"/>
          <w:szCs w:val="18"/>
          <w:i w:val="1"/>
          <w:iCs w:val="1"/>
          <w:color w:val="auto"/>
        </w:rPr>
        <w:t>Auryxia Patent Portolio</w:t>
      </w:r>
    </w:p>
    <w:p>
      <w:pPr>
        <w:spacing w:after="0" w:line="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Pursuant to the Panion Amended License Agreement, we have the exclusive rights under a series of patents and patent applicatons to commercialize Auryxia worldwide, excluding certain Asian-Pacifc countries. These patents and patent applicatons include claims directed to compositons of mater, pharmaceutcal compositons, methods of treatment, as well as methods for the manufacture of Auryxia.</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patent rights currently include 3 issued patents that are listed in the Orange Book covering the compositon of mater, method of treatng hyperphosphatemia, and pharmaceutcal compositons of Auryxia. The expected expiraton dates for these patents are between 2026 and 2030 plus any additonal patent term extensions that may be available.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Pursuant to the sublicense with our Japanese partner, Japan Tobacco Inc., or </w:t>
      </w:r>
      <w:r>
        <w:rPr>
          <w:rFonts w:ascii="Calibri" w:cs="Calibri" w:eastAsia="Calibri" w:hAnsi="Calibri"/>
          <w:sz w:val="18"/>
          <w:szCs w:val="18"/>
          <w:u w:val="single" w:color="auto"/>
          <w:color w:val="auto"/>
        </w:rPr>
        <w:t>JT</w:t>
      </w:r>
      <w:r>
        <w:rPr>
          <w:rFonts w:ascii="Calibri" w:cs="Calibri" w:eastAsia="Calibri" w:hAnsi="Calibri"/>
          <w:sz w:val="18"/>
          <w:szCs w:val="18"/>
          <w:color w:val="auto"/>
        </w:rPr>
        <w:t xml:space="preserve">, and its subsidiary, Torii Pharmaceutcal Co. Ltd., or </w:t>
      </w:r>
      <w:r>
        <w:rPr>
          <w:rFonts w:ascii="Calibri" w:cs="Calibri" w:eastAsia="Calibri" w:hAnsi="Calibri"/>
          <w:sz w:val="18"/>
          <w:szCs w:val="18"/>
          <w:u w:val="single" w:color="auto"/>
          <w:color w:val="auto"/>
        </w:rPr>
        <w:t>Torii</w:t>
      </w:r>
      <w:r>
        <w:rPr>
          <w:rFonts w:ascii="Calibri" w:cs="Calibri" w:eastAsia="Calibri" w:hAnsi="Calibri"/>
          <w:sz w:val="18"/>
          <w:szCs w:val="18"/>
          <w:color w:val="auto"/>
        </w:rPr>
        <w:t>, we have exclusively sublicensed certain Japanese patent rights to JT and Torii. These sublicensed rights include several Japanese patents and pending patent applicatons with compositon of mater claims, methods of synthesizing claims, and methods of use claims covering Riona, the trade name under which JT and Torii market ferric citrate in Japan. The expected expiraton dates for these patents and pending patent applicatons are between 2025 and 2028. To date, to our knowledge, no contested proceedings or third-party claims have been lodged against any of these Japanese patents.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Pursuant to the sublicense with our European partner, Averoa, we have exclusively sublicensed certain European patent rights to Averoa. These sublicensed rights include several European patents and pending patent applicatons with compositon of mater claims and methods of use claims covering ferric citrate. The expected expiraton dates for these patents and pending patent applicatons are between 2024 and 2036. To date, to our knowledge, no contested proceedings or third-party claims have been lodged against any of these European patents.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received Paragraph IV certfcaton notce leters regarding abbreviated new drug applicatons, or </w:t>
      </w:r>
      <w:r>
        <w:rPr>
          <w:rFonts w:ascii="Calibri" w:cs="Calibri" w:eastAsia="Calibri" w:hAnsi="Calibri"/>
          <w:sz w:val="18"/>
          <w:szCs w:val="18"/>
          <w:u w:val="single" w:color="auto"/>
          <w:color w:val="auto"/>
        </w:rPr>
        <w:t>ANDAs</w:t>
      </w:r>
      <w:r>
        <w:rPr>
          <w:rFonts w:ascii="Calibri" w:cs="Calibri" w:eastAsia="Calibri" w:hAnsi="Calibri"/>
          <w:sz w:val="18"/>
          <w:szCs w:val="18"/>
          <w:color w:val="auto"/>
        </w:rPr>
        <w:t>, submited to the FDA by third partes requestng approval for generic versions of Auryxia tablets (210 mg ferric iron per tablet). In response we fled certain complaints for patent infringement against six third partes, and have entered into setlement and license agreements with each of the six ANDA flers. Each setlement agreement granted the defendants a license to market a generic version of Auryxia in the U.S. beginning on March 20, 2025 (subject to FDA approval).</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Other Intellectual Property Rights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depend upon trademarks, trade secrets, know-how and contnuing technological advances to develop and maintain our compettve positon. To maintain the confdentality of trade secrets and proprietary informaton, we require our employees, scientfc advisors, consultants and collaborators, upon commencement of a relatonship with us, to execute confdentality agreements and, in the case of partes other than our research and development collaborators, to agree to assign their inventons to us. These agreements are designed to protect our proprietary informaton and to grant us ownership of technologies that are developed in connecton with their relatonship with us. These agreements may not, however, provide protecton for our trade secrets in the event of unauthorized disclosure of such informaton.</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additon to patent protecton, we may utlize orphan drug regulatons, pediatric exclusivity or other provisions of the Food, Drug and Cosmetc Act of 1938, as amended, or </w:t>
      </w:r>
      <w:r>
        <w:rPr>
          <w:rFonts w:ascii="Calibri" w:cs="Calibri" w:eastAsia="Calibri" w:hAnsi="Calibri"/>
          <w:sz w:val="18"/>
          <w:szCs w:val="18"/>
          <w:u w:val="single" w:color="auto"/>
          <w:color w:val="auto"/>
        </w:rPr>
        <w:t>FDCA</w:t>
      </w:r>
      <w:r>
        <w:rPr>
          <w:rFonts w:ascii="Calibri" w:cs="Calibri" w:eastAsia="Calibri" w:hAnsi="Calibri"/>
          <w:sz w:val="18"/>
          <w:szCs w:val="18"/>
          <w:color w:val="auto"/>
        </w:rPr>
        <w:t>, such as new chemical entty exclusivity or new formulaton exclusivity, to provide market exclusivity for a product candidate. In the U.S., the FDA has the authority to grant additonal data protecton for approved drugs where the sponsor conducts specifed testng in pediatric or adolescent populatons. If granted, this pediatric exclusivity may provide an additonal six months which are added to the term of data protecton as well as to the term of a relevant patent, to the extent these protectons have not already expired. We may also seek to utlize market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2" w:name="page23"/>
    <w:bookmarkEnd w:id="2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exclusivites in other territories. We cannot assure you that our products or any product candidates we may acquire or in-license, will obtain such orphan drug designaton, pediatric exclusivity, new chemical entty exclusivity or any other market exclusivity in the U.S., EU, or any other territory, or that we will be the frst to receive the respectve regulatory approval for such drugs so as to be eligible for any market exclusivity protecton.</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Know-How</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to patents, we rely upon unpatented know-how and contnuing technological innovaton to develop and maintain our compettve positon. We seek to protect our proprietary informaton, in part, using confdentality agreements with our collaborators, employees and consultants and inventon assignment provisions in the confdentality agreements with our employees. These agreements are designed to protect our proprietary informaton and, in the case of the inventon assignment provisions, to grant us ownership of technologies that are developed by our employees. These agreements may be breached, and we may not have adequate remedies for any breach.</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 the extent that our commercial partners, collaborators, employees and consultants use intellectual property owned by others in their work for us, disputes may arise as to the rights in related or resultng know-how and inventons.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The Hatch-Waxman Act</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Orange Book Listng</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seeking approval for a drug through an NDA, sponsors are required to list with the FDA each patent whose claims cover the sponsor’s product. Upon approval of a drug, each of the patents listed in the applicaton for the drug is then published in the FDA’s Approved Drug Products with Therapeutc Equivalence Evaluatons, commonly known as the Orange Book. Drugs listed in the Orange Book can, in turn, be cited by potental generic compettors in support of approval of an ANDA. An ANDA provides for marketng of a drug product that has the same actve ingredients in the same strengths and dosage form as the listed drug and has been shown through bioequivalence testng to be therapeutcally equivalent to the listed drug. Other than the requirement for bioequivalence testng, ANDA sponsors are usually not required to conduct, or submit results of, nonclinical or clinical tests to prove the safety or efectveness of their drug product. Drugs approved in this way are commonly referred to as “generic equivalents” to the listed drug and can ofen be substtuted by pharmacists under prescriptons writen for the original listed drug.</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ANDA sponsor is required to make certain certfcatons to the FDA concerning any patents listed for the approved product in the FDA’s Orange Book. Specifcally, the sponsor must certfy that: (i) the required patent informaton has not been fled; (ii) the listed patent has expired; (iii) the listed patent has not expired but will expire on a partcular date and approval is sought afer patent expiraton; or (iv) the listed patent is invalid or will not be infringed by the new product. The ANDA sponsor may also elect to submit a Secton viii statement, certfying that its proposed ANDA label does not contain or carve out any language regarding the patented method-of-use, rather than certfy to a listed method-of-use patent.</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If the sponsor does not challenge the listed patents, the ANDA will not be approved untl all the listed patents claiming the referenced product have expired. A certfcaton that the new product will not infringe the already approved product’s listed patents, or that such patents are invalid, is called a Paragraph IV certfcaton. If the ANDA sponsor has provided a Paragraph IV certfcaton to the FDA, the sponsor must also send notce of the Paragraph IV certfcaton to the NDA and patent holders once the ANDA has been accepted for fling by the FDA. The NDA and patent holders may then initate a patent infringement lawsuit in response to the notce of the Paragraph IV certfcaton. The fling of a patent infringement lawsuit within 45 days of the receipt of a Paragraph IV certfcaton automatcally prevents the FDA from approving the ANDA untl the earlier of 30 months from receiving the Paragraph IV certfcaton, expiraton of the patent, setlement of the lawsuit or a decision in the infringement case that is favorable to the ANDA sponsor. Also, the ANDA will not be approved untl any applicable non-patent exclusivity listed in the Orange Book for the referenced product has expired.</w:t>
      </w:r>
    </w:p>
    <w:p>
      <w:pPr>
        <w:spacing w:after="0" w:line="11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Exclusivity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Upon NDA approval of a new chemical entty, or </w:t>
      </w:r>
      <w:r>
        <w:rPr>
          <w:rFonts w:ascii="Calibri" w:cs="Calibri" w:eastAsia="Calibri" w:hAnsi="Calibri"/>
          <w:sz w:val="18"/>
          <w:szCs w:val="18"/>
          <w:u w:val="single" w:color="auto"/>
          <w:color w:val="auto"/>
        </w:rPr>
        <w:t>NCE</w:t>
      </w:r>
      <w:r>
        <w:rPr>
          <w:rFonts w:ascii="Calibri" w:cs="Calibri" w:eastAsia="Calibri" w:hAnsi="Calibri"/>
          <w:sz w:val="18"/>
          <w:szCs w:val="18"/>
          <w:color w:val="auto"/>
        </w:rPr>
        <w:t>, which is a drug that contains an actve moiety that has not been approved by the FDA in any other NDA, that drug receives fve years of marketng exclusivity during which tme the FDA cannot accept any ANDA seeking approval of a generic version of that drug. Certain changes to a drug, such as the additon of a new indicaton to the package insert, are associated with a three-year period of exclusivity during which the FDA cannot approve an ANDA for a generic drug that includes such changes.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An ANDA may be submited one year before NCE exclusivity expires if a Paragraph IV certfcaton is fled. If there is no listed patent in the Orange Book, there may not be a Paragraph IV certfcaton, and, thus, no ANDA may be fled before the expiraton of the exclusivity period.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3" w:name="page24"/>
    <w:bookmarkEnd w:id="2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Patent Term Extension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Afer NDA approval, owners of relevant drug patents or their agents may apply for up to a fve-year patent extension for delays caused by FDA regulatory review. The allowable patent term extension is calculated as half of the drug’s testng phase which is the tme between Investgatonal New Drug applicaton, or </w:t>
      </w:r>
      <w:r>
        <w:rPr>
          <w:rFonts w:ascii="Calibri" w:cs="Calibri" w:eastAsia="Calibri" w:hAnsi="Calibri"/>
          <w:sz w:val="18"/>
          <w:szCs w:val="18"/>
          <w:u w:val="single" w:color="auto"/>
          <w:color w:val="auto"/>
        </w:rPr>
        <w:t>IND submission</w:t>
      </w:r>
      <w:r>
        <w:rPr>
          <w:rFonts w:ascii="Calibri" w:cs="Calibri" w:eastAsia="Calibri" w:hAnsi="Calibri"/>
          <w:sz w:val="18"/>
          <w:szCs w:val="18"/>
          <w:color w:val="auto"/>
        </w:rPr>
        <w:t>, and NDA submission, and all of the review phase, which is the tme between NDA submission and approval, up to a maximum of fve years. The tme can be shortened if the FDA determines that the sponsor did not pursue approval with due diligence. The total patent term afer the extension may not exceed 14 years from the date of approval by virtue of the patent term extension.</w:t>
      </w:r>
    </w:p>
    <w:p>
      <w:pPr>
        <w:spacing w:after="0" w:line="99" w:lineRule="exact"/>
        <w:rPr>
          <w:sz w:val="20"/>
          <w:szCs w:val="20"/>
          <w:color w:val="auto"/>
        </w:rPr>
      </w:pPr>
    </w:p>
    <w:p>
      <w:pPr>
        <w:jc w:val="both"/>
        <w:spacing w:after="0" w:line="236" w:lineRule="auto"/>
        <w:rPr>
          <w:sz w:val="20"/>
          <w:szCs w:val="20"/>
          <w:color w:val="auto"/>
        </w:rPr>
      </w:pPr>
      <w:r>
        <w:rPr>
          <w:rFonts w:ascii="Calibri" w:cs="Calibri" w:eastAsia="Calibri" w:hAnsi="Calibri"/>
          <w:sz w:val="17"/>
          <w:szCs w:val="17"/>
          <w:color w:val="auto"/>
        </w:rPr>
        <w:t>We have fled applicatons under the patent term extension provisions of 35 U.S.C. § 156 for U.S. Patent Nos. 8,299,298, 8,093,423, 7,767,851 and 8,338,642 each of which covers Auryxia for delays caused by FDA regulatory review. We have also fled patent term extension applicatons for U.S. Patent Nos. 7,811,595, 8,343,952, 8,323,671, 8,598,210, and 8,940,773 each of which covers Vafseo for delays caused by FDA regulatory review. If granted, we can utlize the patent term extension on one of the Auryxia patents and one of the Vafseo patents, however, we cannot assure you that we can obtain any extension of the term of these patents. Upon expiraton of these patents, compettors who obtain the requisite regulatory approval may potentally ofer products with the same compositon and/or method of use as our product, so long as the compettors do not infringe any other patents that we may own or license.</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patents that might expire before a determinaton regarding patent term extension, the patent owner or its agent may request an interim patent term extension. An interim patent extension increases the patent term by one year and may be renewed up to four tmes. For each interim patent extension granted, the post-approval patent extension is reduced by one year. The director of the USPTO must determine that approval of the drug covered by the patent for which a patent extension is being sought is likely.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certain jurisdictons outside of the U.S., including Japan, have provisions that provide for patent term extension. In October 2014, following the regulatory approval of Riona in Japan, the Japan Patent ofce granted the patent term extensions fled by our sublicensee, JT, for Japanese Patents Nos. 4964585 and 4173553. As a result of the extension of patent term, Japanese Patent No. 4173553 expired in November 2022 and Japanese Patent No. 4964585 will expire in November 2025 for hyperphosphatemia and December 2028 for iron defciency anemia. We also sought and obtained patent term extension for Japanese Patent Nos. 5113838, 6290781, and 6612479 following regulatory approval of Vafseo in Japan. As a result of the extension of patent term, Japanese Patent No. 5113838 will expire in June 2032, Japanese Patent No. 6290781 will expire in October 2034, and Japanese Patent No. 6612479 will expire in January 2035.</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the future, if and when our product candidates receive approval by the FDA or foreign regulatory authorites, we expect to apply for patent term extensions on issued patents covering those drugs, depending upon the length of the clinical trials for each product candidate and other factors. There can be no assurance that any of our pending patent applicatons will issue or that we will beneft from any patent term extension or favorable adjustment to the term of any of our patents.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Competton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pharmaceutcal and biotechnology industries are highly compettve, with several key players ofering innovatve solutons. The growing prevalence of CKD and the increasing demand for beter anemia management solutons contnue to drive competton innovaton in this market. Our compettors include public and private pharmaceutcal and biotechnology companies, academic insttutons, and public and private research insttutons. In additon, companies that are actve in diferent but related felds represent substantal competton for us. Mergers and acquisitons in the pharmaceutcal and biotechnology industries may result in a larger concentraton of resources among a smaller number of our compettors. These organizatons, as well as others in the broader industries, compete with us to recruit qualifed personnel, atract partners for joint ventures or other collaboratons and license compettve technologies to ours.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While major pharmaceutcal companies are contnuously investng in R&amp;D and have signifcantly greater capital resources, larger R&amp;D teams and facilites and more experience in drug development, regulaton, manufacturing and marketng than we do; we believe our novel HIF-PH inhibitors have the potental to revolutonize the treatment landscape in multple areas, including anemia due to CKD. To compete successfully in these industries, we must contnue to identfy novel and unique drugs or treatment methods and complete the development of those drugs as treatments before our compettors.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Vadadustat Compettors</w:t>
      </w:r>
    </w:p>
    <w:p>
      <w:pPr>
        <w:spacing w:after="0" w:line="109"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Drugs that may compete with Vafseo include Epogen® (epoetn alfa) and Aranesp® (darbepoetn alfa), both commercialized by Amgen, Procrit® (epoetn alfa) and Eprex® (epoetn alfa), commercialized by Johnson &amp; Johnson in the U.S. and Europe, respectvely, and Mircera® (methoxy PEG-epoetn beta), commercialized by CSL Vifor in the U.S. and Roche Holding Ltd. outside of the U.S. and Evrenzo</w:t>
      </w:r>
      <w:r>
        <w:rPr>
          <w:rFonts w:ascii="Calibri" w:cs="Calibri" w:eastAsia="Calibri" w:hAnsi="Calibri"/>
          <w:sz w:val="23"/>
          <w:szCs w:val="23"/>
          <w:color w:val="auto"/>
          <w:vertAlign w:val="superscript"/>
        </w:rPr>
        <w:t>(R)</w:t>
      </w:r>
      <w:r>
        <w:rPr>
          <w:rFonts w:ascii="Calibri" w:cs="Calibri" w:eastAsia="Calibri" w:hAnsi="Calibri"/>
          <w:sz w:val="18"/>
          <w:szCs w:val="18"/>
          <w:color w:val="auto"/>
        </w:rPr>
        <w:t xml:space="preserve"> (roxadustat) in Europe commercialized by Astellas Pharma Inc., or </w:t>
      </w:r>
      <w:r>
        <w:rPr>
          <w:rFonts w:ascii="Calibri" w:cs="Calibri" w:eastAsia="Calibri" w:hAnsi="Calibri"/>
          <w:sz w:val="18"/>
          <w:szCs w:val="18"/>
          <w:u w:val="single" w:color="auto"/>
          <w:color w:val="auto"/>
        </w:rPr>
        <w:t>Astellas</w:t>
      </w:r>
      <w:r>
        <w:rPr>
          <w:rFonts w:ascii="Calibri" w:cs="Calibri" w:eastAsia="Calibri" w:hAnsi="Calibri"/>
          <w:sz w:val="18"/>
          <w:szCs w:val="18"/>
          <w:color w:val="auto"/>
        </w:rPr>
        <w:t>, Eporato® (epoetn theta) in Europe commercialized by Teva Pharmaceutcals Ltd., Silapo® (epoetn zeta) in Europe commercialized by Stada Arzneimitel AG, Epoetn Alfa Hexal® (epoetn alfa) in Europe commercialized by Hexal AG, Binocrit® (epoetn alfa-biosimilar) in Europe commercialized by Sandoz, and NeoRecormon® (epoetn beta) in Europe commercialized by Roche.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4" w:name="page25"/>
    <w:bookmarkEnd w:id="2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 xml:space="preserve">We and our partners may also face competton from potental new anemia therapies. There are several other HIF-PH inhibitor product candidates in various stages of development for anemia indicatons in territories outside of the U.S. that may be in direct competton with Vafseo. These candidates are being developed by companies such as JT and Bayer HealthCare AG, or </w:t>
      </w:r>
      <w:r>
        <w:rPr>
          <w:rFonts w:ascii="Calibri" w:cs="Calibri" w:eastAsia="Calibri" w:hAnsi="Calibri"/>
          <w:sz w:val="17"/>
          <w:szCs w:val="17"/>
          <w:u w:val="single" w:color="auto"/>
          <w:color w:val="auto"/>
        </w:rPr>
        <w:t>Bayer</w:t>
      </w:r>
      <w:r>
        <w:rPr>
          <w:rFonts w:ascii="Calibri" w:cs="Calibri" w:eastAsia="Calibri" w:hAnsi="Calibri"/>
          <w:sz w:val="17"/>
          <w:szCs w:val="17"/>
          <w:color w:val="auto"/>
        </w:rPr>
        <w:t>. In Europe, roxadustat is approved for the treatment of anemia in patents with CKD.</w:t>
      </w:r>
    </w:p>
    <w:p>
      <w:pPr>
        <w:spacing w:after="0" w:line="9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Furthermore, certain companies are developing new therapies for renal-related diseases that potentally could reduce injectable ESA utlizaton and thus limit the market potental for Vafseo. Other new therapies are in development for treatng conditons, including renal anemia, that may impact the market for anemia-targeted treatment.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Japan, vadadustat is sold under the name Vafseo, which is approved for patents with CKD, including both DD-CKD and NDD-CKD, and competes with roxadustat, daprodustat and enarodustat. Roxadustat is approved for the treatment of DD-CKD patents and NDD-CKD patents. In additon, daprodustat, GSK’s product candidate, and enarodustat, JT’s product candidate, are approved in Japan for the treatment of anemia due to CKD, and molidustat, Bayer HealthCare AG's product, is approved in Japan for the treatment of renal anemia. In China, roxadustat is commercialized for the treatment of anemia due to CKD in DD-CKD patents and for the treatment of anemia due to CKD in NDD-CKD patents.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A biosimilar is a biologic product that is licensed based on demonstratng that it is highly similar to an existng, FDA-approved branded biologic product (i.e., a reference biologic product). The patents for the existng, branded biologic product must expire in a given market before biosimilars may enter that market without the risk of being sued for patent infringement. In additon, an applicaton for a biosimilar product can only be approved by the FDA 12 years afer the existng, branded product was licensed under a Biologics License Applicaton, or </w:t>
      </w:r>
      <w:r>
        <w:rPr>
          <w:rFonts w:ascii="Calibri" w:cs="Calibri" w:eastAsia="Calibri" w:hAnsi="Calibri"/>
          <w:sz w:val="18"/>
          <w:szCs w:val="18"/>
          <w:u w:val="single" w:color="auto"/>
          <w:color w:val="auto"/>
        </w:rPr>
        <w:t>BLA</w:t>
      </w:r>
      <w:r>
        <w:rPr>
          <w:rFonts w:ascii="Calibri" w:cs="Calibri" w:eastAsia="Calibri" w:hAnsi="Calibri"/>
          <w:sz w:val="18"/>
          <w:szCs w:val="18"/>
          <w:color w:val="auto"/>
        </w:rPr>
        <w:t>. The patents for epoetn alfa, an injectable ESA, expired in 2004 in the EU, and the remaining patents expired between 2012 and 2016 in the U.S. Because injectable ESAs are biologic products, introducing biosimilars into the injectable ESA market in the U.S. will consttute additonal competton for Vafseo. In the U.S., Pfzer’s biosimilar version of injectable ESAs, Retacrit® (epoetn alfa-epbx), was approved by the FDA in May 2018 and launched in November 2018 and several biosimilar versions of injectable ESAs are available for sale in the EU.</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Furthermore, Vafseo's commercial opportunites may be reduced or eliminated if our compettors develop and market products that are less expensive, more efectve, safer or ofer greater patent convenience than Vafseo.</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Auryxia Compettors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Hyperphosphatemia Competton</w:t>
      </w:r>
    </w:p>
    <w:p>
      <w:pPr>
        <w:spacing w:after="0" w:line="109"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 xml:space="preserve">Auryxia is competng in the hyperphosphatemia market in the U.S. with other FDA-approved phosphate binders such as Renagel® (sevelamer hydrochloride) and Renvela® (sevelamer carbonate), both marketed by Sanof, PhosLo® and Phoslyra® (calcium acetate), marketed by Fresenius Medical Care North America, Fosrenol® (lanthanum carbonate), marketed by Shire Pharmaceutcals Group plc, and Velphoro® (sucroferric oxyhydroxide), marketed by Fresenius Medical Care North America, as well as over-the-counter calcium carbonate products such as TUMS® and metal-based optons such as aluminum, lanthanum and magnesium. Most of the phosphate binders listed above are now also available in generic forms. In additon, other agents are in development, including OPKO Health Inc.’s Alpharen™ Tablets (fermagate tablets) and Unicycive’s RENAZORB™ (lanthanum dioxycarbonate) or could otherwise enter the market that may impact the market for Auryxia. In October 2023, the FDA approved XPHOZAH® (tenapanor), a phosphate absorpton inhibitor that is marketed by Ardelyx, Inc., or </w:t>
      </w:r>
      <w:r>
        <w:rPr>
          <w:rFonts w:ascii="Calibri" w:cs="Calibri" w:eastAsia="Calibri" w:hAnsi="Calibri"/>
          <w:sz w:val="17"/>
          <w:szCs w:val="17"/>
          <w:u w:val="single" w:color="auto"/>
          <w:color w:val="auto"/>
        </w:rPr>
        <w:t>Ardelyx</w:t>
      </w:r>
      <w:r>
        <w:rPr>
          <w:rFonts w:ascii="Calibri" w:cs="Calibri" w:eastAsia="Calibri" w:hAnsi="Calibri"/>
          <w:sz w:val="17"/>
          <w:szCs w:val="17"/>
          <w:color w:val="auto"/>
        </w:rPr>
        <w:t xml:space="preserve"> and indicated to reduce serum phosphorus in adults with CKD on dialysis as add-on therapy in patents who have an inadequate response to phosphate binders or who are intolerant of any dose of phosphate binder therapy, which may adversely impact the market for Auryxia.</w:t>
      </w:r>
    </w:p>
    <w:p>
      <w:pPr>
        <w:spacing w:after="0" w:line="102"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Iron Defciency Anemia Competton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Auryxia is competng in the IDA market in the U.S. with over-the-counter oral iron, ferrous sulfate, other prescripton oral iron formulatons, including ferrous gluconate, ferrous fumerate, and polysaccharide iron complex, and intravenous iron formulatons, including Feraheme® (ferumoxytol injecton), Venofer® (iron sucrose injecton), Ferrlicit® (sodium ferric gluconate complex in sucrose injecton), Injectafer® (ferric carboxymaltose injecton), and Triferic® (ferric pyrophosphate citrate). In additon, other new therapies for the treatment of IDA may impact the market for Auryxia, such as Shield Therapeutc’ plc's Feraccru® (ferric maltol), which is available in Europe for the treatment of IDA, and Accrufer® (ferric maltol), which was launched in the U.S. for the treatment of IDA in July 2021.</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Japan, our Japanese sublicensee, JT and Torii, commercialize Riona (ferric citrate hydrate). In the hyperphosphatemia market, Riona competes with Fosrenol® (lanthanum carbonate hydrate) marketed by Bayer Yakuhin Ltd., generic lanthanum carbonate hydrate products, and Phozevel® (tenapor hydrochloride) marketed by Kyowa Kirin Co., Ltd. In the IDA market in Japan, Riona competes with Ferromia® (sodium ferrous citrate) marketed by Alfresa Pharma Corporaton and Fero-Gradumet® (dried ferrous sulfate) marketed by Viatris Inc.</w:t>
      </w:r>
    </w:p>
    <w:p>
      <w:pPr>
        <w:spacing w:after="0" w:line="11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Furthermore, Auryxia’s commercial opportunites may be reduced or eliminated if our compettors develop and market products that are less expensive, more efectve, safer or ofer greater patent convenience than Auryxia. Other companies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5" w:name="page26"/>
    <w:bookmarkEnd w:id="2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have product candidates in various stages of preclinical or clinical development to treat diseases and complicatons of the diseases for which we are marketng Auryxia. We currently have exclusive rights under a series of patents and patent applicatons to commercialize Auryxia in the U.S. that protect us from generic drug competton untl March 20, 2025. Following LoE, in March 2025, the tming and number of generic versions of Auryxia that enter the market will afect our revenue from Auryxia. We and our licensors, Panion, and, as applicable, Dr. Hsu, entered into setlement agreements with all of the third partes who submited Paragraph IV certfcaton notce leters regarding ANDAs submited to the FDA, pursuant to which we granted licenses to market a generic version of Auryxia in the U.S. beginning on March 20, 2025 (subject to FDA approval).</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February 5, 2025, we entered into an Authorized Generic Distributon and Supply Agreement with Mylan Pharmaceutcals, Inc. pursuant to which, on or afer March 20, 2025, they will sell an authorized generic version of Auryxia. We believe the dynamics of Auryxia reimbursement being included in the ESRD bundle under Medicare Part B could result in slower revenue decline afer the LoE date than in other LoE situatons, but the impact of LoE on future Auryxia revenues will depend on many factors, including our ability to maintain contracts with dialysis organizatons, the tming and number of generics and the pricing of generics and other products on the market that compete with Auryxia.</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Government Regulaton and Product Approvals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Government authorites in the U.S., at the federal, state and local level, and in other countries and jurisdictons, including the EU, extensively regulate, among other things, the research, development, testng, manufacture, quality control, approval, packaging, storage, recordkeeping, labeling, advertsing, promoton, distributon, marketng, sales, pricing, reimbursement, post-approval monitoring and reportng, and import and export of pharmaceutcal products. The processes for obtaining regulatory approvals in the U.S. and in foreign countries and jurisdictons, along with subsequent compliance with applicable statutes and regulatons and other regulatory requirements, require the expenditure of substantal tme and fnancial resources.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Review and Approval of Drug Products in the U.S.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In the U.S., the FDA approves and regulates drugs under the FDCA and applicable implementng regulatons and guidance.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product candidates must be approved by the FDA for therapeutc indicatons before we or our partners are able to market them in the U.S. A company, insttuton, or organizaton which takes responsibility for the initaton and management of a clinical development program for such products is referred to as a sponsor. A sponsor seeking approval to market and distribute a new drug product in the U.S. must typically undertake the following:</w:t>
      </w:r>
    </w:p>
    <w:p>
      <w:pPr>
        <w:spacing w:after="0" w:line="111" w:lineRule="exact"/>
        <w:rPr>
          <w:sz w:val="20"/>
          <w:szCs w:val="20"/>
          <w:color w:val="auto"/>
        </w:rPr>
      </w:pPr>
    </w:p>
    <w:p>
      <w:pPr>
        <w:jc w:val="both"/>
        <w:ind w:left="1300" w:hanging="644"/>
        <w:spacing w:after="0" w:line="235" w:lineRule="auto"/>
        <w:tabs>
          <w:tab w:leader="none" w:pos="1293"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 xml:space="preserve">completon of preclinical laboratory tests, animal studies and formulaton studies in compliance with the FDA’s good laboratory practce, or </w:t>
      </w:r>
      <w:r>
        <w:rPr>
          <w:rFonts w:ascii="Calibri" w:cs="Calibri" w:eastAsia="Calibri" w:hAnsi="Calibri"/>
          <w:sz w:val="18"/>
          <w:szCs w:val="18"/>
          <w:u w:val="single" w:color="auto"/>
          <w:color w:val="auto"/>
        </w:rPr>
        <w:t>GLP</w:t>
      </w:r>
      <w:r>
        <w:rPr>
          <w:rFonts w:ascii="Calibri" w:cs="Calibri" w:eastAsia="Calibri" w:hAnsi="Calibri"/>
          <w:sz w:val="18"/>
          <w:szCs w:val="18"/>
          <w:color w:val="auto"/>
        </w:rPr>
        <w:t xml:space="preserve">, regulatons and consistent with Internatonal Council for Harmonisaton of Technical Requirements for Pharmaceutcals for Human Use, or </w:t>
      </w:r>
      <w:r>
        <w:rPr>
          <w:rFonts w:ascii="Calibri" w:cs="Calibri" w:eastAsia="Calibri" w:hAnsi="Calibri"/>
          <w:sz w:val="18"/>
          <w:szCs w:val="18"/>
          <w:u w:val="single" w:color="auto"/>
          <w:color w:val="auto"/>
        </w:rPr>
        <w:t>ICH,</w:t>
      </w:r>
      <w:r>
        <w:rPr>
          <w:rFonts w:ascii="Calibri" w:cs="Calibri" w:eastAsia="Calibri" w:hAnsi="Calibri"/>
          <w:sz w:val="18"/>
          <w:szCs w:val="18"/>
          <w:color w:val="auto"/>
        </w:rPr>
        <w:t xml:space="preserve"> requirements;</w:t>
      </w:r>
    </w:p>
    <w:p>
      <w:pPr>
        <w:spacing w:after="0" w:line="56" w:lineRule="exact"/>
        <w:rPr>
          <w:rFonts w:ascii="Calibri" w:cs="Calibri" w:eastAsia="Calibri" w:hAnsi="Calibri"/>
          <w:sz w:val="18"/>
          <w:szCs w:val="18"/>
          <w:color w:val="auto"/>
        </w:rPr>
      </w:pPr>
    </w:p>
    <w:p>
      <w:pPr>
        <w:ind w:left="1300" w:hanging="644"/>
        <w:spacing w:after="0" w:line="235" w:lineRule="auto"/>
        <w:tabs>
          <w:tab w:leader="none" w:pos="1293"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design of a clinical protocol and submission to the FDA of an IND for human clinical testng, which must be reviewed and allowed by the FDA before human clinical trials may begin;</w:t>
      </w:r>
    </w:p>
    <w:p>
      <w:pPr>
        <w:spacing w:after="0" w:line="55" w:lineRule="exact"/>
        <w:rPr>
          <w:rFonts w:ascii="Calibri" w:cs="Calibri" w:eastAsia="Calibri" w:hAnsi="Calibri"/>
          <w:sz w:val="18"/>
          <w:szCs w:val="18"/>
          <w:color w:val="auto"/>
        </w:rPr>
      </w:pPr>
    </w:p>
    <w:p>
      <w:pPr>
        <w:ind w:left="1300" w:right="20" w:hanging="644"/>
        <w:spacing w:after="0" w:line="235" w:lineRule="auto"/>
        <w:tabs>
          <w:tab w:leader="none" w:pos="1293"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 xml:space="preserve">approval by an independent local or central insttutonal review board, or </w:t>
      </w:r>
      <w:r>
        <w:rPr>
          <w:rFonts w:ascii="Calibri" w:cs="Calibri" w:eastAsia="Calibri" w:hAnsi="Calibri"/>
          <w:sz w:val="18"/>
          <w:szCs w:val="18"/>
          <w:u w:val="single" w:color="auto"/>
          <w:color w:val="auto"/>
        </w:rPr>
        <w:t>IRB</w:t>
      </w:r>
      <w:r>
        <w:rPr>
          <w:rFonts w:ascii="Calibri" w:cs="Calibri" w:eastAsia="Calibri" w:hAnsi="Calibri"/>
          <w:sz w:val="18"/>
          <w:szCs w:val="18"/>
          <w:color w:val="auto"/>
        </w:rPr>
        <w:t>, representng each clinical site before each clinical trial may be initated;</w:t>
      </w:r>
    </w:p>
    <w:p>
      <w:pPr>
        <w:spacing w:after="0" w:line="55" w:lineRule="exact"/>
        <w:rPr>
          <w:rFonts w:ascii="Calibri" w:cs="Calibri" w:eastAsia="Calibri" w:hAnsi="Calibri"/>
          <w:sz w:val="18"/>
          <w:szCs w:val="18"/>
          <w:color w:val="auto"/>
        </w:rPr>
      </w:pPr>
    </w:p>
    <w:p>
      <w:pPr>
        <w:ind w:left="1300" w:hanging="644"/>
        <w:spacing w:after="0" w:line="235" w:lineRule="auto"/>
        <w:tabs>
          <w:tab w:leader="none" w:pos="1293"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 xml:space="preserve">performance of adequate and well-controlled human clinical trials in accordance with good clinical practces, or </w:t>
      </w:r>
      <w:r>
        <w:rPr>
          <w:rFonts w:ascii="Calibri" w:cs="Calibri" w:eastAsia="Calibri" w:hAnsi="Calibri"/>
          <w:sz w:val="18"/>
          <w:szCs w:val="18"/>
          <w:u w:val="single" w:color="auto"/>
          <w:color w:val="auto"/>
        </w:rPr>
        <w:t>GCP</w:t>
      </w:r>
      <w:r>
        <w:rPr>
          <w:rFonts w:ascii="Calibri" w:cs="Calibri" w:eastAsia="Calibri" w:hAnsi="Calibri"/>
          <w:sz w:val="18"/>
          <w:szCs w:val="18"/>
          <w:color w:val="auto"/>
        </w:rPr>
        <w:t>, to establish the safety and efcacy of the proposed product candidate for each indicaton;</w:t>
      </w:r>
    </w:p>
    <w:p>
      <w:pPr>
        <w:spacing w:after="0" w:line="50" w:lineRule="exact"/>
        <w:rPr>
          <w:rFonts w:ascii="Calibri" w:cs="Calibri" w:eastAsia="Calibri" w:hAnsi="Calibri"/>
          <w:sz w:val="18"/>
          <w:szCs w:val="18"/>
          <w:color w:val="auto"/>
        </w:rPr>
      </w:pPr>
    </w:p>
    <w:p>
      <w:pPr>
        <w:ind w:left="1300" w:hanging="644"/>
        <w:spacing w:after="0"/>
        <w:tabs>
          <w:tab w:leader="none" w:pos="130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preparaton and submission to the FDA of an NDA requestng marketng for one or more proposed indicatons;</w:t>
      </w:r>
    </w:p>
    <w:p>
      <w:pPr>
        <w:spacing w:after="0" w:line="50" w:lineRule="exact"/>
        <w:rPr>
          <w:rFonts w:ascii="Calibri" w:cs="Calibri" w:eastAsia="Calibri" w:hAnsi="Calibri"/>
          <w:sz w:val="18"/>
          <w:szCs w:val="18"/>
          <w:color w:val="auto"/>
        </w:rPr>
      </w:pPr>
    </w:p>
    <w:p>
      <w:pPr>
        <w:ind w:left="1300" w:hanging="644"/>
        <w:spacing w:after="0"/>
        <w:tabs>
          <w:tab w:leader="none" w:pos="130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review of the product candidate by an FDA advisory commitee, where appropriate or if applicable;</w:t>
      </w:r>
    </w:p>
    <w:p>
      <w:pPr>
        <w:spacing w:after="0" w:line="55" w:lineRule="exact"/>
        <w:rPr>
          <w:rFonts w:ascii="Calibri" w:cs="Calibri" w:eastAsia="Calibri" w:hAnsi="Calibri"/>
          <w:sz w:val="18"/>
          <w:szCs w:val="18"/>
          <w:color w:val="auto"/>
        </w:rPr>
      </w:pPr>
    </w:p>
    <w:p>
      <w:pPr>
        <w:jc w:val="both"/>
        <w:ind w:left="1300" w:hanging="644"/>
        <w:spacing w:after="0" w:line="235" w:lineRule="auto"/>
        <w:tabs>
          <w:tab w:leader="none" w:pos="1293"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satsfactory completon of one or more FDA inspectons of the manufacturing facility or facilites at which the product candidate, or components thereof, are produced to assess compliance with cGMP requirements and to assure that the facilites, methods and controls are adequate to preserve the product candidate’s identty, strength, quality and purity;</w:t>
      </w:r>
    </w:p>
    <w:p>
      <w:pPr>
        <w:spacing w:after="0" w:line="56" w:lineRule="exact"/>
        <w:rPr>
          <w:rFonts w:ascii="Calibri" w:cs="Calibri" w:eastAsia="Calibri" w:hAnsi="Calibri"/>
          <w:sz w:val="18"/>
          <w:szCs w:val="18"/>
          <w:color w:val="auto"/>
        </w:rPr>
      </w:pPr>
    </w:p>
    <w:p>
      <w:pPr>
        <w:jc w:val="both"/>
        <w:ind w:left="1300" w:hanging="644"/>
        <w:spacing w:after="0" w:line="235" w:lineRule="auto"/>
        <w:tabs>
          <w:tab w:leader="none" w:pos="1293"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 xml:space="preserve">satsfactory completon of FDA audits of clinical trial sites and records to assure compliance with GCPs and good practces, or </w:t>
      </w:r>
      <w:r>
        <w:rPr>
          <w:rFonts w:ascii="Calibri" w:cs="Calibri" w:eastAsia="Calibri" w:hAnsi="Calibri"/>
          <w:sz w:val="18"/>
          <w:szCs w:val="18"/>
          <w:u w:val="single" w:color="auto"/>
          <w:color w:val="auto"/>
        </w:rPr>
        <w:t>GxPs</w:t>
      </w:r>
      <w:r>
        <w:rPr>
          <w:rFonts w:ascii="Calibri" w:cs="Calibri" w:eastAsia="Calibri" w:hAnsi="Calibri"/>
          <w:sz w:val="18"/>
          <w:szCs w:val="18"/>
          <w:color w:val="auto"/>
        </w:rPr>
        <w:t>, the integrity of the clinical data and that adequate controls and oversight are in place regarding manufacturing, clinical trials, pharmacovigilance, safety, data management, vendor oversight, collecton and reportng of serious adverse events and other actvites;</w:t>
      </w:r>
    </w:p>
    <w:p>
      <w:pPr>
        <w:spacing w:after="0" w:line="36" w:lineRule="exact"/>
        <w:rPr>
          <w:rFonts w:ascii="Calibri" w:cs="Calibri" w:eastAsia="Calibri" w:hAnsi="Calibri"/>
          <w:sz w:val="18"/>
          <w:szCs w:val="18"/>
          <w:color w:val="auto"/>
        </w:rPr>
      </w:pPr>
    </w:p>
    <w:p>
      <w:pPr>
        <w:ind w:left="1300" w:hanging="644"/>
        <w:spacing w:after="0"/>
        <w:tabs>
          <w:tab w:leader="none" w:pos="130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 xml:space="preserve">payment of user fees pursuant to the Prescripton Drug User Fee Act, or </w:t>
      </w:r>
      <w:r>
        <w:rPr>
          <w:rFonts w:ascii="Calibri" w:cs="Calibri" w:eastAsia="Calibri" w:hAnsi="Calibri"/>
          <w:sz w:val="18"/>
          <w:szCs w:val="18"/>
          <w:u w:val="single" w:color="auto"/>
          <w:color w:val="auto"/>
        </w:rPr>
        <w:t>PDUFA</w:t>
      </w:r>
      <w:r>
        <w:rPr>
          <w:rFonts w:ascii="Calibri" w:cs="Calibri" w:eastAsia="Calibri" w:hAnsi="Calibri"/>
          <w:sz w:val="21"/>
          <w:szCs w:val="21"/>
          <w:color w:val="auto"/>
        </w:rPr>
        <w:t>;</w:t>
      </w:r>
    </w:p>
    <w:p>
      <w:pPr>
        <w:spacing w:after="0" w:line="55" w:lineRule="exact"/>
        <w:rPr>
          <w:rFonts w:ascii="Calibri" w:cs="Calibri" w:eastAsia="Calibri" w:hAnsi="Calibri"/>
          <w:sz w:val="18"/>
          <w:szCs w:val="18"/>
          <w:color w:val="auto"/>
        </w:rPr>
      </w:pPr>
    </w:p>
    <w:p>
      <w:pPr>
        <w:ind w:left="1300" w:hanging="644"/>
        <w:spacing w:after="0"/>
        <w:tabs>
          <w:tab w:leader="none" w:pos="1300" w:val="left"/>
        </w:tabs>
        <w:numPr>
          <w:ilvl w:val="0"/>
          <w:numId w:val="14"/>
        </w:numPr>
        <w:rPr>
          <w:rFonts w:ascii="Calibri" w:cs="Calibri" w:eastAsia="Calibri" w:hAnsi="Calibri"/>
          <w:sz w:val="18"/>
          <w:szCs w:val="18"/>
          <w:color w:val="auto"/>
        </w:rPr>
      </w:pPr>
      <w:r>
        <w:rPr>
          <w:rFonts w:ascii="Calibri" w:cs="Calibri" w:eastAsia="Calibri" w:hAnsi="Calibri"/>
          <w:sz w:val="18"/>
          <w:szCs w:val="18"/>
          <w:color w:val="auto"/>
        </w:rPr>
        <w:t>approval of an NDA for the new drug product authorizing marketng for partcular indicatons in the U.S.; and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6" w:name="page27"/>
    <w:bookmarkEnd w:id="2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300" w:hanging="644"/>
        <w:spacing w:after="0" w:line="258" w:lineRule="auto"/>
        <w:tabs>
          <w:tab w:leader="none" w:pos="1293" w:val="left"/>
        </w:tabs>
        <w:numPr>
          <w:ilvl w:val="0"/>
          <w:numId w:val="15"/>
        </w:numPr>
        <w:rPr>
          <w:rFonts w:ascii="Calibri" w:cs="Calibri" w:eastAsia="Calibri" w:hAnsi="Calibri"/>
          <w:sz w:val="17"/>
          <w:szCs w:val="17"/>
          <w:color w:val="auto"/>
        </w:rPr>
      </w:pPr>
      <w:r>
        <w:rPr>
          <w:rFonts w:ascii="Calibri" w:cs="Calibri" w:eastAsia="Calibri" w:hAnsi="Calibri"/>
          <w:sz w:val="17"/>
          <w:szCs w:val="17"/>
          <w:color w:val="auto"/>
        </w:rPr>
        <w:t xml:space="preserve">compliance with any post-approval requirements and/or commitments, including the potental requirement to implement a risk evaluaton and mitgaton strategy, or </w:t>
      </w:r>
      <w:r>
        <w:rPr>
          <w:rFonts w:ascii="Calibri" w:cs="Calibri" w:eastAsia="Calibri" w:hAnsi="Calibri"/>
          <w:sz w:val="17"/>
          <w:szCs w:val="17"/>
          <w:u w:val="single" w:color="auto"/>
          <w:color w:val="auto"/>
        </w:rPr>
        <w:t>REMS</w:t>
      </w:r>
      <w:r>
        <w:rPr>
          <w:rFonts w:ascii="Calibri" w:cs="Calibri" w:eastAsia="Calibri" w:hAnsi="Calibri"/>
          <w:sz w:val="17"/>
          <w:szCs w:val="17"/>
          <w:color w:val="auto"/>
        </w:rPr>
        <w:t xml:space="preserve">, and potentally post-market requirement, or </w:t>
      </w:r>
      <w:r>
        <w:rPr>
          <w:rFonts w:ascii="Calibri" w:cs="Calibri" w:eastAsia="Calibri" w:hAnsi="Calibri"/>
          <w:sz w:val="17"/>
          <w:szCs w:val="17"/>
          <w:u w:val="single" w:color="auto"/>
          <w:color w:val="auto"/>
        </w:rPr>
        <w:t>PMR</w:t>
      </w:r>
      <w:r>
        <w:rPr>
          <w:rFonts w:ascii="Calibri" w:cs="Calibri" w:eastAsia="Calibri" w:hAnsi="Calibri"/>
          <w:sz w:val="17"/>
          <w:szCs w:val="17"/>
          <w:color w:val="auto"/>
        </w:rPr>
        <w:t xml:space="preserve">, and post-market commitment, or </w:t>
      </w:r>
      <w:r>
        <w:rPr>
          <w:rFonts w:ascii="Calibri" w:cs="Calibri" w:eastAsia="Calibri" w:hAnsi="Calibri"/>
          <w:sz w:val="17"/>
          <w:szCs w:val="17"/>
          <w:u w:val="single" w:color="auto"/>
          <w:color w:val="auto"/>
        </w:rPr>
        <w:t>PMC</w:t>
      </w:r>
      <w:r>
        <w:rPr>
          <w:rFonts w:ascii="Calibri" w:cs="Calibri" w:eastAsia="Calibri" w:hAnsi="Calibri"/>
          <w:sz w:val="17"/>
          <w:szCs w:val="17"/>
          <w:color w:val="auto"/>
        </w:rPr>
        <w:t>, studies.</w:t>
      </w:r>
    </w:p>
    <w:p>
      <w:pPr>
        <w:spacing w:after="0" w:line="8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Preclinical Tests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Before a sponsor begins testng a product candidate with potental therapeutc value in humans, the product candidate enters the preclinical testng stage. Preclinical tests include laboratory evaluatons of product chemistry, formulaton and stability, as well as other studies to evaluate, among other things, the toxicity of the product candidate. The conduct of the preclinical tests and formulaton of the compounds for testng must comply with federal regulatons and requirements, including GLP regulatons and standards and the U.S. Department of Agriculture’s Animal Welfare Act, if applicable. The results of the preclinical tests, together with manufacturing informaton and analytcal data, are submited to the FDA as part of an IND and are generally referred to as IND-enabling studies. Some long-term preclinical testng, such as animal tests of reproductve adverse events and carcinogenicity, and long-term toxicity studies, may contnue afer the IND is submited.</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The IND and IRB Processes</w:t>
      </w:r>
    </w:p>
    <w:p>
      <w:pPr>
        <w:spacing w:after="0" w:line="10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Clinical trials involve the administraton of the investgatonal product to human patents under the supervision of qualifed investgators in accordance with GCP requirements, which include, among other things, the requirement that all research patents provide their voluntary informed consent in writng before their partcipaton in any clinical trial. Clinical trials are conducted under writen study protocols detailing, among other things, the inclusion and exclusion criteria, the objectves of the study, the parameters to be used in monitoring safety and the efectveness criteria to be evaluated. In support of a request for an IND, sponsors must submit a protocol for each clinical trial and any subsequent protocol amendments must be submited to the FDA as part of the IND.</w:t>
      </w:r>
    </w:p>
    <w:p>
      <w:pPr>
        <w:spacing w:after="0" w:line="10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An IND is an exempton from the FDCA that allows an unapproved drug to be shipped through interstate commerce for use in an investgatonal clinical trial and a request for FDA authorizaton to administer an investgatonal drug to humans. Such authorizaton must be obtained prior to interstate shipment and administraton of any new drug that is not the subject of an approved NDA. In additon to reviewing an IND to assure the safety and rights of patents, the FDA also focuses on the quality of the investgaton and whether it will be adequate to permit an evaluaton of the drug’s safety and efcacy. The results of the preclinical tests, together with manufacturing informaton, analytcal data, any available clinical data or literature and plans for clinical trials, among other things, are submited to the FDA as part of an IND. The FDA requires a 30-day waitng period afer the submission of each IND before clinical trials may begin. This waitng period is designed to allow the FDA to review the IND to determine whether human research patents will be exposed to unreasonable health risks. At any tme during this 30-day period, or thereafer, the FDA may raise concerns or questons about the conduct of the trials as outlined in the IND and impose a clinical hold or partal clinical hold or require that the sponsor amend the clinical protocol to include additonal safety measurements. In this case, the IND sponsor and the FDA must resolve any outstanding concerns before clinical trials can begin.</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Following commencement of a clinical trial under an IND, the FDA may also place a clinical hold or partal clinical hold on that trial. A clinical hold is an order issued by the FDA to the sponsor to delay a proposed clinical trial or to suspend an ongoing investgaton. A partal clinical hold is a delay or suspension of only part of the clinical work requested under the IND. For example, a partal clinical hold might state that a specifc protocol or part of a protocol may not proceed, while other parts of a protocol or other protocols may do so. No more than 30 days afer the impositon of a clinical hold or partal clinical hold, the FDA will provide the sponsor with a writen explanaton of the basis for the hold. Following the issuance of a clinical hold or partal clinical hold, a clinical trial may only resume once the FDA has notfed the sponsor that the investgaton may proceed. The FDA will base that determinaton on informaton provided by the sponsor correctng the defciencies previously cited or otherwise satsfying the FDA that the investgaton can proceed or recommence. Occasionally, clinical holds are imposed due to manufacturing issues that may present safety issues for the clinical trial subjects.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to the foregoing requirements related to the IND submission and ongoing review, an IRB representng each insttuton partcipatng in the clinical trial must review and approve the plan for any clinical trial before it commences at that insttuton, and the IRB must conduct a contnuing review and reapprove the trial at least annually. The IRB must review and approve, among other things, the trial protocol and informed consent informaton to be provided to study patents. An IRB must operate in compliance with FDA regulatons. An IRB can suspend or terminate approval of a clinical trial at its insttuton, or an insttuton it represents, if the clinical trial is not being conducted in accordance with the IRB’s requirements or if the product candidate has been associated with unexpected serious harm to patents.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Additonally, some trials are overseen by a Data Monitoring Commitee, which is an independent group of qualifed experts organized by the trial sponsor. This group provides authorizaton for whether or not a trial may move forward at designated check points based on access that only the group maintains to available data from the trial. Suspension or terminaton of development during any phase of clinical trials can occur if it is determined that the partcipants or patents are being exposed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7" w:name="page28"/>
    <w:bookmarkEnd w:id="2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 an unacceptable health risk. Other reasons for suspension or terminaton may be made by a sponsor based on evolving business objectves and/or compettve climate.</w:t>
      </w:r>
    </w:p>
    <w:p>
      <w:pPr>
        <w:spacing w:after="0" w:line="110"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A sponsor may choose, but is not required, to conduct a foreign clinical study under an IND. When a foreign clinical study is conducted under an IND, all IND requirements must be met unless waived by the FDA. When a foreign clinical study is not conducted under an IND, the sponsor must ensure that the study complies with certain regulatory requirements of the FDA in order to use the study as support for an IND or applicaton for marketng approval. Specifcally, the studies must be conducted in accordance with GCP, including undergoing review and receiving approval by an independent ethics commitee and seeking and receiving informed consent from subjects. GCP requirements encompass both ethical and data integrity standards for clinical trials. The FDA’s regulatons are intended to help ensure the protecton of human subjects enrolled in non-IND foreign clinical trials, as well as the quality and integrity of the resultng data. They further help ensure that non-IND foreign studies are conducted in a manner comparable to that required for IND studies.</w:t>
      </w:r>
    </w:p>
    <w:p>
      <w:pPr>
        <w:spacing w:after="0" w:line="9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Reportng Clinical Trial Results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Under the Public Health Service Act, or </w:t>
      </w:r>
      <w:r>
        <w:rPr>
          <w:rFonts w:ascii="Calibri" w:cs="Calibri" w:eastAsia="Calibri" w:hAnsi="Calibri"/>
          <w:sz w:val="18"/>
          <w:szCs w:val="18"/>
          <w:u w:val="single" w:color="auto"/>
          <w:color w:val="auto"/>
        </w:rPr>
        <w:t>PHSA</w:t>
      </w:r>
      <w:r>
        <w:rPr>
          <w:rFonts w:ascii="Calibri" w:cs="Calibri" w:eastAsia="Calibri" w:hAnsi="Calibri"/>
          <w:sz w:val="18"/>
          <w:szCs w:val="18"/>
          <w:color w:val="auto"/>
        </w:rPr>
        <w:t xml:space="preserve">, sponsors of certain clinical trials of certain FDA-regulated products, including prescripton drugs and biologics, are required to register and disclose certain clinical trial informaton on a public registry (clinicaltrials.gov) maintained by the U.S. Natonal Insttutes of Health, or </w:t>
      </w:r>
      <w:r>
        <w:rPr>
          <w:rFonts w:ascii="Calibri" w:cs="Calibri" w:eastAsia="Calibri" w:hAnsi="Calibri"/>
          <w:sz w:val="18"/>
          <w:szCs w:val="18"/>
          <w:u w:val="single" w:color="auto"/>
          <w:color w:val="auto"/>
        </w:rPr>
        <w:t>NIH</w:t>
      </w:r>
      <w:r>
        <w:rPr>
          <w:rFonts w:ascii="Calibri" w:cs="Calibri" w:eastAsia="Calibri" w:hAnsi="Calibri"/>
          <w:sz w:val="18"/>
          <w:szCs w:val="18"/>
          <w:color w:val="auto"/>
        </w:rPr>
        <w:t>. In partcular, informaton related to the product, patent populaton, phase of investgaton, study sites and investgators and other aspects of the clinical trial is made public as part of the registraton of the clinical trial. Although sponsors are also obligated to disclose the results of their clinical trials afer completon, disclosure of the results can be delayed in some cases for up to two years afer the date of completon of the trial. The NIH’s Final Rule on registraton and reportng requirements for clinical trials became efectve in 2017, and both NIH and the FDA have signaled the government’s willingness to begin enforcing those requirements against non-compliant clinical trial sponsors.</w:t>
      </w:r>
    </w:p>
    <w:p>
      <w:pPr>
        <w:spacing w:after="0" w:line="100" w:lineRule="exact"/>
        <w:rPr>
          <w:sz w:val="20"/>
          <w:szCs w:val="20"/>
          <w:color w:val="auto"/>
        </w:rPr>
      </w:pPr>
    </w:p>
    <w:p>
      <w:pPr>
        <w:jc w:val="both"/>
        <w:spacing w:after="0" w:line="223" w:lineRule="auto"/>
        <w:rPr>
          <w:sz w:val="20"/>
          <w:szCs w:val="20"/>
          <w:color w:val="auto"/>
        </w:rPr>
      </w:pPr>
      <w:r>
        <w:rPr>
          <w:rFonts w:ascii="Calibri" w:cs="Calibri" w:eastAsia="Calibri" w:hAnsi="Calibri"/>
          <w:sz w:val="18"/>
          <w:szCs w:val="18"/>
          <w:color w:val="auto"/>
        </w:rPr>
        <w:t xml:space="preserve">The PHSA grants the Secretary of the U.S. Department of Health and Human Services, or </w:t>
      </w:r>
      <w:r>
        <w:rPr>
          <w:rFonts w:ascii="Calibri" w:cs="Calibri" w:eastAsia="Calibri" w:hAnsi="Calibri"/>
          <w:sz w:val="18"/>
          <w:szCs w:val="18"/>
          <w:u w:val="single" w:color="auto"/>
          <w:color w:val="auto"/>
        </w:rPr>
        <w:t>HHS</w:t>
      </w:r>
      <w:r>
        <w:rPr>
          <w:rFonts w:ascii="Calibri" w:cs="Calibri" w:eastAsia="Calibri" w:hAnsi="Calibri"/>
          <w:sz w:val="18"/>
          <w:szCs w:val="18"/>
          <w:color w:val="auto"/>
        </w:rPr>
        <w:t>, the authority to issue a notce of noncompliance to a responsible party for failure to submit clinical trial informaton as required. The responsible party, however, is allowed 30 days to correct the noncompliance and submit the required informaton. As of December 19, 2024, the FDA has issued six notces of non-compliance, thereby signaling the government’s willingness to begin enforcing these requirements against non-compliant clinical trial sponsors. While these notces of non-compliance did not result in civil monetary penaltes, the failure to submit clinical trial informaton to clinical trials.gov is a prohibited act under the FDCA with violatons subject to potental civil monetary penaltes of up to $10,000 for each day the violaton contnues. Violatons may also result in injunctons and/or criminal prosecuton or disqualifcaton from federal grants.</w:t>
      </w:r>
    </w:p>
    <w:p>
      <w:pPr>
        <w:spacing w:after="0" w:line="9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Expanded Access to an Investgatonal Drug for Treatment Use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Expanded access, sometmes called “compassionate use,” is the use of investgatonal new drug products outside of clinical trials to treat patents with serious or immediately life-threatening diseases or conditons when there are no comparable or satsfactory alternatve treatment optons. The rules and regulatons related to expanded access are intended to improve access to investgatonal drugs for patents who may beneft from investgatonal therapies. FDA regulatons allow access to investgatonal drugs under an IND by the company or the treatng physician for treatment purposes on a case-by-case basis for: individual patents (single-patent IND applicatons for treatment in emergency setngs and non-emergency setngs); intermediate-size patent populatons; and larger populatons for use of the drug under a treatment protocol or Treatment IND Applicaton.</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There is no obligaton for a sponsor to make its investgatonal products available for expanded access; however, as required by amendments to the FDCA included in the 21st Century Cures Act passed in 2016, if a sponsor has a policy regarding how it responds to expanded access requests with respect to product candidates in development to treat serious diseases or conditons, it must make that policy publicly available. Sponsors are required to make such policies publicly available upon the earlier of initaton of a Phase 2 or Phase 3 trial for a covered investgatonal product; or 15 days afer the investgatonal product receives designaton from the FDA as a breakthrough therapy, fast track product, or regeneratve medicine advanced therapy.</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May 30, 2018, the Right to Try Act was signed into law. The law, among other things, provides a federal framework for certain patents to access certain investgatonal new drug products that have completed a Phase I clinical trial and that are undergoing investgaton for FDA approval. Under certain circumstances, eligible patents can seek treatment without enrolling in clinical trials and without obtaining FDA permission under the FDA expanded access program. There is no obligaton for a drug manufacturer to make its product candidates available to eligible patents as a result of the Right to Try Act, but the manufacturer must develop an internal policy and respond to patent requests according to that policy.</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Human Clinical Trials in Support of an NDA</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Clinical trials involve the administraton of the investgatonal product to human patents under the supervision of qualifed investgators in accordance with GCP requirements, which include, among other things, the requirement that all research</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8" w:name="page29"/>
    <w:bookmarkEnd w:id="2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patents provide their informed consent in writng before their partcipaton in any clinical trial. Clinical trials are conducted under writen study protocols detailing, among other things, the inclusion and exclusion criteria, the objectves of the study, the parameters to be used in monitoring safety and the efectveness criteria to be evaluated.</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Human clinical trials are typically conducted in four sequental phases, which may overlap or be combined:</w:t>
      </w:r>
    </w:p>
    <w:p>
      <w:pPr>
        <w:spacing w:after="0" w:line="109" w:lineRule="exact"/>
        <w:rPr>
          <w:sz w:val="20"/>
          <w:szCs w:val="20"/>
          <w:color w:val="auto"/>
        </w:rPr>
      </w:pPr>
    </w:p>
    <w:p>
      <w:pPr>
        <w:jc w:val="both"/>
        <w:ind w:left="1300" w:hanging="644"/>
        <w:spacing w:after="0" w:line="235" w:lineRule="auto"/>
        <w:tabs>
          <w:tab w:leader="none" w:pos="1293" w:val="left"/>
        </w:tabs>
        <w:numPr>
          <w:ilvl w:val="0"/>
          <w:numId w:val="16"/>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 xml:space="preserve">Phase 1. </w:t>
      </w:r>
      <w:r>
        <w:rPr>
          <w:rFonts w:ascii="Calibri" w:cs="Calibri" w:eastAsia="Calibri" w:hAnsi="Calibri"/>
          <w:sz w:val="18"/>
          <w:szCs w:val="18"/>
          <w:color w:val="auto"/>
        </w:rPr>
        <w:t>The product candidate is initally introduced into a small number of healthy human patents or, in certain indicatons such as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cancer, patents with the target disease or conditon (e.g., cancer) and tested for safety, dosage tolerance, absorpton, metabolism, distributon, excreton and, if possible, to gain an early indicaton of its efectveness and to determine optmal dosage.</w:t>
      </w:r>
    </w:p>
    <w:p>
      <w:pPr>
        <w:spacing w:after="0" w:line="56" w:lineRule="exact"/>
        <w:rPr>
          <w:rFonts w:ascii="Calibri" w:cs="Calibri" w:eastAsia="Calibri" w:hAnsi="Calibri"/>
          <w:sz w:val="18"/>
          <w:szCs w:val="18"/>
          <w:b w:val="1"/>
          <w:bCs w:val="1"/>
          <w:color w:val="auto"/>
        </w:rPr>
      </w:pPr>
    </w:p>
    <w:p>
      <w:pPr>
        <w:jc w:val="both"/>
        <w:ind w:left="1300" w:hanging="644"/>
        <w:spacing w:after="0" w:line="235" w:lineRule="auto"/>
        <w:tabs>
          <w:tab w:leader="none" w:pos="1293" w:val="left"/>
        </w:tabs>
        <w:numPr>
          <w:ilvl w:val="0"/>
          <w:numId w:val="16"/>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 xml:space="preserve">Phase 2. </w:t>
      </w:r>
      <w:r>
        <w:rPr>
          <w:rFonts w:ascii="Calibri" w:cs="Calibri" w:eastAsia="Calibri" w:hAnsi="Calibri"/>
          <w:sz w:val="18"/>
          <w:szCs w:val="18"/>
          <w:color w:val="auto"/>
        </w:rPr>
        <w:t>The product candidate is administered to a limited patent populaton to identfy possible adverse efects and safety risks, to</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preliminarily evaluate the efcacy of the product candidate for specifc targeted diseases and to determine dosage tolerance and optmal dosage.</w:t>
      </w:r>
    </w:p>
    <w:p>
      <w:pPr>
        <w:spacing w:after="0" w:line="56" w:lineRule="exact"/>
        <w:rPr>
          <w:rFonts w:ascii="Calibri" w:cs="Calibri" w:eastAsia="Calibri" w:hAnsi="Calibri"/>
          <w:sz w:val="18"/>
          <w:szCs w:val="18"/>
          <w:b w:val="1"/>
          <w:bCs w:val="1"/>
          <w:color w:val="auto"/>
        </w:rPr>
      </w:pPr>
    </w:p>
    <w:p>
      <w:pPr>
        <w:jc w:val="both"/>
        <w:ind w:left="1300" w:hanging="644"/>
        <w:spacing w:after="0" w:line="235" w:lineRule="auto"/>
        <w:tabs>
          <w:tab w:leader="none" w:pos="1293" w:val="left"/>
        </w:tabs>
        <w:numPr>
          <w:ilvl w:val="0"/>
          <w:numId w:val="16"/>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 xml:space="preserve">Phase 3. </w:t>
      </w:r>
      <w:r>
        <w:rPr>
          <w:rFonts w:ascii="Calibri" w:cs="Calibri" w:eastAsia="Calibri" w:hAnsi="Calibri"/>
          <w:sz w:val="18"/>
          <w:szCs w:val="18"/>
          <w:color w:val="auto"/>
        </w:rPr>
        <w:t>These clinical trials are commonly referred to as “pivotal” studies, which denote a study that presents the data that the FDA or</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other relevant regulatory agency will use to determine whether or not to approve a product candidate. The product candidate is administered to an expanded patent populaton, generally at geographically dispersed clinical trial sites, in well-controlled clinical trials to generate enough data to statstcally evaluate the efcacy and safety of the product candidate for approval, identfy adverse efects, establish the overall risk-beneft profle of the product candidate and to provide adequate informaton for the labeling of the product candidate.</w:t>
      </w:r>
    </w:p>
    <w:p>
      <w:pPr>
        <w:spacing w:after="0" w:line="59" w:lineRule="exact"/>
        <w:rPr>
          <w:rFonts w:ascii="Calibri" w:cs="Calibri" w:eastAsia="Calibri" w:hAnsi="Calibri"/>
          <w:sz w:val="18"/>
          <w:szCs w:val="18"/>
          <w:b w:val="1"/>
          <w:bCs w:val="1"/>
          <w:color w:val="auto"/>
        </w:rPr>
      </w:pPr>
    </w:p>
    <w:p>
      <w:pPr>
        <w:ind w:left="1300" w:hanging="644"/>
        <w:spacing w:after="0" w:line="235" w:lineRule="auto"/>
        <w:tabs>
          <w:tab w:leader="none" w:pos="1293" w:val="left"/>
        </w:tabs>
        <w:numPr>
          <w:ilvl w:val="0"/>
          <w:numId w:val="16"/>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 xml:space="preserve">Phase 4. </w:t>
      </w:r>
      <w:r>
        <w:rPr>
          <w:rFonts w:ascii="Calibri" w:cs="Calibri" w:eastAsia="Calibri" w:hAnsi="Calibri"/>
          <w:sz w:val="18"/>
          <w:szCs w:val="18"/>
          <w:color w:val="auto"/>
        </w:rPr>
        <w:t>Post-approval studies may be conducted afer inital marketng approval. These studies are used to gain additonal experience from</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the treatment of patents in the intended therapeutc indicaton.</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clinical trial may combine the elements of more than one phase and the FDA ofen requires more than one Phase 3 trial to support marketng approval of a product candidate. Moreover, as noted above, a pivotal trial is a clinical trial that is believed to satsfy FDA requirements for the evaluaton of a product candidate’s safety and efcacy such that it can be used, alone or with other pivotal or non-pivotal trials, to support regulatory approval. Generally, pivotal trials are Phase 3 trials, but they may be Phase 2 trials if the design provides a well-controlled and reliable assessment of clinical beneft, partcularly in an area of unmet medical need. A company’s designaton of a clinical trial as being of a partcular phase is not necessarily indicatve that the study will be sufcient to satsfy the FDA requirements of that phase because this determinaton cannot be made untl the protocol and data have been submited to and reviewed by the FDA.</w:t>
      </w:r>
    </w:p>
    <w:p>
      <w:pPr>
        <w:spacing w:after="0" w:line="100"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 xml:space="preserve">In December 2022, with the passage of the Food and Drug Omnibus Reform Act, or </w:t>
      </w:r>
      <w:r>
        <w:rPr>
          <w:rFonts w:ascii="Calibri" w:cs="Calibri" w:eastAsia="Calibri" w:hAnsi="Calibri"/>
          <w:sz w:val="18"/>
          <w:szCs w:val="18"/>
          <w:u w:val="single" w:color="auto"/>
          <w:color w:val="auto"/>
        </w:rPr>
        <w:t>FDORA</w:t>
      </w:r>
      <w:r>
        <w:rPr>
          <w:rFonts w:ascii="Calibri" w:cs="Calibri" w:eastAsia="Calibri" w:hAnsi="Calibri"/>
          <w:sz w:val="18"/>
          <w:szCs w:val="18"/>
          <w:color w:val="auto"/>
        </w:rPr>
        <w:t xml:space="preserve">, Congress required sponsors to develop and submit a diversity acton plan, or </w:t>
      </w:r>
      <w:r>
        <w:rPr>
          <w:rFonts w:ascii="Calibri" w:cs="Calibri" w:eastAsia="Calibri" w:hAnsi="Calibri"/>
          <w:sz w:val="18"/>
          <w:szCs w:val="18"/>
          <w:u w:val="single" w:color="auto"/>
          <w:color w:val="auto"/>
        </w:rPr>
        <w:t>DAP</w:t>
      </w:r>
      <w:r>
        <w:rPr>
          <w:rFonts w:ascii="Calibri" w:cs="Calibri" w:eastAsia="Calibri" w:hAnsi="Calibri"/>
          <w:sz w:val="18"/>
          <w:szCs w:val="18"/>
          <w:color w:val="auto"/>
        </w:rPr>
        <w:t>, for each phase 3 clinical trial or any other “pivotal study” of a new drug or biological product. These plans are meant to encourage the enrollment of more diverse patent populatons in late-stage clinical trials of FDA-regulated products. Specifcally, acton plans must include the sponsor’s goals for enrollment, the underlying ratonale for those goals, and an explanaton of how the sponsor intends to meet them. In June 2024, as mandated by FDORA, the FDA issued draf guidance outlining the general requirements for DAPs. Unlike most guidance documents issued by the FDA, the DAP guidance when fnalized will have the force of law because FDORA specifcally dictates that the form and manner for submission of DAPs are specifed in FDA guidance. On January 27, 2025, in response to an Executve Order issued by President Trump on January 21, 2025, on Diversity, Equity and Inclusion programs, the FDA removed this draf guidance from its website. As a result, the applicability of statutory obligatons to submit DAPs and the agency’s current thinking on best practces for clinical development remain unclear and we will need to carefully navigate such uncertainty.</w:t>
      </w:r>
    </w:p>
    <w:p>
      <w:pPr>
        <w:spacing w:after="0" w:line="1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June 2023, the FDA issued draf guidance with updated recommendatons for GCPs aimed at modernizing the design and conduct of clinical trials. The updates are intended to help pave the way for more efcient clinical trials to facilitate the development of medical products. The draf guidance is adopted from the ICH’s recently updated E6(R3) draf guideline that was developed to enable the incorporaton of rapidly developing technological and methodological innovatons into the clinical trial enterprise. In additon, the FDA issued draf guidance outlining recommendatons for the implementaton of decentralized clinical trials.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Interactons with the FDA During the Clinical Development Program</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Following the clearance of an IND and the commencement of clinical trials, the sponsor will contnue to have interactons with the FDA. Progress reports detailing the results of clinical trials must be submited annually within 60 days of the anniversary dates that the IND went into efect and more frequently if serious adverse events occur. These reports must include a development safety update report. In additon, IND safety reports must be submited to the FDA for any of the following: serious and unexpected suspected adverse reactons; fndings from other studies or animal or in vitro testng that suggest a signifcant risk in humans exposed to the product; and any clinically important increase in the occurrence of a serious suspected adverse reacton over that listed in the protocol or investgator brochure. Phase 1, Phase 2 and Phase 3 clinical trials may not be completed successfully within any specifed period, or at all. The FDA will typically inspect one or more clinical sites to assure compliance with GCP and the integrity of the clinical data submited.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9" w:name="page30"/>
    <w:bookmarkEnd w:id="2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a sponsor will contnue to have interactons with the FDA and the sponsor may meet with the FDA at certain points in the clinical development program. Specifcally, sponsors may meet with the FDA prior to the submission of an IND, or a pre-IND meetng, at the end of Phase 2 clinical trials and before an NDA is submited, or a pre-NDA meetng. Meetngs at other tmes may also be requested. These meetngs provide an opportunity for the sponsor to share informaton about the data gathered to date with the FDA and for the FDA to provide advice on the next phase of development.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There are fve types of meetngs that occur between sponsors and the FDA. Type A meetngs are those that are necessary for an otherwise stalled product development program to proceed or to address an important safety issue. Type B meetngs include pre-IND and pre-NDA meetngs as well as end of phase meetngs such as end-of-phase 2 meetngs. A Type C meetng is any meetng other than a Type A or Type B meetng regarding the development and review of a product, including for example meetngs to facilitate early consultatons on the use of a biomarker as a new surrogate endpoint that has never been previously used as the primary basis for product approval in the proposed context of use. A Type D meetng is focused on a narrow set of issues (typically limited to no more than two focused topics) and should not require input from more than three disciplines or divisions. Finally, INTERACT meetngs are intended for novel products and development programs that present unique challenges in the early development of an investgatonal product.</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Such meetngs may be conducted in person, via teleconference/videoconference, or writen response only with minutes refectng the questons that the sponsor posed to the FDA and the agency’s responses. The FDA has indicated that its responses, as conveyed in meetng minutes and advice leters, only consttute mere recommendatons and/or advice made to a sponsor and, as such, sponsors are not bound by such recommendatons and/or advice. Nonetheless, from a practcal perspectve, a sponsor’s failure to follow the FDA’s recommendatons for design of a clinical program may put the program at signifcant risk of failure. In September 2023, the FDA issued draf guidance outlining the terms of such meetngs in more detail.</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Pediatric Studies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Under the Pediatric Research Equity Act, or </w:t>
      </w:r>
      <w:r>
        <w:rPr>
          <w:rFonts w:ascii="Calibri" w:cs="Calibri" w:eastAsia="Calibri" w:hAnsi="Calibri"/>
          <w:sz w:val="18"/>
          <w:szCs w:val="18"/>
          <w:u w:val="single" w:color="auto"/>
          <w:color w:val="auto"/>
        </w:rPr>
        <w:t>PREA</w:t>
      </w:r>
      <w:r>
        <w:rPr>
          <w:rFonts w:ascii="Calibri" w:cs="Calibri" w:eastAsia="Calibri" w:hAnsi="Calibri"/>
          <w:sz w:val="18"/>
          <w:szCs w:val="18"/>
          <w:color w:val="auto"/>
        </w:rPr>
        <w:t xml:space="preserve">, applicatons and certain types of supplements to applicatons must contain data that are adequate to assess the safety and efectveness of the product for the claimed indicatons in all relevant pediatric subpopulatons, and to support dosing and administraton for each pediatric subpopulaton for which the product is safe and efectve. The sponsor must submit an inital Pediatric Study Plan, or </w:t>
      </w:r>
      <w:r>
        <w:rPr>
          <w:rFonts w:ascii="Calibri" w:cs="Calibri" w:eastAsia="Calibri" w:hAnsi="Calibri"/>
          <w:sz w:val="18"/>
          <w:szCs w:val="18"/>
          <w:u w:val="single" w:color="auto"/>
          <w:color w:val="auto"/>
        </w:rPr>
        <w:t>PSP</w:t>
      </w:r>
      <w:r>
        <w:rPr>
          <w:rFonts w:ascii="Calibri" w:cs="Calibri" w:eastAsia="Calibri" w:hAnsi="Calibri"/>
          <w:sz w:val="18"/>
          <w:szCs w:val="18"/>
          <w:color w:val="auto"/>
        </w:rPr>
        <w:t>, within 60 days of an end-of-phase 2 meetng or as may be agreed between the sponsor and the FDA. Those plans must contain an outline of the proposed pediatric study or studies the sponsor plans to conduct, including study objectves and design, age groups, relevant endpoints and statstcal approach, or a justfcaton for not including such detailed informaton, and any request for a deferral of pediatric assessments or a full or partal waiver of the requirement to provide data from pediatric studies along with supportng informaton. The sponsor and the FDA must reach agreement on a fnal plan. A sponsor can submit amendments to an agreed-upon inital PSP at any tme if changes to the pediatric plan need to be considered based on data collected from nonclinical trials, early phase clinical trials, and/or other clinical development programs.</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investgatonal products intended to treat a serious or life-threatening disease or conditon, the FDA must, upon the request of a sponsor, meet to discuss preparaton of the inital pediatric study plan or to discuss deferral or waiver of pediatric assessments. In additon, the FDA will meet early in the development process to discuss pediatric study plans with sponsors, and the FDA must meet with sponsors by no later than the end-of-phase 1 meetng for serious or life-threatening diseases and by no later than ninety days afer the FDA’s receipt of the study plan.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FDA may, on its own initatve or at the request of the sponsor, grant deferrals for submission of some or all pediatric data untl afer approval of the product for use in adults, or full or partal waivers from the pediatric data requirements. A deferral may be granted for several reasons, including a fnding that the product or therapeutc candidate is ready for approval for use in adults before pediatric trials are complete or that additonal safety or efectveness data needs to be collected before the pediatric trials begin. Pursuant to the Food and Drug Administraton Safety and Innovaton Act of 2012, or </w:t>
      </w:r>
      <w:r>
        <w:rPr>
          <w:rFonts w:ascii="Calibri" w:cs="Calibri" w:eastAsia="Calibri" w:hAnsi="Calibri"/>
          <w:sz w:val="18"/>
          <w:szCs w:val="18"/>
          <w:u w:val="single" w:color="auto"/>
          <w:color w:val="auto"/>
        </w:rPr>
        <w:t>FDASIA</w:t>
      </w:r>
      <w:r>
        <w:rPr>
          <w:rFonts w:ascii="Calibri" w:cs="Calibri" w:eastAsia="Calibri" w:hAnsi="Calibri"/>
          <w:sz w:val="18"/>
          <w:szCs w:val="18"/>
          <w:color w:val="auto"/>
        </w:rPr>
        <w:t>, the FDA must send a PREA Non-Compliance leter to sponsors who have failed to submit their pediatric assessments required under PREA, have failed to seek or obtain a deferral or deferral extension or have failed to request approval for a required pediatric formulaton. FDASIA further requires the FDA to publicly post the PREA Non-Compliance leter and sponsor’s response. Unless otherwise required by regulaton, the pediatric data requirements do not apply to products with orphan designaton, although FDA has recently taken steps to limit what it considers abuse of this statutory exempton in PREA by announcing that it does not intend to grant any additonal orphan drug designatons for rare pediatric subpopulatons of what is otherwise a common disease. The FDA also maintains a list of diseases that are exempt from PREA requirements due to low prevalence of disease in the pediatric populaton. In May 2023, the FDA issued new draf guidance that further describes the pediatric study requirements under PREA.</w:t>
      </w:r>
    </w:p>
    <w:p>
      <w:pPr>
        <w:spacing w:after="0" w:line="11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Acceptance and Review of an NDA</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Assuming successful completon of required clinical testng and other requirements, the results of the preclinical studies and clinical trials, together with detailed informaton relatng to the product’s chemistry, manufacture, controls and proposed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0" w:name="page31"/>
    <w:bookmarkEnd w:id="3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labeling, among other things are submited to the FDA as part of an NDA requestng approval to market the product candidate for one or more indicatons. The fee required for the submission and review of an applicaton under the PDUFA is substantal (for example, for fscal year 2025 this applicaton fee is approximately $4.3 million), and the sponsor of an approved applicaton is also subject to an annual program fee, currently approximately $0.4 million per eligible prescripton product. These fees are typically adjusted annually, and exemptons and waivers may be available under certain circumstances, such as where a waiver is necessary to protect the public health, where the fee would present a signifcant barrier to innovaton, or where the sponsor is a small business submitng its frst human therapeutc applicaton for review.</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FDA conducts a preliminary review of all applicatons within 60 days of receipt and must inform the sponsor at that tme or before whether an applicaton is sufciently complete to permit substantve review. This is known as the fling decision. In the event that FDA determines that an applicaton does not satsfy this standard, it will issue a Refuse to File determinaton to the sponsor. The FDA may request additonal informaton rather than accept an NDA for fling. In this event, the applicaton must be resubmited with the additonal informaton. The resubmited applicaton is also subject to review before the FDA accepts it for fling. Once the submission is accepted for fling, the FDA begins an in-depth substantve review.</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FDA has agreed to certain performance goals in the review process of NDAs. Most such applicatons are meant to be reviewed within ten months from the date of fling, and most applicatons for “priority review” products are meant to be reviewed within six months of fling. A product that has been designated as a breakthrough therapy may also be eligible for review within six months if supported by clinical data at the tme of submission of the NDA. The review process may be extended by the FDA for three additonal months to consider new informaton or clarifcaton provided by the sponsor to address an outstanding defciency identfed by the FDA following the original submission.</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Before approving an NDA, the FDA typically will inspect the facility or facilites where the product is or will be manufactured. These pre-approval inspectons may cover all facilites associated with an NDA submission, including drug component manufacturing such as actve pharmaceutcal ingredients, fnished drug product manufacturing, control testng laboratories, as well as packaging and labeling facilites. The FDA will not approve an applicaton unless it determines that the manufacturing processes and facilites are in compliance with cGMP requirements and adequate to assure consistent producton of the product within required specifcatons. The PREVENT Pandemics Act, which was enacted in December 2022, clarifes that foreign drug manufacturing establishments are subject to registraton and listng requirements even if a drug or biologic undergoes further manufacture, preparaton, propagaton, compounding, or processing at a separate establishment outside the U.S. prior to being imported or ofered for import into the U.S.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Moreover, the FDA will review a sponsor’s fnancial relatonship with the principal investgators who conducted the clinical trials in support of the NDA. That is because, under certain circumstances, principal investgators at a clinical trial site may also serve as scientfc advisors or consultants to a sponsor and receive compensaton in connecton with such services. Depending on the level of that compensaton and any other fnancial interest a principal investgator may have in a sponsor, the sponsor may be required to report these relatonships to the FDA. The FDA will then evaluate that fnancial relatonship and determine whether it creates a confict of interest or otherwise afects the interpretaton of the trial or the integrity of the data generated at the principal investgator’s clinical trial site. If so, the FDA may exclude data from the clinical trial site in connecton with its determinaton of safety and efcacy of the investgatonal product.</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Additonally, before approving an NDA, the FDA will typically inspect one or more clinical sites to assure compliance with GCP. The sponsor of the NDA may also have their records, processes, procedures, training, and other aspects reviewed during an inspecton. The FDA must implement a protocol to expedite review of responses to inspecton reports pertaining to certain drug applicatons, including applicatons for drugs in a shortage or drugs for which approval is dependent on remediaton of conditons identfed in the inspecton report.</w:t>
      </w:r>
    </w:p>
    <w:p>
      <w:pPr>
        <w:spacing w:after="0" w:line="11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In additon, as a conditon of approval, the FDA may require a sponsor to develop a REMS. REMS use risk minimizaton strategies beyond the professional labeling to ensure that the benefts of the product outweigh the potental risks.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Finally, the FDA may refer an applicaton for a novel drug to an advisory commitee or explain why such referral was not made. Typically, an advisory commitee is a panel of independent experts, including clinicians and other scientfc experts, that reviews, evaluates and provides a recommendaton as to whether the applicaton should be approved and under what conditons. The FDA is not bound by the recommendatons of an advisory commitee, but it considers such recommendatons carefully when making decisions.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Fast Track, Breakthrough Therapy, Priority Review</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FDA is authorized to designate certain products for expedited review if they are intended to address an unmet medical need in the treatment of a serious or life-threatening disease or conditon. These programs are referred to as fast track designaton, breakthrough therapy designaton, priority review designaton.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Specifcally, the FDA may designate a product for fast track review if it is intended, whether alone or in combinaton with one or more other drugs, for the treatment of a serious or life-threatening disease or conditon, and it demonstrates the potental</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1" w:name="page32"/>
    <w:bookmarkEnd w:id="3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 address unmet medical needs for such a disease or conditon. The fast track designaton may be withdrawn by the FDA if the FDA believes that the designaton is no longer supported by data emerging in the clinical trial process.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Second, in 2012, Congress enacted the Food and Drug Administraton Safety and Improvement Act. This law established a new regulatory scheme allowing for expedited review of products designated as “breakthrough therapies.” A product may be designated as a breakthrough therapy if it is intended, either alone or in combinaton with one or more other drugs, to treat a serious or life-threatening disease or conditon and preliminary clinical evidence indicates that the product may demonstrate substantal improvement over existng therapies on one or more clinically signifcant endpoints, such as substantal treatment efects observed early in clinical development. The FDA may take certain actons with respect to breakthrough therapies, including holding meetngs with the sponsor throughout the development process; providing tmely advice to the product sponsor regarding development and approval; involving more senior staf in the review process; assigning a cross-disciplinary project lead for the review team; and taking other steps to design the clinical trials in an efcient manner.</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Third, the FDA may designate a product for priority review if it is a drug that treats a serious conditon and, if approved, would provide a signifcant improvement in safety or efectveness. The FDA determines, on a case-by-case basis, whether the proposed drug represents a signifcant improvement when compared with other available therapies. A priority designaton is intended to direct overall atenton and resources to the evaluaton of such applicatons, and to shorten the FDA’s review clock goal for taking acton on a marketng applicaton from ten months to six months.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Accelerated Approval Pathway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Drug or biologic products studied for their safety and efectveness in treatng serious or life-threatening illnesses and that provide meaningful therapeutc beneft over existng treatments may receive accelerated approval. Accelerated approval means that a product candidate may be approved on the basis of adequate and well controlled clinical trials establishing that the product candidate has an efect on a surrogate endpoint that is reasonably likely to predict a clinical beneft, or on the basis of an efect on a clinical endpoint other than survival or irreversible morbidity or mortality or other clinical beneft, taking into account the severity, rarity and prevalence of the conditon and the availability or lack of alternatve treatments. As a conditon of approval, the FDA may require that a sponsor of a drug or biologic product candidate receiving accelerated approval perform adequate and well controlled post-marketng clinical trials. In additon, the FDA currently requires as a conditon for accelerated approval pre-approval of promotonal materials.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December 2022, Congress modifed certain provisions governing accelerated approval of drug products. Specifcally, the new legislaton authorized the FDA to require a sponsor to have its confrmatory clinical trial underway before accelerated approval is awarded and to submit progress reports on its post-approval studies to the FDA every six months untl the study is completed. Moreover, FDORA established expedited procedures authorizing the FDA to withdraw an accelerated approval if certain conditons are met, including where a required confrmatory study fails to verify and describe the predicted clinical beneft or where evidence demonstrates the product is not shown to be safe or efectve under the conditons of use. The FDA may also use such procedures to withdraw an accelerated approval if a sponsor fails to conduct any required post-approval trial of the product with due diligence, including with respect to “conditons specifed by the Secretary.” The new procedures include the provision of due notce and an explanaton for a proposed withdrawal, and opportunites for a meetng with the Commissioner or the Commissioner’s designee and a writen appeal, among other things.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March 2023, the FDA issued draf guidance that outlines its current thinking and approach to accelerated approval. The agency indicated that although single-arm trials have been commonly used to support accelerated approval, a randomized controlled trial is the preferred approach as it provides a more robust efcacy and safety assessment and allows for direct comparisons to an available therapy. To that end, the FDA outlined consideratons for designing, conductng, and analyzing data for trials intended to support accelerated approvals of oncology therapeutcs. While this guidance is currently only in draf form and generally applies to oncology products and will ultmately not be legally binding even when fnalized, sponsors typically observe the FDA’s guidance closely to ensure that their investgatonal products qualify for accelerated approval. Subsequently, in December 2024, the FDA issued additonal draf guidance relatng to accelerated approval.</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The FDA’s Decision on an NDA</w:t>
      </w:r>
    </w:p>
    <w:p>
      <w:pPr>
        <w:spacing w:after="0" w:line="10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The FDA reviews an applicaton to determine, among other things, whether the product is safe and whether it is efectve for its intended use(s), with the later determinaton being made on the basis of substantal evidence. The term “substantal evidence” is defned under the FDCA as “evidence consistng of adequate and well-controlled investgatons, including clinical investgatons, by experts qualifed by scientfc training and experience to evaluate the efectveness of the product involved, on the basis of which it could fairly and responsibly be concluded by such experts that the product will have the efect it purports or is represented to have under the conditons of use prescribed, recommended, or suggested in the labeling or proposed labeling thereof.”</w:t>
      </w:r>
    </w:p>
    <w:p>
      <w:pPr>
        <w:spacing w:after="0" w:line="103"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The FDA has interpreted this evidentary standard to require at least two adequate and well-controlled clinical investgatons to establish efectveness of a new product. Under certain circumstances, however, FDA has indicated that a single trial with</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2" w:name="page33"/>
    <w:bookmarkEnd w:id="3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certain characteristcs and additonal informaton may satsfy this standard. This approach was subsequently endorsed by Congress in 1998 with legislaton providing, in pertnent part, that “If [FDA] determines, based on relevant science, that data from one adequate and well-controlled clinical investgaton and confrmatory evidence (obtained prior to or afer such investgaton) are sufcient to establish efectveness, FDA may consider such data and evidence to consttute substantal evidence.” This modifcaton to the law recognized the potental for FDA to fnd that one adequate and well controlled clinical investgaton with confrmatory evidence, including supportve data outside of a controlled trial, is sufcient to establish efectveness. In December 2019, FDA issued draf guidance further explaining the studies that are needed to establish substantal evidence of efectveness. Although the FDA has not yet fnalized that guidance, it did issue additonal draf guidance in September 2023 that outlines consideratons for relying on confrmatory evidence in lieu of a second clinical study.</w:t>
      </w:r>
    </w:p>
    <w:p>
      <w:pPr>
        <w:spacing w:after="0" w:line="101" w:lineRule="exact"/>
        <w:rPr>
          <w:sz w:val="20"/>
          <w:szCs w:val="20"/>
          <w:color w:val="auto"/>
        </w:rPr>
      </w:pPr>
    </w:p>
    <w:p>
      <w:pPr>
        <w:ind w:right="60"/>
        <w:spacing w:after="0" w:line="221" w:lineRule="auto"/>
        <w:rPr>
          <w:sz w:val="20"/>
          <w:szCs w:val="20"/>
          <w:color w:val="auto"/>
        </w:rPr>
      </w:pPr>
      <w:r>
        <w:rPr>
          <w:rFonts w:ascii="Calibri" w:cs="Calibri" w:eastAsia="Calibri" w:hAnsi="Calibri"/>
          <w:sz w:val="18"/>
          <w:szCs w:val="18"/>
          <w:color w:val="auto"/>
        </w:rPr>
        <w:t>Afer evaluatng the applicaton and all related informaton, including the advisory commitee recommendatons, if any, and inspecton reports of manufacturing facilites and clinical trial sites, the FDA will issue either a CRL or an approval leter. To reach this determinaton, the FDA must determine that the drug is efectve and that its expected benefts outweigh its potental risks to patents. This “beneft-risk” assessment is informed by the extensive body of evidence about the product’s safety and efcacy in the NDA or BLA. This assessment is also informed by other factors, including: the severity of the underlying conditon and how well patents’ medical needs are addressed by currently available therapies; uncertainty about how the premarket clinical trial evidence will extrapolate to real-world use of the product in the post-market setng; and whether risk management tools are necessary to manage specifc risks. In connecton with this assessment, the FDA review team will assemble all individual reviews and other documents into an “acton package,” which becomes the record for FDA review. The review team then issues a recommendaton, and a senior FDA ofcial makes a decision.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CRL indicates that the review cycle of the applicaton is complete, and the applicaton will not be approved in its present form. A CRL generally outlines the defciencies in the submission and may require substantal additonal testng or informaton in order for the FDA to reconsider the applicaton. The CRL may require additonal clinical or other data, additonal pivotal Phase 3 clinical trial(s) and/or other signifcant and tme- consuming requirements related to clinical trials, preclinical studies or manufacturing. If a CRL is issued, the sponsor will have one year to respond to the defciencies identfed by the FDA, at which tme the FDA can deem the applicaton withdrawn or, in its discreton, grant the sponsor an additonal six month extension to respond. The FDA has commited to reviewing resubmissions in response to an issued CRL in either two or six months depending on the type of informaton included. Even with the submission of this additonal informaton, however, the FDA ultmately may decide that the applicaton does not satsfy the regulatory criteria for approval. The FDA has taken the positon that a CRL is not fnal agency acton making the determinaton subject to judicial review. Rather, for those seeking to challenge FDA’s CRL decision, the agency has indicated that sponsors may request a formal hearing on the CRL or they may fle a request for reconsideraton or a request for a formal dispute resoluton.</w:t>
      </w:r>
    </w:p>
    <w:p>
      <w:pPr>
        <w:spacing w:after="0" w:line="116"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An approval leter, on the other hand, authorizes commercial marketng of the product with specifc prescribing informaton for specifc indicatons. That is, the approval will be limited to the conditons of use (e.g., patent populaton, indicaton) described in the FDA-approved labeling. Further, depending on the specifc risk(s) to be addressed, the FDA may require that contraindicatons, warnings or precautons be included in the product labeling, require that post-approval trials, including Phase 4 clinical trials, be conducted to further assess a product’s safety afer approval, require testng and surveillance programs to monitor the product afer commercializaton or impose other conditons, including distributon and use restrictons or other risk management mechanisms under a REMS which can materially afect the potental market and proftability of the product. The FDA may prevent or limit further marketng of a product based on the results of post-marketng trials or surveillance programs. Afer approval, some types of changes to the approved product, such as adding new indicatons, manufacturing changes and additonal labeling claims, are subject to further testng requirements and FDA review and approval.</w:t>
      </w:r>
    </w:p>
    <w:p>
      <w:pPr>
        <w:spacing w:after="0" w:line="10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Under the Ensuring Innovaton Act, which was signed into law in April 2021, the FDA must publish acton packages summarizing its decisions to approve new drugs and biologics within 30 days of approval of such products. To date, CRLs are not publicly available documents.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Post-Approval Requirements and Commitments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If a product receives regulatory approval, the approval may be signifcantly limited to specifc diseases and dosages or the indicatons for use may otherwise be limited, which could restrict the commercial value of the product. Further, the FDA may require that certain contraindicatons, warnings or precautons be included in the product labeling. In additon, conditons of NDA approval may include sponsor agreement to PMR or PMC studies, which are designed to further assess drug safety and efectveness and may require testng and surveillance programs to monitor the safety of approved products that have been commercialized. These may include additonal studies, registries, data collecton, analyses, and/or informaton.</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Drugs manufactured or distributed pursuant to FDA approvals are subject to pervasive and contnuing regulaton by the FDA, including, among other things, requirements relatng to recordkeeping, periodic reportng, product sampling and distributon, advertsing and promoton and reportng of adverse experiences with the product. Afer approval, most changes to the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3" w:name="page34"/>
    <w:bookmarkEnd w:id="3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approved product, such as adding new indicatons or other labeling claims, are subject to prior FDA review and approval. There also are contnuing, annual user fee requirements for any marketed products and the establishments at which such products are manufactured, as well as new applicaton fees for supplemental applicatons with clinical data.</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drug manufacturers and other enttes involved in the manufacture and distributon of approved drugs are required to register their establishments with the FDA and state agencies and are subject to periodic unannounced inspectons by the FDA and these state agencies for compliance with cGMP requirements. Changes to the manufacturing process are strictly regulated and ofen require prior FDA approval before being implemented. FDA regulatons also require investgaton and correcton of any deviatons from cGMP and impose reportng and documentaton requirements upon the sponsor and any third-party manufacturers that the sponsor may decide to use. Accordingly, manufacturers must contnue to expend tme, money, and efort in the area of producton and quality control to maintain cGMP compliance.</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Once an approval is granted, the FDA may withdraw the approval if compliance with regulatory requirements and standards is not maintained or if problems occur afer the product reaches the market. Later discovery of previously unknown problems with a product, including adverse events of unantcipated severity or frequency, or with manufacturing processes, or failure to comply with regulatory requirements, may result in revisions to the approved labeling to add new safety informaton; impositon of post-market studies or clinical trials to assess new safety risks; or impositon of distributon or other restrictons under a REMS program. Other potental consequences include, among other things:</w:t>
      </w:r>
    </w:p>
    <w:p>
      <w:pPr>
        <w:spacing w:after="0" w:line="112" w:lineRule="exact"/>
        <w:rPr>
          <w:sz w:val="20"/>
          <w:szCs w:val="20"/>
          <w:color w:val="auto"/>
        </w:rPr>
      </w:pPr>
    </w:p>
    <w:p>
      <w:pPr>
        <w:ind w:left="1300" w:hanging="644"/>
        <w:spacing w:after="0" w:line="235" w:lineRule="auto"/>
        <w:tabs>
          <w:tab w:leader="none" w:pos="1293"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restrictons on the marketng or manufacturing of the product, suspension of the approval, or complete withdrawal of the product from the market or product recalls;</w:t>
      </w:r>
    </w:p>
    <w:p>
      <w:pPr>
        <w:spacing w:after="0" w:line="50" w:lineRule="exact"/>
        <w:rPr>
          <w:rFonts w:ascii="Calibri" w:cs="Calibri" w:eastAsia="Calibri" w:hAnsi="Calibri"/>
          <w:sz w:val="18"/>
          <w:szCs w:val="18"/>
          <w:color w:val="auto"/>
        </w:rPr>
      </w:pPr>
    </w:p>
    <w:p>
      <w:pPr>
        <w:ind w:left="1300" w:hanging="644"/>
        <w:spacing w:after="0"/>
        <w:tabs>
          <w:tab w:leader="none" w:pos="1300"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fnes, warning leters or holds on post-approval clinical trials;</w:t>
      </w:r>
    </w:p>
    <w:p>
      <w:pPr>
        <w:spacing w:after="0" w:line="55" w:lineRule="exact"/>
        <w:rPr>
          <w:rFonts w:ascii="Calibri" w:cs="Calibri" w:eastAsia="Calibri" w:hAnsi="Calibri"/>
          <w:sz w:val="18"/>
          <w:szCs w:val="18"/>
          <w:color w:val="auto"/>
        </w:rPr>
      </w:pPr>
    </w:p>
    <w:p>
      <w:pPr>
        <w:ind w:left="1300" w:hanging="644"/>
        <w:spacing w:after="0"/>
        <w:tabs>
          <w:tab w:leader="none" w:pos="1300" w:val="left"/>
        </w:tabs>
        <w:numPr>
          <w:ilvl w:val="0"/>
          <w:numId w:val="17"/>
        </w:numPr>
        <w:rPr>
          <w:rFonts w:ascii="Calibri" w:cs="Calibri" w:eastAsia="Calibri" w:hAnsi="Calibri"/>
          <w:sz w:val="17"/>
          <w:szCs w:val="17"/>
          <w:color w:val="auto"/>
        </w:rPr>
      </w:pPr>
      <w:r>
        <w:rPr>
          <w:rFonts w:ascii="Calibri" w:cs="Calibri" w:eastAsia="Calibri" w:hAnsi="Calibri"/>
          <w:sz w:val="17"/>
          <w:szCs w:val="17"/>
          <w:color w:val="auto"/>
        </w:rPr>
        <w:t>refusal of the FDA to approve pending NDAs or supplements to approved NDAs, or suspension or revocaton of product license approvals;</w:t>
      </w:r>
    </w:p>
    <w:p>
      <w:pPr>
        <w:spacing w:after="0" w:line="57" w:lineRule="exact"/>
        <w:rPr>
          <w:rFonts w:ascii="Calibri" w:cs="Calibri" w:eastAsia="Calibri" w:hAnsi="Calibri"/>
          <w:sz w:val="17"/>
          <w:szCs w:val="17"/>
          <w:color w:val="auto"/>
        </w:rPr>
      </w:pPr>
    </w:p>
    <w:p>
      <w:pPr>
        <w:ind w:left="1300" w:hanging="644"/>
        <w:spacing w:after="0"/>
        <w:tabs>
          <w:tab w:leader="none" w:pos="1300"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product seizure or detenton, or refusal to permit the import or export of products; or</w:t>
      </w:r>
    </w:p>
    <w:p>
      <w:pPr>
        <w:spacing w:after="0" w:line="50" w:lineRule="exact"/>
        <w:rPr>
          <w:rFonts w:ascii="Calibri" w:cs="Calibri" w:eastAsia="Calibri" w:hAnsi="Calibri"/>
          <w:sz w:val="18"/>
          <w:szCs w:val="18"/>
          <w:color w:val="auto"/>
        </w:rPr>
      </w:pPr>
    </w:p>
    <w:p>
      <w:pPr>
        <w:ind w:left="1300" w:hanging="644"/>
        <w:spacing w:after="0"/>
        <w:tabs>
          <w:tab w:leader="none" w:pos="1300" w:val="left"/>
        </w:tabs>
        <w:numPr>
          <w:ilvl w:val="0"/>
          <w:numId w:val="17"/>
        </w:numPr>
        <w:rPr>
          <w:rFonts w:ascii="Calibri" w:cs="Calibri" w:eastAsia="Calibri" w:hAnsi="Calibri"/>
          <w:sz w:val="18"/>
          <w:szCs w:val="18"/>
          <w:color w:val="auto"/>
        </w:rPr>
      </w:pPr>
      <w:r>
        <w:rPr>
          <w:rFonts w:ascii="Calibri" w:cs="Calibri" w:eastAsia="Calibri" w:hAnsi="Calibri"/>
          <w:sz w:val="18"/>
          <w:szCs w:val="18"/>
          <w:color w:val="auto"/>
        </w:rPr>
        <w:t>injunctons or the impositon of civil or criminal penaltes.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FDA strictly regulates the marketng, labeling, advertsing and promoton of prescripton drug products placed on the market. This regulaton includes, among other things, standards and regulatons for direct-to-consumer advertsing, communicatons regarding unapproved uses, industry-sponsored scientfc and educatonal actvites, and promotonal actvites involving the Internet and social media. Promotonal claims about a product candidate’s safety or efectveness are prohibited before the product candidate is approved. Afer approval, a drug product generally may not be promoted for uses that are not approved by the FDA or in a manner that is inconsistent with the product’s prescribing informaton. In September 2021, the FDA published fnal regulatons which describe the types of evidence that the agency will consider in determining the intended use of a drug product. In additon, in October 2023, the FDA published draf guidance outlining the agency’s non-binding policies governing the distributon of scientfc informaton on unapproved uses to healthcare providers. This draf guidance calls for such communicatons to be truthful, non-misleading, factual, and unbiased and include all informaton necessary for healthcare providers to interpret the strengths and weaknesses and validity and utlity of the informaton about the unapproved use. This guidance was fnalized by the FDA on January 6, 2025.</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the U.S., healthcare professionals are generally permited to prescribe drugs for such uses not described in the drug’s labeling, known as of-label uses, because the FDA does not regulate the practce of medicine. However, FDA regulatons impose rigorous restrictons on manufacturers’ communicatons, prohibitng the promoton of of-label uses. It may be permissible, under very specifc conditons, for a manufacturer to engage in non-promotonal, truthful and non-misleading communicaton regarding of-label informaton, such as distributng scientfc or medical journal informaton. In additon, companies may also promote informaton that it consistent with the prescribing informaton and have the ability to proactvely speak to formulary commitee members of payors regarding data for an unapproved drug or unapproved uses of an approved drug under some relatvely recent guidance from the FDA. Moreover, with the passage of the Pre-Approval Informaton Exchange Act, or </w:t>
      </w:r>
      <w:r>
        <w:rPr>
          <w:rFonts w:ascii="Calibri" w:cs="Calibri" w:eastAsia="Calibri" w:hAnsi="Calibri"/>
          <w:sz w:val="18"/>
          <w:szCs w:val="18"/>
          <w:u w:val="single" w:color="auto"/>
          <w:color w:val="auto"/>
        </w:rPr>
        <w:t>PIE Act</w:t>
      </w:r>
      <w:r>
        <w:rPr>
          <w:rFonts w:ascii="Calibri" w:cs="Calibri" w:eastAsia="Calibri" w:hAnsi="Calibri"/>
          <w:sz w:val="18"/>
          <w:szCs w:val="18"/>
          <w:color w:val="auto"/>
        </w:rPr>
        <w:t>, in December 2022, sponsors of products that have not been approved may proactvely communicate to payors certain informaton about products in development to help expedite patent access upon product approval. Previously, such communicatons were permited under FDA guidance but the new legislaton explicitly provides protecton to sponsors who convey certain informaton about products in development to payors, including unapproved uses of approved products.</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However, if a company is found to have promoted of-label uses, it may become subject to adverse public relatons and administratve and judicial enforcement by the FDA, the Department of Justce, or the Ofce of the Inspector General of the Department of Health and Human Services, as well as state authorites. This could subject a company to a range of penaltes that could have a signifcant commercial impact, including civil and criminal fnes and agreements that materially restrict the manner in which a company promotes or distributes drug products. The federal government has levied large civil and criminal fnes against companies for alleged improper promoton and has also requested that companies enter into consent decrees or permanent injunctons under which specifed promotonal conduct is changed or curtailed.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4" w:name="page35"/>
    <w:bookmarkEnd w:id="3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additon, the distributon of prescripton pharmaceutcal products is subject to a variety of federal and state laws, the most recent of which is stll in the process of being phased into the U.S. supply chain and regulatory framework. The Prescripton Drug Marketng Act, or </w:t>
      </w:r>
      <w:r>
        <w:rPr>
          <w:rFonts w:ascii="Calibri" w:cs="Calibri" w:eastAsia="Calibri" w:hAnsi="Calibri"/>
          <w:sz w:val="18"/>
          <w:szCs w:val="18"/>
          <w:u w:val="single" w:color="auto"/>
          <w:color w:val="auto"/>
        </w:rPr>
        <w:t>PDMA</w:t>
      </w:r>
      <w:r>
        <w:rPr>
          <w:rFonts w:ascii="Calibri" w:cs="Calibri" w:eastAsia="Calibri" w:hAnsi="Calibri"/>
          <w:sz w:val="18"/>
          <w:szCs w:val="18"/>
          <w:color w:val="auto"/>
        </w:rPr>
        <w:t xml:space="preserve">, was the frst federal law to set minimum standards for the registraton and regulaton of drug distributors by the states and to regulate the distributon of drug samples. Today, both the PDMA and state laws limit the distributon of prescripton pharmaceutcal product samples and impose requirements to ensure accountability in distributon. Congress more recently enacted the Drug Supply Chain Security Act, or </w:t>
      </w:r>
      <w:r>
        <w:rPr>
          <w:rFonts w:ascii="Calibri" w:cs="Calibri" w:eastAsia="Calibri" w:hAnsi="Calibri"/>
          <w:sz w:val="18"/>
          <w:szCs w:val="18"/>
          <w:u w:val="single" w:color="auto"/>
          <w:color w:val="auto"/>
        </w:rPr>
        <w:t>DSCSA</w:t>
      </w:r>
      <w:r>
        <w:rPr>
          <w:rFonts w:ascii="Calibri" w:cs="Calibri" w:eastAsia="Calibri" w:hAnsi="Calibri"/>
          <w:sz w:val="18"/>
          <w:szCs w:val="18"/>
          <w:color w:val="auto"/>
        </w:rPr>
        <w:t>, which made signifcant amendments to the FDCA, including by replacing certain provisions from the PDMA pertaining to wholesale distributon of prescripton drugs with a more comprehensive statutory scheme. The DSCSA now requires uniform natonal standards for wholesale distributon and, for the frst tme, for third-party logistcs providers; it also provides for preempton of certain state laws in the areas of licensure and prescripton drug traceability. So as not to disrupt supply chains, the FDA has granted certain exemptons from enhanced drug distributon security requirements for eligible trading partners for partcular periods of tme.</w:t>
      </w:r>
    </w:p>
    <w:p>
      <w:pPr>
        <w:spacing w:after="0" w:line="11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Secton 505(b)(2) NDAs</w:t>
      </w:r>
    </w:p>
    <w:p>
      <w:pPr>
        <w:spacing w:after="0" w:line="10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NDAs for most new drug products are based on two full clinical trials which must contain substantal evidence of the safety and efcacy of the proposed new product for the proposed use. These applicatons are submited under Secton 505(b)(1) of the FDCA. The FDA is, however, authorized to approve an alternatve type of NDA under Secton 505(b)(2) of the FDCA. This type of applicaton allows the sponsor to rely, in part, on the FDA’s previous fndings of safety and efcacy for a similar product, or published literature. Specifcally, Secton 505(b)(2) applies to NDAs for a drug for which the investgatons made to show whether or not the drug is safe for use and efectve in use and relied upon by the sponsor for approval of the applicaton “were not conducted by or for the sponsor and for which the sponsor has not obtained a right of reference or use from the person by or for whom the investgatons were conducted.”</w:t>
      </w:r>
    </w:p>
    <w:p>
      <w:pPr>
        <w:spacing w:after="0" w:line="10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Secton 505(b)(2) authorizes the FDA to approve an NDA based on safety and efectveness data that were not developed by the sponsor. NDAs fled under Secton 505(b)(2) may provide an alternate and potentally more expeditous pathway to FDA approval for new or improved formulatons or new uses of previously approved products. If the 505(b)(2) sponsor can establish that reliance on the FDA’s previous approval is scientfcally appropriate, the sponsor may eliminate the need to conduct certain preclinical studies or clinical trials of the new product. The FDA may also require companies to perform additonal studies or measurements to support the change from the approved product. The FDA may then approve the new product candidate for all or some of the label indicatons for which the referenced product has been approved, as well as for any new indicaton sought by the Secton 505(b)(2) sponsor. Products approved under Secton 505(b)(2) are ofen referred to as follow-on products.</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Abbreviated New Drug Applicatons for Generic Drugs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1984, with the passage of the Hatch-Waxman Amendments to the FDCA, Congress established an abbreviated regulatory scheme authorizing the FDA to approve generic drugs that are shown to contain the same actve ingredients as, and to be bioequivalent to, drugs previously approved by the FDA pursuant to NDAs. To obtain approval of a generic drug, a sponsor must submit an ANDA to the agency. An ANDA is a comprehensive submission that contains, among other things, data and informaton pertaining to the actve pharmaceutcal ingredient, bioequivalence, drug product formulaton, specifcatons and stability of the generic drug, as well as analytcal methods, manufacturing process validaton data and quality control procedures. ANDAs are “abbreviated” because they generally do not include preclinical and clinical data to demonstrate safety and efectveness. Instead, in support of such applicatons, a generic manufacturer may rely on the preclinical and clinical testng previously conducted for a drug product previously approved under an NDA, known as the reference-listed drug, or </w:t>
      </w:r>
      <w:r>
        <w:rPr>
          <w:rFonts w:ascii="Calibri" w:cs="Calibri" w:eastAsia="Calibri" w:hAnsi="Calibri"/>
          <w:sz w:val="18"/>
          <w:szCs w:val="18"/>
          <w:u w:val="single" w:color="auto"/>
          <w:color w:val="auto"/>
        </w:rPr>
        <w:t>RLD</w:t>
      </w:r>
      <w:r>
        <w:rPr>
          <w:rFonts w:ascii="Calibri" w:cs="Calibri" w:eastAsia="Calibri" w:hAnsi="Calibri"/>
          <w:sz w:val="18"/>
          <w:szCs w:val="18"/>
          <w:color w:val="auto"/>
        </w:rPr>
        <w:t>.</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Under the Hatch-Waxman Act, the FDA may not approve an ANDA or 505(b)(2) applicaton untl any applicable period of regulatory exclusivity for the RLD has expired. The FDCA provides a period of fve years of regulatory data exclusivity for a new drug containing a new chemical entty, or </w:t>
      </w:r>
      <w:r>
        <w:rPr>
          <w:rFonts w:ascii="Calibri" w:cs="Calibri" w:eastAsia="Calibri" w:hAnsi="Calibri"/>
          <w:sz w:val="18"/>
          <w:szCs w:val="18"/>
          <w:u w:val="single" w:color="auto"/>
          <w:color w:val="auto"/>
        </w:rPr>
        <w:t>NCE</w:t>
      </w:r>
      <w:r>
        <w:rPr>
          <w:rFonts w:ascii="Calibri" w:cs="Calibri" w:eastAsia="Calibri" w:hAnsi="Calibri"/>
          <w:sz w:val="18"/>
          <w:szCs w:val="18"/>
          <w:color w:val="auto"/>
        </w:rPr>
        <w:t>. For the purposes of this provision, the FDA has consistently taken the positon that an NCE is a drug that contains no actve moiety that has previously been approved by the FDA in any other NDA. This interpretaton was confrmed with enactment of the Ensuring Innovaton Act in April 2021. An actve moiety is the molecule or ion responsible for the physiological or pharmacological acton of the drug substance. In cases where such NCE exclusivity has been granted, a generic or follow-on drug applicaton may not be fled with the FDA untl the expiraton of fve years unless the submission is accompanied by a Paragraph IV certfcaton, in which case the sponsor may submit its applicaton four years following the original product approval.</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FDCA also provides for a period of three years of regulatory exclusivity if the NDA includes reports of one or more new clinical investgatons, other than bioavailability or bioequivalence studies, that were conducted by or for the sponsor and are essental to the approval of the applicaton. This three-year exclusivity period ofen protects changes to a previously approved drug product, such as a new dosage form, route of administraton, combinaton or indicaton. Three-year exclusivity would be available for a drug product that contains a previously approved actve moiety, provided the statutory requirement for a new clinical investgaton is satsfed. Unlike fve-year NCE exclusivity, an award of three-year exclusivity does not block the FDA</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5" w:name="page36"/>
    <w:bookmarkEnd w:id="3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from acceptng ANDAs or 505(b)(2) applicatons seeking approval for generic versions of the drug as of the date of approval of the original drug product. The FDA typically makes decisions about awards of data exclusivity shortly before a product is approved.</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FDA must establish a priority review track for certain generic drugs, requiring the FDA to review a drug applicaton within eight months for a drug that has three or fewer approved drugs listed in the Orange Book and is no longer protected by any patent or regulatory exclusivites, or is on the FDA’s drug shortage list. The new legislaton also authorizes FDA to expedite review of ‘‘compettor generic therapies’’ or drugs with inadequate generic competton, including holding meetngs with or providing advice to the drug sponsor prior to submission of the applicaton.</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Hatch-Waxman Patent Certfcaton and the 30-Month Stay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part of the submission of an NDA or certain supplemental applicatons, NDA sponsors are required to list with the FDA each patent with claims that cover the sponsor’s product or an approved method of using the product. Upon approval of a new drug, each of the patents listed in the applicaton for the drug is then published in the Orange Book. The FDA’s regulatons governing patent listngs were largely codifed into law with enactment of the Orange Book Modernizaton Act in January 2021. When an ANDA sponsor fles its applicaton with the FDA, the sponsor is required to certfy to the FDA concerning any patents listed for the reference product in the Orange Book. Specifcally, the ANDA sponsor must certfy that: (i) the required patent informaton has not been fled; (ii) the listed patent has expired; (iii) the listed patent has not expired, but will expire on a partcular date and approval is sought afer patent expiraton; or (iv) the listed patent is invalid or will not be infringed by the new product. Moreover, to the extent that the Secton 505(b)(2) NDA sponsor is relying on studies conducted for an already approved product, the sponsor also is required to certfy to the FDA concerning any patents listed for the NDA-approved product in the Orange Book to the same extent that an ANDA sponsor would.</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If the generic drug or follow-on drug sponsor does not challenge the innovator’s listed patents, FDA will not approve the ANDA or 505(b)(2) applicaton untl all the listed patents claiming the referenced product have expired. A certfcaton that the new generic product will not infringe the already approved product’s listed patents or that such patents are invalid or unenforceable is called a Paragraph IV certfcaton. If the ANDA sponsor has provided a Paragraph IV certfcaton to the FDA, the sponsor must also send notce of the Paragraph IV certfcaton to the NDA owner and patent holders once the ANDA has been accepted for fling by the FDA. The NDA owner and patent holders may then initate a patent infringement lawsuit in response to the notce of the Paragraph IV certfcaton. The fling of a patent infringement lawsuit within 45 days afer the receipt of a Paragraph IV certfcaton automatcally prevents the FDA from approving the ANDA or 505(b)(2) NDA untl the earliest of 30 months afer the receipt of the Paragraph IV notce, expiraton of the patent or a decision in the infringement case that is favorable to the ANDA or 505(b)(2) NDA applicaton.</w:t>
      </w:r>
    </w:p>
    <w:p>
      <w:pPr>
        <w:spacing w:after="0" w:line="11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Pediatric Studies and Exclusivity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Pediatric exclusivity is another type of non-patent marketng exclusivity in the U.S. and, if granted, for drug products, provides for the atachment of an additonal six months of marketng protecton to the term of any existng patent or regulatory exclusivity, including the non-patent and orphan exclusivity. This six-month exclusivity may be granted if an NDA sponsor submits pediatric data that fairly respond to a writen request from the FDA for such data. The data do not need to show the product is efectve in the pediatric populaton studied, rather, if the clinical trial is deemed to fairly respond to the FDA’s request, the additonal protecton is granted. If reports of requested pediatric studies are submited to and accepted by the FDA within the statutory tme limits, whatever statutory or regulatory periods of exclusivity or patent protecton cover the product are extended by six months. This is not a patent term extension, but it efectvely extends the regulatory period during which the FDA cannot approve another applicaton. With regard to patents, the six-month pediatric exclusivity period will not atach to any patents for which an ANDA or 505(b)(2) sponsor submited a Paragraph IV patent certfcaton, unless the NDA sponsor or patent owner frst obtains a court determinaton that the patent is valid and infringed by the proposed product.</w:t>
      </w:r>
    </w:p>
    <w:p>
      <w:pPr>
        <w:spacing w:after="0" w:line="111"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Patent Term Restoraton and Extension</w:t>
      </w:r>
    </w:p>
    <w:p>
      <w:pPr>
        <w:spacing w:after="0" w:line="10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A patent claiming a new drug product may be eligible for a limited patent term extension under the Hatch-Waxman Act, which permits a patent restoraton of up to fve years for patent term lost during product development and the FDA regulatory review. The restoraton period granted is typically one-half the tme between the efectve date of an IND and the submission date of an NDA, plus the tme between the submission date of an NDA and the ultmate approval date. Patent term restoraton cannot be used to extend the remaining term of a patent past a total of 14 years from the product’s approval date. Only one patent applicable to an approved drug product is eligible for the extension, and the applicaton for the extension must be submited prior to the expiraton of the patent in queston. A patent that covers multple drugs for which approval is sought can only be extended in connecton with one of the approvals. The U.S. Patent and Trademark Ofce reviews and approves the applicaton for any patent term extension or restoraton in consultaton with the FDA.</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6" w:name="page37"/>
    <w:bookmarkEnd w:id="3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Federal and State Data Privacy Laws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There are multple privacy and data security laws that may impact our business actvites, in the U.S. and in other countries where we conduct trials or where we may do business in the future. These laws are evolving and may increase both our obligatons and our regulatory risks in the future. In the health care industry generally, under the federal Health Insurance Portability and Accountability Act of 1996, as amended by the Health Informaton Technology for Economic and Clinical Health Act, or </w:t>
      </w:r>
      <w:r>
        <w:rPr>
          <w:rFonts w:ascii="Calibri" w:cs="Calibri" w:eastAsia="Calibri" w:hAnsi="Calibri"/>
          <w:sz w:val="18"/>
          <w:szCs w:val="18"/>
          <w:u w:val="single" w:color="auto"/>
          <w:color w:val="auto"/>
        </w:rPr>
        <w:t>HIPAA</w:t>
      </w:r>
      <w:r>
        <w:rPr>
          <w:rFonts w:ascii="Calibri" w:cs="Calibri" w:eastAsia="Calibri" w:hAnsi="Calibri"/>
          <w:sz w:val="18"/>
          <w:szCs w:val="18"/>
          <w:color w:val="auto"/>
        </w:rPr>
        <w:t>, the HHS has issued regulatons to protect the privacy and security of protected health informaton, or PHI, used or disclosed by covered enttes including certain healthcare providers, health plans and healthcare clearinghouses. HIPAA also regulates standardizaton of data content, codes and formats used in healthcare transactons and standardizaton of identfers for health plans and providers. HIPAA also imposes certain obligatons on the business associates of covered enttes that obtain protected health informaton in providing services to or on behalf of covered enttes. While we are not a covered entty, as a business associate, we could be subject to penaltes, including criminal penaltes, and contractual damages if we knowingly obtain or further disclose PHI from a covered entty, such as a health care provider or clinical research site, and therefore we must ensure the proper authorizatons are in place before we, or our vendors or business partners, obtain access to any PHI. In additon to federal privacy regulatons, there are a number of state laws governing confdentality and security of health informaton that may be applicable to our business. In additon to possible federal civil and criminal penaltes for HIPAA violatons, state atorneys general are authorized to fle civil actons for damages or injunctons in federal courts to enforce HIPAA and seek atorney’s fees and costs associated with pursuing federal civil actons. In additon, state atorneys general (along with private plaintfs) have brought civil actons seeking injunctons and damages resultng from alleged violatons of HIPAA’s privacy and security rules. State atorneys general also have authority to enforce state privacy and security laws. New laws and regulatons governing privacy and security may be adopted in the future as well.</w:t>
      </w:r>
    </w:p>
    <w:p>
      <w:pPr>
        <w:spacing w:after="0" w:line="12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November 2020, California enacted legislaton that has been dubbed the frst “GDPR-like” law in the U.S. Known as the California Consumer Privacy Act, or </w:t>
      </w:r>
      <w:r>
        <w:rPr>
          <w:rFonts w:ascii="Calibri" w:cs="Calibri" w:eastAsia="Calibri" w:hAnsi="Calibri"/>
          <w:sz w:val="18"/>
          <w:szCs w:val="18"/>
          <w:u w:val="single" w:color="auto"/>
          <w:color w:val="auto"/>
        </w:rPr>
        <w:t>CCPA</w:t>
      </w:r>
      <w:r>
        <w:rPr>
          <w:rFonts w:ascii="Calibri" w:cs="Calibri" w:eastAsia="Calibri" w:hAnsi="Calibri"/>
          <w:sz w:val="18"/>
          <w:szCs w:val="18"/>
          <w:color w:val="auto"/>
        </w:rPr>
        <w:t xml:space="preserve">, it creates new individual privacy rights for consumers (as that word is broadly defned in the law) and places increased privacy and security obligatons on enttes handling personal data of consumers or households. The CCPA went into efect on January 1, 2020 and requires covered companies to provide new disclosures to California consumers, provide such consumers rights as it relates to their personal informaton, and allow for a new cause of acton for data breaches. Additonally, startng on January 1, 2023, the California Privacy Rights Act, or </w:t>
      </w:r>
      <w:r>
        <w:rPr>
          <w:rFonts w:ascii="Calibri" w:cs="Calibri" w:eastAsia="Calibri" w:hAnsi="Calibri"/>
          <w:sz w:val="18"/>
          <w:szCs w:val="18"/>
          <w:u w:val="single" w:color="auto"/>
          <w:color w:val="auto"/>
        </w:rPr>
        <w:t>CPRA</w:t>
      </w:r>
      <w:r>
        <w:rPr>
          <w:rFonts w:ascii="Calibri" w:cs="Calibri" w:eastAsia="Calibri" w:hAnsi="Calibri"/>
          <w:sz w:val="18"/>
          <w:szCs w:val="18"/>
          <w:color w:val="auto"/>
        </w:rPr>
        <w:t>, signifcantly modifed the CCPA, including by expanding consumers’ rights, partcularly with respect to certain sensitve personal informaton and creatng new principles, such as data minimizaton, purpose limitaton, and storage limitaton. The CPRA also created a new state agency that will be vested with authority to implement and enforce the CCPA and the CPRA. The CCPA and CPRA could impact our business actvites depending on how it is interpreted and exemplifes the vulnerability of our business to not only cyber threats but also the evolving regulatory environment related to personal data and individually identfable health informaton. These provisions may apply to some of our business actvites.</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to California, at least eighteen other states have passed comprehensive privacy laws similar to the CCPA and CPRA. These laws are either in efect or will go into efect sometme before the end of 2026. Like the CCPA and CPRA, these laws create obligatons related to the processing of personal informaton, as well as special obligatons for the processing of “sensitve” data, which includes health data in some cases. Some of the provisions of these laws may apply to our business actvites. There are also states that are strongly considering or have already passed comprehensive privacy laws during the 2024 legislatve sessions that will go into efect in 2025 and beyond. Other states will be considering similar laws in the future, and Congress has also been debatng passing a federal privacy law. There are also states that are specifcally regulatng health informaton that may afect our business. For example, the state of Washington passed the My Health My Data Act in 2023 which specifcally regulated health informaton that is not otherwise regulated by the HIPAA rules, and the law also has a private right of acton, which further increases the relevant compliance risk. Connectcut and Nevada have also passed similar laws regulatng consumer health data, and more states are considering such legislaton. These laws may impact our business actvites, including our identfcaton of research subjects, relatonships with business partners and ultmately the marketng and distributon of our products.</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Plaintfs’ lawyers are also increasingly using privacy-related statutes at both the state and federal level to bring lawsuits against companies for their data-related practces. In partcular, there have been a signifcant number of cases fled against companies for their use of pixels and other web trackers. These cases ofen allege violatons of the California Invasion of Privacy Act and other state laws regulatng wiretapping, as well as the federal Video Privacy Protecton Act.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Because of the breadth of these laws and the narrowness of the statutory exceptons and regulatory safe harbors available under such laws, it is possible that some of our current or future business actvites, including certain clinical research, sales and marketng practces and the provision of certain items and services to our customers, could be subject to challenge under one or more of such privacy and data security laws. The heightening compliance environment and the need to build and maintain robust and secure systems to comply with diferent privacy compliance and/or reportng requirements in multple jurisdictons could increase the possibility that a healthcare company may fail to comply fully with one or more of these requirements. If our operatons are found to be in violaton of any of the privacy or data security laws or regulatons described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7" w:name="page38"/>
    <w:bookmarkEnd w:id="3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above that are applicable to us, or any other laws that apply to us, we may be subject to penaltes, including potentally signifcant criminal, civil and administratve penaltes, damages, fnes, imprisonment, contractual damages, reputatonal harm, diminished profts and future earnings, additonal reportng requirements and/or oversight if we become subject to a consent decree or similar agreement to resolve allegatons of non-compliance with these laws, and the curtailment or restructuring of our operatons, any of which could adversely afect our ability to operate our business and our results of operatons. To the extent that any product candidates we may develop, once approved, are sold in a foreign country, we may be subject to similar foreign laws.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Review and Approval of Drug Products Outside the U.S.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order to market any product outside of the U.S., a sponsor must also comply with numerous and varying regulatory requirements of other countries and jurisdictons regarding quality, safety and efcacy and governing, among other things, clinical trials, marketng authorizaton, commercial sales and distributon of drug products. Whether or not it obtains FDA approval for a product, the company would need to obtain the necessary approvals by the comparable foreign regulatory authorites before it can commence clinical trials or marketng of the product in those countries or jurisdictons. The approval process ultmately varies between countries and jurisdictons and can involve additonal product testng and additonal administratve review periods. The tme required to obtain approval in other countries and jurisdictons might difer from and be longer than that required to obtain FDA approval. Regulatory approval in one country or jurisdicton does not ensure regulatory approval in another, but a failure or delay in obtaining regulatory approval in one country or jurisdicton may negatvely impact the regulatory process in others.</w:t>
      </w:r>
    </w:p>
    <w:p>
      <w:pPr>
        <w:spacing w:after="0" w:line="11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Non-clinical Studies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Non-clinical studies are performed to demonstrate the health or environmental safety of new chemical or biological substances. Non-clinical (pharmaco-toxicological) studies must be conducted in compliance with the principles of GLP as set forth in EU Directve 2004/10/EC (unless otherwise justfed for certain partcular medicinal products such as, for example, radio-pharmaceutcal precursors for radio-labeling purposes). In partcular, non-clinical studies, both in vitro and in vivo, must be planned, performed, monitored, recorded, reported and archived in accordance with the GLP principles, which defne a set of rules and criteria for a quality system for the organizatonal process and the conditons for non-clinical studies. These GLP standards refect the Organizaton for Economic Co-operaton and Development requirements.</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Clinical Trial Approval in the EU</w:t>
      </w:r>
    </w:p>
    <w:p>
      <w:pPr>
        <w:spacing w:after="0" w:line="96" w:lineRule="exact"/>
        <w:rPr>
          <w:sz w:val="20"/>
          <w:szCs w:val="20"/>
          <w:color w:val="auto"/>
        </w:rPr>
      </w:pPr>
    </w:p>
    <w:p>
      <w:pPr>
        <w:jc w:val="both"/>
        <w:spacing w:after="0" w:line="223" w:lineRule="auto"/>
        <w:rPr>
          <w:sz w:val="20"/>
          <w:szCs w:val="20"/>
          <w:color w:val="auto"/>
        </w:rPr>
      </w:pPr>
      <w:r>
        <w:rPr>
          <w:rFonts w:ascii="Calibri" w:cs="Calibri" w:eastAsia="Calibri" w:hAnsi="Calibri"/>
          <w:sz w:val="18"/>
          <w:szCs w:val="18"/>
          <w:color w:val="auto"/>
        </w:rPr>
        <w:t xml:space="preserve">On January 31, 2022, the Clinical Trials Regulaton (EU) No 536/2014 became efectve in the EU and replaced the prior Clinical Trials Directve 2001/20/EC. The Clinical Trials Regulaton aims to simplify and streamline the authorizaton, conduct and transparency of clinical trials in the EU. Under the new coordinated procedure for the approval of clinical trials, the sponsor of a clinical trial to be conducted in more than one Member State of the EU, or an </w:t>
      </w:r>
      <w:r>
        <w:rPr>
          <w:rFonts w:ascii="Calibri" w:cs="Calibri" w:eastAsia="Calibri" w:hAnsi="Calibri"/>
          <w:sz w:val="18"/>
          <w:szCs w:val="18"/>
          <w:u w:val="single" w:color="auto"/>
          <w:color w:val="auto"/>
        </w:rPr>
        <w:t>EU</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auto"/>
        </w:rPr>
        <w:t>Member State</w:t>
      </w:r>
      <w:r>
        <w:rPr>
          <w:rFonts w:ascii="Calibri" w:cs="Calibri" w:eastAsia="Calibri" w:hAnsi="Calibri"/>
          <w:sz w:val="18"/>
          <w:szCs w:val="18"/>
          <w:color w:val="auto"/>
        </w:rPr>
        <w:t xml:space="preserve">, will only be required to submit a single applicaton for approval. The submission will be made through the Clinical Trials Informaton System, a new clinical trials portal overseen by the European Medicines Agency, or </w:t>
      </w:r>
      <w:r>
        <w:rPr>
          <w:rFonts w:ascii="Calibri" w:cs="Calibri" w:eastAsia="Calibri" w:hAnsi="Calibri"/>
          <w:sz w:val="18"/>
          <w:szCs w:val="18"/>
          <w:u w:val="single" w:color="auto"/>
          <w:color w:val="auto"/>
        </w:rPr>
        <w:t>EMA</w:t>
      </w:r>
      <w:r>
        <w:rPr>
          <w:rFonts w:ascii="Calibri" w:cs="Calibri" w:eastAsia="Calibri" w:hAnsi="Calibri"/>
          <w:sz w:val="18"/>
          <w:szCs w:val="18"/>
          <w:color w:val="auto"/>
        </w:rPr>
        <w:t>, and available to clinical trial sponsors, competent authorites of the EU Member States and the public.</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main characteristcs of the regulaton include: a streamlined applicaton procedure via a single entry point, the “EU Portal and Database”; a single set of documents to be prepared and submited for the applicaton as well as simplifed reportng procedures for clinical trial sponsors; and a harmonized procedure for the assessment of applicatons for clinical trials, which is divided in two parts. Part I is assessed by the appointed reportng EU Member State, whose assessment report is submited for review by the sponsor and all other competent authorites of all EU Member States in which an applicaton for authorizaton of a clinical trial has been submited, or concerned member states. Part II is assessed separately by each concerned member state. Strict deadlines have been established for the assessment of clinical trial applicatons. The role of the relevant ethics commitees in the assessment procedure will contnue to be governed by the natonal law of the concerned member state. However, overall related tmelines will be defned by the Clinical Trials Regulaton.</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Clinical Trials Regulaton did not change the preexistng requirement that a sponsor must obtain prior approval from the competent natonal authority of the EU Member State in which the clinical trial is to be conducted. If the clinical trial is conducted in diferent EU Member States, the competent authorites in each of these EU Member States must provide their approval for the conduct of the clinical trial. Furthermore, the sponsor may only start a clinical trial at a specifc clinical site afer the applicable ethics commitee has issued a favorable opinion. The Clinical Trials Regulaton will apply to any future clinical trials that we conduct in the EU.</w:t>
      </w:r>
    </w:p>
    <w:p>
      <w:pPr>
        <w:spacing w:after="0" w:line="112" w:lineRule="exact"/>
        <w:rPr>
          <w:sz w:val="20"/>
          <w:szCs w:val="20"/>
          <w:color w:val="auto"/>
        </w:rPr>
      </w:pPr>
    </w:p>
    <w:p>
      <w:pPr>
        <w:ind w:right="220"/>
        <w:spacing w:after="0" w:line="348" w:lineRule="auto"/>
        <w:rPr>
          <w:sz w:val="20"/>
          <w:szCs w:val="20"/>
          <w:color w:val="auto"/>
        </w:rPr>
      </w:pPr>
      <w:r>
        <w:rPr>
          <w:rFonts w:ascii="Calibri" w:cs="Calibri" w:eastAsia="Calibri" w:hAnsi="Calibri"/>
          <w:sz w:val="18"/>
          <w:szCs w:val="18"/>
          <w:color w:val="auto"/>
        </w:rPr>
        <w:t xml:space="preserve">Partes conductng certain clinical trials must, as in the U.S., post clinical trial informaton in the EU at the EudraCT website: htps://eudract.ema.europa.eu. </w:t>
      </w:r>
      <w:r>
        <w:rPr>
          <w:rFonts w:ascii="Calibri" w:cs="Calibri" w:eastAsia="Calibri" w:hAnsi="Calibri"/>
          <w:sz w:val="18"/>
          <w:szCs w:val="18"/>
          <w:i w:val="1"/>
          <w:iCs w:val="1"/>
          <w:color w:val="auto"/>
        </w:rPr>
        <w:t>PRIME Designaton in the European Union</w:t>
      </w:r>
    </w:p>
    <w:p>
      <w:pPr>
        <w:spacing w:after="0" w:line="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March 2016, the EMA launched an initatve, the PRIority MEdicines, or </w:t>
      </w:r>
      <w:r>
        <w:rPr>
          <w:rFonts w:ascii="Calibri" w:cs="Calibri" w:eastAsia="Calibri" w:hAnsi="Calibri"/>
          <w:sz w:val="18"/>
          <w:szCs w:val="18"/>
          <w:u w:val="single" w:color="auto"/>
          <w:color w:val="auto"/>
        </w:rPr>
        <w:t>PRIME</w:t>
      </w:r>
      <w:r>
        <w:rPr>
          <w:rFonts w:ascii="Calibri" w:cs="Calibri" w:eastAsia="Calibri" w:hAnsi="Calibri"/>
          <w:sz w:val="18"/>
          <w:szCs w:val="18"/>
          <w:color w:val="auto"/>
        </w:rPr>
        <w:t>, scheme, to facilitate development of product candidates in indicatons, ofen rare, for which few or no therapies currently exist. The PRIME scheme is intended to</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8" w:name="page39"/>
    <w:bookmarkEnd w:id="3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encourage drug development in areas of unmet medical need and provides accelerated assessment of products representng substantal innovaton reviewed under the centralized procedure. Products from small- and medium-sized enterprises, or SMEs, may qualify for earlier entry into the PRIME scheme than larger companies. Many benefts accrue to sponsors of product candidates with PRIME designaton, including but not limited to, early and proactve regulatory dialogue with the EMA, frequent discussions on clinical trial designs and other development program elements, and accelerated marketng authorizaton applicaton, or MAA, assessment once a dossier has been submited. Importantly, a dedicated agency contact and rapporteur from the Commitee for Human Medicinal Products, or </w:t>
      </w:r>
      <w:r>
        <w:rPr>
          <w:rFonts w:ascii="Calibri" w:cs="Calibri" w:eastAsia="Calibri" w:hAnsi="Calibri"/>
          <w:sz w:val="18"/>
          <w:szCs w:val="18"/>
          <w:u w:val="single" w:color="auto"/>
          <w:color w:val="auto"/>
        </w:rPr>
        <w:t>CHMP</w:t>
      </w:r>
      <w:r>
        <w:rPr>
          <w:rFonts w:ascii="Calibri" w:cs="Calibri" w:eastAsia="Calibri" w:hAnsi="Calibri"/>
          <w:sz w:val="18"/>
          <w:szCs w:val="18"/>
          <w:color w:val="auto"/>
        </w:rPr>
        <w:t>, or Commitee for Advanced Therapies are appointed early in the PRIME scheme, facilitatng increased understanding of the product at the EMA’s commitee level. A kick-of meetng initates these relatonships and includes a team of multdisciplinary experts at the EMA to provide guidance on the overall development and regulatory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-426720</wp:posOffset>
            </wp:positionV>
            <wp:extent cx="266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6700" cy="8255"/>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Pediatric Studies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Prior to obtaining a marketng authorizaton in the EU, sponsors have to demonstrate compliance with all measures included in an EMA-approved Pediatric Investgaton Plan, or </w:t>
      </w:r>
      <w:r>
        <w:rPr>
          <w:rFonts w:ascii="Calibri" w:cs="Calibri" w:eastAsia="Calibri" w:hAnsi="Calibri"/>
          <w:sz w:val="18"/>
          <w:szCs w:val="18"/>
          <w:u w:val="single" w:color="auto"/>
          <w:color w:val="auto"/>
        </w:rPr>
        <w:t>PIP</w:t>
      </w:r>
      <w:r>
        <w:rPr>
          <w:rFonts w:ascii="Calibri" w:cs="Calibri" w:eastAsia="Calibri" w:hAnsi="Calibri"/>
          <w:sz w:val="18"/>
          <w:szCs w:val="18"/>
          <w:color w:val="auto"/>
        </w:rPr>
        <w:t xml:space="preserve">, covering all subsets of the pediatric populaton, unless the EMA has granted a product-specifc waiver, a class waiver or a deferral for one or more of the measures included in the PIP. The respectve requirements for all marketng authorizaton procedures are set forth in Regulaton (EC) No 1901/2006, which is referred to as the Pediatric Regulaton. This requirement also applies when a company wants to add a new indicaton, pharmaceutcal form or route of administraton for a medicine that is already authorized. The Pediatric Commitee of the EMA, or </w:t>
      </w:r>
      <w:r>
        <w:rPr>
          <w:rFonts w:ascii="Calibri" w:cs="Calibri" w:eastAsia="Calibri" w:hAnsi="Calibri"/>
          <w:sz w:val="18"/>
          <w:szCs w:val="18"/>
          <w:u w:val="single" w:color="auto"/>
          <w:color w:val="auto"/>
        </w:rPr>
        <w:t>PDCO</w:t>
      </w:r>
      <w:r>
        <w:rPr>
          <w:rFonts w:ascii="Calibri" w:cs="Calibri" w:eastAsia="Calibri" w:hAnsi="Calibri"/>
          <w:sz w:val="18"/>
          <w:szCs w:val="18"/>
          <w:color w:val="auto"/>
        </w:rPr>
        <w:t>, may grant deferrals for some medicines, allowing a company to delay development of the medicine in children untl there is enough informaton to demonstrate its efectveness and safety in adults. The PDCO may also grant waivers when development of a medicine in children is not needed or is not appropriate because (a) the product is likely to be inefectve or unsafe in part or all of the pediatric populaton; (b) the disease or conditon occurs only in adult populaton; or (c) the product does not represent a signifcant therapeutc beneft over existng treatments for pediatric populaton. Before a marketng authorizaton applicaton can be fled, or an existng marketng authorizaton can be amended, the EMA determines that companies actually comply with the agreed studies and measures listed in each relevant PIP.</w:t>
      </w:r>
    </w:p>
    <w:p>
      <w:pPr>
        <w:spacing w:after="0" w:line="11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Marketng Authorizaton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 obtain marketng approval of a product under EU regulatory systems, a sponsor must submit an MAA either under a centralized or decentralized procedure. The centralized procedure provides for the grant of a single marketng authorizaton by the European Commission that is valid for all EU member states. The centralized procedure is compulsory for specifc products, including for medicines produced by certain biotechnological processes, products designated as orphan medicinal products, advanced therapy products and products with a new actve substance indicated for the treatment of certain diseases. For products with a new actve substance indicated for the treatment of other diseases and products that are highly innovatve or for which a centralized process is in the interest of patents, the centralized procedure may be optonal.</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Under the centralized procedure, the CHMP established at the EMA is responsible for conductng the inital assessment of a product. The CHMP is also responsible for several post-authorizaton and maintenance actvites, such as the assessment of modifcatons or extensions to an existng marketng authorizaton. Under the centralized procedure in the EU, the maximum tmeframe for the evaluaton of an MAA is 210 days, excluding clock stops, when additonal informaton or writen or oral explanaton is to be provided by the sponsor in response to questons of the CHMP. Accelerated evaluaton might be granted by the CHMP in exceptonal cases, when a medicinal product is of major interest from the point of view of public health and in partcular from the viewpoint of therapeutc innovaton. In this circumstance, the EMA ensures that the opinion of the CHMP is given within 150 days.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decentralized procedure is available to sponsors who wish to market a product in various EU Member States where such product has not received marketng approval in any EU Member State before. The decentralized procedure provides for approval by one or more other, or concerned, member states of an assessment of an applicaton performed by one member state designated by the sponsor, known as the reference member state. Under this procedure, a sponsor submits an applicaton based on identcal dossiers and related materials, including a draf summary of product characteristcs, and draf labeling and package leafet, to the reference member state and concerned member states. The reference member state prepares a draf assessment report and drafs of the related materials within 210 days afer receipt of a valid applicaton. Within 90 days of receiving the reference member state’s assessment report and related materials, each concerned member state must decide whether to approve the assessment report and related materials.</w:t>
      </w:r>
    </w:p>
    <w:p>
      <w:pPr>
        <w:spacing w:after="0" w:line="114"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auto"/>
        </w:rPr>
        <w:t>If a member state cannot approve the assessment report and related materials on the grounds of potental serious risk to public health, the disputed points are subject to a dispute resoluton mechanism and may eventually be referred to the European Commission, whose decision is binding on all member states.</w:t>
      </w:r>
    </w:p>
    <w:p>
      <w:pPr>
        <w:spacing w:after="0" w:line="9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marketng authorizaton may be granted only to a sponsor established in the EU. Once the marketng authorizaton is obtained in all member states of the EU and study results are included in the product informaton, even when negatve, the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9" w:name="page40"/>
    <w:bookmarkEnd w:id="3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product is eligible for six months’ supplementary protecton certfcate extension. For orphan-designated medicinal products, the 10-year period of market exclusivity is extended to 12 years.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Periods of Authorizaton and Renewals in the EU</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marketng authorizaton is valid for fve years, in principle, and it may be renewed afer fve years on the basis of a reevaluaton of the risk-beneft balance by the EMA or by the competent authority of the relevant EU Member State. To that end, the marketng authorizaton holder must provide the EMA or the relevant competent authority of the EU Member State with a consolidated version of the fle in respect of quality, safety and efcacy, including all variatons introduced since the marketng authorizaton was granted, at least six months before the marketng authorizaton ceases to be valid. Once renewed, the marketng authorizaton is valid for an unlimited period, unless the EC or the relevant competent authority of the EU Member State decides, on justfed grounds relatng to pharmacovigilance, to proceed with one additonal fve-year renewal period. Any marketng authorizaton that is not followed by the marketng of the medicinal product on the EU market (in the case of the centralized procedure) or on the market of the EU Member State which delivered the marketng authorizaton within three years afer authorizaton ceases to be valid.</w:t>
      </w:r>
    </w:p>
    <w:p>
      <w:pPr>
        <w:spacing w:after="0" w:line="11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Post-Approval Requirements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As in the U.S., both marketng authorizaton, or </w:t>
      </w:r>
      <w:r>
        <w:rPr>
          <w:rFonts w:ascii="Calibri" w:cs="Calibri" w:eastAsia="Calibri" w:hAnsi="Calibri"/>
          <w:sz w:val="18"/>
          <w:szCs w:val="18"/>
          <w:u w:val="single" w:color="auto"/>
          <w:color w:val="auto"/>
        </w:rPr>
        <w:t>MA</w:t>
      </w:r>
      <w:r>
        <w:rPr>
          <w:rFonts w:ascii="Calibri" w:cs="Calibri" w:eastAsia="Calibri" w:hAnsi="Calibri"/>
          <w:sz w:val="18"/>
          <w:szCs w:val="18"/>
          <w:color w:val="auto"/>
        </w:rPr>
        <w:t xml:space="preserve">, holders and manufacturers of medicinal products are subject to comprehensive regulatory oversight by the EMA, the EC, and the competent authorites of EU Member States. The MA holder must, for example, comply with EU pharmacovigilance legislaton and its related regulatons and guidelines which entail many requirements for conductng pharmacovigilance, or the assessment and monitoring of the safety of medicinal products. In partcular, the MA holder must establish and maintain a pharmacovigilance system and appoint an individual qualifed person for pharmacovigilance who is responsible for the establishment and maintenance of that system, and oversees the safety profles of medicinal products and any emerging safety concerns. Key obligatons include expedited reportng of suspected serious adverse reactons and submission of periodic safety update reports, or </w:t>
      </w:r>
      <w:r>
        <w:rPr>
          <w:rFonts w:ascii="Calibri" w:cs="Calibri" w:eastAsia="Calibri" w:hAnsi="Calibri"/>
          <w:sz w:val="18"/>
          <w:szCs w:val="18"/>
          <w:u w:val="single" w:color="auto"/>
          <w:color w:val="auto"/>
        </w:rPr>
        <w:t>PSURs</w:t>
      </w:r>
      <w:r>
        <w:rPr>
          <w:rFonts w:ascii="Calibri" w:cs="Calibri" w:eastAsia="Calibri" w:hAnsi="Calibri"/>
          <w:sz w:val="18"/>
          <w:szCs w:val="18"/>
          <w:color w:val="auto"/>
        </w:rPr>
        <w:t>.</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All new MAAs must include a risk management plan, or </w:t>
      </w:r>
      <w:r>
        <w:rPr>
          <w:rFonts w:ascii="Calibri" w:cs="Calibri" w:eastAsia="Calibri" w:hAnsi="Calibri"/>
          <w:sz w:val="18"/>
          <w:szCs w:val="18"/>
          <w:u w:val="single" w:color="auto"/>
          <w:color w:val="auto"/>
        </w:rPr>
        <w:t>RMP</w:t>
      </w:r>
      <w:r>
        <w:rPr>
          <w:rFonts w:ascii="Calibri" w:cs="Calibri" w:eastAsia="Calibri" w:hAnsi="Calibri"/>
          <w:sz w:val="18"/>
          <w:szCs w:val="18"/>
          <w:color w:val="auto"/>
        </w:rPr>
        <w:t>, describing the risk management system that the company will put in place and documentng measures to prevent or minimize the risks associated with the product. The regulatory authorites may also impose specifc obligatons as a conditon of the MA. Such risk-minimizaton measures or post-authorizaton obligatons may include additonal safety monitoring, more frequent submission of PSURs, or the conduct of additonal clinical trials or post-authorizaton safety studies.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manufacturing process for medicinal products in the EU is also highly regulated and regulators may shut down manufacturing facilites that they believe do not comply with regulatons. Manufacturing requires a manufacturing authorizaton, and the manufacturing authorizaton holder must comply with various requirements set out in the applicable EU laws, including compliance with EU GMP standards when manufacturing medicinal products and actve pharmaceutcal ingredient.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the EU, the advertsing and promoton of approved products are subject to laws governing promoton of medicinal products, interactons with physicians, misleading and comparatve advertsing, and unfair commercial practces. These laws require that promotonal materials and advertsing in relaton to medicinal products comply with the product’s Summary of Product Characteristcs, or </w:t>
      </w:r>
      <w:r>
        <w:rPr>
          <w:rFonts w:ascii="Calibri" w:cs="Calibri" w:eastAsia="Calibri" w:hAnsi="Calibri"/>
          <w:sz w:val="18"/>
          <w:szCs w:val="18"/>
          <w:u w:val="single" w:color="auto"/>
          <w:color w:val="auto"/>
        </w:rPr>
        <w:t>SmPC</w:t>
      </w:r>
      <w:r>
        <w:rPr>
          <w:rFonts w:ascii="Calibri" w:cs="Calibri" w:eastAsia="Calibri" w:hAnsi="Calibri"/>
          <w:sz w:val="18"/>
          <w:szCs w:val="18"/>
          <w:color w:val="auto"/>
        </w:rPr>
        <w:t>, as approved by the competent authorites. Promoton of a medicinal product that does not comply with the SmPC is considered to consttute of-label promoton, which is prohibited in the EU. Direct-to-consumer advertsing of prescripton medicines is also prohibited in the EU. Although general requirements for advertsing and promoton of medicinal products are established under EU directves, the details are governed by regulatons in each EU Member State and can difer from one country to another.</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color w:val="auto"/>
        </w:rPr>
        <w:t>The aforementoned EU rules are generally applicable in the EEA.</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Failure to comply with EU and EU Member State laws that apply to the conduct of clinical trials, manufacturing approval, MA of medicinal products and marketng of such products, both before and afer grant of the MA, manufacturing of pharmaceutcal products, statutory health insurance, bribery and ant-corrupton or with other applicable regulatory requirements may result in administratve, civil or criminal penaltes. These penaltes could include delays or refusal to authorize the conduct of clinical trials, or to grant MA, product withdrawals and recalls, product seizures, suspension, withdrawal or variaton of the MA, total or partal suspension of producton, distributon, manufacturing or clinical trials, operatng restrictons, injunctons, suspension of licenses, fnes and criminal penaltes.</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Regulatory Data Exclusivity in the EU</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the EU, innovatve medicinal products authorized in the EU on the basis of a full marketng authorizaton applicaton (as opposed to an applicaton for marketng authorizaton that relies on data available in the marketng authorizaton dossier for another, previously approved, medicinal product) are enttled to eight years of data exclusivity. During this period, sponsors for authorizaton of generics of these innovatve products cannot rely on data contained in the marketng authorizaton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0" w:name="page41"/>
    <w:bookmarkEnd w:id="4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dossier submited for the innovatve medicinal product. Innovatve medicinal products are also enttled to a total of ten years’ market exclusivity. During this ten-year period no generic of this medicinal product can be placed on the EU market. The overall ten-year period will be extended to a maximum of eleven years if, during the frst eight years of those ten years, the marketng authorizaton holder obtains an authorizaton for one or more new therapeutc indicatons which, during the scientfc evaluaton prior to authorizaton, is held to bring a signifcant clinical beneft in comparison with existng therapies. Even if a compound is considered to be a NCE so that the innovator gains the prescribed period of data exclusivity, another company may market another version of the product if such company obtained marketng authorizaton based on an MAA with a complete independent data package of pharmaceutcal tests, preclinical tests and clinical trials.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this context, it should be noted that the EU pharmaceutcal legislaton is currently undergoing a complete review process, in the context of the Pharmaceutcal Strategy for Europe initatve, launched by the European Commission in November 2020. The European Commission’s proposal for revision of several legislatve instruments related to medicinal products was published in April 2023 and includes, among other things, provisions that would potentally reduce the duraton of regulatory data protecton. The European Parliament requested several amendments in April 2024. At this tme, the proposed revisions remain to be agreed and adopted by the European Parliament and European Council and the proposals may therefore be substantally revised before adopton, which is not antcipated before early 2026. The revisions may, however, have a signifcant impact on the pharmaceutcal industry in the long term, if and when adopted.</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Pediatric Exclusivity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If a sponsor obtains a marketng authorizaton in all EU Member States, or a marketng authorizaton granted in the centralized procedure by the EC, and the study results for the pediatric populaton are included in the product informaton, even when negatve, the medicine is then eligible for an additonal six-month period of qualifying patent protecton through extension of the term of the Supplementary Protecton Certfcate, or </w:t>
      </w:r>
      <w:r>
        <w:rPr>
          <w:rFonts w:ascii="Calibri" w:cs="Calibri" w:eastAsia="Calibri" w:hAnsi="Calibri"/>
          <w:sz w:val="18"/>
          <w:szCs w:val="18"/>
          <w:u w:val="single" w:color="auto"/>
          <w:color w:val="auto"/>
        </w:rPr>
        <w:t>SPC</w:t>
      </w:r>
      <w:r>
        <w:rPr>
          <w:rFonts w:ascii="Calibri" w:cs="Calibri" w:eastAsia="Calibri" w:hAnsi="Calibri"/>
          <w:sz w:val="18"/>
          <w:szCs w:val="18"/>
          <w:color w:val="auto"/>
        </w:rPr>
        <w:t>, or alternatvely a one year extension of the regulatory market exclusivity from ten to eleven years, as selected by the marketng authorizaton holder.</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Access Consortum</w:t>
      </w:r>
    </w:p>
    <w:p>
      <w:pPr>
        <w:spacing w:after="0" w:line="109"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 xml:space="preserve">In October 2020, the Medicines and Healthcare products Regulatory Agency, or </w:t>
      </w:r>
      <w:r>
        <w:rPr>
          <w:rFonts w:ascii="Calibri" w:cs="Calibri" w:eastAsia="Calibri" w:hAnsi="Calibri"/>
          <w:sz w:val="17"/>
          <w:szCs w:val="17"/>
          <w:u w:val="single" w:color="auto"/>
          <w:color w:val="auto"/>
        </w:rPr>
        <w:t>MHRA</w:t>
      </w:r>
      <w:r>
        <w:rPr>
          <w:rFonts w:ascii="Calibri" w:cs="Calibri" w:eastAsia="Calibri" w:hAnsi="Calibri"/>
          <w:sz w:val="17"/>
          <w:szCs w:val="17"/>
          <w:color w:val="auto"/>
        </w:rPr>
        <w:t>, joined the Access Consortum along with the Australian Therapeutc Goods Administraton of Australia, Health Canada, Health Sciences Authority of Singapore and Swissmedic. The consortum is a coaliton of these regulatory authorites that work together to promote greater regulatory collaboraton and alignment of regulatory requirements. The consortum’s goal is to maximize internatonal co-operaton between partners in the consortum, reduce duplicaton, and increase each agency’s capacity to ensure patents have tmely access to high quality, safe and efectve therapeutc products. The MHRA commenced work-sharing applicatons with Access partners on January 1, 2021. Access Consortum working group members have regular meetngs to exchange informaton on regulatory issues and challenges faced by the partcipatng regulatory agencies, including issues on clinical trials, marketng authorizatons, product manufacturing site inspectons, post-marketng surveillance, joint development of technical guidelines or regulatory standards, and collaboraton on informaton platorms. The Access consortum has developed three authorizaton procedures: the New Actve Substance and Biosimilar Work Sharing Initatves and the Generic Medicine Work Sharing Initatve.</w:t>
      </w:r>
    </w:p>
    <w:p>
      <w:pPr>
        <w:spacing w:after="0" w:line="10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General Data Protecton Regulaton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Many countries outside of the U.S. maintain rigorous laws governing the privacy and security of personal informaton. The collecton, use, disclosure, transfer, or other processing of personal data, including personal health data, regarding individuals who are located in the EEA, and the processing of personal data that takes place in the EEA, is subject to the European Union General Data Protecton Regulaton, or </w:t>
      </w:r>
      <w:r>
        <w:rPr>
          <w:rFonts w:ascii="Calibri" w:cs="Calibri" w:eastAsia="Calibri" w:hAnsi="Calibri"/>
          <w:sz w:val="18"/>
          <w:szCs w:val="18"/>
          <w:u w:val="single" w:color="auto"/>
          <w:color w:val="auto"/>
        </w:rPr>
        <w:t>GDPR</w:t>
      </w:r>
      <w:r>
        <w:rPr>
          <w:rFonts w:ascii="Calibri" w:cs="Calibri" w:eastAsia="Calibri" w:hAnsi="Calibri"/>
          <w:sz w:val="18"/>
          <w:szCs w:val="18"/>
          <w:color w:val="auto"/>
        </w:rPr>
        <w:t>, which became efectve on May 25, 2018. The GDPR is wide-ranging in scope and imposes numerous requirements on companies that process personal data, and it imposes heightened requirements on companies that process health and other sensitve data, such as requiring in many situatons that a company obtain the consent of the individuals to whom the sensitve personal data relate before processing such data. Examples of obligatons imposed by the GDPR on companies processing personal data that fall within the scope of the GDPR include providing informaton to individuals regarding data processing actvites, implementng safeguards to protect the security and confdentality of personal data, appointng a data protecton ofcer, providing notfcaton of data breaches and taking certain measures when engaging third-party processors.</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GDPR also imposes strict rules on the transfer of personal data to countries outside the EEA, including the U.S., and permits data protecton authorites to impose large penaltes for violatons of the GDPR, including potental fnes of up to €20 million or 4% of annual global revenues, whichever is greater. The GDPR also confers a private right of acton on data subjects and consumer associatons to lodge complaints with supervisory authorites, seek judicial remedies, and obtain compensaton for damages resultng from violatons of the GDPR. Compliance with the GDPR is a rigorous and tme-intensive process that may increase the cost of doing business or require companies to change their business practces to ensure full compliance.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1" w:name="page42"/>
    <w:bookmarkEnd w:id="4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There are ongoing concerns about the ability of companies to transfer personal data from the EU to other countries. In July 2020, the Court of Justce of the EU, or the </w:t>
      </w:r>
      <w:r>
        <w:rPr>
          <w:rFonts w:ascii="Calibri" w:cs="Calibri" w:eastAsia="Calibri" w:hAnsi="Calibri"/>
          <w:sz w:val="18"/>
          <w:szCs w:val="18"/>
          <w:u w:val="single" w:color="auto"/>
          <w:color w:val="auto"/>
        </w:rPr>
        <w:t>CJEU</w:t>
      </w:r>
      <w:r>
        <w:rPr>
          <w:rFonts w:ascii="Calibri" w:cs="Calibri" w:eastAsia="Calibri" w:hAnsi="Calibri"/>
          <w:sz w:val="18"/>
          <w:szCs w:val="18"/>
          <w:color w:val="auto"/>
        </w:rPr>
        <w:t>, invalidated the EU-U.S. Privacy Shield framework, one of the mechanisms used to legitmize the transfer of personal data from the EEA to the U.S. The CJEU decision also drew into queston the long-term viability of an alternatve means of data transfer, the standard contractual clauses, for transfers of personal data from the EEA to the U.S. This CJEU decision may lead to increased scrutny on data transfers from the EU to the U.S. generally and increase our costs of compliance with data privacy legislaton as well as our costs of negotatng appropriate privacy and security agreements with our vendors and business partners.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Additonally, in October 2022, President Biden signed an executve order to implement a new EU-U.S. Data Privacy Framework, which would serve as a replacement to the EU-U.S. Privacy Shield. The EU initated the process to adopt the EU-U.S. Data Privacy Framework in December 2022. It is unclear if and when the framework will be fnalized and whether it will be challenged in court. The uncertainty around this issue may further impact our business operatons in the EU.</w:t>
      </w:r>
    </w:p>
    <w:p>
      <w:pPr>
        <w:spacing w:after="0" w:line="111"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As with other issues related to Brexit, there are open questons about how personal data will be protected in the UK and whether personal informaton can transfer from the EU to the UK Following the withdrawal of the UK from the EU, the UK Data Protecton Act 2018 applies to the processing of personal data that takes place in the UK and includes parallel obligatons to those set forth by GDPR. While the Data Protecton Act 2018 in the UK that “implements” and complements the GDPR has achieved Royal Assent on May 23, 2018 and is now efectve in the UK, it is stll unclear whether transfer of data from the EEA to the UK will remain lawful under GDPR. The UK government has already determined that it considers all EU and EEA member states to be adequate for the purposes of data protecton, ensuring that data fows from the UK to the EU/EEA remain unafected. In additon, a recent decision from the EC appears to deem the UK as being “essentally adequate” for purposes of data transfer from the EU to the UK, although this decision may be re-evaluated in the future.</w:t>
      </w:r>
    </w:p>
    <w:p>
      <w:pPr>
        <w:spacing w:after="0" w:line="10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Beyond GDPR, there are privacy and data security laws in a growing number of countries around the world. While many loosely follow GDPR as a model, other laws contain diferent or confictng provisions. These laws will impact our ability to conduct our business actvites, including both our clinical trials and any eventual sale and distributon of commercial products.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Brexit and the Regulatory Framework in the United Kingdom</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UK’s withdrawal from the EU took place on January 31, 2020. The EU and the UK reached an agreement on their new partnership in the Trade and Cooperaton Agreement, or the Agreement, which was applied provisionally beginning on January 1, 2021, and which entered into force on May 1, 2021. The Agreement focuses primarily on free trade by ensuring no tarifs or quotas on trade in goods, including healthcare products such as medicinal products. Thereafer, the EU and the UK will form two separate markets governed by two distnct regulatory and legal regimes, except that Northern Ireland will contnue to broadly follow EU laws as further described below. As such, the Agreement seeks to minimize barriers to trade in goods while acceptng that border checks will become inevitable as a consequence that the UK is no longer part of the single market. As of January 1, 2021, the MHRA became responsible for supervising medicines and medical devices in Great Britain, comprising England, Scotland, and Wales under domestc law whereas Northern Ireland contnues to be subject to EU rules under the Northern Ireland Protocol.</w:t>
      </w:r>
    </w:p>
    <w:p>
      <w:pPr>
        <w:spacing w:after="0" w:line="115"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 xml:space="preserve">On February 27, 2023, the UK government and the EC announced a politcal agreement in principle to replace the Northern Ireland Protocol with a new set of arrangements, known as the “Windsor Framework”. This new framework fundamentally changes the existng system under the Northern Ireland Protocol, including with respect to the regulaton of medicinal products in the UK In partcular, the MHRA will be responsible for approving all medicinal products destned for the UK market (i.e., Great Britain and Northern Ireland), and the EMA will no longer have any role in approving medicinal products destned for Northern Ireland. A single UK-wide MA will be granted by the MHRA for all medicinal products to be sold in the UK, enabling products to be sold in a single pack and under a single authorizaton throughout the UK. The Windsor Framework was approved by the EU-UK Joint Commitee on March 24, 2023, so the UK government and the EU will enact legislatve measures to bring it into law. As of January 1, 2025, the changes introduced by the Windsor Framework will result in the MHRA being responsible for approving all medicinal products destned for the United Kingdom market (Great Britain and Northern Ireland), and the EMA will no longer have any role in approving medicinal products destned for Northern Ireland. The Human Medicines Regulatons 2012 (SI 2012/1916) (as amended), or </w:t>
      </w:r>
      <w:r>
        <w:rPr>
          <w:rFonts w:ascii="Calibri" w:cs="Calibri" w:eastAsia="Calibri" w:hAnsi="Calibri"/>
          <w:sz w:val="17"/>
          <w:szCs w:val="17"/>
          <w:u w:val="single" w:color="auto"/>
          <w:color w:val="auto"/>
        </w:rPr>
        <w:t>HMR</w:t>
      </w:r>
      <w:r>
        <w:rPr>
          <w:rFonts w:ascii="Calibri" w:cs="Calibri" w:eastAsia="Calibri" w:hAnsi="Calibri"/>
          <w:sz w:val="17"/>
          <w:szCs w:val="17"/>
          <w:color w:val="auto"/>
        </w:rPr>
        <w:t>, is the primary legal instrument for the regulaton of medicines in the UK. The HMR has incorporated into the domestc law the body of EU law instruments governing medicinal products that pre-existed prior to the UK’s withdrawal from the EU.</w:t>
      </w:r>
    </w:p>
    <w:p>
      <w:pPr>
        <w:spacing w:after="0" w:line="1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EU laws which have been transposed into UK law through secondary legislaton contnue to be applicable as “retained EU law.” However, new legislaton such as the (EU) Clinical Trials Regulaton will not be applicable in Great Britain. Since a signifcant proporton of the regulatory framework for pharmaceutcal products in the UK covering the quality, safety, and efcacy of pharmaceutcal products, clinical trials, MAs, commercial sales, and distributon of pharmaceutcal products is derived from EU directves and regulatons, Brexit may have a material impact upon the regulatory regime with respect to the development, manufacture, importaton, approval, and commercializaton of our product candidates in the UK. For example,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2" w:name="page43"/>
    <w:bookmarkEnd w:id="4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UK is no longer covered by the centralized procedures for obtaining EU-wide MAs from the EMA, and a separate MA will be required to market our product candidates in the UK. A new internatonal recogniton framework has been in place since January 1, 2024, whereby the MHRA will have regard to decisions on the approval of MAs made by the EMA and certain other regulators when determining an applicaton for a new Great Britain MA.</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Pharmaceutcal Coverage, Pricing and Reimbursement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the U.S. and markets in other countries, patents who are prescribed treatments for their conditons and providers performing the prescribed services generally rely on third-party payors to reimburse all or part of the associated healthcare costs. Signifcant uncertainty exists as to the coverage and reimbursement status of products approved by the FDA and other government authorites. Thus, even if a product candidate is approved, sales of the product will depend, in part, on the extent to which third-party payors, including government health programs in the U.S. such as Medicare and Medicaid, commercial health insurers and managed care organizatons, provide coverage, and establish adequate reimbursement levels for, the product. The process for determining whether a payor will provide coverage for a product may be separate from the process for setng the price or reimbursement rate that the payor will pay for the product once coverage is approved. Third-party payors are increasingly challenging the prices charged, examining the medical necessity, and reviewing the cost-efectveness of medical products and services and imposing controls to manage costs. Third-party payors may limit coverage to specifc products on an approved list, also known as a formulary, which might not include all of the approved products for a partcular indicaton. In additon, third-party payors may impose prior authorizaton or step edit requirements requiring patents to have tried other therapies prior to our products for coverage. Payors may also decline to include our products or product candidates on their formulary, which means that unless healthcare providers seek a medical excepton for coverage, the payors will not pay for the product.</w:t>
      </w:r>
    </w:p>
    <w:p>
      <w:pPr>
        <w:spacing w:after="0" w:line="1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order to secure coverage and reimbursement for any product that might be approved for sale, a company may need to conduct expensive pharmacoeconomic studies in order to demonstrate the medical necessity and cost-efectveness of the product, in additon to the costs required to obtain FDA or other comparable marketng approvals. Nonetheless, product candidates may not be considered medically necessary or cost efectve. A decision by a third-party payor not to cover a product candidate could reduce physician utlizaton once the product is approved and have a material adverse efect on sales, results of operatons and fnancial conditon. Additonally, a payor’s decision to provide coverage for a product does not imply that an adequate reimbursement rate will be approved. Further, one payor’s determinaton to provide coverage for a drug product does not assure that other payors will also provide coverage and reimbursement for the product, and the level of coverage and reimbursement can difer signifcantly from payor to payor.</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Dialysis-related drugs are included in the ESRD PPS bundled payment and are grouped into functonal categories such as anemia management and bone and mineral metabolism. In a fnal ESRD PPS rule published in October 2019, CMS confrmed that TDAPA would be expanded to most new dialysis drugs approved by the FDA afer January 1, 2020. The TDAPA provides separate payment for eligible new drugs for two years based on the drug’s Average Sales Price, or </w:t>
      </w:r>
      <w:r>
        <w:rPr>
          <w:rFonts w:ascii="Calibri" w:cs="Calibri" w:eastAsia="Calibri" w:hAnsi="Calibri"/>
          <w:sz w:val="18"/>
          <w:szCs w:val="18"/>
          <w:u w:val="single" w:color="auto"/>
          <w:color w:val="auto"/>
        </w:rPr>
        <w:t>ASP</w:t>
      </w:r>
      <w:r>
        <w:rPr>
          <w:rFonts w:ascii="Calibri" w:cs="Calibri" w:eastAsia="Calibri" w:hAnsi="Calibri"/>
          <w:sz w:val="18"/>
          <w:szCs w:val="18"/>
          <w:color w:val="auto"/>
        </w:rPr>
        <w:t>, that will be in additon to the base rate in order to facilitate the adopton of innovatve therapies.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an oral drug, Auryxia was covered by Medicare under Part D untl January 1, 2025, for the treatment of patents with hyperphosphatemia. In January 2011, CMS implemented the ESRD PPS, a prospectve payment system for dialysis treatment. Under the ESRD PPS, CMS generally makes a single bundled payment to the dialysis facility for each dialysis treatment that covers all items and services routnely required for dialysis treatments furnished to Medicare benefciaries in Medicare-certfed ESRD facilites or at their home. As of January 2025, oral ESRD-related drugs without injectable or intravenous equivalents, including Auryxia and all other phosphate lowering medicatons, are included in the ESRD bundle and separate Medicare payment for these drugs are no longer available. Vafseo, which we began selling in January 2025, is also included in the ESRD bundle and ESRD facilites will receive TDAPA for Vafseo as a new renal dialysis drug meetng certain criteria for a period of at least two years startng on January 1, 2025. Additonally, in the post-TDAPA period, CMS currently expects to increase the single bundled payment base rate paid to the dialysis facility for each dialysis treatment to refect that bundled drugs will be reimbursed as part of the single bundled payment for Medicare patents. However, there can be no assurances that any increase in the single bundled payment base rate will be sufcient to adequately reimburse the dialysis facilites for Auryxia or Vafseo at a price that allows us to contnue to sell Auryxia at a proft.</w:t>
      </w:r>
    </w:p>
    <w:p>
      <w:pPr>
        <w:spacing w:after="0" w:line="1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July 2024, Ardelyx fled a complaint in the United States District Court for the District of Columbia against HHS, CMS and other partes, which alleged that CMS’s plan to include oral-only phosphate lowering therapies in the ESRD PPS violated its statutory and regulatory authority under the Medicare Improvements for Patents and Providers Act, which established the ESRD PPS bundled payment system for dialysis services. In October 2024, Ardelyx fled a moton for a preliminary injuncton to enjoin CMS from including oral-only phosphate lowering therapies in the ESRD PPS. CMS had earlier fled a moton to dismiss the complaint on jurisdictonal grounds. On November 8, 2024, the district court denied Ardelyx’ moton for a preliminary injuncton and it granted the government’s moton to dismiss. Thereafer, Ardelyx moved for reconsideraton, but the district court also denied that request. On December 26, 2024, Ardelyx fled a notce of appeal with the US Court of Appeals for the DC Circuit.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3" w:name="page44"/>
    <w:bookmarkEnd w:id="4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containment of healthcare costs also has become a priority of federal, state and foreign governments and the prices of drugs have been a focus in this efort. Governments have shown signifcant interest in implementng cost-containment programs, including price controls, restrictons on reimbursement and requirements for substtuton of generic products. Adopton of price controls and cost-containment measures, and adopton of more restrictve policies in jurisdictons with existng controls and measures, could further limit a company’s revenue generated from the sale of any approved products. Coverage policies and third-party reimbursement rates may change at any tme. Even if favorable coverage and reimbursement status is atained for one or more products for which a company or its collaborators receive marketng approval, less favorable coverage policies and reimbursement rates may be implemented in the future.</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Outside the U.S., ensuring adequate coverage and payment for a product also involves challenges. Pricing of prescripton pharmaceutcals is subject to governmental control in many countries. Pricing negotatons with governmental authorites can extend well beyond the receipt of regulatory marketng approval for a product and may require a clinical trial that compares the cost efectveness of a product to other available therapies. The conduct of such a clinical trial could be expensive and result in delays in commercializaton.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the EU, pricing and reimbursement schemes vary widely from country to country. Some countries provide that products may be marketed only afer a reimbursement price has been agreed. Some countries may require the completon of additonal studies that compare the cost-efectveness of a partcular product candidate to currently available therapies or so-called health technology assessments, in order to obtain reimbursement or pricing approval. For example, the EU provides optons for its EU Member States to restrict the range of products for which their natonal health insurance systems provide reimbursement and to control the prices of medicinal products for human use. EU Member States may approve a specifc price for a product or it may instead adopt a system of direct or indirect controls on the proftability of the company placing the product on the market. Other EU Member States allow companies to fx their own prices for products but monitor and control prescripton volumes and issue guidance to physicians to limit prescriptons.</w:t>
      </w:r>
    </w:p>
    <w:p>
      <w:pPr>
        <w:spacing w:after="0" w:line="114"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Recently, many countries in the EU have increased the amount of discounts required on pharmaceutcals and these eforts could contnue as countries atempt to manage healthcare expenditures, especially in light of the severe fscal and debt crises experienced by many countries in the EU. The downward pressure on health care costs in general, partcularly prescripton drugs, has become intense. As a result, increasingly high barriers are being erected to the entry of new products. Politcal, economic and regulatory developments may further complicate pricing negotatons, and pricing negotatons may contnue afer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limitatons for pharmaceutcal products will allow favorable reimbursement and pricing arrangements for any products, if approved in those countries.</w:t>
      </w:r>
    </w:p>
    <w:p>
      <w:pPr>
        <w:spacing w:after="0" w:line="9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Dialysis Organizatons Protocols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Dialysis organizatons have their own formularies that list primary or preferred therapeutc optons in part based on contractng status with drug manufacturers. While a prescriber may make their own independent decision to prescribe what they determine most appropriate for a given patent, any non-formulary therapeutc optons are only available through an excepton process based on clinical need. Similar to how payor coverage may afect the sales of a product, formulary status within dialysis organizatons may afect what products are prescribed within that specifc organizaton. Therefore, if a product is not on a formulary, the prescribers within that organizaton may be less likely to prescribe that product or may have a difcult tme prescribing that product, resultng in less sales. Further, one dialysis organizaton’s determinaton to add a product to their formulary does not assure that other dialysis organizatons will also add the product to theirs. There is always a risk a dialysis organizaton will not contract with a drug manufacturer for a specifc product, resultng in that product not being on that organizaton’s formulary. Additonally, dialysis organizatons typically assess a product’s efcacy before adding it to their formulary. Their process for assessing a product may difer among organizatons and the tming of such assessment could delay adding such treatment to formulary, further afectng product sales.</w:t>
      </w:r>
    </w:p>
    <w:p>
      <w:pPr>
        <w:spacing w:after="0" w:line="11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Healthcare Law and Regulaton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Healthcare providers and third-party payors play a primary role in the recommendaton and prescripton of drug products that are granted marketng approval. Arrangements with providers, consultants, third-party payors and customers are subject to broadly applicable fraud and abuse, ant-kickback, false claims laws, reportng of payments to physicians, teaching hospitals and other healthcare providers, patent privacy laws and regulatons, and other healthcare laws and regulatons that may constrain business and/or fnancial arrangements. Restrictons under applicable federal and state healthcare laws and regulatons include the following:</w:t>
      </w:r>
    </w:p>
    <w:p>
      <w:pPr>
        <w:spacing w:after="0" w:line="112" w:lineRule="exact"/>
        <w:rPr>
          <w:sz w:val="20"/>
          <w:szCs w:val="20"/>
          <w:color w:val="auto"/>
        </w:rPr>
      </w:pPr>
    </w:p>
    <w:p>
      <w:pPr>
        <w:jc w:val="both"/>
        <w:ind w:left="1300" w:hanging="644"/>
        <w:spacing w:after="0" w:line="235" w:lineRule="auto"/>
        <w:tabs>
          <w:tab w:leader="none" w:pos="1293" w:val="left"/>
        </w:tabs>
        <w:numPr>
          <w:ilvl w:val="0"/>
          <w:numId w:val="18"/>
        </w:numPr>
        <w:rPr>
          <w:rFonts w:ascii="Calibri" w:cs="Calibri" w:eastAsia="Calibri" w:hAnsi="Calibri"/>
          <w:sz w:val="18"/>
          <w:szCs w:val="18"/>
          <w:color w:val="auto"/>
        </w:rPr>
      </w:pPr>
      <w:r>
        <w:rPr>
          <w:rFonts w:ascii="Calibri" w:cs="Calibri" w:eastAsia="Calibri" w:hAnsi="Calibri"/>
          <w:sz w:val="18"/>
          <w:szCs w:val="18"/>
          <w:color w:val="auto"/>
        </w:rPr>
        <w:t>the federal Ant-Kickback Statute, which prohibits, among other things, persons and enttes from knowingly and willfully solicitng, ofering, paying, receiving or providing remuneraton, directly or indirectly, in cash or in kind, to induce or reward either the referral of an individual for, or the purchase, order or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4" w:name="page45"/>
    <w:bookmarkEnd w:id="4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300"/>
        <w:spacing w:after="0" w:line="235" w:lineRule="auto"/>
        <w:rPr>
          <w:sz w:val="20"/>
          <w:szCs w:val="20"/>
          <w:color w:val="auto"/>
        </w:rPr>
      </w:pPr>
      <w:r>
        <w:rPr>
          <w:rFonts w:ascii="Calibri" w:cs="Calibri" w:eastAsia="Calibri" w:hAnsi="Calibri"/>
          <w:sz w:val="18"/>
          <w:szCs w:val="18"/>
          <w:color w:val="auto"/>
        </w:rPr>
        <w:t>recommendaton of, any good or service, for which payment may be made, in whole or in part, under a federal healthcare program such as Medicare and Medicaid;</w:t>
      </w:r>
    </w:p>
    <w:p>
      <w:pPr>
        <w:spacing w:after="0" w:line="56" w:lineRule="exact"/>
        <w:rPr>
          <w:sz w:val="20"/>
          <w:szCs w:val="20"/>
          <w:color w:val="auto"/>
        </w:rPr>
      </w:pPr>
    </w:p>
    <w:p>
      <w:pPr>
        <w:jc w:val="both"/>
        <w:ind w:left="1300" w:hanging="644"/>
        <w:spacing w:after="0" w:line="235" w:lineRule="auto"/>
        <w:tabs>
          <w:tab w:leader="none" w:pos="1293"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the federal civil and criminal false claims laws, including the civil False Claims Act, and civil monetary penaltes laws, which prohibit individuals or enttes from, among other things, knowingly presentng, or causing to be presented, to the federal government, claims for payment that are false, fcttous or fraudulent or knowingly making, using or causing to be made or used a false record or statement to avoid, decrease or conceal an obligaton to pay money to the federal government</w:t>
      </w:r>
    </w:p>
    <w:p>
      <w:pPr>
        <w:spacing w:after="0" w:line="57" w:lineRule="exact"/>
        <w:rPr>
          <w:rFonts w:ascii="Calibri" w:cs="Calibri" w:eastAsia="Calibri" w:hAnsi="Calibri"/>
          <w:sz w:val="18"/>
          <w:szCs w:val="18"/>
          <w:color w:val="auto"/>
        </w:rPr>
      </w:pPr>
    </w:p>
    <w:p>
      <w:pPr>
        <w:ind w:left="1300" w:hanging="644"/>
        <w:spacing w:after="0" w:line="235" w:lineRule="auto"/>
        <w:tabs>
          <w:tab w:leader="none" w:pos="1293"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HIPAA, which created additonal federal criminal laws that prohibit, among other things, knowingly and willfully executng, or atemptng to execute, a scheme to defraud any healthcare beneft program or making false statements relatng to healthcare maters;</w:t>
      </w:r>
    </w:p>
    <w:p>
      <w:pPr>
        <w:spacing w:after="0" w:line="55" w:lineRule="exact"/>
        <w:rPr>
          <w:rFonts w:ascii="Calibri" w:cs="Calibri" w:eastAsia="Calibri" w:hAnsi="Calibri"/>
          <w:sz w:val="18"/>
          <w:szCs w:val="18"/>
          <w:color w:val="auto"/>
        </w:rPr>
      </w:pPr>
    </w:p>
    <w:p>
      <w:pPr>
        <w:jc w:val="both"/>
        <w:ind w:left="1300" w:hanging="644"/>
        <w:spacing w:after="0" w:line="235" w:lineRule="auto"/>
        <w:tabs>
          <w:tab w:leader="none" w:pos="1293"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HIPAA, as amended by the Health Informaton Technology for Economic and Clinical Health Act, and their respectve implementng regulatons, including the Final Omnibus Rule published in January 2013, which impose obligatons, including mandatory contractual terms, with respect to safeguarding the privacy, security and transmission of individually identfable health informaton;</w:t>
      </w:r>
    </w:p>
    <w:p>
      <w:pPr>
        <w:spacing w:after="0" w:line="56" w:lineRule="exact"/>
        <w:rPr>
          <w:rFonts w:ascii="Calibri" w:cs="Calibri" w:eastAsia="Calibri" w:hAnsi="Calibri"/>
          <w:sz w:val="18"/>
          <w:szCs w:val="18"/>
          <w:color w:val="auto"/>
        </w:rPr>
      </w:pPr>
    </w:p>
    <w:p>
      <w:pPr>
        <w:ind w:left="1300" w:hanging="644"/>
        <w:spacing w:after="0" w:line="235" w:lineRule="auto"/>
        <w:tabs>
          <w:tab w:leader="none" w:pos="1293"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the federal false statements statute, which prohibits knowingly and willfully falsifying, concealing or covering up a material fact or making any materially false statement in connecton with the delivery of or payment for healthcare benefts, items or services;</w:t>
      </w:r>
    </w:p>
    <w:p>
      <w:pPr>
        <w:spacing w:after="0" w:line="55" w:lineRule="exact"/>
        <w:rPr>
          <w:rFonts w:ascii="Calibri" w:cs="Calibri" w:eastAsia="Calibri" w:hAnsi="Calibri"/>
          <w:sz w:val="18"/>
          <w:szCs w:val="18"/>
          <w:color w:val="auto"/>
        </w:rPr>
      </w:pPr>
    </w:p>
    <w:p>
      <w:pPr>
        <w:jc w:val="both"/>
        <w:ind w:left="1300" w:hanging="644"/>
        <w:spacing w:after="0" w:line="235" w:lineRule="auto"/>
        <w:tabs>
          <w:tab w:leader="none" w:pos="1293"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the U.S. Foreign Corrupt Practces Act, or FCPA, which prohibits companies and their intermediaries from making, or ofering or promising to make improper payments to non-U.S. ofcials for the purpose of obtaining or retaining business or otherwise seeking favorable treatment;</w:t>
      </w:r>
    </w:p>
    <w:p>
      <w:pPr>
        <w:spacing w:after="0" w:line="56" w:lineRule="exact"/>
        <w:rPr>
          <w:rFonts w:ascii="Calibri" w:cs="Calibri" w:eastAsia="Calibri" w:hAnsi="Calibri"/>
          <w:sz w:val="18"/>
          <w:szCs w:val="18"/>
          <w:color w:val="auto"/>
        </w:rPr>
      </w:pPr>
    </w:p>
    <w:p>
      <w:pPr>
        <w:jc w:val="both"/>
        <w:ind w:left="1300" w:hanging="644"/>
        <w:spacing w:after="0" w:line="251" w:lineRule="auto"/>
        <w:tabs>
          <w:tab w:leader="none" w:pos="1293" w:val="left"/>
        </w:tabs>
        <w:numPr>
          <w:ilvl w:val="0"/>
          <w:numId w:val="19"/>
        </w:numPr>
        <w:rPr>
          <w:rFonts w:ascii="Calibri" w:cs="Calibri" w:eastAsia="Calibri" w:hAnsi="Calibri"/>
          <w:sz w:val="17"/>
          <w:szCs w:val="17"/>
          <w:color w:val="auto"/>
        </w:rPr>
      </w:pPr>
      <w:r>
        <w:rPr>
          <w:rFonts w:ascii="Calibri" w:cs="Calibri" w:eastAsia="Calibri" w:hAnsi="Calibri"/>
          <w:sz w:val="17"/>
          <w:szCs w:val="17"/>
          <w:color w:val="auto"/>
        </w:rPr>
        <w:t xml:space="preserve">the federal transparency requirements, known as the federal Physician Payments Sunshine Act (renamed the Open Payments Act), under the Patent Protecton and Afordable Care Act, as amended by the Health Care Educaton Reconciliaton Act, or </w:t>
      </w:r>
      <w:r>
        <w:rPr>
          <w:rFonts w:ascii="Calibri" w:cs="Calibri" w:eastAsia="Calibri" w:hAnsi="Calibri"/>
          <w:sz w:val="17"/>
          <w:szCs w:val="17"/>
          <w:u w:val="single" w:color="auto"/>
          <w:color w:val="auto"/>
        </w:rPr>
        <w:t>ACA</w:t>
      </w:r>
      <w:r>
        <w:rPr>
          <w:rFonts w:ascii="Calibri" w:cs="Calibri" w:eastAsia="Calibri" w:hAnsi="Calibri"/>
          <w:sz w:val="17"/>
          <w:szCs w:val="17"/>
          <w:color w:val="auto"/>
        </w:rPr>
        <w:t>, which requires certain manufacturers of drugs, devices, biologics and medical supplies to report annually to the CMS within the U.S. Department of Health and Human Services, informaton related to payments and other transfers of value made by that entty to physicians, other healthcare providers and teaching hospitals, as well as ownership and investment interests held by physicians and their immediate family members;</w:t>
      </w:r>
    </w:p>
    <w:p>
      <w:pPr>
        <w:spacing w:after="0" w:line="48" w:lineRule="exact"/>
        <w:rPr>
          <w:rFonts w:ascii="Calibri" w:cs="Calibri" w:eastAsia="Calibri" w:hAnsi="Calibri"/>
          <w:sz w:val="17"/>
          <w:szCs w:val="17"/>
          <w:color w:val="auto"/>
        </w:rPr>
      </w:pPr>
    </w:p>
    <w:p>
      <w:pPr>
        <w:ind w:left="1300" w:hanging="644"/>
        <w:spacing w:after="0" w:line="235" w:lineRule="auto"/>
        <w:tabs>
          <w:tab w:leader="none" w:pos="1293"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the PDMA and its implementaton regulatons, as well as the DSCSA, which regulate the distributon and tracing of prescripton drugs and prescripton drug samples at the federal level, and set minimum standards for the regulaton of drug distributors by the states; and</w:t>
      </w:r>
    </w:p>
    <w:p>
      <w:pPr>
        <w:spacing w:after="0" w:line="55" w:lineRule="exact"/>
        <w:rPr>
          <w:rFonts w:ascii="Calibri" w:cs="Calibri" w:eastAsia="Calibri" w:hAnsi="Calibri"/>
          <w:sz w:val="18"/>
          <w:szCs w:val="18"/>
          <w:color w:val="auto"/>
        </w:rPr>
      </w:pPr>
    </w:p>
    <w:p>
      <w:pPr>
        <w:jc w:val="both"/>
        <w:ind w:left="1300" w:hanging="644"/>
        <w:spacing w:after="0" w:line="235" w:lineRule="auto"/>
        <w:tabs>
          <w:tab w:leader="none" w:pos="1293" w:val="left"/>
        </w:tabs>
        <w:numPr>
          <w:ilvl w:val="0"/>
          <w:numId w:val="19"/>
        </w:numPr>
        <w:rPr>
          <w:rFonts w:ascii="Calibri" w:cs="Calibri" w:eastAsia="Calibri" w:hAnsi="Calibri"/>
          <w:sz w:val="18"/>
          <w:szCs w:val="18"/>
          <w:color w:val="auto"/>
        </w:rPr>
      </w:pPr>
      <w:r>
        <w:rPr>
          <w:rFonts w:ascii="Calibri" w:cs="Calibri" w:eastAsia="Calibri" w:hAnsi="Calibri"/>
          <w:sz w:val="18"/>
          <w:szCs w:val="18"/>
          <w:color w:val="auto"/>
        </w:rPr>
        <w:t>analogous state and foreign laws and regulatons, such as state ant-kickback and false claims laws, which may apply to healthcare items or services that are reimbursed by third-party payors, including private insurers, and state gif ban and disclosure law requirements that difer from the federal Physician Payments Sunshine Act in terms of the nature and type of transfers of value that are reportable and the types of covered recipients.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Violatons of these laws are punishable by criminal and/or civil sanctons, including, in some instances, exclusion from partcipaton in federal and state health care programs, such as Medicare and Medicaid. Ensuring compliance is tme consuming and costly. Similar healthcare laws and regulatons exist in the EU and other jurisdictons, including reportng requirements detailing interactons with and payments to healthcare providers and laws governing the privacy and security of personal informaton.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Some state laws require pharmaceutcal companies to comply with the pharmaceutcal industry’s voluntary compliance guidelines, such as the Pharmaceutcal Research and Manufacturers of America Code on Interactons with Health Care Professionals, known as the PhRMA Code. State and foreign laws also govern the privacy and security of health informaton in some circumstances, many of which difer from each other in signifcant ways and ofen are not preempted by HIPAA, thus complicatng compliance eforts.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Healthcare Reform in the U.S.</w:t>
      </w:r>
    </w:p>
    <w:p>
      <w:pPr>
        <w:spacing w:after="0" w:line="10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A primary trend in the U.S. healthcare industry and elsewhere is cost containment. There have been a number of federal and state proposals during the last few years regarding the pricing of pharmaceutcal and biopharmaceutcal products, limitng coverage and reimbursement for drugs and other medical products, government control and other changes to the healthcare system in the U.S.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By way of example, the U.S. and state governments contnue to propose and pass legislaton designed to reduce the cost of healthcare.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March 2010, the U.S. Congress enacted the ACA, which, among other things, includes changes to the coverage and payment for products under government health care programs. Other legislatve changes have been proposed and adopted</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5" w:name="page46"/>
    <w:bookmarkEnd w:id="4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since the ACA was enacted. In August 2011, the Budget Control Act of 2011, among other things, created measures for spending reductons by Congress. A Joint Select Commitee on Defcit Reducton, tasked with recommending a targeted defcit reducton of at least $1.2 trillion for the years 2013 through 2021, was unable to reach required goals, thereby triggering the legislaton’s automatc reducton to several government programs. This includes aggregate reductons of Medicare payments to providers of up to 2% per fscal year, which will remain in efect through 2031 pursuant to the Coronavirus Aid, Relief and Economic Security Act, or </w:t>
      </w:r>
      <w:r>
        <w:rPr>
          <w:rFonts w:ascii="Calibri" w:cs="Calibri" w:eastAsia="Calibri" w:hAnsi="Calibri"/>
          <w:sz w:val="18"/>
          <w:szCs w:val="18"/>
          <w:u w:val="single" w:color="auto"/>
          <w:color w:val="auto"/>
        </w:rPr>
        <w:t>CARES Act</w:t>
      </w:r>
      <w:r>
        <w:rPr>
          <w:rFonts w:ascii="Calibri" w:cs="Calibri" w:eastAsia="Calibri" w:hAnsi="Calibri"/>
          <w:sz w:val="18"/>
          <w:szCs w:val="18"/>
          <w:color w:val="auto"/>
        </w:rPr>
        <w:t>. Under current legislaton, the actual reductons in Medicare payments may vary up to 4%.</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Consolidated Appropriatons Act, which was signed into law by President Biden in December 2022, made several changes to sequestraton of the Medicare program. Secton 1001 of the Consolidated Appropriatons Act delays the 4% Statutory Pay-As-You-Go Act of 2010 sequester for two years, through the end of calendar year 2024. Triggered by enactment of the American Rescue Plan Act of 2021, the 4% cut to the Medicare program would have taken efect in January 2023. The Consolidated Appropriatons Act’s health care ofset ttle includes Secton 4163, which extends the 2% Budget Control Act of 2011 Medicare sequester for six months into fscal year 2032 and lowers the payment reducton percentages in fscal years 2030 and 2031.</w:t>
      </w:r>
    </w:p>
    <w:p>
      <w:pPr>
        <w:spacing w:after="0" w:line="112" w:lineRule="exact"/>
        <w:rPr>
          <w:sz w:val="20"/>
          <w:szCs w:val="20"/>
          <w:color w:val="auto"/>
        </w:rPr>
      </w:pPr>
    </w:p>
    <w:p>
      <w:pPr>
        <w:jc w:val="both"/>
        <w:spacing w:after="0" w:line="243" w:lineRule="auto"/>
        <w:rPr>
          <w:sz w:val="20"/>
          <w:szCs w:val="20"/>
          <w:color w:val="auto"/>
        </w:rPr>
      </w:pPr>
      <w:r>
        <w:rPr>
          <w:rFonts w:ascii="Calibri" w:cs="Calibri" w:eastAsia="Calibri" w:hAnsi="Calibri"/>
          <w:sz w:val="18"/>
          <w:szCs w:val="18"/>
          <w:color w:val="auto"/>
        </w:rPr>
        <w:t xml:space="preserve">Since enactment of the ACA, there have been, and contnue to be, numerous legal challenges and Congressional actons to repeal and replace provisions of the law. For example, with enactment of the Tax Cuts and Jobs Act of 2017, or the </w:t>
      </w:r>
      <w:r>
        <w:rPr>
          <w:rFonts w:ascii="Calibri" w:cs="Calibri" w:eastAsia="Calibri" w:hAnsi="Calibri"/>
          <w:sz w:val="18"/>
          <w:szCs w:val="18"/>
          <w:u w:val="single" w:color="auto"/>
          <w:color w:val="auto"/>
        </w:rPr>
        <w:t>Tax Act</w:t>
      </w:r>
      <w:r>
        <w:rPr>
          <w:rFonts w:ascii="Calibri" w:cs="Calibri" w:eastAsia="Calibri" w:hAnsi="Calibri"/>
          <w:sz w:val="18"/>
          <w:szCs w:val="18"/>
          <w:color w:val="auto"/>
        </w:rPr>
        <w:t>, which was signed by the prior administraton on December 22, 2017, Congress repealed the “individual mandate.” The repeal of this provision, which requires most Americans to carry a minimal level of health insurance, became efectve in 2019. In June 2021, the U.S. Supreme Court dismissed the most recent judicial challenge to the ACA afer fnding that the plaintfs did not have standing to challenge the consttutonality of the ACA. Litgaton and legislaton over the ACA are likely to contnue, with unpredictable and uncertain results.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Pharmaceutcal Prices in the U.S.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prices of prescripton pharmaceutcals have also been the subject of considerable discussion in the U.S. There have been several recent U.S. congressional inquiries, as well as proposed and enacted state and federal legislaton designed to, among other things, bring more transparency to pharmaceutcal pricing, review the relatonship between pricing and manufacturer patent programs, and reduce the costs of pharmaceutcals under Medicare and Medicaid. In 2020, the prior administraton issued several executve orders intended to lower the costs of prescripton products and certain provisions in these orders have been incorporated into regulatons. These regulatons include an interim fnal rule implementng a most favored naton model for prices that would te Medicare Part B payments for certain physician-administered pharmaceutcals to the lowest price paid in other economically advanced countries, efectve January 1, 2021. That rule, however, has been subject to a natonwide preliminary injuncton and, on December 29, 2021, CMS issued a fnal rule to rescind it. With issuance of this rule, CMS stated that it will explore all optons to incorporate value into payments for Medicare Part B pharmaceutcals and improve benefciaries' access to evidence-based care.</w:t>
      </w:r>
    </w:p>
    <w:p>
      <w:pPr>
        <w:spacing w:after="0" w:line="116"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 xml:space="preserve">In additon, in October 2020, HHS and the FDA published a fnal rule allowing states and other enttes to develop a Secton 804 Importaton Program, or </w:t>
      </w:r>
      <w:r>
        <w:rPr>
          <w:rFonts w:ascii="Calibri" w:cs="Calibri" w:eastAsia="Calibri" w:hAnsi="Calibri"/>
          <w:sz w:val="17"/>
          <w:szCs w:val="17"/>
          <w:u w:val="single" w:color="auto"/>
          <w:color w:val="auto"/>
        </w:rPr>
        <w:t>SIP</w:t>
      </w:r>
      <w:r>
        <w:rPr>
          <w:rFonts w:ascii="Calibri" w:cs="Calibri" w:eastAsia="Calibri" w:hAnsi="Calibri"/>
          <w:sz w:val="17"/>
          <w:szCs w:val="17"/>
          <w:color w:val="auto"/>
        </w:rPr>
        <w:t xml:space="preserve">, to import certain prescripton drugs from Canada into the U.S. That regulaton was challenged in a lawsuit by the Pharmaceutcal Research and Manufacturers of America, or </w:t>
      </w:r>
      <w:r>
        <w:rPr>
          <w:rFonts w:ascii="Calibri" w:cs="Calibri" w:eastAsia="Calibri" w:hAnsi="Calibri"/>
          <w:sz w:val="17"/>
          <w:szCs w:val="17"/>
          <w:u w:val="single" w:color="auto"/>
          <w:color w:val="auto"/>
        </w:rPr>
        <w:t>PhRMA</w:t>
      </w:r>
      <w:r>
        <w:rPr>
          <w:rFonts w:ascii="Calibri" w:cs="Calibri" w:eastAsia="Calibri" w:hAnsi="Calibri"/>
          <w:sz w:val="17"/>
          <w:szCs w:val="17"/>
          <w:color w:val="auto"/>
        </w:rPr>
        <w:t>, but the case was dismissed by a federal district court in February 2023 afer the court found that PhRMA did not have standing to sue HHS. Seven states (Colorado, Florida, Maine, New Hampshire, New Mexico, Texas and Vermont) have passed laws allowing for the importaton of products from Canada. North Dakota and Virginia  have passed legislaton establishing workgroups to examine the impact of a state importaton program. As of May 2024, fve states (Colorado, Florida, Maine, New Hampshire and New Mexico) had submited Secton 804 Importaton Program proposals to the FDA. On January 5, 2023, the FDA approved Florida’s plan for Canadian product importaton. That state now has authority to import certain products from Canada for a period of two years once certain conditons are met. Florida will frst need to submit a pre-import request for each product selected for importaton, which must be approved by the FDA. The state will also need to relabel the products and perform quality testng of the products to meet FDA standards.</w:t>
      </w:r>
    </w:p>
    <w:p>
      <w:pPr>
        <w:spacing w:after="0" w:line="107"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 xml:space="preserve">Further, the HHS fnalized a regulaton removing safe harbor protecton for price reductons from pharmaceutcal manufacturers to plan sponsors under Part D, either directly or through pharmacy beneft managers, unless the price reducton is required by law. The fnal rule would also eliminate the current safe harbor for Medicare drug rebates and create new safe harbors for benefciary point-of-sale discounts and pharmacy beneft manager service fees. It originally was set to go into efect on January 1, 2022, but with passage of the Infaton Reducton Act of 2022, or </w:t>
      </w:r>
      <w:r>
        <w:rPr>
          <w:rFonts w:ascii="Calibri" w:cs="Calibri" w:eastAsia="Calibri" w:hAnsi="Calibri"/>
          <w:sz w:val="17"/>
          <w:szCs w:val="17"/>
          <w:u w:val="single" w:color="auto"/>
          <w:color w:val="auto"/>
        </w:rPr>
        <w:t>IRA</w:t>
      </w:r>
      <w:r>
        <w:rPr>
          <w:rFonts w:ascii="Calibri" w:cs="Calibri" w:eastAsia="Calibri" w:hAnsi="Calibri"/>
          <w:sz w:val="17"/>
          <w:szCs w:val="17"/>
          <w:color w:val="auto"/>
        </w:rPr>
        <w:t>, has been delayed by Congress to January 1, 2032.</w:t>
      </w:r>
    </w:p>
    <w:p>
      <w:pPr>
        <w:spacing w:after="0" w:line="10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IRA has implicatons for Medicare Part D, which is a program available to individuals who are enttled to Medicare Part A or enrolled in Medicare Part B to give them the opton of paying a monthly premium for outpatent prescripton drug coverage. Among other things, the IRA requires manufacturers of certain drugs to engage in price negotatons with Medicare (beginning in 2026), with prices that can be negotated subject to a cap; imposes rebates under Medicare Part B and Medicare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6" w:name="page47"/>
    <w:bookmarkEnd w:id="4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Part D to penalize price increases that outpace infaton (frst due in 2023); and replaces the Part D coverage gap discount program with a new discountng program (beginning in 2025). The IRA permits the Secretary of HHS to implement many of these provisions through guidance, as opposed to regulaton, for the inital years.</w:t>
      </w:r>
    </w:p>
    <w:p>
      <w:pPr>
        <w:spacing w:after="0" w:line="111"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Specifcally, with respect to price negotatons, Congress authorized Medicare to negotate lower prices for certain costly single-source drug and biologic products that do not have competng generics or biosimilars and are reimbursed under Medicare Part B and Part D. CMS may negotate prices for ten high-cost drugs paid for by Medicare Part D startng in 2026, followed by 15 Part D drugs in 2027, 15 Part B or Part D drugs in 2028, and 20 Part B or Part D drugs in 2029 and beyond. This provision applies to drug products that have been approved for at least 9 years and biologics that have been licensed for 13 years, but it does not apply to drugs and biologics that have been approved for a single rare disease or conditon. Further, the legislaton subjects drug manufacturers to civil monetary penaltes and a potental excise tax for failing to comply with the legislaton by ofering a price that is not equal to or less than the negotated “maximum fair price” under the law or for taking price increases that exceed infaton. The legislaton also requires manufacturers to pay rebates for drugs in Medicare Part D whose price increases exceed infaton. The law also caps Medicare out-of-pocket drug costs at an estmated $2,000 a year.</w:t>
      </w:r>
    </w:p>
    <w:p>
      <w:pPr>
        <w:spacing w:after="0" w:line="10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August 15, 2024, HHS published the results of the frst Medicare drug price negotatons for ten selected drugs that treat a range of conditons, including diabetes, chronic kidney disease, and rheumatoid arthrits. The prices of these ten drugs will become efectve January 1, 2026. On January 17, 2025, HHS announced the selecton of 15 additonal drugs covered by Part D for the second cycle of negotatons. This second cycle of negotatons with partcipatng drug companies will occur during 2025, and any negotated prices for this second set of drugs will be efectve startng January 1, 2027. CMS issued a public statement on January 29, 2025, declaring that lowering the cost of prescripton drugs is a top priority of the new administraton, and CMS is commited to considering opportunites to bring greater transparency in the negotaton program.</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June 6, 2023, Merck fled a lawsuit against HHS and CMS assertng that, among other things, the IRA’s Drug Price Negotaton Program for Medicare consttutes an uncompensated taking in violaton of the Fifh Amendment of the Consttuton. Subsequently, a number of other partes, including the U.S. Chamber of Commerce, Bristol Myers Squibb Company, the Pharmaceutcal Research and Manufacturers of America, Astellas, Novo Nordisk, Janssen Pharmaceutcals, Novarts, AstraZeneca and Boehringer Ingelheim, also fled lawsuits in various courts with similar consttutonal claims against HHS and CMS. HHS has generally won the substantve disputes in these cases, and various federal district court judges have expressed skeptcism regarding the merits of the legal arguments being pursued by the pharmaceutcal industry. Certain of these cases are now on appeal and, on October 30, 2024, the Court of Appeals for the Third Circuit heard oral argument in three of these cases. Litgaton involving these and other provisions of the IRA will contnue with unpredictable and uncertain results.</w:t>
      </w:r>
    </w:p>
    <w:p>
      <w:pPr>
        <w:spacing w:after="0" w:line="115"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At the state level, individual states are increasingly aggressive in passing legislaton and implementng regulatons designed to control pharmaceutcal and biological product pricing, including price or patent reimbursement constraints, discounts, restrictons on certain product access and marketng cost disclosure and transparency measures, and, in some cases, designed to encourage importaton from other countries and bulk purchasing. A number of states, for example, require drug manufacturers and other enttes in the drug supply chain, including health carriers, pharmacy beneft managers, wholesale distributors, to disclose informaton about pricing of pharmaceutcals. In additon, regional healthcare organizatons and individual hospitals are increasingly using bidding procedures to determine what pharmaceutcal products and which suppliers will be included in their prescripton pharmaceutcal and other healthcare programs. These measures could reduce the ultmate demand for our products, once approved, or put pressure on our product pricing. We expect that additonal state and federal healthcare reform measures will be adopted in the future, any of which could limit the amounts that federal and state governments will pay for healthcare products and services, which could result in reduced demand for our product candidates or additonal pricing pressures.</w:t>
      </w:r>
    </w:p>
    <w:p>
      <w:pPr>
        <w:spacing w:after="0" w:line="10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Healthcare Reform and Pharmaceutcal Prices in the EU</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the EU, similar politcal, economic, and regulatory developments to those in the U.S. may afect our ability to proftably commercialize our product candidates, if approved. In many countries, including those of the EU, the pricing of prescripton pharmaceutcals is subject to governmental control and access. In these countries, pricing negotatons with governmental authorites can take considerable tme afer the receipt of an MA. To obtain reimbursement or pricing approval in some countries, pharmaceutcal frms may be required to conduct a clinical trial that compares the cost-efectveness of the product to other available therapies. In additon to contnuing pressure on prices and cost containment measures, legislatve developments at the EU or EU Member State level may result in signifcant additonal requirements or obstacles. The delivery of healthcare in the EU, including the establishment and operaton of health services and the pricing and reimbursement of medicines, is almost exclusively a mater for natonal, rather than EU, law and policy. Natonal governments and health service providers have diferent priorites and approaches to the delivery of health care and the pricing and reimbursement of products in that context. In general, however, the healthcare budgetary constraints in most EU Member States have resulted in restrictons on the pricing and reimbursement of medicines by relevant health service providers. Coupled with ever-increasing EU and natonal regulatory burdens on those wishing to develop and market products, this could restrict or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7" w:name="page48"/>
    <w:bookmarkEnd w:id="4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auto"/>
        </w:rPr>
        <w:t>regulate post-approval actvites and afect the ability of pharmaceutcal companies to commercialize their products. In internatonal markets, reimbursement and healthcare payment systems vary signifcantly by country, and many countries have insttuted price ceilings on specifc products and therapies.</w:t>
      </w:r>
    </w:p>
    <w:p>
      <w:pPr>
        <w:spacing w:after="0" w:line="9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the EU, potental reductons in prices and changes in reimbursement levels could be the result of diferent factors, including reference pricing used by various EU Member States, parallel distributon and parallel trade can further reduce prices. It could also result from the applicaton of external reference pricing mechanisms, which consist of arbitrage between low-priced and high-priced EU Member States. There can be no assurance that any country that has price controls or reimbursement limitatons for pharmaceutcal products will allow favorable reimbursement and pricing arrangements for any product candidates, if approved in those countries.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Health technology assessment, or </w:t>
      </w:r>
      <w:r>
        <w:rPr>
          <w:rFonts w:ascii="Calibri" w:cs="Calibri" w:eastAsia="Calibri" w:hAnsi="Calibri"/>
          <w:sz w:val="18"/>
          <w:szCs w:val="18"/>
          <w:u w:val="single" w:color="auto"/>
          <w:color w:val="auto"/>
        </w:rPr>
        <w:t>HTA</w:t>
      </w:r>
      <w:r>
        <w:rPr>
          <w:rFonts w:ascii="Calibri" w:cs="Calibri" w:eastAsia="Calibri" w:hAnsi="Calibri"/>
          <w:sz w:val="18"/>
          <w:szCs w:val="18"/>
          <w:color w:val="auto"/>
        </w:rPr>
        <w:t>, of medicinal products in the EU is an essental element of the pricing and reimbursement decision-making process in a number of EU Member States. The outcome of HTA has a direct impact on the pricing and reimbursement status granted to the medicinal product. A negatve HTA by a leading and recognized HTA body concerning a medicinal product could undermine the prospects to obtain reimbursement for such product not only in the EU Member State in which the negatve assessment was issued, but also in other EU Member States.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2011, Directve 2011/24/EU was adopted at the EU level. This directve establishes a voluntary network of natonal authorites or bodies responsible for HTA in the individual EU Member States. The network facilitates and supports the exchange of scientfc informaton concerning HTAs. Further to this, on December 13, 2021, Regulaton No 2021/2282 on HTA, amending Directve 2011/24/EU, was adopted. While the regulaton entered into force in January 2022, it will only begin to apply from January 2025 onwards, with preparatory and implementaton-related steps to take place in the interim. Once applicable, it will have a phased implementaton depending on the concerned products. The regulaton intends to boost cooperaton among EU Member States in assessing health technologies, including new medicinal products as well as certain high-risk medical devices, and provide the basis for cooperaton at the EU level for joint clinical assessments in these areas. It will permit EU Member States to use common HTA tools, methodologies, and procedures across the EU, working together in four main areas, including joint clinical assessment of the innovatve health technologies with the highest potental impact for patents, joint scientfc consultatons whereby developers can seek advice from HTA authorites, identfcaton of emerging health technologies to identfy promising technologies early, and contnuing voluntary cooperaton in other areas. Individual EU Member States will contnue to be responsible for assessing non-clinical (e.g., economic, social, ethical) aspects of health technology, and making decisions on pricing and reimbursement.</w:t>
      </w:r>
    </w:p>
    <w:p>
      <w:pPr>
        <w:spacing w:after="0" w:line="11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Laws Relatng to Foreign Trade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subject to various federal and foreign laws that govern our internatonal business practces. These laws include the FCPA, which prohibits U.S. companies and their representatves from paying, ofering to pay, promising, or authorizing the payment of anything of value to any foreign government ofcial, government staf member, politcal party, or politcal candidate for the purposes of obtaining or retaining business, or to otherwise obtain favorable treatment or infuence a person working in an ofcial capacity. In many countries, the health care professionals we regularly interact with may meet the FCPA’s defniton of a foreign government ofcial. Additonally, interactons with or on the part of our partners, collaborators, contract research organizatons, vendors or other agents may also implicate the FCPA. The FCPA also requires public companies to make and keep books and records that accurately and fairly refect their transactons and to devise and maintain an adequate system of internal accountng controls. Compliance with the FCPA is expensive and difcult, partcularly in countries in which corrupton is a recognized problem. In additon, the FCPA presents unique challenges in the pharmaceutcal industry because, in many countries, hospitals are operated by the government, and doctors and other hospital employees are considered foreign ofcials. Certain payments made by pharmaceutcal companies to hospitals in connecton with clinical trials and other work have been deemed to be improper payments to government ofcials and have led to FCPA enforcement actons.</w:t>
      </w:r>
    </w:p>
    <w:p>
      <w:pPr>
        <w:spacing w:after="0" w:line="1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February 10, 2025, President Trump issued an Executve Order directng the Atorney General to review the guidelines and policies governing the FCPA investgatons and enforcement actons. Per the Executve Order, this review will result in new Department of Justce FCPA guidelines intended to enhance American economic compettveness and to safeguard natonal security interests. During the 180-day review period, any new FCPA investgatons and enforcement actons are to be suspended absent authorizaton from the Atorney General, and all existng FCPA investgatons and enforcement actons will be reviewed. Additonally, afer the Atorney General issues revised guidelines, the Executve Order directs her to assess whether “remedial measures” related to past FCPA actons are warranted.</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Our internatonal operatons could also be subject to compliance with natonal laws of other countries, such as the United Kingdom Bribery Act. of 2010, or </w:t>
      </w:r>
      <w:r>
        <w:rPr>
          <w:rFonts w:ascii="Calibri" w:cs="Calibri" w:eastAsia="Calibri" w:hAnsi="Calibri"/>
          <w:sz w:val="18"/>
          <w:szCs w:val="18"/>
          <w:u w:val="single" w:color="auto"/>
          <w:color w:val="auto"/>
        </w:rPr>
        <w:t>UK Bribery Act</w:t>
      </w:r>
      <w:r>
        <w:rPr>
          <w:rFonts w:ascii="Calibri" w:cs="Calibri" w:eastAsia="Calibri" w:hAnsi="Calibri"/>
          <w:sz w:val="18"/>
          <w:szCs w:val="18"/>
          <w:color w:val="auto"/>
        </w:rPr>
        <w:t>. The UK Bribery Act applies to any company “carrying on business” in the UK, irrespectve of where the ofending conduct occurs. The UK Bribery Act applies to bribery actvites both in the public and private sector and prohibits the provision of an “advantage” intended to induce or reward “improper performance” of the recipient’s functon. The failure by a company to prevent third partes from providing a bribe on its behalf could also</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8" w:name="page49"/>
    <w:bookmarkEnd w:id="4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consttute an ofense. Penaltes under the UK Bribery Act include potentally unlimited fnes for companies and criminal sanctons for corporate ofcers under certain circumstances.</w:t>
      </w:r>
    </w:p>
    <w:p>
      <w:pPr>
        <w:spacing w:after="0" w:line="110"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There are local antbribery and antcorrupton laws in countries where we are conductng clinical trials, such as Brazil and Russia, and many of these also carry the risk of signifcant fnancial or criminal penaltes. Our clinical trial operatons could also result in enforcement actons by U.S., UK, or other governmental authorites. There are also trade laws within the U.S. and in other regions that regulate the sale, purchase, import, export, reexport, transfer and shipment of goods, currency, products, materials, services and technology. Violatons of these laws can lead to serious consequences, including substantal fnes.</w:t>
      </w:r>
    </w:p>
    <w:p>
      <w:pPr>
        <w:spacing w:after="0" w:line="9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Other Regulatons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also subject to numerous federal, state and local laws relatng to such maters as safe working conditons, manufacturing practces, environmental protecton, fre hazard control, and disposal of hazardous or potentally hazardous substances. We may incur signifcant costs to comply with such laws and regulatons now or in the future.</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Buying Paterns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Fluctuatons in wholesaler inventory levels have impacted our product sales. Historically, fourth quarter revenues tended to be stronger than other quarters as our distributors increased their inventory levels, resultng in inventory draw-down by wholesalers in the subsequent frst quarter such that frst quarter usually had lower revenues than the preceding fourth quarter and the second and third quarters had higher revenues than the frst quarter. While buying paterns may afect quarterly comparisons within a fscal year, it generally is not material to our annual consolidated results.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believe the dynamics of Auryxia reimbursement being included in the ESRD bundle under Medicare Part B and Auryxia LoE on March 20, 2025 could result in the buying patern of certain customers in 2025 and future years being diferent than historical practces. The impact of LoE on future Auryxia revenues will depend on many factors including our ability to maintain contracts with dialysis organizatons, the tming and number of generics and the pricing of generics and other products on the market that compete with Auryxia.</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Employees and Human Capital Resources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2024, we had 181 employees. None of our employees are represented by any collectve bargaining unit. We believe that we maintain good relatons with our employees.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face competton for our personnel from our compettors and other companies throughout our industry. Over the last several years, the challenges in recruitng and retaining employees across the pharmaceutcal and biotechnology industries have increased substantally due to current industry job market dynamics.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Retenton, growth, training and development of our employees are integral to our success. We ofer compettve compensaton, including base salary and incentve bonuses. We conduct bi-annual internal and external pay reviews to ensure fair and equitable pay for our employees, which includes an internal pay equity analysis, as well as a review of our employees' pay against external market data. To foster a stronger sense of ownership and align the interests of employees with shareholders, we grant restricted stock units and common stock optons to eligible employees under our broad-based stock incentve program, and employees may purchase stock pursuant to our employee stock purchase plan. In additon, many of our executves partcipate in our employee stock purchase plan. Further, our benefts packages are designed to atract, motvate and reward talented individuals who possess the skills necessary to support our business objectves, assist in the achievement of our strategic goals and create value for our stockholders. Our compensaton program is designed to diferentate us from our competton, incentvize achievement of corporate goals and individual performance and demonstrate our corporate values. In additon, we are commited to developing our team members and provide development and leadership opportunites to our employees to cultvate talent throughout the Company.</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commited to our employees’ health, safety and well-being. Our work paradigm is fexible and designed to accommodate a range of work profles. Our workforce is primarily hybrid and fully remote, including feld-based, with certain employees being ofce-based. We ofer a wide variety of compettve benefts to support our employees' physical, mental and fnancial well-being. Our benefts package is comprehensive in coverage and ofers optons to support all employees in staying healthy, planning for their future and developing their careers. Our management contnues to assess and respond to the evolving needs of our workforce.</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Environmental, Social and Governance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commitment is to ensure that every employee is included, supported and treated equitably. In furtherance of this goal, we developed a team to support and guide Akebia as an inclusive and culturally intelligent workplace. Over the past four years this team has worked with executve leadership to identfy areas for growth and educaton and move forward several initatves that will enable us to contnue to build an inclusive workplace and to work toward our aspiraton to have a workforce comprised of individuals with diferent experiences, perspectves and backgrounds. In 2024, this team launched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9" w:name="page50"/>
    <w:bookmarkEnd w:id="4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training focused on promotng equal opportunity and mitgatng potental bias for all employees. Other initatves include learning, coaching, cultural awareness actvites and development opportunites for all of our employees.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Cambridge ofce has a Fitwel Certfcaton, a healthy building certfcaton system, and is level two certfed. Additonally, we consolidated our ofce footprint to reduce our use of energy and other resources and have initated recycling programs, including single stream recycling and recycling cans at every desk. Furthermore, we ofer a commuter beneft to all of our hybrid and ofce-based employees to encourage employees to use public transportaton and ofer bicycle parking free of charge in the onsite garage</w:t>
      </w:r>
      <w:r>
        <w:rPr>
          <w:rFonts w:ascii="Calibri" w:cs="Calibri" w:eastAsia="Calibri" w:hAnsi="Calibri"/>
          <w:sz w:val="18"/>
          <w:szCs w:val="18"/>
          <w:color w:val="4A494A"/>
        </w:rPr>
        <w: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we support kidney patent communites where we live and work. In the U.S., we had a patent services program, Akebia Cares, designed to provide one-on-one support to help communicate individual benefts and available resources for patents today facing fnancial obstacles that keep them from accessing important medicatons. In 2024, we provided over $7.4 million worth of Auryxia for free to patents needing assistance. Our free drug program ended as of December 31, 2024, however, we contnue to ofer copay assistance for eligible patents.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also have a cross-functonal Sponsorship Review Commitee that reviews and approves sponsorships and donatons based on the relevance of each projects to our purpose, business objectves and the communites we serve. We support and work closely with multple kidney patent advocacy organizatons. We believe our involvement with and support of patent advocacy programs demonstrates our commitment to our purpose of betering the life of each person impacted by kidney disease.</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Available Informaton</w:t>
      </w:r>
    </w:p>
    <w:p>
      <w:pPr>
        <w:spacing w:after="0" w:line="109"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 xml:space="preserve">Our website address is www.akebia.com. The informaton on our website or that may be accessed by links on our website is not incorporated by reference into this Form 10-K. We make available, free of charge and through our website, our Annual Reports on Form 10-K, Quarterly Reports on Form 10-Q, Current Reports on Form 8-K, and any amendments to any such reports fled or furnished pursuant to Secton 13(a) or 15(d) of the Securites Exchange Act of 1934, as amended, as soon as reasonably practcable afer they are electronically fled with or furnished to the U.S. Securites and Exchange Commission, or </w:t>
      </w:r>
      <w:r>
        <w:rPr>
          <w:rFonts w:ascii="Calibri" w:cs="Calibri" w:eastAsia="Calibri" w:hAnsi="Calibri"/>
          <w:sz w:val="17"/>
          <w:szCs w:val="17"/>
          <w:u w:val="single" w:color="auto"/>
          <w:color w:val="auto"/>
        </w:rPr>
        <w:t>SEC.</w:t>
      </w:r>
    </w:p>
    <w:p>
      <w:pPr>
        <w:spacing w:after="0" w:line="9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Corporate Informaton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Akebia was incorporated in Delaware in 2007 and became a public company in 2014. Our mailing address and principal executve ofces and our laboratory are located at 245 First Street, Cambridge, Massachusets 02142. Our telephone number is (617) 871-2098.</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required to fle annual, quarterly and current reports, proxy statements and other informaton with the SEC. The SEC maintains a website at www.sec.gov that contains reports, proxy and informaton statements, and other informaton regarding issuers that fle electronically with the SEC. Our Annual Reports on Form 10-K, Quarterly Reports on Form 10-Q, Current Reports on Form 8-K, proxy statements, and other informaton, including amendments and exhibits to such reports, fled or furnished pursuant to the Securites Exchange Act of 1934 are also available free of charge in the “SEC Filings” secton of our website located at htp://www.akebia.com, as soon as reasonably practcable afer the reports are electronically fled with or furnished to the SEC. The informaton on our website is not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0" w:name="page51"/>
    <w:bookmarkEnd w:id="5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Item 1A. Risk Factors.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We face a variety of risks and uncertaintes in our business. Additonal risks and uncertaintes not presently known to us or that we currently believe to be immaterial may also become important factors that afect our business, reputaton, results of operatons, fnancial conditon and stock price which can be materially and adversely afected. If any of the following risks occurs, our business, fnancial conditon, fnancial statements, results of operatons and future growth prospects could be materially and adversely afected.</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our Financial Positon, Need for Additonal Capital and Growth Strategy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We have incurred signifcant losses since our incepton, and antcipate that we will contnue to incur losses and cannot guarantee when, if ever, we will become proftable or atain positve cash fows.</w:t>
      </w:r>
    </w:p>
    <w:p>
      <w:pPr>
        <w:spacing w:after="0" w:line="96" w:lineRule="exact"/>
        <w:rPr>
          <w:sz w:val="20"/>
          <w:szCs w:val="20"/>
          <w:color w:val="auto"/>
        </w:rPr>
      </w:pPr>
    </w:p>
    <w:p>
      <w:pPr>
        <w:jc w:val="both"/>
        <w:spacing w:after="0" w:line="221" w:lineRule="auto"/>
        <w:rPr>
          <w:sz w:val="20"/>
          <w:szCs w:val="20"/>
          <w:color w:val="auto"/>
        </w:rPr>
      </w:pPr>
      <w:r>
        <w:rPr>
          <w:rFonts w:ascii="Calibri" w:cs="Calibri" w:eastAsia="Calibri" w:hAnsi="Calibri"/>
          <w:sz w:val="18"/>
          <w:szCs w:val="18"/>
          <w:color w:val="auto"/>
        </w:rPr>
        <w:t xml:space="preserve">Investment in pharmaceutcal product development and commercializaton is highly speculatve because it requires upfront capital expenditures and signifcant research and development, or </w:t>
      </w:r>
      <w:r>
        <w:rPr>
          <w:rFonts w:ascii="Calibri" w:cs="Calibri" w:eastAsia="Calibri" w:hAnsi="Calibri"/>
          <w:sz w:val="18"/>
          <w:szCs w:val="18"/>
          <w:u w:val="single" w:color="auto"/>
          <w:color w:val="auto"/>
        </w:rPr>
        <w:t>R&amp;D</w:t>
      </w:r>
      <w:r>
        <w:rPr>
          <w:rFonts w:ascii="Calibri" w:cs="Calibri" w:eastAsia="Calibri" w:hAnsi="Calibri"/>
          <w:sz w:val="18"/>
          <w:szCs w:val="18"/>
          <w:color w:val="auto"/>
        </w:rPr>
        <w:t xml:space="preserve">, expenses. Despite the investment in assets and R&amp;D, there is signifcant risk that a product candidate will fail to gain marketng approval or that an approved product will not be commercially viable. Since our incepton, we have devoted most of our resources to R&amp;D, including our preclinical and clinical development actvites, commercializing Auryxia and Vafseo and providing general and administratve support for these operatons. We have funded our operatons principally through product sales, payments received from our collaboraton and licensing partners, borrowings under term loans, sales of our common stock, including through our employee stock purchase plan, a working capital payment from Vifor (Internatonal) Ltd. (now a part of CSL Limited), or </w:t>
      </w:r>
      <w:r>
        <w:rPr>
          <w:rFonts w:ascii="Calibri" w:cs="Calibri" w:eastAsia="Calibri" w:hAnsi="Calibri"/>
          <w:sz w:val="18"/>
          <w:szCs w:val="18"/>
          <w:u w:val="single" w:color="auto"/>
          <w:color w:val="auto"/>
        </w:rPr>
        <w:t>CSL Vifor</w:t>
      </w:r>
      <w:r>
        <w:rPr>
          <w:rFonts w:ascii="Calibri" w:cs="Calibri" w:eastAsia="Calibri" w:hAnsi="Calibri"/>
          <w:sz w:val="18"/>
          <w:szCs w:val="18"/>
          <w:color w:val="auto"/>
        </w:rPr>
        <w:t xml:space="preserve">, and a royalty transacton. Prior to our 2018 merger, or the </w:t>
      </w:r>
      <w:r>
        <w:rPr>
          <w:rFonts w:ascii="Calibri" w:cs="Calibri" w:eastAsia="Calibri" w:hAnsi="Calibri"/>
          <w:sz w:val="18"/>
          <w:szCs w:val="18"/>
          <w:u w:val="single" w:color="auto"/>
          <w:color w:val="auto"/>
        </w:rPr>
        <w:t>Merger</w:t>
      </w:r>
      <w:r>
        <w:rPr>
          <w:rFonts w:ascii="Calibri" w:cs="Calibri" w:eastAsia="Calibri" w:hAnsi="Calibri"/>
          <w:sz w:val="18"/>
          <w:szCs w:val="18"/>
          <w:color w:val="auto"/>
        </w:rPr>
        <w:t xml:space="preserve">, with Keryx Biopharmaceutcals, Inc., or </w:t>
      </w:r>
      <w:r>
        <w:rPr>
          <w:rFonts w:ascii="Calibri" w:cs="Calibri" w:eastAsia="Calibri" w:hAnsi="Calibri"/>
          <w:sz w:val="18"/>
          <w:szCs w:val="18"/>
          <w:u w:val="single" w:color="auto"/>
          <w:color w:val="auto"/>
        </w:rPr>
        <w:t>Keryx</w:t>
      </w:r>
      <w:r>
        <w:rPr>
          <w:rFonts w:ascii="Calibri" w:cs="Calibri" w:eastAsia="Calibri" w:hAnsi="Calibri"/>
          <w:sz w:val="18"/>
          <w:szCs w:val="18"/>
          <w:color w:val="auto"/>
        </w:rPr>
        <w:t>, whereby Keryx became our wholly owned subsidiary, we had no products approved for commercial sale and had not generated any revenue from the sale of products. While we currently have two commercial products, we are not currently proftable and we have incurred net losses each year since our incepton, including a net loss of $69.4 million for the year ended December 31, 2024. As of December 31, 2024, we had an accumulated defcit of $1.7 billion. We cannot guarantee when, if ever, we will become proftable.</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March 2022, we received a complete response leter, or </w:t>
      </w:r>
      <w:r>
        <w:rPr>
          <w:rFonts w:ascii="Calibri" w:cs="Calibri" w:eastAsia="Calibri" w:hAnsi="Calibri"/>
          <w:sz w:val="18"/>
          <w:szCs w:val="18"/>
          <w:u w:val="single" w:color="auto"/>
          <w:color w:val="auto"/>
        </w:rPr>
        <w:t>CRL</w:t>
      </w:r>
      <w:r>
        <w:rPr>
          <w:rFonts w:ascii="Calibri" w:cs="Calibri" w:eastAsia="Calibri" w:hAnsi="Calibri"/>
          <w:sz w:val="18"/>
          <w:szCs w:val="18"/>
          <w:color w:val="auto"/>
        </w:rPr>
        <w:t xml:space="preserve">, from the United States, or </w:t>
      </w:r>
      <w:r>
        <w:rPr>
          <w:rFonts w:ascii="Calibri" w:cs="Calibri" w:eastAsia="Calibri" w:hAnsi="Calibri"/>
          <w:sz w:val="18"/>
          <w:szCs w:val="18"/>
          <w:u w:val="single" w:color="auto"/>
          <w:color w:val="auto"/>
        </w:rPr>
        <w:t>U.S.</w:t>
      </w:r>
      <w:r>
        <w:rPr>
          <w:rFonts w:ascii="Calibri" w:cs="Calibri" w:eastAsia="Calibri" w:hAnsi="Calibri"/>
          <w:sz w:val="18"/>
          <w:szCs w:val="18"/>
          <w:color w:val="auto"/>
        </w:rPr>
        <w:t xml:space="preserve">, Food and Drug Administraton, or </w:t>
      </w:r>
      <w:r>
        <w:rPr>
          <w:rFonts w:ascii="Calibri" w:cs="Calibri" w:eastAsia="Calibri" w:hAnsi="Calibri"/>
          <w:sz w:val="18"/>
          <w:szCs w:val="18"/>
          <w:u w:val="single" w:color="auto"/>
          <w:color w:val="auto"/>
        </w:rPr>
        <w:t>FDA</w:t>
      </w:r>
      <w:r>
        <w:rPr>
          <w:rFonts w:ascii="Calibri" w:cs="Calibri" w:eastAsia="Calibri" w:hAnsi="Calibri"/>
          <w:sz w:val="18"/>
          <w:szCs w:val="18"/>
          <w:color w:val="auto"/>
        </w:rPr>
        <w:t xml:space="preserve">, regarding our new drug applicaton, or </w:t>
      </w:r>
      <w:r>
        <w:rPr>
          <w:rFonts w:ascii="Calibri" w:cs="Calibri" w:eastAsia="Calibri" w:hAnsi="Calibri"/>
          <w:sz w:val="18"/>
          <w:szCs w:val="18"/>
          <w:u w:val="single" w:color="auto"/>
          <w:color w:val="auto"/>
        </w:rPr>
        <w:t>NDA</w:t>
      </w:r>
      <w:r>
        <w:rPr>
          <w:rFonts w:ascii="Calibri" w:cs="Calibri" w:eastAsia="Calibri" w:hAnsi="Calibri"/>
          <w:sz w:val="18"/>
          <w:szCs w:val="18"/>
          <w:color w:val="auto"/>
        </w:rPr>
        <w:t xml:space="preserve">, for vadadustat for the treatment of anemia associated with chronic kidney disease, or </w:t>
      </w:r>
      <w:r>
        <w:rPr>
          <w:rFonts w:ascii="Calibri" w:cs="Calibri" w:eastAsia="Calibri" w:hAnsi="Calibri"/>
          <w:sz w:val="18"/>
          <w:szCs w:val="18"/>
          <w:u w:val="single" w:color="auto"/>
          <w:color w:val="auto"/>
        </w:rPr>
        <w:t>CKD</w:t>
      </w:r>
      <w:r>
        <w:rPr>
          <w:rFonts w:ascii="Calibri" w:cs="Calibri" w:eastAsia="Calibri" w:hAnsi="Calibri"/>
          <w:sz w:val="18"/>
          <w:szCs w:val="18"/>
          <w:color w:val="auto"/>
        </w:rPr>
        <w:t xml:space="preserve">. Following a Formal Dispute Resoluton Request, or </w:t>
      </w:r>
      <w:r>
        <w:rPr>
          <w:rFonts w:ascii="Calibri" w:cs="Calibri" w:eastAsia="Calibri" w:hAnsi="Calibri"/>
          <w:sz w:val="18"/>
          <w:szCs w:val="18"/>
          <w:u w:val="single" w:color="auto"/>
          <w:color w:val="auto"/>
        </w:rPr>
        <w:t>FDRR</w:t>
      </w:r>
      <w:r>
        <w:rPr>
          <w:rFonts w:ascii="Calibri" w:cs="Calibri" w:eastAsia="Calibri" w:hAnsi="Calibri"/>
          <w:sz w:val="18"/>
          <w:szCs w:val="18"/>
          <w:color w:val="auto"/>
        </w:rPr>
        <w:t>, to the FDA in 2022 for vadadustat, we fled a resubmission to our NDA in 2023. On March 27, 2024, the FDA approved our NDA for vadadustat under the trade name Vafseo for the treatment of anemia due to CKD in adults who have been receiving dialysis for at least three months. However, we expended signifcant additonal resources to obtain the approval of Vafseo, the commercializaton of Vafseo was delayed and Vafseo was approved for a narrower indicaton than we initally pursued, which had and could contnue to have an adverse efect on our business.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ability to generate product revenue and achieve proftability depends on our ability to manage expenses and the overall success of Auryxia, Vafseo and any current or future product candidates, including those that may be in-licensed or acquired, which depends on several factors, including:</w:t>
      </w:r>
    </w:p>
    <w:p>
      <w:pPr>
        <w:spacing w:after="0" w:line="110" w:lineRule="exact"/>
        <w:rPr>
          <w:sz w:val="20"/>
          <w:szCs w:val="20"/>
          <w:color w:val="auto"/>
        </w:rPr>
      </w:pPr>
    </w:p>
    <w:p>
      <w:pPr>
        <w:ind w:left="660" w:hanging="328"/>
        <w:spacing w:after="0" w:line="235" w:lineRule="auto"/>
        <w:tabs>
          <w:tab w:leader="none" w:pos="653"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obtaining adequate or favorable pricing and reimbursement from private and governmental payors for Auryxia, Vafseo and any other product or product candidate, including those that may be in-licensed or acquired;</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obtaining and maintaining market acceptance of Auryxia, Vafseo and any other product candidate, including those that may be in-licensed or acquired;</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the size of any market in which Auryxia, Vafseo and any other product or product candidate, including those that may be in-licensed or acquired, receives approval and obtaining adequate market share in those markets;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maintaining marketng approvals for Auryxia, Vafseo and any other product, including those that may be in-licensed or acquired;</w:t>
      </w:r>
    </w:p>
    <w:p>
      <w:pPr>
        <w:spacing w:after="0" w:line="69" w:lineRule="exact"/>
        <w:rPr>
          <w:rFonts w:ascii="Calibri" w:cs="Calibri" w:eastAsia="Calibri" w:hAnsi="Calibri"/>
          <w:sz w:val="18"/>
          <w:szCs w:val="18"/>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Calibri" w:cs="Calibri" w:eastAsia="Calibri" w:hAnsi="Calibri"/>
          <w:sz w:val="18"/>
          <w:szCs w:val="18"/>
          <w:color w:val="auto"/>
        </w:rPr>
        <w:t>obtaining regulatory approval for any label expansion for Vafseo, including the tming and scope thereof;</w:t>
      </w:r>
    </w:p>
    <w:p>
      <w:pPr>
        <w:spacing w:after="0" w:line="23" w:lineRule="exact"/>
        <w:rPr>
          <w:rFonts w:ascii="Arial" w:cs="Arial" w:eastAsia="Arial" w:hAnsi="Arial"/>
          <w:sz w:val="22"/>
          <w:szCs w:val="22"/>
          <w:color w:val="auto"/>
        </w:rPr>
      </w:pPr>
    </w:p>
    <w:p>
      <w:pPr>
        <w:ind w:left="660" w:hanging="328"/>
        <w:spacing w:after="0" w:line="195" w:lineRule="auto"/>
        <w:tabs>
          <w:tab w:leader="none" w:pos="660" w:val="left"/>
        </w:tabs>
        <w:numPr>
          <w:ilvl w:val="0"/>
          <w:numId w:val="20"/>
        </w:numPr>
        <w:rPr>
          <w:rFonts w:ascii="Calibri" w:cs="Calibri" w:eastAsia="Calibri" w:hAnsi="Calibri"/>
          <w:sz w:val="22"/>
          <w:szCs w:val="22"/>
          <w:color w:val="auto"/>
        </w:rPr>
      </w:pPr>
      <w:r>
        <w:rPr>
          <w:rFonts w:ascii="Calibri" w:cs="Calibri" w:eastAsia="Calibri" w:hAnsi="Calibri"/>
          <w:sz w:val="18"/>
          <w:szCs w:val="18"/>
          <w:color w:val="auto"/>
        </w:rPr>
        <w:t>our ability to maintain contracts with dialysis organizatons for the sale of Auryxia and Vafseo in the U.S.;</w:t>
      </w:r>
    </w:p>
    <w:p>
      <w:pPr>
        <w:spacing w:after="0" w:line="69" w:lineRule="exact"/>
        <w:rPr>
          <w:rFonts w:ascii="Calibri" w:cs="Calibri" w:eastAsia="Calibri" w:hAnsi="Calibri"/>
          <w:sz w:val="22"/>
          <w:szCs w:val="22"/>
          <w:color w:val="auto"/>
        </w:rPr>
      </w:pPr>
    </w:p>
    <w:p>
      <w:pPr>
        <w:ind w:left="660" w:right="20" w:hanging="328"/>
        <w:spacing w:after="0" w:line="235" w:lineRule="auto"/>
        <w:tabs>
          <w:tab w:leader="none" w:pos="653"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actual or perceived advantages or disadvantages of our products or product candidates as compared to alternatve treatments, including their respectve safety, tolerability and efcacy profles, the potental convenience and ease of administraton and cost;</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maintaining an acceptable safety and tolerability profle of our approved products, including the frequency and severity of any side efects;</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20"/>
        </w:numPr>
        <w:rPr>
          <w:rFonts w:ascii="Calibri" w:cs="Calibri" w:eastAsia="Calibri" w:hAnsi="Calibri"/>
          <w:sz w:val="18"/>
          <w:szCs w:val="18"/>
          <w:color w:val="auto"/>
        </w:rPr>
      </w:pPr>
      <w:r>
        <w:rPr>
          <w:rFonts w:ascii="Calibri" w:cs="Calibri" w:eastAsia="Calibri" w:hAnsi="Calibri"/>
          <w:sz w:val="18"/>
          <w:szCs w:val="18"/>
          <w:color w:val="auto"/>
        </w:rPr>
        <w:t>the willingness of the target patent populaton to try new therapies and of physicians to prescribe these therapies, based, in part, on their percepton of our clinical trial data and/or the actual or perceived safety, tolerability and efcacy profle;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1" w:name="page52"/>
    <w:bookmarkEnd w:id="5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Calibri" w:cs="Calibri" w:eastAsia="Calibri" w:hAnsi="Calibri"/>
          <w:sz w:val="18"/>
          <w:szCs w:val="18"/>
          <w:color w:val="auto"/>
        </w:rPr>
        <w:t>the tming and scope of marketng approvals for any product candidate, if approved, including those that may be in-licensed or acquired;</w:t>
      </w:r>
    </w:p>
    <w:p>
      <w:pPr>
        <w:spacing w:after="0" w:line="55" w:lineRule="exact"/>
        <w:rPr>
          <w:rFonts w:ascii="Arial" w:cs="Arial" w:eastAsia="Arial" w:hAnsi="Arial"/>
          <w:sz w:val="22"/>
          <w:szCs w:val="22"/>
          <w:color w:val="auto"/>
        </w:rPr>
      </w:pPr>
    </w:p>
    <w:p>
      <w:pPr>
        <w:jc w:val="both"/>
        <w:ind w:left="660" w:hanging="328"/>
        <w:spacing w:after="0" w:line="235" w:lineRule="auto"/>
        <w:tabs>
          <w:tab w:leader="none" w:pos="653" w:val="left"/>
        </w:tabs>
        <w:numPr>
          <w:ilvl w:val="0"/>
          <w:numId w:val="21"/>
        </w:numPr>
        <w:rPr>
          <w:rFonts w:ascii="Calibri" w:cs="Calibri" w:eastAsia="Calibri" w:hAnsi="Calibri"/>
          <w:sz w:val="18"/>
          <w:szCs w:val="18"/>
          <w:color w:val="auto"/>
        </w:rPr>
      </w:pPr>
      <w:r>
        <w:rPr>
          <w:rFonts w:ascii="Calibri" w:cs="Calibri" w:eastAsia="Calibri" w:hAnsi="Calibri"/>
          <w:sz w:val="18"/>
          <w:szCs w:val="18"/>
          <w:color w:val="auto"/>
        </w:rPr>
        <w:t xml:space="preserve">establishing and maintaining supply and manufacturing relatonships with third partes that can provide adequate supplies of products that are compliant with good manufacturing practces, or </w:t>
      </w:r>
      <w:r>
        <w:rPr>
          <w:rFonts w:ascii="Calibri" w:cs="Calibri" w:eastAsia="Calibri" w:hAnsi="Calibri"/>
          <w:sz w:val="18"/>
          <w:szCs w:val="18"/>
          <w:u w:val="single" w:color="auto"/>
          <w:color w:val="auto"/>
        </w:rPr>
        <w:t>GMPs</w:t>
      </w:r>
      <w:r>
        <w:rPr>
          <w:rFonts w:ascii="Calibri" w:cs="Calibri" w:eastAsia="Calibri" w:hAnsi="Calibri"/>
          <w:sz w:val="18"/>
          <w:szCs w:val="18"/>
          <w:color w:val="auto"/>
        </w:rPr>
        <w:t>, to support the clinical development and the market demand for Auryxia, Vafseo and any other product and product candidate, including those that may be in-licensed or acquired;</w:t>
      </w:r>
    </w:p>
    <w:p>
      <w:pPr>
        <w:spacing w:after="0" w:line="70" w:lineRule="exact"/>
        <w:rPr>
          <w:rFonts w:ascii="Calibri" w:cs="Calibri" w:eastAsia="Calibri" w:hAnsi="Calibri"/>
          <w:sz w:val="18"/>
          <w:szCs w:val="18"/>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Calibri" w:cs="Calibri" w:eastAsia="Calibri" w:hAnsi="Calibri"/>
          <w:sz w:val="18"/>
          <w:szCs w:val="18"/>
          <w:color w:val="auto"/>
        </w:rPr>
        <w:t>the potental impact of geopolitcal pressures or the BIOSECURE Act on our ability to conduct our business as currently conducted;</w:t>
      </w:r>
    </w:p>
    <w:p>
      <w:pPr>
        <w:spacing w:after="0" w:line="55" w:lineRule="exact"/>
        <w:rPr>
          <w:rFonts w:ascii="Arial" w:cs="Arial" w:eastAsia="Arial" w:hAnsi="Arial"/>
          <w:sz w:val="22"/>
          <w:szCs w:val="22"/>
          <w:color w:val="auto"/>
        </w:rPr>
      </w:pPr>
    </w:p>
    <w:p>
      <w:pPr>
        <w:jc w:val="both"/>
        <w:ind w:left="660" w:hanging="328"/>
        <w:spacing w:after="0" w:line="235" w:lineRule="auto"/>
        <w:tabs>
          <w:tab w:leader="none" w:pos="653" w:val="left"/>
        </w:tabs>
        <w:numPr>
          <w:ilvl w:val="0"/>
          <w:numId w:val="21"/>
        </w:numPr>
        <w:rPr>
          <w:rFonts w:ascii="Calibri" w:cs="Calibri" w:eastAsia="Calibri" w:hAnsi="Calibri"/>
          <w:sz w:val="18"/>
          <w:szCs w:val="18"/>
          <w:color w:val="auto"/>
        </w:rPr>
      </w:pPr>
      <w:r>
        <w:rPr>
          <w:rFonts w:ascii="Calibri" w:cs="Calibri" w:eastAsia="Calibri" w:hAnsi="Calibri"/>
          <w:sz w:val="18"/>
          <w:szCs w:val="18"/>
          <w:color w:val="auto"/>
        </w:rPr>
        <w:t xml:space="preserve">current and future restrictons or limitatons on our approved or future indicatons and patent populatons or other adverse regulatory actons or in the event that the FDA requires Risk Evaluaton and Mitgaton Strategies, or </w:t>
      </w:r>
      <w:r>
        <w:rPr>
          <w:rFonts w:ascii="Calibri" w:cs="Calibri" w:eastAsia="Calibri" w:hAnsi="Calibri"/>
          <w:sz w:val="18"/>
          <w:szCs w:val="18"/>
          <w:u w:val="single" w:color="auto"/>
          <w:color w:val="auto"/>
        </w:rPr>
        <w:t>REMS</w:t>
      </w:r>
      <w:r>
        <w:rPr>
          <w:rFonts w:ascii="Calibri" w:cs="Calibri" w:eastAsia="Calibri" w:hAnsi="Calibri"/>
          <w:sz w:val="18"/>
          <w:szCs w:val="18"/>
          <w:color w:val="auto"/>
        </w:rPr>
        <w:t>, or risk management plans that use restrictve risk minimizaton strategies;</w:t>
      </w:r>
    </w:p>
    <w:p>
      <w:pPr>
        <w:spacing w:after="0" w:line="51" w:lineRule="exact"/>
        <w:rPr>
          <w:rFonts w:ascii="Calibri" w:cs="Calibri" w:eastAsia="Calibri" w:hAnsi="Calibri"/>
          <w:sz w:val="18"/>
          <w:szCs w:val="18"/>
          <w:color w:val="auto"/>
        </w:rPr>
      </w:pPr>
    </w:p>
    <w:p>
      <w:pPr>
        <w:ind w:left="640" w:hanging="308"/>
        <w:spacing w:after="0"/>
        <w:tabs>
          <w:tab w:leader="none" w:pos="640" w:val="left"/>
        </w:tabs>
        <w:numPr>
          <w:ilvl w:val="0"/>
          <w:numId w:val="21"/>
        </w:numPr>
        <w:rPr>
          <w:rFonts w:ascii="Calibri" w:cs="Calibri" w:eastAsia="Calibri" w:hAnsi="Calibri"/>
          <w:sz w:val="18"/>
          <w:szCs w:val="18"/>
          <w:color w:val="auto"/>
        </w:rPr>
      </w:pPr>
      <w:r>
        <w:rPr>
          <w:rFonts w:ascii="Calibri" w:cs="Calibri" w:eastAsia="Calibri" w:hAnsi="Calibri"/>
          <w:sz w:val="18"/>
          <w:szCs w:val="18"/>
          <w:color w:val="auto"/>
        </w:rPr>
        <w:t>the efectveness of our collaborators' and our sales, marketng, manufacturing and distributon strategies and operatons;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1"/>
        </w:numPr>
        <w:rPr>
          <w:rFonts w:ascii="Calibri" w:cs="Calibri" w:eastAsia="Calibri" w:hAnsi="Calibri"/>
          <w:sz w:val="18"/>
          <w:szCs w:val="18"/>
          <w:color w:val="auto"/>
        </w:rPr>
      </w:pPr>
      <w:r>
        <w:rPr>
          <w:rFonts w:ascii="Calibri" w:cs="Calibri" w:eastAsia="Calibri" w:hAnsi="Calibri"/>
          <w:sz w:val="18"/>
          <w:szCs w:val="18"/>
          <w:color w:val="auto"/>
        </w:rPr>
        <w:t>competng efectvely with any products for the same or similar indicatons as our products (including generics);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1"/>
        </w:numPr>
        <w:rPr>
          <w:rFonts w:ascii="Calibri" w:cs="Calibri" w:eastAsia="Calibri" w:hAnsi="Calibri"/>
          <w:sz w:val="18"/>
          <w:szCs w:val="18"/>
          <w:color w:val="auto"/>
        </w:rPr>
      </w:pPr>
      <w:r>
        <w:rPr>
          <w:rFonts w:ascii="Calibri" w:cs="Calibri" w:eastAsia="Calibri" w:hAnsi="Calibri"/>
          <w:sz w:val="18"/>
          <w:szCs w:val="18"/>
          <w:color w:val="auto"/>
        </w:rPr>
        <w:t>maintaining, protectng and expanding our portolio of intellectual property rights, including patents and trade secrets; and</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1"/>
        </w:numPr>
        <w:rPr>
          <w:rFonts w:ascii="Calibri" w:cs="Calibri" w:eastAsia="Calibri" w:hAnsi="Calibri"/>
          <w:sz w:val="18"/>
          <w:szCs w:val="18"/>
          <w:color w:val="auto"/>
        </w:rPr>
      </w:pPr>
      <w:r>
        <w:rPr>
          <w:rFonts w:ascii="Calibri" w:cs="Calibri" w:eastAsia="Calibri" w:hAnsi="Calibri"/>
          <w:sz w:val="18"/>
          <w:szCs w:val="18"/>
          <w:color w:val="auto"/>
        </w:rPr>
        <w:t>the adverse impact of the COVID-19 pandemic on CKD patents and the phosphate binder market in which we compete.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Our collaboraton, license and other revenue also depends on our partners’ ability to successfully market and sell Vafseo and Auryxia in the territories in which they have licensed our products. For example, in May 2023, we entered into a license agreement with MEDICE Arzneimitel Püter GmbH &amp; Co. KG, or </w:t>
      </w:r>
      <w:r>
        <w:rPr>
          <w:rFonts w:ascii="Calibri" w:cs="Calibri" w:eastAsia="Calibri" w:hAnsi="Calibri"/>
          <w:sz w:val="18"/>
          <w:szCs w:val="18"/>
          <w:u w:val="single" w:color="auto"/>
          <w:color w:val="auto"/>
        </w:rPr>
        <w:t>Medice</w:t>
      </w:r>
      <w:r>
        <w:rPr>
          <w:rFonts w:ascii="Calibri" w:cs="Calibri" w:eastAsia="Calibri" w:hAnsi="Calibri"/>
          <w:sz w:val="18"/>
          <w:szCs w:val="18"/>
          <w:color w:val="auto"/>
        </w:rPr>
        <w:t xml:space="preserve">, pursuant to which we granted Medice an exclusive license to market and sell Vafseo for the treatment of anemia in patents with CKD in the European Economic Area, or the </w:t>
      </w:r>
      <w:r>
        <w:rPr>
          <w:rFonts w:ascii="Calibri" w:cs="Calibri" w:eastAsia="Calibri" w:hAnsi="Calibri"/>
          <w:sz w:val="18"/>
          <w:szCs w:val="18"/>
          <w:u w:val="single" w:color="auto"/>
          <w:color w:val="auto"/>
        </w:rPr>
        <w:t>EEA</w:t>
      </w:r>
      <w:r>
        <w:rPr>
          <w:rFonts w:ascii="Calibri" w:cs="Calibri" w:eastAsia="Calibri" w:hAnsi="Calibri"/>
          <w:sz w:val="18"/>
          <w:szCs w:val="18"/>
          <w:color w:val="auto"/>
        </w:rPr>
        <w:t xml:space="preserve">, the United Kingdom, or </w:t>
      </w:r>
      <w:r>
        <w:rPr>
          <w:rFonts w:ascii="Calibri" w:cs="Calibri" w:eastAsia="Calibri" w:hAnsi="Calibri"/>
          <w:sz w:val="18"/>
          <w:szCs w:val="18"/>
          <w:u w:val="single" w:color="auto"/>
          <w:color w:val="auto"/>
        </w:rPr>
        <w:t>UK</w:t>
      </w:r>
      <w:r>
        <w:rPr>
          <w:rFonts w:ascii="Calibri" w:cs="Calibri" w:eastAsia="Calibri" w:hAnsi="Calibri"/>
          <w:sz w:val="18"/>
          <w:szCs w:val="18"/>
          <w:color w:val="auto"/>
        </w:rPr>
        <w:t xml:space="preserve">, Switzerland and Australia, or </w:t>
      </w:r>
      <w:r>
        <w:rPr>
          <w:rFonts w:ascii="Calibri" w:cs="Calibri" w:eastAsia="Calibri" w:hAnsi="Calibri"/>
          <w:sz w:val="18"/>
          <w:szCs w:val="18"/>
          <w:u w:val="single" w:color="auto"/>
          <w:color w:val="auto"/>
        </w:rPr>
        <w:t>Medice Territory</w:t>
      </w:r>
      <w:r>
        <w:rPr>
          <w:rFonts w:ascii="Calibri" w:cs="Calibri" w:eastAsia="Calibri" w:hAnsi="Calibri"/>
          <w:sz w:val="18"/>
          <w:szCs w:val="18"/>
          <w:color w:val="auto"/>
        </w:rPr>
        <w:t>. Vafseo is currently marketed and sold by Medice in certain countries in the Medice Territory. If Medice’s launch of Vafseo in certain countries in the Medice Territory is delayed or their sales are lower than antcipated, we may not receive the revenue that we expect from Medice on the tming antcipated, or at all.</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July 2024, we entered into a Terminaton and Setlement Agreement with CSL Vifor, or the </w:t>
      </w:r>
      <w:r>
        <w:rPr>
          <w:rFonts w:ascii="Calibri" w:cs="Calibri" w:eastAsia="Calibri" w:hAnsi="Calibri"/>
          <w:sz w:val="18"/>
          <w:szCs w:val="18"/>
          <w:u w:val="single" w:color="auto"/>
          <w:color w:val="auto"/>
        </w:rPr>
        <w:t>Vifor Terminaton Agreement</w:t>
      </w:r>
      <w:r>
        <w:rPr>
          <w:rFonts w:ascii="Calibri" w:cs="Calibri" w:eastAsia="Calibri" w:hAnsi="Calibri"/>
          <w:sz w:val="18"/>
          <w:szCs w:val="18"/>
          <w:color w:val="auto"/>
        </w:rPr>
        <w:t xml:space="preserve">. Pursuant to the Vifor Terminaton Agreement, we agreed, among other things, to terminate, efectve immediately, the Second Amended and Restated License Agreement that we entered into with CSL Vifor in February 2022, as amended in May 2024, or the </w:t>
      </w:r>
      <w:r>
        <w:rPr>
          <w:rFonts w:ascii="Calibri" w:cs="Calibri" w:eastAsia="Calibri" w:hAnsi="Calibri"/>
          <w:sz w:val="18"/>
          <w:szCs w:val="18"/>
          <w:u w:val="single" w:color="auto"/>
          <w:color w:val="auto"/>
        </w:rPr>
        <w:t>Vifor License Agreement</w:t>
      </w:r>
      <w:r>
        <w:rPr>
          <w:rFonts w:ascii="Calibri" w:cs="Calibri" w:eastAsia="Calibri" w:hAnsi="Calibri"/>
          <w:sz w:val="18"/>
          <w:szCs w:val="18"/>
          <w:color w:val="auto"/>
        </w:rPr>
        <w:t xml:space="preserve">, pursuant to which we granted CSL Vifor an exclusive license to sell Vafseo to Fresenius Medical Care North America and its afliates, including Fresenius Kidney Care Group LLC, to certain third-party dialysis organizatons approved by us, to independent dialysis organizatons that are members of certain group purchasing organizatons, or </w:t>
      </w:r>
      <w:r>
        <w:rPr>
          <w:rFonts w:ascii="Calibri" w:cs="Calibri" w:eastAsia="Calibri" w:hAnsi="Calibri"/>
          <w:sz w:val="18"/>
          <w:szCs w:val="18"/>
          <w:u w:val="single" w:color="auto"/>
          <w:color w:val="auto"/>
        </w:rPr>
        <w:t>GPOs</w:t>
      </w:r>
      <w:r>
        <w:rPr>
          <w:rFonts w:ascii="Calibri" w:cs="Calibri" w:eastAsia="Calibri" w:hAnsi="Calibri"/>
          <w:sz w:val="18"/>
          <w:szCs w:val="18"/>
          <w:color w:val="auto"/>
        </w:rPr>
        <w:t>, and to certain non-retail specialty pharmacies in the U.S., which represents a signifcant porton of the potental market for Vafseo. As a result, we have regained our rights to sell Vafseo to Fresenius Kidney Care North America and its afliates and certain other third-party dialysis organizatons in the U.S.</w:t>
      </w:r>
    </w:p>
    <w:p>
      <w:pPr>
        <w:spacing w:after="0" w:line="114"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 xml:space="preserve">Pursuant to the Vifor License Agreement, CSL Vifor contributed $40.0 million to a working capital facility, or </w:t>
      </w:r>
      <w:r>
        <w:rPr>
          <w:rFonts w:ascii="Calibri" w:cs="Calibri" w:eastAsia="Calibri" w:hAnsi="Calibri"/>
          <w:sz w:val="17"/>
          <w:szCs w:val="17"/>
          <w:u w:val="single" w:color="auto"/>
          <w:color w:val="auto"/>
        </w:rPr>
        <w:t>Working Capital Fund</w:t>
      </w:r>
      <w:r>
        <w:rPr>
          <w:rFonts w:ascii="Calibri" w:cs="Calibri" w:eastAsia="Calibri" w:hAnsi="Calibri"/>
          <w:sz w:val="17"/>
          <w:szCs w:val="17"/>
          <w:color w:val="auto"/>
        </w:rPr>
        <w:t xml:space="preserve">, established to partally fund our costs of purchasing Vafseo from our contract manufacturers. Pursuant to the terms of the Vifor Terminaton Agreement, we have agreed to repay the Working Capital Fund to CSL Vifor through quarterly tered royalty payments ranging from 8% to 14% of our net sales of Vafseo in the U.S., or the </w:t>
      </w:r>
      <w:r>
        <w:rPr>
          <w:rFonts w:ascii="Calibri" w:cs="Calibri" w:eastAsia="Calibri" w:hAnsi="Calibri"/>
          <w:sz w:val="17"/>
          <w:szCs w:val="17"/>
          <w:u w:val="single" w:color="auto"/>
          <w:color w:val="auto"/>
        </w:rPr>
        <w:t>WCF</w:t>
      </w:r>
      <w:r>
        <w:rPr>
          <w:rFonts w:ascii="Calibri" w:cs="Calibri" w:eastAsia="Calibri" w:hAnsi="Calibri"/>
          <w:sz w:val="17"/>
          <w:szCs w:val="17"/>
          <w:color w:val="auto"/>
        </w:rPr>
        <w:t xml:space="preserve"> </w:t>
      </w:r>
      <w:r>
        <w:rPr>
          <w:rFonts w:ascii="Calibri" w:cs="Calibri" w:eastAsia="Calibri" w:hAnsi="Calibri"/>
          <w:sz w:val="17"/>
          <w:szCs w:val="17"/>
          <w:u w:val="single" w:color="auto"/>
          <w:color w:val="auto"/>
        </w:rPr>
        <w:t>Royalty Payments</w:t>
      </w:r>
      <w:r>
        <w:rPr>
          <w:rFonts w:ascii="Calibri" w:cs="Calibri" w:eastAsia="Calibri" w:hAnsi="Calibri"/>
          <w:sz w:val="17"/>
          <w:szCs w:val="17"/>
          <w:color w:val="auto"/>
        </w:rPr>
        <w:t xml:space="preserve">. The WCF Royalty Payments will commence on July 1, 2025, and will contnue untl the earlier of (i) the cumulatve total of the WCF Royalty Payments equals $40.0 million, or (ii) May 31, 2028. The WCF Royalty Payments are subject to minimum true-up milestones of $10.0 million, $20.0 million and $40.0 million, or the </w:t>
      </w:r>
      <w:r>
        <w:rPr>
          <w:rFonts w:ascii="Calibri" w:cs="Calibri" w:eastAsia="Calibri" w:hAnsi="Calibri"/>
          <w:sz w:val="17"/>
          <w:szCs w:val="17"/>
          <w:u w:val="single" w:color="auto"/>
          <w:color w:val="auto"/>
        </w:rPr>
        <w:t>WCF Royalty True-Up Payments</w:t>
      </w:r>
      <w:r>
        <w:rPr>
          <w:rFonts w:ascii="Calibri" w:cs="Calibri" w:eastAsia="Calibri" w:hAnsi="Calibri"/>
          <w:sz w:val="17"/>
          <w:szCs w:val="17"/>
          <w:color w:val="auto"/>
        </w:rPr>
        <w:t xml:space="preserve">, on each of May 31, 2026, May 31, 2027 and May 31, 2028, respectvely, or the </w:t>
      </w:r>
      <w:r>
        <w:rPr>
          <w:rFonts w:ascii="Calibri" w:cs="Calibri" w:eastAsia="Calibri" w:hAnsi="Calibri"/>
          <w:sz w:val="17"/>
          <w:szCs w:val="17"/>
          <w:u w:val="single" w:color="auto"/>
          <w:color w:val="auto"/>
        </w:rPr>
        <w:t>WCF Royalty True-Up</w:t>
      </w:r>
      <w:r>
        <w:rPr>
          <w:rFonts w:ascii="Calibri" w:cs="Calibri" w:eastAsia="Calibri" w:hAnsi="Calibri"/>
          <w:sz w:val="17"/>
          <w:szCs w:val="17"/>
          <w:color w:val="auto"/>
        </w:rPr>
        <w:t xml:space="preserve"> </w:t>
      </w:r>
      <w:r>
        <w:rPr>
          <w:rFonts w:ascii="Calibri" w:cs="Calibri" w:eastAsia="Calibri" w:hAnsi="Calibri"/>
          <w:sz w:val="17"/>
          <w:szCs w:val="17"/>
          <w:u w:val="single" w:color="auto"/>
          <w:color w:val="auto"/>
        </w:rPr>
        <w:t>Dates</w:t>
      </w:r>
      <w:r>
        <w:rPr>
          <w:rFonts w:ascii="Calibri" w:cs="Calibri" w:eastAsia="Calibri" w:hAnsi="Calibri"/>
          <w:sz w:val="17"/>
          <w:szCs w:val="17"/>
          <w:color w:val="auto"/>
        </w:rPr>
        <w:t>. If the cumulatve total of the WCF Royalty Payments paid to CSL Vifor on any given WCF Royalty True-Up Date is less than the respectve WCF Royalty True-Up Payment, we will pay CSL Vifor a one-tme payment equal to the diference between the WCF Royalty True-Up Payment and the cumulatve total of the WCF Royalty Payments paid by us through such WCF Royalty True-Up Date. If we are not successful in commercializing Vafseo, including maintaining contracts with dialysis organizatons on favorable terms, or at all, our expected revenue related to Vafseo would be adversely impacted and we may be unable to repay all or part of the WCF Royalty Payments, which could have a material adverse impact on our consolidated fnancial statements.</w:t>
      </w:r>
    </w:p>
    <w:p>
      <w:pPr>
        <w:spacing w:after="0" w:line="10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ability to achieve proftability also depends on our ability to manage our expenses. We expect to contnue to incur substantal additonal operatng expenses, including additonal R&amp;D expenses related to our pipeline, additonal R&amp;D and selling, general and administratve expenses for ongoing development and commercializaton of Auryxia and Vafseo, which could lead to operatng losses for the foreseeable future. We will contnue to incur substantal expenditures relatng to contnued commercializaton and post-marketng requirements for Auryxia, Vafseo and any other products, including those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2" w:name="page53"/>
    <w:bookmarkEnd w:id="5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that may be in-licensed or acquired, as well as costs relatng to the R&amp;D of Vafseo and any other product candidate, including those that may be in-licensed or acquired. Our prior losses have had, and expected future losses will contnue to have, an adverse efect on our stockholders’ (defcit) equity and working capital.</w:t>
      </w:r>
    </w:p>
    <w:p>
      <w:pPr>
        <w:spacing w:after="0" w:line="97" w:lineRule="exact"/>
        <w:rPr>
          <w:sz w:val="20"/>
          <w:szCs w:val="20"/>
          <w:color w:val="auto"/>
        </w:rPr>
      </w:pPr>
    </w:p>
    <w:p>
      <w:pPr>
        <w:ind w:right="100"/>
        <w:spacing w:after="0" w:line="223" w:lineRule="auto"/>
        <w:rPr>
          <w:sz w:val="20"/>
          <w:szCs w:val="20"/>
          <w:color w:val="auto"/>
        </w:rPr>
      </w:pPr>
      <w:r>
        <w:rPr>
          <w:rFonts w:ascii="Calibri" w:cs="Calibri" w:eastAsia="Calibri" w:hAnsi="Calibri"/>
          <w:sz w:val="18"/>
          <w:szCs w:val="18"/>
          <w:color w:val="auto"/>
        </w:rPr>
        <w:t xml:space="preserve">In additon to any further costs not currently contemplated in our operatng plan, our ability to achieve proftability and our fnancial positon will depend, in part, on the rate of our future expenditures, the tming of our product, collaboraton, license and other revenue, the tming and amount of any repayment of the WCF Royalty Payments, our contnued compliance with the terms of the Agreement for the Provision of a Loan Facility, as amended, or the </w:t>
      </w:r>
      <w:r>
        <w:rPr>
          <w:rFonts w:ascii="Calibri" w:cs="Calibri" w:eastAsia="Calibri" w:hAnsi="Calibri"/>
          <w:sz w:val="18"/>
          <w:szCs w:val="18"/>
          <w:u w:val="single" w:color="auto"/>
          <w:color w:val="auto"/>
        </w:rPr>
        <w:t>BlackRock</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auto"/>
        </w:rPr>
        <w:t>Credit Agreement</w:t>
      </w:r>
      <w:r>
        <w:rPr>
          <w:rFonts w:ascii="Calibri" w:cs="Calibri" w:eastAsia="Calibri" w:hAnsi="Calibri"/>
          <w:sz w:val="18"/>
          <w:szCs w:val="18"/>
          <w:color w:val="auto"/>
        </w:rPr>
        <w:t xml:space="preserve">, with Kreos Capital VII (UK) Limited, which are funds and accounts managed by BlackRock Inc., collectvely, </w:t>
      </w:r>
      <w:r>
        <w:rPr>
          <w:rFonts w:ascii="Calibri" w:cs="Calibri" w:eastAsia="Calibri" w:hAnsi="Calibri"/>
          <w:sz w:val="18"/>
          <w:szCs w:val="18"/>
          <w:u w:val="single" w:color="auto"/>
          <w:color w:val="auto"/>
        </w:rPr>
        <w:t>BlackRock</w:t>
      </w:r>
      <w:r>
        <w:rPr>
          <w:rFonts w:ascii="Calibri" w:cs="Calibri" w:eastAsia="Calibri" w:hAnsi="Calibri"/>
          <w:sz w:val="18"/>
          <w:szCs w:val="18"/>
          <w:color w:val="auto"/>
        </w:rPr>
        <w:t>, and our ability to obtain additonal funding, should it be needed. In additon, we expect to contnue to incur signifcant expenses if and as we:</w:t>
      </w:r>
    </w:p>
    <w:p>
      <w:pPr>
        <w:spacing w:after="0" w:line="59" w:lineRule="exact"/>
        <w:rPr>
          <w:sz w:val="20"/>
          <w:szCs w:val="20"/>
          <w:color w:val="auto"/>
        </w:rPr>
      </w:pPr>
    </w:p>
    <w:p>
      <w:pPr>
        <w:ind w:left="660" w:hanging="328"/>
        <w:spacing w:after="0" w:line="235" w:lineRule="auto"/>
        <w:tabs>
          <w:tab w:leader="none" w:pos="653"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contnue our commercializaton actvites for Auryxia, Vafseo and any other product or product candidate for which we obtain approval, including those that may be in-licensed or acquired;</w:t>
      </w:r>
    </w:p>
    <w:p>
      <w:pPr>
        <w:spacing w:after="0" w:line="69" w:lineRule="exact"/>
        <w:rPr>
          <w:rFonts w:ascii="Calibri" w:cs="Calibri" w:eastAsia="Calibri" w:hAnsi="Calibri"/>
          <w:sz w:val="18"/>
          <w:szCs w:val="18"/>
          <w:color w:val="auto"/>
        </w:rPr>
      </w:pPr>
    </w:p>
    <w:p>
      <w:pPr>
        <w:ind w:left="660" w:hanging="328"/>
        <w:spacing w:after="0"/>
        <w:tabs>
          <w:tab w:leader="none" w:pos="660" w:val="left"/>
        </w:tabs>
        <w:numPr>
          <w:ilvl w:val="0"/>
          <w:numId w:val="22"/>
        </w:numPr>
        <w:rPr>
          <w:rFonts w:ascii="Arial" w:cs="Arial" w:eastAsia="Arial" w:hAnsi="Arial"/>
          <w:sz w:val="22"/>
          <w:szCs w:val="22"/>
          <w:color w:val="auto"/>
        </w:rPr>
      </w:pPr>
      <w:r>
        <w:rPr>
          <w:rFonts w:ascii="Calibri" w:cs="Calibri" w:eastAsia="Calibri" w:hAnsi="Calibri"/>
          <w:sz w:val="18"/>
          <w:szCs w:val="18"/>
          <w:color w:val="auto"/>
        </w:rPr>
        <w:t>seek regulatory approval for any label expansion for Vafseo;</w:t>
      </w:r>
    </w:p>
    <w:p>
      <w:pPr>
        <w:spacing w:after="0" w:line="55" w:lineRule="exact"/>
        <w:rPr>
          <w:rFonts w:ascii="Arial" w:cs="Arial" w:eastAsia="Arial" w:hAnsi="Arial"/>
          <w:sz w:val="22"/>
          <w:szCs w:val="22"/>
          <w:color w:val="auto"/>
        </w:rPr>
      </w:pPr>
    </w:p>
    <w:p>
      <w:pPr>
        <w:ind w:left="660" w:hanging="328"/>
        <w:spacing w:after="0" w:line="235" w:lineRule="auto"/>
        <w:tabs>
          <w:tab w:leader="none" w:pos="653"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conduct and enroll patents in any clinical trials, including post-marketng studies or any other clinical trials for Auryxia, Vafseo or any other product or product candidate, including those that may be in-licensed or acquired;</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seek marketng approval for any product candidate, including those that may be in-licensed or acquired;</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maintain marketng approvals for Auryxia, Vafseo and any other product, including those that may be in-licensed or acquired;</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manufacture Auryxia, Vafseo and any other product or product candidate, including those that may be in-licensed or acquired, for commercial sale and clinical trials;</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conduct discovery and development actvites for additonal product candidates or platorms that may lead to the discovery of additonal product candidates;</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engage in transactons, including strategic, merger, collaboraton, acquisiton and licensing transactons, pursuant to which we would market and develop commercial products, or develop and commercialize other product candidates and technologies;</w:t>
      </w:r>
    </w:p>
    <w:p>
      <w:pPr>
        <w:spacing w:after="0" w:line="42" w:lineRule="exact"/>
        <w:rPr>
          <w:rFonts w:ascii="Calibri" w:cs="Calibri" w:eastAsia="Calibri" w:hAnsi="Calibri"/>
          <w:sz w:val="18"/>
          <w:szCs w:val="18"/>
          <w:color w:val="auto"/>
        </w:rPr>
      </w:pPr>
    </w:p>
    <w:p>
      <w:pPr>
        <w:ind w:left="660" w:right="300" w:hanging="328"/>
        <w:spacing w:after="0" w:line="227" w:lineRule="auto"/>
        <w:tabs>
          <w:tab w:leader="none" w:pos="653"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 xml:space="preserve">repay, and pay any associated pre-payment penaltes, if applicable, the term loans in an aggregate principal amount of up to $55.0 million, or the </w:t>
      </w:r>
      <w:r>
        <w:rPr>
          <w:rFonts w:ascii="Calibri" w:cs="Calibri" w:eastAsia="Calibri" w:hAnsi="Calibri"/>
          <w:sz w:val="18"/>
          <w:szCs w:val="18"/>
          <w:u w:val="single" w:color="auto"/>
          <w:color w:val="auto"/>
        </w:rPr>
        <w:t>Term Loans</w:t>
      </w:r>
      <w:r>
        <w:rPr>
          <w:rFonts w:ascii="Calibri" w:cs="Calibri" w:eastAsia="Calibri" w:hAnsi="Calibri"/>
          <w:sz w:val="18"/>
          <w:szCs w:val="18"/>
          <w:color w:val="auto"/>
        </w:rPr>
        <w:t>, that were made available to us pursuant to the BlackRock Credit Agreement;</w:t>
      </w:r>
    </w:p>
    <w:p>
      <w:pPr>
        <w:spacing w:after="0" w:line="38" w:lineRule="exact"/>
        <w:rPr>
          <w:rFonts w:ascii="Calibri" w:cs="Calibri" w:eastAsia="Calibri" w:hAnsi="Calibri"/>
          <w:sz w:val="18"/>
          <w:szCs w:val="18"/>
          <w:color w:val="auto"/>
        </w:rPr>
      </w:pPr>
    </w:p>
    <w:p>
      <w:pPr>
        <w:ind w:left="640" w:hanging="308"/>
        <w:spacing w:after="0"/>
        <w:tabs>
          <w:tab w:leader="none" w:pos="640"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make royalty, milestone or other payments under our current and any future in-licensing agreements;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maintain, protect and expand our intellectual property portolio;</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make decisions with respect to our personnel, including the retenton of key employees;</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make decisions with respect to our infrastructure, including to support our operatons as a fully integrated, publicly traded biopharmaceutcal company; and</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2"/>
        </w:numPr>
        <w:rPr>
          <w:rFonts w:ascii="Calibri" w:cs="Calibri" w:eastAsia="Calibri" w:hAnsi="Calibri"/>
          <w:sz w:val="18"/>
          <w:szCs w:val="18"/>
          <w:color w:val="auto"/>
        </w:rPr>
      </w:pPr>
      <w:r>
        <w:rPr>
          <w:rFonts w:ascii="Calibri" w:cs="Calibri" w:eastAsia="Calibri" w:hAnsi="Calibri"/>
          <w:sz w:val="18"/>
          <w:szCs w:val="18"/>
          <w:color w:val="auto"/>
        </w:rPr>
        <w:t>experience any additonal delays or encounter issues with any of the above.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expended and may in the future expend signifcant resources on our legal proceedings, as described below under Part I, Item 3. Legal Proceedings, including any legal proceedings that may be brought by or against us in the future.</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Our expenses could increase beyond expectatons if we are required by the FDA, the European Medicines Agency, or the </w:t>
      </w:r>
      <w:r>
        <w:rPr>
          <w:rFonts w:ascii="Calibri" w:cs="Calibri" w:eastAsia="Calibri" w:hAnsi="Calibri"/>
          <w:sz w:val="18"/>
          <w:szCs w:val="18"/>
          <w:u w:val="single" w:color="auto"/>
          <w:color w:val="auto"/>
        </w:rPr>
        <w:t>EMA</w:t>
      </w:r>
      <w:r>
        <w:rPr>
          <w:rFonts w:ascii="Calibri" w:cs="Calibri" w:eastAsia="Calibri" w:hAnsi="Calibri"/>
          <w:sz w:val="18"/>
          <w:szCs w:val="18"/>
          <w:color w:val="auto"/>
        </w:rPr>
        <w:t>, or other regulatory authorites, or if we otherwise believe it is necessary, to change our manufacturing processes or assays, to amend or replace our study protocols, to perform studies diferent from or larger than those currently planned, to conduct any additonal clinical trials, whether in order to obtain approval or as a post-approval study, including the post-approval studies required for Vafseo and any other additonal clinical trial that we decide to conduct for Vafseo, or if there are any delays in completng any of these actvites.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Because of the numerous risks and uncertaintes associated with pharmaceutcal product development and commercializaton, we are unable to accurately predict the tming or amount of increased expenses or the associated revenue. The net losses we incur may fuctuate signifcantly from quarter to quarter and year to year, such that a period-to-period comparison of our results of operatons may not be a good indicaton of our future performance. In any partcular quarter, our product revenue, the progress of our clinical development and our operatng results could be below the expectatons of securites analysts or investors, which could cause our stock price to decline.</w:t>
      </w:r>
    </w:p>
    <w:p>
      <w:pPr>
        <w:spacing w:after="0" w:line="99" w:lineRule="exact"/>
        <w:rPr>
          <w:sz w:val="20"/>
          <w:szCs w:val="20"/>
          <w:color w:val="auto"/>
        </w:rPr>
      </w:pPr>
    </w:p>
    <w:p>
      <w:pPr>
        <w:jc w:val="both"/>
        <w:spacing w:after="0" w:line="223" w:lineRule="auto"/>
        <w:rPr>
          <w:sz w:val="20"/>
          <w:szCs w:val="20"/>
          <w:color w:val="auto"/>
        </w:rPr>
      </w:pPr>
      <w:r>
        <w:rPr>
          <w:rFonts w:ascii="Calibri" w:cs="Calibri" w:eastAsia="Calibri" w:hAnsi="Calibri"/>
          <w:sz w:val="18"/>
          <w:szCs w:val="18"/>
          <w:color w:val="auto"/>
        </w:rPr>
        <w:t>In additon, our ability to generate revenue would be negatvely afected if dialysis organizatons are unwilling to include Auryxia or Vafseo in their formulary or the size of our addressable patent populaton is not as signifcant as we estmate, the indicaton approved by regulatory authorites is narrower than we sought or the patent populaton for treatment is narrowed by competton, physician choice, coverage or reimbursement, or payor or treatment guidelines. Even though we generate product revenue from Auryxia and royaltes from Riona and Vafseo in Japan, generate product revenue from Vafseo in the U.S., generate royaltes from Vafseo in Europe and other territories where it is approved, and may generate revenue and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3" w:name="page54"/>
    <w:bookmarkEnd w:id="5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royaltes from the sale of any products that may be approved in the future, including those that may be in-licensed or acquired, we may never generate revenue and royaltes that are signifcant enough for us to become and remain proftable, and we may need to obtain additonal fnancing to contnue to fund our operatng plan.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We may require substantal additonal fnancing to fund our business. A failure to obtain this necessary capital when needed, or on acceptable terms, could force us to delay, limit, reduce or terminate our product development or commercializaton eforts.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2024, our cash and cash equivalents were $51.9 million. We expect to contnue to expend substantal amounts of cash for the foreseeable future as we contnue to commercialize Auryxia; develop and commercialize Vafseo in the U.S.; and develop and commercialize any other product or product candidate, including those that may be in-licensed or acquired. These expenditures will include costs associated with R&amp;D, manufacturing, potentally obtaining marketng approvals and marketng products approved for sale. In additon, other unantcipated costs may arise. Because the outcomes of our current and antcipated clinical trials are highly uncertain, we cannot reasonably estmate the actual amount of funding necessary to successfully complete clinical development for any current or future product candidates or to complete post-marketng studies for Auryxia and Vafseo. Our future capital requirements depend on many factors, including:</w:t>
      </w:r>
    </w:p>
    <w:p>
      <w:pPr>
        <w:spacing w:after="0" w:line="114" w:lineRule="exact"/>
        <w:rPr>
          <w:sz w:val="20"/>
          <w:szCs w:val="20"/>
          <w:color w:val="auto"/>
        </w:rPr>
      </w:pPr>
    </w:p>
    <w:p>
      <w:pPr>
        <w:ind w:left="660" w:hanging="328"/>
        <w:spacing w:after="0" w:line="235" w:lineRule="auto"/>
        <w:tabs>
          <w:tab w:leader="none" w:pos="653"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the scope, progress, results and costs of conductng clinical trials or any post-marketng requirements or any other clinical trials for Auryxia, Vafseo and any other product or product candidate, including those that may be in-licensed or acquired;</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the cost and tming of commercializaton actvites, including product manufacturing, marketng, sales and distributon costs, for Auryxia, Vafseo and any other product or product candidate, including those that may be in-licensed or acquired;</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the results of our meetngs with the FDA, the EMA and other regulatory authorites and any consequental efects, including on tming of and ability to obtain and maintain marketng approval, label expansion, study design, study size and resultng operatng costs;</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any difcultes or delays in conductng our clinical trials, or enrolling patents in our clinical trials, for Auryxia, Vafseo or any other product candidates;</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the outcome of our eforts to obtain marketng approval for any product candidates, including those that may be in-licensed or acquired, including any additonal clinical trials or post-approval commitments imposed by regulatory authorites;</w:t>
      </w:r>
    </w:p>
    <w:p>
      <w:pPr>
        <w:spacing w:after="0" w:line="55" w:lineRule="exact"/>
        <w:rPr>
          <w:rFonts w:ascii="Calibri" w:cs="Calibri" w:eastAsia="Calibri" w:hAnsi="Calibri"/>
          <w:sz w:val="18"/>
          <w:szCs w:val="18"/>
          <w:color w:val="auto"/>
        </w:rPr>
      </w:pPr>
    </w:p>
    <w:p>
      <w:pPr>
        <w:ind w:left="660" w:right="20" w:hanging="328"/>
        <w:spacing w:after="0" w:line="235" w:lineRule="auto"/>
        <w:tabs>
          <w:tab w:leader="none" w:pos="653"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the tming of, and the costs involved in obtaining, label expansion for Vafseo or marketng approvals for any product candidate, including those that may be in-licensed or acquired, including to fund the preparaton, fling and prosecuton of regulatory submissions;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the costs of maintaining marketng approvals for Auryxia, Vafseo or any other product, including those that may be in-licensed or acquired;</w:t>
      </w:r>
    </w:p>
    <w:p>
      <w:pPr>
        <w:spacing w:after="0" w:line="55" w:lineRule="exact"/>
        <w:rPr>
          <w:rFonts w:ascii="Calibri" w:cs="Calibri" w:eastAsia="Calibri" w:hAnsi="Calibri"/>
          <w:sz w:val="18"/>
          <w:szCs w:val="18"/>
          <w:color w:val="auto"/>
        </w:rPr>
      </w:pPr>
    </w:p>
    <w:p>
      <w:pPr>
        <w:jc w:val="both"/>
        <w:ind w:left="660" w:hanging="328"/>
        <w:spacing w:after="0" w:line="235" w:lineRule="auto"/>
        <w:tabs>
          <w:tab w:leader="none" w:pos="653"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 xml:space="preserve">the tming and number of generic versions of Auryxia that enter the market following loss of exclusivity, or </w:t>
      </w:r>
      <w:r>
        <w:rPr>
          <w:rFonts w:ascii="Calibri" w:cs="Calibri" w:eastAsia="Calibri" w:hAnsi="Calibri"/>
          <w:sz w:val="18"/>
          <w:szCs w:val="18"/>
          <w:u w:val="single" w:color="auto"/>
          <w:color w:val="auto"/>
        </w:rPr>
        <w:t>LoE</w:t>
      </w:r>
      <w:r>
        <w:rPr>
          <w:rFonts w:ascii="Calibri" w:cs="Calibri" w:eastAsia="Calibri" w:hAnsi="Calibri"/>
          <w:sz w:val="18"/>
          <w:szCs w:val="18"/>
          <w:color w:val="auto"/>
        </w:rPr>
        <w:t>, for Auryxia on March 20, 2025, the pricing of generic versions of Auryxia and the tming of, and the magnitude of, the impact on the product revenue from Auryxia, including the impact on the price of Auryxia;</w:t>
      </w:r>
    </w:p>
    <w:p>
      <w:pPr>
        <w:spacing w:after="0" w:line="56" w:lineRule="exact"/>
        <w:rPr>
          <w:rFonts w:ascii="Calibri" w:cs="Calibri" w:eastAsia="Calibri" w:hAnsi="Calibri"/>
          <w:sz w:val="18"/>
          <w:szCs w:val="18"/>
          <w:color w:val="auto"/>
        </w:rPr>
      </w:pPr>
    </w:p>
    <w:p>
      <w:pPr>
        <w:jc w:val="both"/>
        <w:ind w:left="660" w:hanging="328"/>
        <w:spacing w:after="0" w:line="235" w:lineRule="auto"/>
        <w:tabs>
          <w:tab w:leader="none" w:pos="653"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the cost of securing and validatng commercial manufacturing for any of our product candidates, including those that may be in-licensed or acquired, and maintaining our manufacturing arrangements for Auryxia and Vafseo or any other product, including those that may be in-licensed or acquired, or securing and validatng additonal arrangements;</w:t>
      </w:r>
    </w:p>
    <w:p>
      <w:pPr>
        <w:spacing w:after="0" w:line="56" w:lineRule="exact"/>
        <w:rPr>
          <w:rFonts w:ascii="Calibri" w:cs="Calibri" w:eastAsia="Calibri" w:hAnsi="Calibri"/>
          <w:sz w:val="18"/>
          <w:szCs w:val="18"/>
          <w:color w:val="auto"/>
        </w:rPr>
      </w:pPr>
    </w:p>
    <w:p>
      <w:pPr>
        <w:ind w:left="660" w:right="20" w:hanging="328"/>
        <w:spacing w:after="0" w:line="235" w:lineRule="auto"/>
        <w:tabs>
          <w:tab w:leader="none" w:pos="653"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the costs involved in preparing, fling and prosecutng patent applicatons and maintaining, defending and enforcing our intellectual property rights, including litgaton costs and the outcome of such litgaton;</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the costs involved in any legal proceedings to which we are a party;</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our status as a publicly traded company on the Nasdaq Capital Market;</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our decisions with respect to personnel;</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our decisions with respect to infrastructure; and</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23"/>
        </w:numPr>
        <w:rPr>
          <w:rFonts w:ascii="Calibri" w:cs="Calibri" w:eastAsia="Calibri" w:hAnsi="Calibri"/>
          <w:sz w:val="18"/>
          <w:szCs w:val="18"/>
          <w:color w:val="auto"/>
        </w:rPr>
      </w:pPr>
      <w:r>
        <w:rPr>
          <w:rFonts w:ascii="Calibri" w:cs="Calibri" w:eastAsia="Calibri" w:hAnsi="Calibri"/>
          <w:sz w:val="18"/>
          <w:szCs w:val="18"/>
          <w:color w:val="auto"/>
        </w:rPr>
        <w:t>the extent to which we engage in transactons, including strategic, merger, collaboraton, acquisiton and licensing transactons, pursuant to which we could develop and market commercial products, or develop other product candidates and technologies.</w:t>
      </w:r>
    </w:p>
    <w:p>
      <w:pPr>
        <w:spacing w:after="0" w:line="110"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We may need to obtain substantal additonal fnancing to fund our business. If we are unable to raise capital when needed or on atractve terms, we could be forced to delay, reduce or eliminate our R&amp;D programs or any future commercializaton eforts.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4" w:name="page55"/>
    <w:bookmarkEnd w:id="5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believe our existng cash resources and the cash we expect to generate from product, royalty, supply and license revenues are sufcient to fund our current operatng plan for at least twenty-four months. However, if our operatng performance deteriorates signifcantly from the levels expected in our operatng plan, it would have an adverse efect on our liquidity and capital resources and could afect our ability to contnue as a going concern in the future. Our forecast of the period of tme through which our fnancial resources will be adequate to support our operatons is a forward-looking statement and involves numerous risks and uncertaintes, and actual results could vary as a result of a number of factors, many of which are outside our control. We have based this estmate on assumptons that may be substantally diferent than actual results, and we could utlize our available capital resources sooner than we currently expect. In additon, if we fail to satsfy any of the covenants under the BlackRock Credit Agreement, and the loan is accelerated, or if certain pre-specifed events occur and we are required to make principal payments to BlackRock sooner than we currently antcipate, such event could have a material adverse efect on our business. There can be no assurance that the current operatng plan will be achieved in the tme frame antcipated by us, or that our cash resources and cash we expect to generate will fund our operatng plan for the period antcipated by us, or that additonal funding will be available on terms acceptable to us, or at all.</w:t>
      </w:r>
    </w:p>
    <w:p>
      <w:pPr>
        <w:spacing w:after="0" w:line="1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Any additonal fundraising eforts may divert our management’s atenton away from their day-to-day actvites, which may adversely afect our ability to develop and commercialize Auryxia, Vafseo and any other products or product candidates, including those that may be in-licensed or acquired. Also, additonal funds may not be available to us in sufcient amounts or on acceptable terms or at all. In additon, raising funds in the current economic environment may present additonal challenges. For example, any sustained disrupton in the capital markets from adverse macroeconomic conditons and an uncertain geopolitcal environment, such as rising infaton, increasing interest rates, slower economic growth or recession, global supply chain disruptons, the Russia-Ukraine war, the Israel-Hamas war and the war in the Middle East and tensions between China and Taiwan, could negatvely impact our ability to raise capital, and we cannot predict the extent or duraton of such macroeconomic disruptons. If we are unable to raise additonal capital in sufcient amounts when needed or on terms acceptable to us, we may have to signifcantly delay, scale back or discontnue the development and/or commercializaton of Auryxia, Vafseo and any other products or product candidates, including those that may be in-licensed or acquired. Any of these events could signifcantly harm our business, fnancial conditon and prospects.</w:t>
      </w:r>
    </w:p>
    <w:p>
      <w:pPr>
        <w:spacing w:after="0" w:line="116" w:lineRule="exact"/>
        <w:rPr>
          <w:sz w:val="20"/>
          <w:szCs w:val="20"/>
          <w:color w:val="auto"/>
        </w:rPr>
      </w:pPr>
    </w:p>
    <w:p>
      <w:pPr>
        <w:ind w:right="400"/>
        <w:spacing w:after="0" w:line="235" w:lineRule="auto"/>
        <w:rPr>
          <w:sz w:val="20"/>
          <w:szCs w:val="20"/>
          <w:color w:val="auto"/>
        </w:rPr>
      </w:pPr>
      <w:r>
        <w:rPr>
          <w:rFonts w:ascii="Calibri" w:cs="Calibri" w:eastAsia="Calibri" w:hAnsi="Calibri"/>
          <w:sz w:val="18"/>
          <w:szCs w:val="18"/>
          <w:b w:val="1"/>
          <w:bCs w:val="1"/>
          <w:i w:val="1"/>
          <w:iCs w:val="1"/>
          <w:color w:val="auto"/>
        </w:rPr>
        <w:t>Raising additonal capital may cause diluton to our existng stockholders, restrict our operatons or require us to relinquish rights to our products and product candidates on unfavorable terms to us.</w:t>
      </w:r>
    </w:p>
    <w:p>
      <w:pPr>
        <w:spacing w:after="0" w:line="96" w:lineRule="exact"/>
        <w:rPr>
          <w:sz w:val="20"/>
          <w:szCs w:val="20"/>
          <w:color w:val="auto"/>
        </w:rPr>
      </w:pPr>
    </w:p>
    <w:p>
      <w:pPr>
        <w:jc w:val="both"/>
        <w:spacing w:after="0" w:line="234" w:lineRule="auto"/>
        <w:rPr>
          <w:sz w:val="20"/>
          <w:szCs w:val="20"/>
          <w:color w:val="auto"/>
        </w:rPr>
      </w:pPr>
      <w:r>
        <w:rPr>
          <w:rFonts w:ascii="Calibri" w:cs="Calibri" w:eastAsia="Calibri" w:hAnsi="Calibri"/>
          <w:sz w:val="17"/>
          <w:szCs w:val="17"/>
          <w:color w:val="auto"/>
        </w:rPr>
        <w:t>We expect to fnance future cash needs through product revenue and royalty and license revenue, and we may seek to sell public or private equity, enter into new debt transactons, explore potental strategic transactons or a combinaton of these approaches or other strategic alternatves. To the extent that we raise additonal capital through the sale of equity or convertble debt securites, the ownership interests of our common stockholders will be diluted, our fxed payment obligatons may increase, any such securites may have rights senior to those of our common stock, and the terms may include liquidaton or other preferences and ant-diluton protectons that adversely afect the rights of our common stockholders. For example, since September 12, 2024 (the date our shelf registraton statement on Form S-3 went efectve) through December 31, 2024, we sold 14,271,631 shares of our common stock in an at-the-market ofering with gross proceeds of $24.3 million. Additonal debt fnancing, if available, may involve agreements that would restrict our operatons and potentally impair our compettveness, such as limitatons on our ability to incur additonal debt, make capital expenditures, declare dividends, acquire, sell or license intellectual property rights, and other operatng restrictons that could adversely impact our ability to conduct our business. If we raise additonal funds through strategic transactons, we may have to relinquish valuable rights to our portolio and future revenue streams, and enter into agreements that would restrict our operatons and strategic fexibility. If we raise additonal funds through strategic transactons with third partes, we may have to do so at an earlier stage than otherwise would be desirable. In connecton with any such strategic transactons, we may be required to relinquish valuable rights to our product and product candidates, future revenue streams or research programs or grant licenses on terms that are not favorable to us. If we are unable to raise additonal funds when needed, we may not be able to pursue planned development and commercializaton actvites and we may need to grant rights to develop and market product candidates that we would otherwise prefer to develop and market ourselves.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We may not be successful in our eforts to identfy, acquire, in-license, discover, develop and commercialize additonal products or product candidates or our decisions to prioritze the development of certain product candidates over others may not be successful, which could impair our ability to grow.</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Although we contnue to focus a substantal amount of our eforts to develop and commercialize Auryxia and Vafseo, a key element of our long-term growth strategy is to develop additonal product candidates and acquire, in-license, develop and/or market additonal products and product candidates.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Research programs to identfy product candidates require substantal technical, fnancial and human resources, regardless of whether product candidates are ultmately identfed. Our R&amp;D programs may initally show promise, yet fail to yield product candidates for clinical development or commercializaton for many reasons, including the following:</w:t>
      </w:r>
    </w:p>
    <w:p>
      <w:pPr>
        <w:spacing w:after="0" w:line="111" w:lineRule="exact"/>
        <w:rPr>
          <w:sz w:val="20"/>
          <w:szCs w:val="20"/>
          <w:color w:val="auto"/>
        </w:rPr>
      </w:pPr>
    </w:p>
    <w:p>
      <w:pPr>
        <w:ind w:left="3940" w:right="2280" w:hanging="3608"/>
        <w:spacing w:after="0" w:line="776" w:lineRule="auto"/>
        <w:tabs>
          <w:tab w:leader="none" w:pos="659" w:val="left"/>
        </w:tabs>
        <w:numPr>
          <w:ilvl w:val="0"/>
          <w:numId w:val="24"/>
        </w:numPr>
        <w:rPr>
          <w:rFonts w:ascii="Calibri" w:cs="Calibri" w:eastAsia="Calibri" w:hAnsi="Calibri"/>
          <w:sz w:val="18"/>
          <w:szCs w:val="18"/>
          <w:color w:val="auto"/>
        </w:rPr>
      </w:pPr>
      <w:r>
        <w:rPr>
          <w:rFonts w:ascii="Calibri" w:cs="Calibri" w:eastAsia="Calibri" w:hAnsi="Calibri"/>
          <w:sz w:val="18"/>
          <w:szCs w:val="18"/>
          <w:color w:val="auto"/>
        </w:rPr>
        <w:t>the research methodology used may not be successful in identfying potental indicatons and/or product candidates; Akebia Therapeutcs, Inc. | Form 10-K | 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5" w:name="page56"/>
    <w:bookmarkEnd w:id="5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40" w:hanging="308"/>
        <w:spacing w:after="0"/>
        <w:tabs>
          <w:tab w:leader="none" w:pos="640"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we may not be able or willing to assemble sufcient resources to acquire or discover additonal product candidates;</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a product candidate may be shown to have harmful side efects, a lack of efcacy or other characteristcs that indicate that they are unlikely to be drugs that will receive marketng approval and/or achieve market acceptance;</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a product candidate we develop and seek regulatory approval for may not be approved by the FDA on a tmely basis, or at all;</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product candidates we develop may nevertheless be covered by third party patents or other exclusive rights;</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the market for a product candidate may change during our program so that the contnued development of that product candidate is no longer commercially reasonable;</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a product candidate may not be capable of being produced in commercial quanttes at an acceptable cost, or at all; or</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5"/>
        </w:numPr>
        <w:rPr>
          <w:rFonts w:ascii="Calibri" w:cs="Calibri" w:eastAsia="Calibri" w:hAnsi="Calibri"/>
          <w:sz w:val="18"/>
          <w:szCs w:val="18"/>
          <w:color w:val="auto"/>
        </w:rPr>
      </w:pPr>
      <w:r>
        <w:rPr>
          <w:rFonts w:ascii="Calibri" w:cs="Calibri" w:eastAsia="Calibri" w:hAnsi="Calibri"/>
          <w:sz w:val="18"/>
          <w:szCs w:val="18"/>
          <w:color w:val="auto"/>
        </w:rPr>
        <w:t>a product candidate may not be accepted as safe and efectve by patents, the medical community, or third party payors, if applicable.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If any of these events occur, we may be forced to abandon our R&amp;D eforts for one or more of our programs, or we may not be able to identfy, discover, develop or commercialize additonal product candidates, including those that may be in-licensed or acquired, which may have a material adverse efect on our business.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Because we have limited fnancial and managerial resources, we have focused on products, research programs and product candidates for specifc indicatons. As a result, we have had to, and in the future may need to, forgo or delay pursuit of opportunites with other product candidates or for other indicatons, or may out license rights to product candidates, that later prove to have greater commercial potental. For example, as a result of receipt of the CRL and implementaton of the reductons in workforce, we delayed certain research actvites. Our resource allocaton decisions may cause us to fail to capitalize on viable commercial products or proftable market opportunites on a tmely basis, or at all. Our spending on current and future R&amp;D programs and product candidates for specifc indicatons may not yield any commercially viable products.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Because our internal research capabilites are limited, we may be dependent upon other pharmaceutcal and biotechnology companies, academic scientsts and insttutons, and other researchers to sell or license product candidates, products or technology to us. As a result, our rights to these product candidates may be limited or we may be required to make future payments to such third partes if we are successful in developing such product candidates. The success of this strategy depends partly upon our ability to identfy, select, and acquire promising product candidates and products. The process of identfying, selectng, negotatng and implementng a license or acquisiton of a product candidate or an approved product is lengthy and complex. Other companies, including some with substantally greater fnancial, marketng and sales resources, may compete with us for the license or acquisiton of a product candidate or an approved product. We have limited resources to identfy and execute the acquisiton or in-licensing of third party products, businesses, and technologies and integrate them into our current infrastructure.</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Moreover, we may devote resources to potental acquisitons or in-licensing opportunites that are never completed, or we may fail to realize the antcipated benefts of such eforts. Any product candidate that we acquire may require additonal development eforts prior to commercial sale, including extensive clinical testng and approval by the FDA, the EMA, the Japanese Pharmaceutcals and Medical Devices Agency, or </w:t>
      </w:r>
      <w:r>
        <w:rPr>
          <w:rFonts w:ascii="Calibri" w:cs="Calibri" w:eastAsia="Calibri" w:hAnsi="Calibri"/>
          <w:sz w:val="18"/>
          <w:szCs w:val="18"/>
          <w:u w:val="single" w:color="auto"/>
          <w:color w:val="auto"/>
        </w:rPr>
        <w:t>PMDA</w:t>
      </w:r>
      <w:r>
        <w:rPr>
          <w:rFonts w:ascii="Calibri" w:cs="Calibri" w:eastAsia="Calibri" w:hAnsi="Calibri"/>
          <w:sz w:val="18"/>
          <w:szCs w:val="18"/>
          <w:color w:val="auto"/>
        </w:rPr>
        <w:t>, or other regulatory authorites, or post-approval testng or other requirements if approved. All product candidates are prone to risks of failure typical of pharmaceutcal product development, including the possibility that a product candidate will not be shown to be sufciently safe and efectve for approval by regulatory authorites. In additon, we cannot provide assurance that any of our products will be manufactured in a cost efectve manner, achieve market acceptance or not require substantal post-marketng clinical trials.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Accordingly, there can be no assurance that we will ever be able to identfy, acquire, in-license or develop suitable additonal products or product candidates, which could materially adversely afect our future growth and prospects. We may focus our eforts and resources on potental products, product candidates or other programs that ultmately prove to be unsuccessful.</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We may engage in strategic transactons to acquire assets, businesses, or rights to products, product candidates or technologies or form collaboratons or make investments in other companies or technologies that could harm our operatng results, dilute our stockholders’ ownership, increase our debt, or cause us to incur signifcant expense.</w:t>
      </w:r>
    </w:p>
    <w:p>
      <w:pPr>
        <w:spacing w:after="0" w:line="97" w:lineRule="exact"/>
        <w:rPr>
          <w:sz w:val="20"/>
          <w:szCs w:val="20"/>
          <w:color w:val="auto"/>
        </w:rPr>
      </w:pPr>
    </w:p>
    <w:p>
      <w:pPr>
        <w:jc w:val="both"/>
        <w:spacing w:after="0" w:line="223" w:lineRule="auto"/>
        <w:rPr>
          <w:sz w:val="20"/>
          <w:szCs w:val="20"/>
          <w:color w:val="auto"/>
        </w:rPr>
      </w:pPr>
      <w:r>
        <w:rPr>
          <w:rFonts w:ascii="Calibri" w:cs="Calibri" w:eastAsia="Calibri" w:hAnsi="Calibri"/>
          <w:sz w:val="18"/>
          <w:szCs w:val="18"/>
          <w:color w:val="auto"/>
        </w:rPr>
        <w:t>As part of our business strategy, we may engage in additonal strategic transactons to expand and diversify our portolio, including through the merger, acquisiton or in-license of assets, businesses, or rights to products, product candidates or technologies or through strategic alliances or collaboratons, similar to the Merger and our existng and prior collaboraton and license arrangements. We may not identfy suitable strategic transactons, or complete such transactons in a tmely manner, on favorable terms, on a cost-efectve basis, or at all. Moreover, we may devote resources to potental opportunites that are never completed or we may incorrectly judge the value or worth of such opportunites. Even if we successfully execute a strategic transacton, we may not be able to realize the antcipated benefts of such transacton and may experience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6" w:name="page57"/>
    <w:bookmarkEnd w:id="5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34" w:lineRule="auto"/>
        <w:rPr>
          <w:sz w:val="20"/>
          <w:szCs w:val="20"/>
          <w:color w:val="auto"/>
        </w:rPr>
      </w:pPr>
      <w:r>
        <w:rPr>
          <w:rFonts w:ascii="Calibri" w:cs="Calibri" w:eastAsia="Calibri" w:hAnsi="Calibri"/>
          <w:sz w:val="17"/>
          <w:szCs w:val="17"/>
          <w:color w:val="auto"/>
        </w:rPr>
        <w:t xml:space="preserve">losses related to our investments in such transactons. Integraton of an acquired company or assets into our existng business may not be successful and may disrupt ongoing operatons, require the hiring of additonal personnel and the implementaton and integraton of additonal internal systems and infrastructure, and require management resources that would otherwise focus on developing our existng business. Even if we are able to achieve the long-term benefts of a strategic transacton, our expenses and short-term costs may increase materially and adversely afect our liquidity. Any of the foregoing could have a detrimental efect on our business, results of operatons and fnancial conditon. For example, on June 4, 2021, we entered into a license agreement, or the </w:t>
      </w:r>
      <w:r>
        <w:rPr>
          <w:rFonts w:ascii="Calibri" w:cs="Calibri" w:eastAsia="Calibri" w:hAnsi="Calibri"/>
          <w:sz w:val="17"/>
          <w:szCs w:val="17"/>
          <w:u w:val="single" w:color="auto"/>
          <w:color w:val="auto"/>
        </w:rPr>
        <w:t>Cyclerion Agreement</w:t>
      </w:r>
      <w:r>
        <w:rPr>
          <w:rFonts w:ascii="Calibri" w:cs="Calibri" w:eastAsia="Calibri" w:hAnsi="Calibri"/>
          <w:sz w:val="17"/>
          <w:szCs w:val="17"/>
          <w:color w:val="auto"/>
        </w:rPr>
        <w:t xml:space="preserve">, with Cyclerion Therapeutcs Inc., or </w:t>
      </w:r>
      <w:r>
        <w:rPr>
          <w:rFonts w:ascii="Calibri" w:cs="Calibri" w:eastAsia="Calibri" w:hAnsi="Calibri"/>
          <w:sz w:val="17"/>
          <w:szCs w:val="17"/>
          <w:u w:val="single" w:color="auto"/>
          <w:color w:val="auto"/>
        </w:rPr>
        <w:t>Cyclerion</w:t>
      </w:r>
      <w:r>
        <w:rPr>
          <w:rFonts w:ascii="Calibri" w:cs="Calibri" w:eastAsia="Calibri" w:hAnsi="Calibri"/>
          <w:sz w:val="17"/>
          <w:szCs w:val="17"/>
          <w:color w:val="auto"/>
        </w:rPr>
        <w:t>, pursuant to which Cyclerion granted us an exclusive global license under certain intellectual property rights to research, develop and commercialize praliciguat, an investgatonal oral soluble guanylate cyclase stmulator. In December 2024, we entered into an amendment to the Cyclerion Agreement, pursuant to which we amended the terms of the Cyclerion Agreement, and we</w:t>
      </w:r>
    </w:p>
    <w:p>
      <w:pPr>
        <w:spacing w:after="0" w:line="42" w:lineRule="exact"/>
        <w:rPr>
          <w:sz w:val="20"/>
          <w:szCs w:val="20"/>
          <w:color w:val="auto"/>
        </w:rPr>
      </w:pPr>
    </w:p>
    <w:p>
      <w:pPr>
        <w:jc w:val="both"/>
        <w:spacing w:after="0" w:line="223" w:lineRule="auto"/>
        <w:rPr>
          <w:sz w:val="20"/>
          <w:szCs w:val="20"/>
          <w:color w:val="auto"/>
        </w:rPr>
      </w:pPr>
      <w:r>
        <w:rPr>
          <w:rFonts w:ascii="Calibri" w:cs="Calibri" w:eastAsia="Calibri" w:hAnsi="Calibri"/>
          <w:sz w:val="18"/>
          <w:szCs w:val="18"/>
          <w:color w:val="auto"/>
        </w:rPr>
        <w:t>now control all clinical and commercial manufacturing of praliciguat, which will be conducted by a third party manufacturer. Although we have progressed preclinical studies for praliciguat, we need to do additonal work to manufacture product for clinical trials than originally antcipated before we can initate the trials, and when the clinical trials are started, we may be unsuccessful in developing praliciguat. If any of the assumptons that we made in valuing the transacton, including the costs or tming of development of praliciguat as a result of the additonal manufacturing work or otherwise, or the potental benefts of praliciguat, were incorrect, we may not recognize the antcipated benefts of the transacton and our business could be harmed.</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color w:val="auto"/>
        </w:rPr>
        <w:t>In additon, future transactons may entail numerous operatonal, fnancial and legal risks, including:</w:t>
      </w:r>
    </w:p>
    <w:p>
      <w:pPr>
        <w:spacing w:after="0" w:line="104" w:lineRule="exact"/>
        <w:rPr>
          <w:sz w:val="20"/>
          <w:szCs w:val="20"/>
          <w:color w:val="auto"/>
        </w:rPr>
      </w:pPr>
    </w:p>
    <w:p>
      <w:pPr>
        <w:ind w:left="640" w:hanging="308"/>
        <w:spacing w:after="0"/>
        <w:tabs>
          <w:tab w:leader="none" w:pos="64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incurring substantal debt, dilutve issuances of securites or depleton of cash to pay for acquisitons;</w:t>
      </w:r>
    </w:p>
    <w:p>
      <w:pPr>
        <w:spacing w:after="0" w:line="55" w:lineRule="exact"/>
        <w:rPr>
          <w:rFonts w:ascii="Calibri" w:cs="Calibri" w:eastAsia="Calibri" w:hAnsi="Calibri"/>
          <w:sz w:val="18"/>
          <w:szCs w:val="18"/>
          <w:color w:val="auto"/>
        </w:rPr>
      </w:pPr>
    </w:p>
    <w:p>
      <w:pPr>
        <w:ind w:left="660" w:right="20" w:hanging="328"/>
        <w:spacing w:after="0" w:line="235" w:lineRule="auto"/>
        <w:tabs>
          <w:tab w:leader="none" w:pos="653"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exposure to known and unknown liabilites, including contngent liabilites, possible intellectual property infringement claims, violatons of laws, tax liabilites and commercial disputes;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higher than expected acquisiton and integraton costs;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difculty in integratng operatons, processes, systems and personnel of any acquired business;</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increased amortzaton expenses or, in the case of a write-down of the value of acquired assets, impairment losses, and corresponding adjustments to the estmated useful life of the developed product rights for Auryxia;</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impairment of relatonships with key suppliers or customers of any acquired business due to changes in management and ownership;</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inability to retain personnel, customers, distributors, vendors and other business partners integral to an in-licensed or acquired product, product candidate or technology;</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potental failure of the due diligence processes to identfy signifcant problems, liabilites or other shortcomings or challenges;</w:t>
      </w:r>
    </w:p>
    <w:p>
      <w:pPr>
        <w:spacing w:after="0" w:line="55" w:lineRule="exact"/>
        <w:rPr>
          <w:rFonts w:ascii="Calibri" w:cs="Calibri" w:eastAsia="Calibri" w:hAnsi="Calibri"/>
          <w:sz w:val="18"/>
          <w:szCs w:val="18"/>
          <w:color w:val="auto"/>
        </w:rPr>
      </w:pPr>
    </w:p>
    <w:p>
      <w:pPr>
        <w:ind w:left="660" w:right="20" w:hanging="328"/>
        <w:spacing w:after="0" w:line="235" w:lineRule="auto"/>
        <w:tabs>
          <w:tab w:leader="none" w:pos="653"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entry into indicatons or markets in which we have no or limited development or commercial experience and where compettors in such markets have stronger market positons; and</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6"/>
        </w:numPr>
        <w:rPr>
          <w:rFonts w:ascii="Calibri" w:cs="Calibri" w:eastAsia="Calibri" w:hAnsi="Calibri"/>
          <w:sz w:val="18"/>
          <w:szCs w:val="18"/>
          <w:color w:val="auto"/>
        </w:rPr>
      </w:pPr>
      <w:r>
        <w:rPr>
          <w:rFonts w:ascii="Calibri" w:cs="Calibri" w:eastAsia="Calibri" w:hAnsi="Calibri"/>
          <w:sz w:val="18"/>
          <w:szCs w:val="18"/>
          <w:color w:val="auto"/>
        </w:rPr>
        <w:t>other challenges associated with managing an increasingly diversifed business.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If we are unable to successfully manage any transacton in which we may engage, our ability to develop new products and contnue to expand and diversify our portolio may be limited.</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Risks Related to our Financial Arrangements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Our obligatons in connecton with the BlackRock Credit Agreement and requirements and restrictons in the BlackRock Credit Agreement could adversely afect our fnancial conditon and restrict our operatons.</w:t>
      </w:r>
    </w:p>
    <w:p>
      <w:pPr>
        <w:spacing w:after="0" w:line="96" w:lineRule="exact"/>
        <w:rPr>
          <w:sz w:val="20"/>
          <w:szCs w:val="20"/>
          <w:color w:val="auto"/>
        </w:rPr>
      </w:pPr>
    </w:p>
    <w:p>
      <w:pPr>
        <w:jc w:val="both"/>
        <w:spacing w:after="0" w:line="223" w:lineRule="auto"/>
        <w:rPr>
          <w:sz w:val="20"/>
          <w:szCs w:val="20"/>
          <w:color w:val="auto"/>
        </w:rPr>
      </w:pPr>
      <w:r>
        <w:rPr>
          <w:rFonts w:ascii="Calibri" w:cs="Calibri" w:eastAsia="Calibri" w:hAnsi="Calibri"/>
          <w:sz w:val="18"/>
          <w:szCs w:val="18"/>
          <w:color w:val="auto"/>
        </w:rPr>
        <w:t xml:space="preserve">We entered into the BlackRock Credit Agreement, which provides for a senior secured term loan facility, in the aggregate principal amount of up to $55.0 million, or the </w:t>
      </w:r>
      <w:r>
        <w:rPr>
          <w:rFonts w:ascii="Calibri" w:cs="Calibri" w:eastAsia="Calibri" w:hAnsi="Calibri"/>
          <w:sz w:val="18"/>
          <w:szCs w:val="18"/>
          <w:u w:val="single" w:color="auto"/>
          <w:color w:val="auto"/>
        </w:rPr>
        <w:t>Term Loan Facility</w:t>
      </w:r>
      <w:r>
        <w:rPr>
          <w:rFonts w:ascii="Calibri" w:cs="Calibri" w:eastAsia="Calibri" w:hAnsi="Calibri"/>
          <w:sz w:val="18"/>
          <w:szCs w:val="18"/>
          <w:color w:val="auto"/>
        </w:rPr>
        <w:t xml:space="preserve">. The inital tranche of $37.0 million, or the </w:t>
      </w:r>
      <w:r>
        <w:rPr>
          <w:rFonts w:ascii="Calibri" w:cs="Calibri" w:eastAsia="Calibri" w:hAnsi="Calibri"/>
          <w:sz w:val="18"/>
          <w:szCs w:val="18"/>
          <w:u w:val="single" w:color="auto"/>
          <w:color w:val="auto"/>
        </w:rPr>
        <w:t>Tranche A Loan</w:t>
      </w:r>
      <w:r>
        <w:rPr>
          <w:rFonts w:ascii="Calibri" w:cs="Calibri" w:eastAsia="Calibri" w:hAnsi="Calibri"/>
          <w:sz w:val="18"/>
          <w:szCs w:val="18"/>
          <w:color w:val="auto"/>
        </w:rPr>
        <w:t xml:space="preserve">, closed on January 29, 2024, or the </w:t>
      </w:r>
      <w:r>
        <w:rPr>
          <w:rFonts w:ascii="Calibri" w:cs="Calibri" w:eastAsia="Calibri" w:hAnsi="Calibri"/>
          <w:sz w:val="18"/>
          <w:szCs w:val="18"/>
          <w:u w:val="single" w:color="auto"/>
          <w:color w:val="auto"/>
        </w:rPr>
        <w:t>Closing Date</w:t>
      </w:r>
      <w:r>
        <w:rPr>
          <w:rFonts w:ascii="Calibri" w:cs="Calibri" w:eastAsia="Calibri" w:hAnsi="Calibri"/>
          <w:sz w:val="18"/>
          <w:szCs w:val="18"/>
          <w:color w:val="auto"/>
        </w:rPr>
        <w:t xml:space="preserve">, an additonal amount of $8.0 million, or the </w:t>
      </w:r>
      <w:r>
        <w:rPr>
          <w:rFonts w:ascii="Calibri" w:cs="Calibri" w:eastAsia="Calibri" w:hAnsi="Calibri"/>
          <w:sz w:val="18"/>
          <w:szCs w:val="18"/>
          <w:u w:val="single" w:color="auto"/>
          <w:color w:val="auto"/>
        </w:rPr>
        <w:t>Tranche B Loan</w:t>
      </w:r>
      <w:r>
        <w:rPr>
          <w:rFonts w:ascii="Calibri" w:cs="Calibri" w:eastAsia="Calibri" w:hAnsi="Calibri"/>
          <w:sz w:val="18"/>
          <w:szCs w:val="18"/>
          <w:color w:val="auto"/>
        </w:rPr>
        <w:t xml:space="preserve">, was drawn on April 19, 2024, and an additonal $10.0 million was drawn on February 3, 2025, or the </w:t>
      </w:r>
      <w:r>
        <w:rPr>
          <w:rFonts w:ascii="Calibri" w:cs="Calibri" w:eastAsia="Calibri" w:hAnsi="Calibri"/>
          <w:sz w:val="18"/>
          <w:szCs w:val="18"/>
          <w:u w:val="single" w:color="auto"/>
          <w:color w:val="auto"/>
        </w:rPr>
        <w:t>Tranche C Loan</w:t>
      </w:r>
      <w:r>
        <w:rPr>
          <w:rFonts w:ascii="Calibri" w:cs="Calibri" w:eastAsia="Calibri" w:hAnsi="Calibri"/>
          <w:sz w:val="18"/>
          <w:szCs w:val="18"/>
          <w:color w:val="auto"/>
        </w:rPr>
        <w:t xml:space="preserve"> and, together with the Tranche A Loan and the Tranche B Loan, the </w:t>
      </w:r>
      <w:r>
        <w:rPr>
          <w:rFonts w:ascii="Calibri" w:cs="Calibri" w:eastAsia="Calibri" w:hAnsi="Calibri"/>
          <w:sz w:val="18"/>
          <w:szCs w:val="18"/>
          <w:u w:val="single" w:color="auto"/>
          <w:color w:val="auto"/>
        </w:rPr>
        <w:t>Term Loans</w:t>
      </w:r>
      <w:r>
        <w:rPr>
          <w:rFonts w:ascii="Calibri" w:cs="Calibri" w:eastAsia="Calibri" w:hAnsi="Calibri"/>
          <w:sz w:val="18"/>
          <w:szCs w:val="18"/>
          <w:color w:val="auto"/>
        </w:rPr>
        <w:t xml:space="preserve">. See Note 7, </w:t>
      </w:r>
      <w:r>
        <w:rPr>
          <w:rFonts w:ascii="Calibri" w:cs="Calibri" w:eastAsia="Calibri" w:hAnsi="Calibri"/>
          <w:sz w:val="18"/>
          <w:szCs w:val="18"/>
          <w:i w:val="1"/>
          <w:iCs w:val="1"/>
          <w:color w:val="auto"/>
        </w:rPr>
        <w:t>Indebtedness</w:t>
      </w:r>
      <w:r>
        <w:rPr>
          <w:rFonts w:ascii="Calibri" w:cs="Calibri" w:eastAsia="Calibri" w:hAnsi="Calibri"/>
          <w:sz w:val="18"/>
          <w:szCs w:val="18"/>
          <w:color w:val="auto"/>
        </w:rPr>
        <w:t xml:space="preserve">, to our audited consolidated fnancial statements in Part II, Item 8. Financial Statements of this Form 10-K for additonal informaton regarding our obligatons under the BlackRock Credit Agreement. The Term Loan Facility had an inital maturity date of March 31, 2025, which was automatcally extended to January 29, 2028, or the </w:t>
      </w:r>
      <w:r>
        <w:rPr>
          <w:rFonts w:ascii="Calibri" w:cs="Calibri" w:eastAsia="Calibri" w:hAnsi="Calibri"/>
          <w:sz w:val="18"/>
          <w:szCs w:val="18"/>
          <w:u w:val="single" w:color="auto"/>
          <w:color w:val="auto"/>
        </w:rPr>
        <w:t>Maturity</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auto"/>
        </w:rPr>
        <w:t>Date</w:t>
      </w:r>
      <w:r>
        <w:rPr>
          <w:rFonts w:ascii="Calibri" w:cs="Calibri" w:eastAsia="Calibri" w:hAnsi="Calibri"/>
          <w:sz w:val="18"/>
          <w:szCs w:val="18"/>
          <w:color w:val="auto"/>
        </w:rPr>
        <w:t>, since we received FDA approval for Vafseo prior to June 30, 2024.</w:t>
      </w:r>
    </w:p>
    <w:p>
      <w:pPr>
        <w:spacing w:after="0" w:line="9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BlackRock Credit Agreement contains certain representatons and warrantes, afrmatve covenants, negatve covenants, fnancial covenants, events of default and other provisions and conditons that are customarily required for similar fnancings. The fnancial covenants under the BlackRock Credit Agreement require us to either (i) maintain cash and cash equivalents, measured as of the last day of each fscal month, greater than or equal to $15.0 million or (ii) earn consolidated revenue, measured as of the last day of each fscal month for the trailing twelve-month period, of $150.0 million. Failure to maintain compliance with these or other covenants would result in an event of default under the BlackRock Credit Agreement, which</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7" w:name="page58"/>
    <w:bookmarkEnd w:id="5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could result in enforcement acton, including acceleraton of amounts due under the BlackRock Credit Agreement, or limit our ability to make certain payments under the Vifor Terminaton Agreement.</w:t>
      </w:r>
    </w:p>
    <w:p>
      <w:pPr>
        <w:spacing w:after="0" w:line="110" w:lineRule="exact"/>
        <w:rPr>
          <w:sz w:val="20"/>
          <w:szCs w:val="20"/>
          <w:color w:val="auto"/>
        </w:rPr>
      </w:pPr>
    </w:p>
    <w:p>
      <w:pPr>
        <w:jc w:val="both"/>
        <w:spacing w:after="0" w:line="241" w:lineRule="auto"/>
        <w:rPr>
          <w:sz w:val="20"/>
          <w:szCs w:val="20"/>
          <w:color w:val="auto"/>
        </w:rPr>
      </w:pPr>
      <w:r>
        <w:rPr>
          <w:rFonts w:ascii="Calibri" w:cs="Calibri" w:eastAsia="Calibri" w:hAnsi="Calibri"/>
          <w:sz w:val="18"/>
          <w:szCs w:val="18"/>
          <w:color w:val="auto"/>
        </w:rPr>
        <w:t xml:space="preserve">The Term Loan Facility will accrue interest at a foatng annual rate equal to the sum of (x) term Secured Overnight Financing Rate for a tenor of one month (subject to a foor of 4.25% per annum) plus (y) a margin of 6.75% per annum (subject to an overall cap of 15.00% per annum on the all-in interest rate). During the contnuance of any payment event of default under the BlackRock Credit Agreement, the interest rate on such overdue sum will automatcally increase by an additonal 3.0% per annum, and may be subject to an additonal late fee of 2.0% of such overdue sum. The Term Loan Facility does not amortze during the period commencing on the Closing Date and ending on December 31, 2025 (which was extended to December 31, 2026 at our opton), or the </w:t>
      </w:r>
      <w:r>
        <w:rPr>
          <w:rFonts w:ascii="Calibri" w:cs="Calibri" w:eastAsia="Calibri" w:hAnsi="Calibri"/>
          <w:sz w:val="18"/>
          <w:szCs w:val="18"/>
          <w:u w:val="single" w:color="auto"/>
          <w:color w:val="auto"/>
        </w:rPr>
        <w:t>Interest Only Period</w:t>
      </w:r>
      <w:r>
        <w:rPr>
          <w:rFonts w:ascii="Calibri" w:cs="Calibri" w:eastAsia="Calibri" w:hAnsi="Calibri"/>
          <w:sz w:val="18"/>
          <w:szCs w:val="18"/>
          <w:color w:val="auto"/>
        </w:rPr>
        <w:t>. We are required to pay interest and, afer the Interest Only Period, principal on the frst calendar day of each month. In the event of certain prespecifed events, the repayment schedule will be accelerated. If any of these events occur, and we are required to repay principal sooner than we antcipate, it would have an adverse efect on our business.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the event there is an acceleraton of our and certain of our subsidiaries’ liabilites under the BlackRock Credit Agreement as a result of an event of default or otherwise, we may not have sufcient funds or may be unable to arrange for additonal fnancing to repay the liabilites or to make any accelerated payments, and BlackRock could seek to enforce security interests in the collateral securing the BlackRock Credit Agreement, which would have a material adverse efect on our business, fnancial conditon and results of operatons.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our obligatons in connecton with the BlackRock Credit Agreement could have additonal signifcant adverse consequences, including, among other things:</w:t>
      </w:r>
    </w:p>
    <w:p>
      <w:pPr>
        <w:spacing w:after="0" w:line="137" w:lineRule="exact"/>
        <w:rPr>
          <w:sz w:val="20"/>
          <w:szCs w:val="20"/>
          <w:color w:val="auto"/>
        </w:rPr>
      </w:pPr>
    </w:p>
    <w:p>
      <w:pPr>
        <w:ind w:left="660" w:hanging="328"/>
        <w:spacing w:after="0" w:line="218" w:lineRule="auto"/>
        <w:tabs>
          <w:tab w:leader="none" w:pos="660" w:val="left"/>
        </w:tabs>
        <w:numPr>
          <w:ilvl w:val="0"/>
          <w:numId w:val="27"/>
        </w:numPr>
        <w:rPr>
          <w:rFonts w:ascii="Calibri" w:cs="Calibri" w:eastAsia="Calibri" w:hAnsi="Calibri"/>
          <w:sz w:val="22"/>
          <w:szCs w:val="22"/>
          <w:color w:val="auto"/>
        </w:rPr>
      </w:pPr>
      <w:r>
        <w:rPr>
          <w:rFonts w:ascii="Calibri" w:cs="Calibri" w:eastAsia="Calibri" w:hAnsi="Calibri"/>
          <w:sz w:val="18"/>
          <w:szCs w:val="18"/>
          <w:color w:val="auto"/>
        </w:rPr>
        <w:t>restrictng our actvites, including limitatons on transferring certain of our assets, engaging in certain transactons, terminatng certain agreements, incurring certain additonal indebtedness, creatng certain liens, paying cash dividends or making certain other distributons and investments;</w:t>
      </w:r>
    </w:p>
    <w:p>
      <w:pPr>
        <w:spacing w:after="0" w:line="29" w:lineRule="exact"/>
        <w:rPr>
          <w:rFonts w:ascii="Calibri" w:cs="Calibri" w:eastAsia="Calibri" w:hAnsi="Calibri"/>
          <w:sz w:val="22"/>
          <w:szCs w:val="22"/>
          <w:color w:val="auto"/>
        </w:rPr>
      </w:pPr>
    </w:p>
    <w:p>
      <w:pPr>
        <w:ind w:left="660" w:hanging="328"/>
        <w:spacing w:after="0"/>
        <w:tabs>
          <w:tab w:leader="none" w:pos="660" w:val="left"/>
        </w:tabs>
        <w:numPr>
          <w:ilvl w:val="0"/>
          <w:numId w:val="27"/>
        </w:numPr>
        <w:rPr>
          <w:rFonts w:ascii="Calibri" w:cs="Calibri" w:eastAsia="Calibri" w:hAnsi="Calibri"/>
          <w:sz w:val="22"/>
          <w:szCs w:val="22"/>
          <w:color w:val="auto"/>
        </w:rPr>
      </w:pPr>
      <w:r>
        <w:rPr>
          <w:rFonts w:ascii="Calibri" w:cs="Calibri" w:eastAsia="Calibri" w:hAnsi="Calibri"/>
          <w:sz w:val="18"/>
          <w:szCs w:val="18"/>
          <w:color w:val="auto"/>
        </w:rPr>
        <w:t>limitng our fexibility in planning for, or reactng to, changes in our business and our industry;</w:t>
      </w:r>
    </w:p>
    <w:p>
      <w:pPr>
        <w:spacing w:after="0" w:line="109" w:lineRule="exact"/>
        <w:rPr>
          <w:rFonts w:ascii="Calibri" w:cs="Calibri" w:eastAsia="Calibri" w:hAnsi="Calibri"/>
          <w:sz w:val="22"/>
          <w:szCs w:val="22"/>
          <w:color w:val="auto"/>
        </w:rPr>
      </w:pPr>
    </w:p>
    <w:p>
      <w:pPr>
        <w:ind w:left="660" w:hanging="328"/>
        <w:spacing w:after="0" w:line="218" w:lineRule="auto"/>
        <w:tabs>
          <w:tab w:leader="none" w:pos="660" w:val="left"/>
        </w:tabs>
        <w:numPr>
          <w:ilvl w:val="0"/>
          <w:numId w:val="27"/>
        </w:numPr>
        <w:rPr>
          <w:rFonts w:ascii="Calibri" w:cs="Calibri" w:eastAsia="Calibri" w:hAnsi="Calibri"/>
          <w:sz w:val="22"/>
          <w:szCs w:val="22"/>
          <w:color w:val="auto"/>
        </w:rPr>
      </w:pPr>
      <w:r>
        <w:rPr>
          <w:rFonts w:ascii="Calibri" w:cs="Calibri" w:eastAsia="Calibri" w:hAnsi="Calibri"/>
          <w:sz w:val="18"/>
          <w:szCs w:val="18"/>
          <w:color w:val="auto"/>
        </w:rPr>
        <w:t>placing us at a possible compettve disadvantage compared to our compettors who have a smaller amount of debt or compettors with comparable debt at more favorable interest rates; and</w:t>
      </w:r>
    </w:p>
    <w:p>
      <w:pPr>
        <w:spacing w:after="0" w:line="82" w:lineRule="exact"/>
        <w:rPr>
          <w:rFonts w:ascii="Calibri" w:cs="Calibri" w:eastAsia="Calibri" w:hAnsi="Calibri"/>
          <w:sz w:val="22"/>
          <w:szCs w:val="22"/>
          <w:color w:val="auto"/>
        </w:rPr>
      </w:pPr>
    </w:p>
    <w:p>
      <w:pPr>
        <w:ind w:left="660" w:hanging="328"/>
        <w:spacing w:after="0" w:line="218" w:lineRule="auto"/>
        <w:tabs>
          <w:tab w:leader="none" w:pos="660" w:val="left"/>
        </w:tabs>
        <w:numPr>
          <w:ilvl w:val="0"/>
          <w:numId w:val="27"/>
        </w:numPr>
        <w:rPr>
          <w:rFonts w:ascii="Calibri" w:cs="Calibri" w:eastAsia="Calibri" w:hAnsi="Calibri"/>
          <w:sz w:val="22"/>
          <w:szCs w:val="22"/>
          <w:color w:val="auto"/>
        </w:rPr>
      </w:pPr>
      <w:r>
        <w:rPr>
          <w:rFonts w:ascii="Calibri" w:cs="Calibri" w:eastAsia="Calibri" w:hAnsi="Calibri"/>
          <w:sz w:val="18"/>
          <w:szCs w:val="18"/>
          <w:color w:val="auto"/>
        </w:rPr>
        <w:t>limitng our ability to borrow additonal amounts for working capital, capital expenditures, R&amp;D eforts, acquisitons, debt service requirements, executon of our business strategy and other purposes.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Any of these factors could materially and adversely afect our business, fnancial conditon and results of operatons.</w:t>
      </w:r>
    </w:p>
    <w:p>
      <w:pPr>
        <w:spacing w:after="0" w:line="109"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b w:val="1"/>
          <w:bCs w:val="1"/>
          <w:i w:val="1"/>
          <w:iCs w:val="1"/>
          <w:color w:val="auto"/>
        </w:rPr>
        <w:t>Our Royalty Interest Acquisiton Agreement with HealthCare Royalty Partners IV, L.P. contains various covenants and other provisions, which, if violated, could materially adversely afect our fnancial conditon.</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February 2021, we entered into a royalty interest acquisiton agreement, or the </w:t>
      </w:r>
      <w:r>
        <w:rPr>
          <w:rFonts w:ascii="Calibri" w:cs="Calibri" w:eastAsia="Calibri" w:hAnsi="Calibri"/>
          <w:sz w:val="18"/>
          <w:szCs w:val="18"/>
          <w:u w:val="single" w:color="auto"/>
          <w:color w:val="auto"/>
        </w:rPr>
        <w:t>Royalty Agreement</w:t>
      </w:r>
      <w:r>
        <w:rPr>
          <w:rFonts w:ascii="Calibri" w:cs="Calibri" w:eastAsia="Calibri" w:hAnsi="Calibri"/>
          <w:sz w:val="18"/>
          <w:szCs w:val="18"/>
          <w:color w:val="auto"/>
        </w:rPr>
        <w:t xml:space="preserve">, with HealthCare Royalty Partners IV, L.P., or </w:t>
      </w:r>
      <w:r>
        <w:rPr>
          <w:rFonts w:ascii="Calibri" w:cs="Calibri" w:eastAsia="Calibri" w:hAnsi="Calibri"/>
          <w:sz w:val="18"/>
          <w:szCs w:val="18"/>
          <w:u w:val="single" w:color="auto"/>
          <w:color w:val="auto"/>
        </w:rPr>
        <w:t>HCR</w:t>
      </w:r>
      <w:r>
        <w:rPr>
          <w:rFonts w:ascii="Calibri" w:cs="Calibri" w:eastAsia="Calibri" w:hAnsi="Calibri"/>
          <w:sz w:val="18"/>
          <w:szCs w:val="18"/>
          <w:color w:val="auto"/>
        </w:rPr>
        <w:t xml:space="preserve">, pursuant to which we sold to HCR our right to receive royaltes and sales milestones for Vafseo, collectvely the </w:t>
      </w:r>
      <w:r>
        <w:rPr>
          <w:rFonts w:ascii="Calibri" w:cs="Calibri" w:eastAsia="Calibri" w:hAnsi="Calibri"/>
          <w:sz w:val="18"/>
          <w:szCs w:val="18"/>
          <w:u w:val="single" w:color="auto"/>
          <w:color w:val="auto"/>
        </w:rPr>
        <w:t>Royalty Interest Payments</w:t>
      </w:r>
      <w:r>
        <w:rPr>
          <w:rFonts w:ascii="Calibri" w:cs="Calibri" w:eastAsia="Calibri" w:hAnsi="Calibri"/>
          <w:sz w:val="18"/>
          <w:szCs w:val="18"/>
          <w:color w:val="auto"/>
        </w:rPr>
        <w:t xml:space="preserve">, in each case, payable to us under our Collaboraton Agreement dated December 11, 2015, or the </w:t>
      </w:r>
      <w:r>
        <w:rPr>
          <w:rFonts w:ascii="Calibri" w:cs="Calibri" w:eastAsia="Calibri" w:hAnsi="Calibri"/>
          <w:sz w:val="18"/>
          <w:szCs w:val="18"/>
          <w:u w:val="single" w:color="auto"/>
          <w:color w:val="auto"/>
        </w:rPr>
        <w:t>MTPC Agreement</w:t>
      </w:r>
      <w:r>
        <w:rPr>
          <w:rFonts w:ascii="Calibri" w:cs="Calibri" w:eastAsia="Calibri" w:hAnsi="Calibri"/>
          <w:sz w:val="18"/>
          <w:szCs w:val="18"/>
          <w:color w:val="auto"/>
        </w:rPr>
        <w:t xml:space="preserve">, with Mitsubishi Tanabe Pharma Corporaton, or </w:t>
      </w:r>
      <w:r>
        <w:rPr>
          <w:rFonts w:ascii="Calibri" w:cs="Calibri" w:eastAsia="Calibri" w:hAnsi="Calibri"/>
          <w:sz w:val="18"/>
          <w:szCs w:val="18"/>
          <w:u w:val="single" w:color="auto"/>
          <w:color w:val="auto"/>
        </w:rPr>
        <w:t>MTPC</w:t>
      </w:r>
      <w:r>
        <w:rPr>
          <w:rFonts w:ascii="Calibri" w:cs="Calibri" w:eastAsia="Calibri" w:hAnsi="Calibri"/>
          <w:sz w:val="18"/>
          <w:szCs w:val="18"/>
          <w:color w:val="auto"/>
        </w:rPr>
        <w:t xml:space="preserve">, subject to an annual maximum “cap” of $13.0 million, or the </w:t>
      </w:r>
      <w:r>
        <w:rPr>
          <w:rFonts w:ascii="Calibri" w:cs="Calibri" w:eastAsia="Calibri" w:hAnsi="Calibri"/>
          <w:sz w:val="18"/>
          <w:szCs w:val="18"/>
          <w:u w:val="single" w:color="auto"/>
          <w:color w:val="auto"/>
        </w:rPr>
        <w:t>Annual Cap</w:t>
      </w:r>
      <w:r>
        <w:rPr>
          <w:rFonts w:ascii="Calibri" w:cs="Calibri" w:eastAsia="Calibri" w:hAnsi="Calibri"/>
          <w:sz w:val="18"/>
          <w:szCs w:val="18"/>
          <w:color w:val="auto"/>
        </w:rPr>
        <w:t xml:space="preserve">, and an aggregate maximum “cap” of $150.0 million, or the </w:t>
      </w:r>
      <w:r>
        <w:rPr>
          <w:rFonts w:ascii="Calibri" w:cs="Calibri" w:eastAsia="Calibri" w:hAnsi="Calibri"/>
          <w:sz w:val="18"/>
          <w:szCs w:val="18"/>
          <w:u w:val="single" w:color="auto"/>
          <w:color w:val="auto"/>
        </w:rPr>
        <w:t>Aggregate Cap</w:t>
      </w:r>
      <w:r>
        <w:rPr>
          <w:rFonts w:ascii="Calibri" w:cs="Calibri" w:eastAsia="Calibri" w:hAnsi="Calibri"/>
          <w:sz w:val="18"/>
          <w:szCs w:val="18"/>
          <w:color w:val="auto"/>
        </w:rPr>
        <w:t>. Under the Royalty Agreement, we are required to comply with various covenants, including obligatons to take certain actons, such as actons with respect to the Royalty Interest Payments, the MTPC Agreement, our agreement with MTPC for the commercial supply of Vafseo drug product, and our intellectual property. In additon, the Royalty Agreement includes customary events of default upon the occurrence of enumerated events, including failure to perform certain covenants and the occurrence of insolvency events. Upon the occurrence of an event of default, HCR would have the ability to exercise all available remedies in law and equity, which could have a material adverse efect on our fnancial conditon.</w:t>
      </w:r>
    </w:p>
    <w:p>
      <w:pPr>
        <w:spacing w:after="0" w:line="11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Risks Related to Commercializaton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Our business is substantally dependent on the commercial success of Auryxia and Vafseo. If we are unable to contnue to successfully commercialize Auryxia and Vafseo, our results of operatons and fnancial conditon will be materially harmed.</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business and our ability to generate product revenue largely depend on our, and our collaborators’, ability to successfully commercialize Auryxia and Vafseo. Our ability to generate revenue depends on our ability to execute on our commercializaton plans, and the size of the market for, and the level of market acceptance of, Auryxia, Vafseo and any other product or product candidate, including those that may be in-licensed or acquired. If we are not able to maintain contracts with dialysis organizatons and other customers for the sale of Auryxia and Vafseo on favorable terms, or at all, our revenue and results of operatons will be adversely afected. If the size of any market for which a product or product candidate is approved decreases or is smaller than we antcipate, our revenue and results of operatons could be materially adversely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8" w:name="page59"/>
    <w:bookmarkEnd w:id="5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afected. For example, the approval for Vafseo in the U.S. is limited to the treatment of anemia due to CKD in adults who have been receiving dialysis for at least three months instead of all such adults. This limitaton could afect the level of market acceptance of Vafseo.</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currently have exclusive rights under a series of patents and patent applicatons to commercialize Auryxia in the U.S. that protect us from generic drug competton untl March 20, 2025. Following LoE, on March 20, 2025, the number of generic versions of Auryxia that enter the market, and the tming thereof, will adversely afect our revenue from Auryxia. The impact of LoE on future Auryxia revenues will depend on many factors, including our ability to maintain contracts with dialysis organizatons, the tming and number of generics and the pricing of generics and other products on the market that compete with Auryxia. In additon, we believe the dynamics of Auryxia reimbursement being included in the ESRD bundle under Medicare Part B and Auryxia LoE could result in the buying patern of certain customers in 2025 and future years being diferent than their historical practces. If Auryxia sales decline faster than we antcipate following LoE, our results of operatons and fnancial conditon will be materially harmed.</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Given the concentraton of dialysis clinics in large networks, with DaVita, Inc., or </w:t>
      </w:r>
      <w:r>
        <w:rPr>
          <w:rFonts w:ascii="Calibri" w:cs="Calibri" w:eastAsia="Calibri" w:hAnsi="Calibri"/>
          <w:sz w:val="18"/>
          <w:szCs w:val="18"/>
          <w:u w:val="single" w:color="auto"/>
          <w:color w:val="auto"/>
        </w:rPr>
        <w:t>DaVita</w:t>
      </w:r>
      <w:r>
        <w:rPr>
          <w:rFonts w:ascii="Calibri" w:cs="Calibri" w:eastAsia="Calibri" w:hAnsi="Calibri"/>
          <w:sz w:val="18"/>
          <w:szCs w:val="18"/>
          <w:color w:val="auto"/>
        </w:rPr>
        <w:t xml:space="preserve">, Fresenius Kidney Care Group LLC, or </w:t>
      </w:r>
      <w:r>
        <w:rPr>
          <w:rFonts w:ascii="Calibri" w:cs="Calibri" w:eastAsia="Calibri" w:hAnsi="Calibri"/>
          <w:sz w:val="18"/>
          <w:szCs w:val="18"/>
          <w:u w:val="single" w:color="auto"/>
          <w:color w:val="auto"/>
        </w:rPr>
        <w:t>Fresenius</w:t>
      </w:r>
      <w:r>
        <w:rPr>
          <w:rFonts w:ascii="Calibri" w:cs="Calibri" w:eastAsia="Calibri" w:hAnsi="Calibri"/>
          <w:sz w:val="18"/>
          <w:szCs w:val="18"/>
          <w:color w:val="auto"/>
        </w:rPr>
        <w:t xml:space="preserve">, and U.S. Renal Care, or </w:t>
      </w:r>
      <w:r>
        <w:rPr>
          <w:rFonts w:ascii="Calibri" w:cs="Calibri" w:eastAsia="Calibri" w:hAnsi="Calibri"/>
          <w:sz w:val="18"/>
          <w:szCs w:val="18"/>
          <w:u w:val="single" w:color="auto"/>
          <w:color w:val="auto"/>
        </w:rPr>
        <w:t>USRC</w:t>
      </w:r>
      <w:r>
        <w:rPr>
          <w:rFonts w:ascii="Calibri" w:cs="Calibri" w:eastAsia="Calibri" w:hAnsi="Calibri"/>
          <w:sz w:val="18"/>
          <w:szCs w:val="18"/>
          <w:color w:val="auto"/>
        </w:rPr>
        <w:t>, accountng for a vast majority of the dialysis populaton in the U.S., treatment is usually driven by medical protocols that are implemented across the entre network of clinics. Dialysis organizatons require large data sets to adopt medical protocols. If dialysis organizatons do not add Vafseo to their medical protocols in a tmely manner, or at all, or if the protocols service smaller populatons than the current label, our results of operatons could be materially adversely afected.</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Oral-only phosphate binders, including Auryxia, are included in the end-stage renal disease, or ESRD, Prospectve Payment System, or </w:t>
      </w:r>
      <w:r>
        <w:rPr>
          <w:rFonts w:ascii="Calibri" w:cs="Calibri" w:eastAsia="Calibri" w:hAnsi="Calibri"/>
          <w:sz w:val="18"/>
          <w:szCs w:val="18"/>
          <w:u w:val="single" w:color="auto"/>
          <w:color w:val="auto"/>
        </w:rPr>
        <w:t>PPS</w:t>
      </w:r>
      <w:r>
        <w:rPr>
          <w:rFonts w:ascii="Calibri" w:cs="Calibri" w:eastAsia="Calibri" w:hAnsi="Calibri"/>
          <w:sz w:val="18"/>
          <w:szCs w:val="18"/>
          <w:color w:val="auto"/>
        </w:rPr>
        <w:t>, bundle payment, as of January 2025, however, it will take tme for dialysis organizatons to implement internal mechanisms to dispense phosphate binders which could negatvely impact the market for phosphate binders, including Auryxia, and divert dialysis organizatons' atenton from focusing on other therapeutc areas such as anemia management, which in turn could negatvely impact the market for Vafseo. In additon, dialysis organizatons may choose lower cost binders over Auryxia, or binders that may have features or benefts more aligned with the dialysis organizaton's operatonal actvites, which could negatvely impact Auryxia revenue.</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believe our revenue growth has been negatvely impacted by the COVID-19 pandemic since 2021 primarily as the CKD patent populatons that we serve experienced both high hospitalizaton and mortality rates due to COVID-19, and the pandemic had an adverse impact on the phosphate binder market in which Auryxia competes. Labor shortages and costs have also adversely impacted dialysis providers. These impacts have refocused clinical eforts in addressing bone and mineral disorders like hyperphosphatemia to more acute operatonal issues to ensure patents receive dialysis treatments and stll some patents have been rescheduled or missed treatments due to labor shortages. We believe, this and potentally other factors, led to the reducton in the phosphate binder market, which has not experienced growth since early 2020. While we are unable to quantfy the impact of the COVID-19 pandemic on future revenues and revenue growth, the COVID-19 pandemic and the ongoing impacts from the COVID-19 pandemic contnue to adversely and disproportonately impact CKD patents and the phosphate binder market. Therefore, we expect the impacts from the pandemic to contnue to have a negatve impact on our revenue growth for the foreseeable future.</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Market acceptance is also critcal to our ability to generate signifcant product revenue. Any product may achieve only limited market acceptance or none at all. If Auryxia, Vafseo or any of our future products is not accepted by the market to the extent that we expect or market acceptance decreases, we may not be able to generate signifcant product revenue and our business would be materially harmed. Market acceptance of Auryxia, Vafseo or any other approved product depends on a number of factors, including:</w:t>
      </w:r>
    </w:p>
    <w:p>
      <w:pPr>
        <w:spacing w:after="0" w:line="111" w:lineRule="exact"/>
        <w:rPr>
          <w:sz w:val="20"/>
          <w:szCs w:val="20"/>
          <w:color w:val="auto"/>
        </w:rPr>
      </w:pPr>
    </w:p>
    <w:p>
      <w:pPr>
        <w:ind w:left="660" w:hanging="328"/>
        <w:spacing w:after="0" w:line="235" w:lineRule="auto"/>
        <w:tabs>
          <w:tab w:leader="none" w:pos="653" w:val="left"/>
        </w:tabs>
        <w:numPr>
          <w:ilvl w:val="0"/>
          <w:numId w:val="28"/>
        </w:numPr>
        <w:rPr>
          <w:rFonts w:ascii="Calibri" w:cs="Calibri" w:eastAsia="Calibri" w:hAnsi="Calibri"/>
          <w:sz w:val="18"/>
          <w:szCs w:val="18"/>
          <w:color w:val="auto"/>
        </w:rPr>
      </w:pPr>
      <w:r>
        <w:rPr>
          <w:rFonts w:ascii="Calibri" w:cs="Calibri" w:eastAsia="Calibri" w:hAnsi="Calibri"/>
          <w:sz w:val="18"/>
          <w:szCs w:val="18"/>
          <w:color w:val="auto"/>
        </w:rPr>
        <w:t xml:space="preserve">the availability of adequate coverage and reimbursement by, and the availability of discounts, rebates and price concessions to dialysis organizatons, third party payors, pharmacy beneft managers, or </w:t>
      </w:r>
      <w:r>
        <w:rPr>
          <w:rFonts w:ascii="Calibri" w:cs="Calibri" w:eastAsia="Calibri" w:hAnsi="Calibri"/>
          <w:sz w:val="18"/>
          <w:szCs w:val="18"/>
          <w:u w:val="single" w:color="auto"/>
          <w:color w:val="auto"/>
        </w:rPr>
        <w:t>PBMs</w:t>
      </w:r>
      <w:r>
        <w:rPr>
          <w:rFonts w:ascii="Calibri" w:cs="Calibri" w:eastAsia="Calibri" w:hAnsi="Calibri"/>
          <w:sz w:val="18"/>
          <w:szCs w:val="18"/>
          <w:color w:val="auto"/>
          <w:highlight w:val="white"/>
        </w:rPr>
        <w:t>, and governmental authorites;</w:t>
      </w:r>
    </w:p>
    <w:p>
      <w:pPr>
        <w:spacing w:after="0" w:line="15" w:lineRule="exact"/>
        <w:rPr>
          <w:rFonts w:ascii="Calibri" w:cs="Calibri" w:eastAsia="Calibri" w:hAnsi="Calibri"/>
          <w:sz w:val="18"/>
          <w:szCs w:val="18"/>
          <w:color w:val="auto"/>
        </w:rPr>
      </w:pPr>
    </w:p>
    <w:p>
      <w:pPr>
        <w:ind w:left="660" w:hanging="328"/>
        <w:spacing w:after="0"/>
        <w:tabs>
          <w:tab w:leader="none" w:pos="660" w:val="left"/>
        </w:tabs>
        <w:numPr>
          <w:ilvl w:val="0"/>
          <w:numId w:val="28"/>
        </w:numPr>
        <w:rPr>
          <w:rFonts w:ascii="Calibri" w:cs="Calibri" w:eastAsia="Calibri" w:hAnsi="Calibri"/>
          <w:sz w:val="22"/>
          <w:szCs w:val="22"/>
          <w:color w:val="auto"/>
        </w:rPr>
      </w:pPr>
      <w:r>
        <w:rPr>
          <w:rFonts w:ascii="Calibri" w:cs="Calibri" w:eastAsia="Calibri" w:hAnsi="Calibri"/>
          <w:sz w:val="18"/>
          <w:szCs w:val="18"/>
          <w:color w:val="auto"/>
        </w:rPr>
        <w:t>the availability of discounts and rebates to dialysis organizatons to facilitate access for patents;</w:t>
      </w:r>
    </w:p>
    <w:p>
      <w:pPr>
        <w:spacing w:after="0" w:line="7" w:lineRule="exact"/>
        <w:rPr>
          <w:rFonts w:ascii="Calibri" w:cs="Calibri" w:eastAsia="Calibri" w:hAnsi="Calibri"/>
          <w:sz w:val="22"/>
          <w:szCs w:val="22"/>
          <w:color w:val="auto"/>
        </w:rPr>
      </w:pPr>
    </w:p>
    <w:p>
      <w:pPr>
        <w:ind w:left="660" w:right="60" w:hanging="328"/>
        <w:spacing w:after="0" w:line="224" w:lineRule="auto"/>
        <w:tabs>
          <w:tab w:leader="none" w:pos="653" w:val="left"/>
        </w:tabs>
        <w:numPr>
          <w:ilvl w:val="0"/>
          <w:numId w:val="28"/>
        </w:numPr>
        <w:rPr>
          <w:rFonts w:ascii="Calibri" w:cs="Calibri" w:eastAsia="Calibri" w:hAnsi="Calibri"/>
          <w:sz w:val="18"/>
          <w:szCs w:val="18"/>
          <w:color w:val="auto"/>
        </w:rPr>
      </w:pPr>
      <w:r>
        <w:rPr>
          <w:rFonts w:ascii="Calibri" w:cs="Calibri" w:eastAsia="Calibri" w:hAnsi="Calibri"/>
          <w:sz w:val="18"/>
          <w:szCs w:val="18"/>
          <w:color w:val="auto"/>
        </w:rPr>
        <w:t>use at dialysis organizatons and their willingness to include or contnue to include Auryxia or Vafseo in their formulary or protocols and the scope of such protocols;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8"/>
        </w:numPr>
        <w:rPr>
          <w:rFonts w:ascii="Calibri" w:cs="Calibri" w:eastAsia="Calibri" w:hAnsi="Calibri"/>
          <w:sz w:val="18"/>
          <w:szCs w:val="18"/>
          <w:color w:val="auto"/>
        </w:rPr>
      </w:pPr>
      <w:r>
        <w:rPr>
          <w:rFonts w:ascii="Calibri" w:cs="Calibri" w:eastAsia="Calibri" w:hAnsi="Calibri"/>
          <w:sz w:val="18"/>
          <w:szCs w:val="18"/>
          <w:color w:val="auto"/>
        </w:rPr>
        <w:t>the safety and efcacy of the product, as demonstrated in clinical trials and in the post-marketng setng;</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8"/>
        </w:numPr>
        <w:rPr>
          <w:rFonts w:ascii="Calibri" w:cs="Calibri" w:eastAsia="Calibri" w:hAnsi="Calibri"/>
          <w:sz w:val="18"/>
          <w:szCs w:val="18"/>
          <w:color w:val="auto"/>
        </w:rPr>
      </w:pPr>
      <w:r>
        <w:rPr>
          <w:rFonts w:ascii="Calibri" w:cs="Calibri" w:eastAsia="Calibri" w:hAnsi="Calibri"/>
          <w:sz w:val="18"/>
          <w:szCs w:val="18"/>
          <w:color w:val="auto"/>
        </w:rPr>
        <w:t>the prevalence and complicatons of the disease treated by the product;</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28"/>
        </w:numPr>
        <w:rPr>
          <w:rFonts w:ascii="Calibri" w:cs="Calibri" w:eastAsia="Calibri" w:hAnsi="Calibri"/>
          <w:sz w:val="18"/>
          <w:szCs w:val="18"/>
          <w:color w:val="auto"/>
        </w:rPr>
      </w:pPr>
      <w:r>
        <w:rPr>
          <w:rFonts w:ascii="Calibri" w:cs="Calibri" w:eastAsia="Calibri" w:hAnsi="Calibri"/>
          <w:sz w:val="18"/>
          <w:szCs w:val="18"/>
          <w:color w:val="auto"/>
        </w:rPr>
        <w:t>the clinical indicatons for which the product is approved and the product label approved by regulatory authorites, including any warnings or limitatons that may be required on the label as a consequence of potental safety risks associated with the product;</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8"/>
        </w:numPr>
        <w:rPr>
          <w:rFonts w:ascii="Calibri" w:cs="Calibri" w:eastAsia="Calibri" w:hAnsi="Calibri"/>
          <w:sz w:val="18"/>
          <w:szCs w:val="18"/>
          <w:color w:val="auto"/>
        </w:rPr>
      </w:pPr>
      <w:r>
        <w:rPr>
          <w:rFonts w:ascii="Calibri" w:cs="Calibri" w:eastAsia="Calibri" w:hAnsi="Calibri"/>
          <w:sz w:val="18"/>
          <w:szCs w:val="18"/>
          <w:color w:val="auto"/>
        </w:rPr>
        <w:t>the countries in which marketng approvals are obtained;</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8"/>
        </w:numPr>
        <w:rPr>
          <w:rFonts w:ascii="Calibri" w:cs="Calibri" w:eastAsia="Calibri" w:hAnsi="Calibri"/>
          <w:sz w:val="18"/>
          <w:szCs w:val="18"/>
          <w:color w:val="auto"/>
        </w:rPr>
      </w:pPr>
      <w:r>
        <w:rPr>
          <w:rFonts w:ascii="Calibri" w:cs="Calibri" w:eastAsia="Calibri" w:hAnsi="Calibri"/>
          <w:sz w:val="18"/>
          <w:szCs w:val="18"/>
          <w:color w:val="auto"/>
        </w:rPr>
        <w:t>the claims we and our partners are able to make regarding the safety and efcacy of the product;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9" w:name="page60"/>
    <w:bookmarkEnd w:id="5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40" w:hanging="308"/>
        <w:spacing w:after="0"/>
        <w:tabs>
          <w:tab w:leader="none" w:pos="640"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the success of our physician and patent communicatons and educaton programs;</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acceptance by physicians and patents of the product as a safe and efectve treatment and the willingness of the target patent populaton to try new therapies and of physicians to prescribe new therapies;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the cost, safety and efcacy of the product in relaton to alternatve treatments;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the tming of receipt of marketng approvals and product launch relatve to competng products and potental generic entrants;</w:t>
      </w:r>
    </w:p>
    <w:p>
      <w:pPr>
        <w:spacing w:after="0" w:line="28" w:lineRule="exact"/>
        <w:rPr>
          <w:rFonts w:ascii="Calibri" w:cs="Calibri" w:eastAsia="Calibri" w:hAnsi="Calibri"/>
          <w:sz w:val="18"/>
          <w:szCs w:val="18"/>
          <w:color w:val="auto"/>
        </w:rPr>
      </w:pPr>
    </w:p>
    <w:p>
      <w:pPr>
        <w:ind w:left="660" w:hanging="328"/>
        <w:spacing w:after="0"/>
        <w:tabs>
          <w:tab w:leader="none" w:pos="660" w:val="left"/>
        </w:tabs>
        <w:numPr>
          <w:ilvl w:val="0"/>
          <w:numId w:val="29"/>
        </w:numPr>
        <w:rPr>
          <w:rFonts w:ascii="Calibri" w:cs="Calibri" w:eastAsia="Calibri" w:hAnsi="Calibri"/>
          <w:sz w:val="22"/>
          <w:szCs w:val="22"/>
          <w:color w:val="auto"/>
        </w:rPr>
      </w:pPr>
      <w:r>
        <w:rPr>
          <w:rFonts w:ascii="Calibri" w:cs="Calibri" w:eastAsia="Calibri" w:hAnsi="Calibri"/>
          <w:sz w:val="18"/>
          <w:szCs w:val="18"/>
          <w:color w:val="auto"/>
        </w:rPr>
        <w:t>the success of, or withdrawal from the market of, competng products;</w:t>
      </w:r>
    </w:p>
    <w:p>
      <w:pPr>
        <w:spacing w:after="0" w:line="63" w:lineRule="exact"/>
        <w:rPr>
          <w:rFonts w:ascii="Calibri" w:cs="Calibri" w:eastAsia="Calibri" w:hAnsi="Calibri"/>
          <w:sz w:val="22"/>
          <w:szCs w:val="22"/>
          <w:color w:val="auto"/>
        </w:rPr>
      </w:pPr>
    </w:p>
    <w:p>
      <w:pPr>
        <w:ind w:left="640" w:hanging="308"/>
        <w:spacing w:after="0"/>
        <w:tabs>
          <w:tab w:leader="none" w:pos="640"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relatve convenience and ease of administraton;</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the frequency and severity of adverse side efects;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favorable or adverse publicity about our products or favorable or adverse publicity about competng products;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the efectveness of our and our partners’ sales, marketng, manufacturing and distributon strategies and operatons; and</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29"/>
        </w:numPr>
        <w:rPr>
          <w:rFonts w:ascii="Calibri" w:cs="Calibri" w:eastAsia="Calibri" w:hAnsi="Calibri"/>
          <w:sz w:val="18"/>
          <w:szCs w:val="18"/>
          <w:color w:val="auto"/>
        </w:rPr>
      </w:pPr>
      <w:r>
        <w:rPr>
          <w:rFonts w:ascii="Calibri" w:cs="Calibri" w:eastAsia="Calibri" w:hAnsi="Calibri"/>
          <w:sz w:val="18"/>
          <w:szCs w:val="18"/>
          <w:color w:val="auto"/>
        </w:rPr>
        <w:t>the restrictons on the use of the product together with other medicatons, if any.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our ability to generate net product revenue depends on our ability to control the expenses associated with commercializing a product, including internal expenses, manufacturing costs, rebates, product returns and other adjustments. We do not have control over many of the expenses required to commercialize our products, and if we experience increased costs or expenses, we may not be able to aford the commercial actvites required to successfully commercialize our products, which could have an adverse efect on our business. In additon, our net product revenue requires judgement and includes estmates for rebates and product returns, which can fuctuate from quarter-to-quarter and year-over-year. If our net product revenue is lower than antcipated, including as a result of higher expenses or product returns, our business could be harmed.</w:t>
      </w:r>
    </w:p>
    <w:p>
      <w:pPr>
        <w:spacing w:after="0" w:line="113" w:lineRule="exact"/>
        <w:rPr>
          <w:sz w:val="20"/>
          <w:szCs w:val="20"/>
          <w:color w:val="auto"/>
        </w:rPr>
      </w:pPr>
    </w:p>
    <w:p>
      <w:pPr>
        <w:jc w:val="both"/>
        <w:spacing w:after="0" w:line="256" w:lineRule="auto"/>
        <w:rPr>
          <w:sz w:val="20"/>
          <w:szCs w:val="20"/>
          <w:color w:val="auto"/>
        </w:rPr>
      </w:pPr>
      <w:r>
        <w:rPr>
          <w:rFonts w:ascii="Calibri" w:cs="Calibri" w:eastAsia="Calibri" w:hAnsi="Calibri"/>
          <w:sz w:val="17"/>
          <w:szCs w:val="17"/>
          <w:color w:val="auto"/>
        </w:rPr>
        <w:t>Several healthcare facilites, including DaVita, have previously restricted access for non-patents as a result of the COVID-19 pandemic, resultng in restricted access for certain members of our sales force. Such precautonary measures have since been relaxed at certain healthcare facilites and, as a result, members of our sales force have resumed in person interactons with those customers. Nevertheless, some restrictons remain and restrictons on our customer-facing employees’ in-person interactons with healthcare providers have, and could contnue to, negatvely impact our access to healthcare providers and ultmately our sales, including with respect to Vafseo. In additon, more restrictons may be put in place again due to a resurgence in COVID-19 cases, including those involving new variants of COVID-19, which may be more contagious and more severe than prior strains of the virus, or due to outbreak of other infectous diseases, such as H1N1 virus (Swine Flu) and H5N1 virus (bird fu). Given this uncertain environment and the disproportonate impact of the COVID-19 pandemic on CKD patents, we are actvely monitoring the demand in the U.S. for Auryxia and Vafseo, including the potental for further declines or changes in prescripton trends and customer orders, which could have a material adverse efect on our business, results of operatons, and fnancial conditon.</w:t>
      </w:r>
    </w:p>
    <w:p>
      <w:pPr>
        <w:spacing w:after="0" w:line="10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If we are unable to maintain or expand sales and marketng capabilites or enter into additonal agreements with third partes, we may not be successful in commercializing Auryxia, Vafseo or any other product candidates that may be approved.</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order to market Auryxia, Vafseo and any other approved product, we intend to contnue to invest in sales and marketng, which will require substantal efort and signifcant management and fnancial resources. We have built a commercial infrastructure and sales force in the U.S. for Auryxia and Vafseo. If the sales and marketng team cannot successfully commercialize Auryxia or Vafseo, it could have a material adverse efect on our product revenue and our fnancial conditon. Additonally, training a sales force to successfully sell and market a new commercial product is expensive and tme-consuming and could delay any commercial launch or market acceptance of such product. We may underestmate the size of the sales force required for a successful product launch, and we may need to expand our sales and marketng team to a greater extent than we already have, which would increase our costs more than we antcipated.</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devote signifcant efort to recruitng individuals with experience in the sales and marketng of pharmaceutcal products. Competton for personnel with these skills is signifcant and retaining qualifed personnel with experience in our industry is difcult. If key sales and marketng employees decide to leave, we may not be able to hire and train new employees quickly enough to meet our needs. At the same tme, we may face high turnover, requiring us to expend tme and resources to source, train and integrate new employees.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There are risks involved with maintaining our own sales and marketng capabilites, including the following:</w:t>
      </w:r>
    </w:p>
    <w:p>
      <w:pPr>
        <w:spacing w:after="0" w:line="136" w:lineRule="exact"/>
        <w:rPr>
          <w:sz w:val="20"/>
          <w:szCs w:val="20"/>
          <w:color w:val="auto"/>
        </w:rPr>
      </w:pPr>
    </w:p>
    <w:p>
      <w:pPr>
        <w:ind w:left="3940" w:right="2980" w:hanging="3608"/>
        <w:spacing w:after="0" w:line="752" w:lineRule="auto"/>
        <w:tabs>
          <w:tab w:leader="none" w:pos="666" w:val="left"/>
        </w:tabs>
        <w:numPr>
          <w:ilvl w:val="0"/>
          <w:numId w:val="30"/>
        </w:numPr>
        <w:rPr>
          <w:rFonts w:ascii="Calibri" w:cs="Calibri" w:eastAsia="Calibri" w:hAnsi="Calibri"/>
          <w:sz w:val="22"/>
          <w:szCs w:val="22"/>
          <w:color w:val="auto"/>
        </w:rPr>
      </w:pPr>
      <w:r>
        <w:rPr>
          <w:rFonts w:ascii="Calibri" w:cs="Calibri" w:eastAsia="Calibri" w:hAnsi="Calibri"/>
          <w:sz w:val="18"/>
          <w:szCs w:val="18"/>
          <w:color w:val="auto"/>
        </w:rPr>
        <w:t>potental inability to recruit, train and retain adequate numbers of efectve sales and marketng personnel; Akebia Therapeutcs, Inc. | Form 10-K | 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0" w:name="page61"/>
    <w:bookmarkEnd w:id="6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60" w:hanging="328"/>
        <w:spacing w:after="0" w:line="218" w:lineRule="auto"/>
        <w:tabs>
          <w:tab w:leader="none" w:pos="660" w:val="left"/>
        </w:tabs>
        <w:numPr>
          <w:ilvl w:val="0"/>
          <w:numId w:val="31"/>
        </w:numPr>
        <w:rPr>
          <w:rFonts w:ascii="Calibri" w:cs="Calibri" w:eastAsia="Calibri" w:hAnsi="Calibri"/>
          <w:sz w:val="22"/>
          <w:szCs w:val="22"/>
          <w:color w:val="auto"/>
        </w:rPr>
      </w:pPr>
      <w:r>
        <w:rPr>
          <w:rFonts w:ascii="Calibri" w:cs="Calibri" w:eastAsia="Calibri" w:hAnsi="Calibri"/>
          <w:sz w:val="18"/>
          <w:szCs w:val="18"/>
          <w:color w:val="auto"/>
        </w:rPr>
        <w:t>potental lack of complementary products to be ofered by sales personnel, which may put us at a compettve disadvantage relatve to companies with more extensive product lines; and</w:t>
      </w:r>
    </w:p>
    <w:p>
      <w:pPr>
        <w:spacing w:after="0" w:line="29" w:lineRule="exact"/>
        <w:rPr>
          <w:rFonts w:ascii="Calibri" w:cs="Calibri" w:eastAsia="Calibri" w:hAnsi="Calibri"/>
          <w:sz w:val="22"/>
          <w:szCs w:val="22"/>
          <w:color w:val="auto"/>
        </w:rPr>
      </w:pPr>
    </w:p>
    <w:p>
      <w:pPr>
        <w:ind w:left="660" w:hanging="328"/>
        <w:spacing w:after="0"/>
        <w:tabs>
          <w:tab w:leader="none" w:pos="660" w:val="left"/>
        </w:tabs>
        <w:numPr>
          <w:ilvl w:val="0"/>
          <w:numId w:val="31"/>
        </w:numPr>
        <w:rPr>
          <w:rFonts w:ascii="Calibri" w:cs="Calibri" w:eastAsia="Calibri" w:hAnsi="Calibri"/>
          <w:sz w:val="22"/>
          <w:szCs w:val="22"/>
          <w:color w:val="auto"/>
        </w:rPr>
      </w:pPr>
      <w:r>
        <w:rPr>
          <w:rFonts w:ascii="Calibri" w:cs="Calibri" w:eastAsia="Calibri" w:hAnsi="Calibri"/>
          <w:sz w:val="18"/>
          <w:szCs w:val="18"/>
          <w:color w:val="auto"/>
        </w:rPr>
        <w:t>costs and expenses associated with maintaining our own sales and marketng organizaton.</w:t>
      </w:r>
    </w:p>
    <w:p>
      <w:pPr>
        <w:spacing w:after="0" w:line="12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w:t>
      </w:r>
      <w:r>
        <w:rPr>
          <w:rFonts w:ascii="Calibri" w:cs="Calibri" w:eastAsia="Calibri" w:hAnsi="Calibri"/>
          <w:sz w:val="18"/>
          <w:szCs w:val="18"/>
          <w:color w:val="auto"/>
        </w:rPr>
        <w:t>f we are unable to maintain our own sales and marketng capabilites, we will not be successful in commercializing Auryxia, Vafseo and any other product</w:t>
      </w:r>
      <w:r>
        <w:rPr>
          <w:rFonts w:ascii="Times New Roman" w:cs="Times New Roman" w:eastAsia="Times New Roman" w:hAnsi="Times New Roman"/>
          <w:sz w:val="18"/>
          <w:szCs w:val="18"/>
          <w:color w:val="auto"/>
        </w:rPr>
        <w:t xml:space="preserve"> </w:t>
      </w:r>
      <w:r>
        <w:rPr>
          <w:rFonts w:ascii="Calibri" w:cs="Calibri" w:eastAsia="Calibri" w:hAnsi="Calibri"/>
          <w:sz w:val="18"/>
          <w:szCs w:val="18"/>
          <w:color w:val="auto"/>
        </w:rPr>
        <w:t>candidate that may be approved. Also, if we are unable to maintain our arrangements with third partes with respect to sales and marketng, if we are unsuccessful in entering into additonal arrangements with third partes to sell and market our products or we are unable to do so on terms that are favorable to us, or if such third partes are unable to carry out their obligatons under such arrangements, it will be difcult to successfully commercialize our product and product candidates, including Vafseo.</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Our, or our partners', failure to obtain or maintain adequate coverage, pricing and reimbursement for Auryxia, Vafseo or any other future approved products, could have a material adverse efect on our or our collaboraton partners’ ability to sell such approved products proftably and otherwise have a material adverse impact on our business.</w:t>
      </w:r>
    </w:p>
    <w:p>
      <w:pPr>
        <w:spacing w:after="0" w:line="111"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Market acceptance and sales of any approved products, including Auryxia and Vafseo, depends signifcantly on the availability of adequate coverage and reimbursement from third party payors and may be afected by existng and future healthcare reform measures. Governmental authorites, dialysis organizatons, third party payors, and PBMs decide which drugs they will cover, as well as establish formularies or implement other mechanisms to manage utlizaton of products and determine reimbursement levels. We cannot be sure that coverage or adequate reimbursement will be available for Auryxia, Vafseo or any of our potental future products. Even if we obtain coverage for an approved product, third party payors may not establish adequate reimbursement amounts, which may reduce the demand for our product and prompt us to have to reduce pricing for the product. If reimbursement is not available or is limited, we may not be able to successfully commercialize certain of our products. Coverage and reimbursement by a governmental authority, dialysis organizaton, third-party payor or PBMs may depend upon a number of factors, including the determinaton that use of a product is:</w:t>
      </w:r>
    </w:p>
    <w:p>
      <w:pPr>
        <w:spacing w:after="0" w:line="95" w:lineRule="exact"/>
        <w:rPr>
          <w:sz w:val="20"/>
          <w:szCs w:val="20"/>
          <w:color w:val="auto"/>
        </w:rPr>
      </w:pPr>
    </w:p>
    <w:p>
      <w:pPr>
        <w:ind w:left="640" w:hanging="308"/>
        <w:spacing w:after="0"/>
        <w:tabs>
          <w:tab w:leader="none" w:pos="640"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a covered beneft under the health plan;</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safe, efectve and medically necessary;</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appropriate for the specifc patent; and</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32"/>
        </w:numPr>
        <w:rPr>
          <w:rFonts w:ascii="Calibri" w:cs="Calibri" w:eastAsia="Calibri" w:hAnsi="Calibri"/>
          <w:sz w:val="18"/>
          <w:szCs w:val="18"/>
          <w:color w:val="auto"/>
        </w:rPr>
      </w:pPr>
      <w:r>
        <w:rPr>
          <w:rFonts w:ascii="Calibri" w:cs="Calibri" w:eastAsia="Calibri" w:hAnsi="Calibri"/>
          <w:sz w:val="18"/>
          <w:szCs w:val="18"/>
          <w:color w:val="auto"/>
        </w:rPr>
        <w:t>cost efectve.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Obtaining coverage and reimbursement approval for a product from a governmental authority, dialysis organizaton, PBM or a third-party payor is a tme consuming and costly process that could require us to provide supportng scientfc, clinical and cost-efectveness data for the use of our products to the payor. In the U.S., there are multple governmental authorites, PBMs and third-party payors with varying coverage and reimbursement levels for pharmaceutcal products, and the tming of commencement of reimbursement by a governmental payor can be dependent on the assignment of codes via the Healthcare Common Procedural Coding System, which codes are assigned on a quarterly basis. Within Medicare, for oral drugs dispensed by pharmacies and also administered in facilites, coverage and reimbursement may vary depending on the setng. CMS, local Medicare administratve contractors, Medicare Advantage and/or Part D plans and/or PBMs operatng on behalf of such plans, may have some responsibility for determining the medical necessity of such drugs, and therefore coverage, for diferent patents. Diferent reimbursement methodologies may apply, and CMS may have some discreton in interpretng their applicaton in certain setngs.</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As an oral drug, Auryxia was covered by Medicare under Part D untl January 1, 2025, for the treatment of patents with hyperphosphatemia. In January 2011, CMS implemented the ESRD PPS, a prospectve payment system for dialysis treatment. Under the ESRD PPS, CMS generally makes a single bundled payment to the dialysis facility for each dialysis treatment that covers all items and services routnely required for dialysis treatments furnished to Medicare benefciaries in Medicare-certfed ESRD facilites or at their home. As of January 2025, oral ESRD-related drugs without injectable or intravenous equivalents, including Auryxia and all other phosphate lowering medicatons, are included in the ESRD bundle and separate Medicare payment for these drugs are no longer available. In additon, dialysis organizatons will receive a Transitonal Drug Add-on Payment Adjustment, or </w:t>
      </w:r>
      <w:r>
        <w:rPr>
          <w:rFonts w:ascii="Calibri" w:cs="Calibri" w:eastAsia="Calibri" w:hAnsi="Calibri"/>
          <w:sz w:val="18"/>
          <w:szCs w:val="18"/>
          <w:u w:val="single" w:color="auto"/>
          <w:color w:val="auto"/>
        </w:rPr>
        <w:t>TDAPA</w:t>
      </w:r>
      <w:r>
        <w:rPr>
          <w:rFonts w:ascii="Calibri" w:cs="Calibri" w:eastAsia="Calibri" w:hAnsi="Calibri"/>
          <w:sz w:val="18"/>
          <w:szCs w:val="18"/>
          <w:color w:val="auto"/>
        </w:rPr>
        <w:t xml:space="preserve">, payment for claims that include phosphate binders for the next two years. Vafseo, which we began selling in January 2025, is also included in the ESRD bundle and ESRD facilites will receive a TDAPA for Vafseo as a new renal dialysis drug meetng certain criteria for a period of at least two years startng on January 1, 2025. The TDAPA provides separate payment based on the drug’s Average Sales Price, or </w:t>
      </w:r>
      <w:r>
        <w:rPr>
          <w:rFonts w:ascii="Calibri" w:cs="Calibri" w:eastAsia="Calibri" w:hAnsi="Calibri"/>
          <w:sz w:val="18"/>
          <w:szCs w:val="18"/>
          <w:u w:val="single" w:color="auto"/>
          <w:color w:val="auto"/>
        </w:rPr>
        <w:t>ASP</w:t>
      </w:r>
      <w:r>
        <w:rPr>
          <w:rFonts w:ascii="Calibri" w:cs="Calibri" w:eastAsia="Calibri" w:hAnsi="Calibri"/>
          <w:sz w:val="18"/>
          <w:szCs w:val="18"/>
          <w:color w:val="auto"/>
        </w:rPr>
        <w:t>, that will be in additon to the base rate in order to facilitate the adopton of innovatve therapies. If the TDAPA reimbursement amount for Auryxia or Vafseo is lower than antcipated, or if the TDAPA is eliminated, it would have an adverse impact on our revenue. Additonally, in the post-TDAPA period, CMS currently expects to increase the single bundled payment base rate paid to the dialysis facility for each dialysis treatment to refect that bundled drugs will be reimbursed as part of the single bundled payment for Medicare patents. However, there can be no assurances that any increase in the single bundled payment base rate will be sufcient to</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1" w:name="page62"/>
    <w:bookmarkEnd w:id="6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color w:val="auto"/>
        </w:rPr>
        <w:t>adequately reimburse the dialysis facilites for Auryxia or Vafseo at a price that allows us to contnue to sell Auryxia or Vafseo at a proft.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July 2024, Ardelyx, Inc., or </w:t>
      </w:r>
      <w:r>
        <w:rPr>
          <w:rFonts w:ascii="Calibri" w:cs="Calibri" w:eastAsia="Calibri" w:hAnsi="Calibri"/>
          <w:sz w:val="18"/>
          <w:szCs w:val="18"/>
          <w:u w:val="single" w:color="auto"/>
          <w:color w:val="auto"/>
        </w:rPr>
        <w:t>Ardelyx</w:t>
      </w:r>
      <w:r>
        <w:rPr>
          <w:rFonts w:ascii="Calibri" w:cs="Calibri" w:eastAsia="Calibri" w:hAnsi="Calibri"/>
          <w:sz w:val="18"/>
          <w:szCs w:val="18"/>
          <w:color w:val="auto"/>
        </w:rPr>
        <w:t xml:space="preserve">, fled a complaint in the United States District Court for the District of Columbia against the U.S. Department of Health and Human Services, or </w:t>
      </w:r>
      <w:r>
        <w:rPr>
          <w:rFonts w:ascii="Calibri" w:cs="Calibri" w:eastAsia="Calibri" w:hAnsi="Calibri"/>
          <w:sz w:val="18"/>
          <w:szCs w:val="18"/>
          <w:u w:val="single" w:color="auto"/>
          <w:color w:val="auto"/>
        </w:rPr>
        <w:t>HHS</w:t>
      </w:r>
      <w:r>
        <w:rPr>
          <w:rFonts w:ascii="Calibri" w:cs="Calibri" w:eastAsia="Calibri" w:hAnsi="Calibri"/>
          <w:sz w:val="18"/>
          <w:szCs w:val="18"/>
          <w:color w:val="auto"/>
        </w:rPr>
        <w:t>, CMS and other partes, which alleged that CMS’s plan to include oral-only phosphate lowering therapies in the ESRD PPS violated its statutory and regulatory authority under the Medicare Improvements for Patents and Providers Act, which established the ESRD PPS bundled payment system for dialysis services. In October 2024, Ardelyx fled a moton for a preliminary injuncton to enjoin CMS from including oral-only phosphate lowering therapies in the ESRD PPS. CMS had earlier fled a moton to dismiss the complaint on jurisdictonal grounds. On November 8, 2024, the district court denied Ardelyx’s moton for a preliminary injuncton and it granted the government’s moton to dismiss. Thereafer, Ardelyx moved for reconsideraton, but the district court also denied that request. On December 26, 2024, Ardelyx fled a notce of appeal with the US Court of Appeals for the DC Circuit. If Ardelyx is successful in its claims, oral-only phosphate lowering therapies, including Auryxia, may be removed from the ESRD bundle, which could reduce antcipated revenue for Auryxia.</w:t>
      </w:r>
    </w:p>
    <w:p>
      <w:pPr>
        <w:spacing w:after="0" w:line="102" w:lineRule="exact"/>
        <w:rPr>
          <w:sz w:val="20"/>
          <w:szCs w:val="20"/>
          <w:color w:val="auto"/>
        </w:rPr>
      </w:pPr>
    </w:p>
    <w:p>
      <w:pPr>
        <w:jc w:val="both"/>
        <w:spacing w:after="0" w:line="221" w:lineRule="auto"/>
        <w:rPr>
          <w:sz w:val="20"/>
          <w:szCs w:val="20"/>
          <w:color w:val="auto"/>
        </w:rPr>
      </w:pPr>
      <w:r>
        <w:rPr>
          <w:rFonts w:ascii="Calibri" w:cs="Calibri" w:eastAsia="Calibri" w:hAnsi="Calibri"/>
          <w:sz w:val="18"/>
          <w:szCs w:val="18"/>
          <w:color w:val="auto"/>
        </w:rPr>
        <w:t xml:space="preserve">In additon, in September 2018, CMS decided that Auryxia would no longer be covered by Medicare for the treatment of iron defciency anemia, or </w:t>
      </w:r>
      <w:r>
        <w:rPr>
          <w:rFonts w:ascii="Calibri" w:cs="Calibri" w:eastAsia="Calibri" w:hAnsi="Calibri"/>
          <w:sz w:val="18"/>
          <w:szCs w:val="18"/>
          <w:u w:val="single" w:color="auto"/>
          <w:color w:val="auto"/>
        </w:rPr>
        <w:t>IDA</w:t>
      </w:r>
      <w:r>
        <w:rPr>
          <w:rFonts w:ascii="Calibri" w:cs="Calibri" w:eastAsia="Calibri" w:hAnsi="Calibri"/>
          <w:sz w:val="18"/>
          <w:szCs w:val="18"/>
          <w:color w:val="auto"/>
        </w:rPr>
        <w:t xml:space="preserve">, in adult patents not on dialysis, or </w:t>
      </w:r>
      <w:r>
        <w:rPr>
          <w:rFonts w:ascii="Calibri" w:cs="Calibri" w:eastAsia="Calibri" w:hAnsi="Calibri"/>
          <w:sz w:val="18"/>
          <w:szCs w:val="18"/>
          <w:u w:val="single" w:color="auto"/>
          <w:color w:val="auto"/>
        </w:rPr>
        <w:t>NDD-CKD</w:t>
      </w:r>
      <w:r>
        <w:rPr>
          <w:rFonts w:ascii="Calibri" w:cs="Calibri" w:eastAsia="Calibri" w:hAnsi="Calibri"/>
          <w:sz w:val="18"/>
          <w:szCs w:val="18"/>
          <w:color w:val="auto"/>
        </w:rPr>
        <w:t xml:space="preserve">. While this decision does not impact CMS coverage for the control of serum phosphorus levels in adult patents with anemia due to CKD in patents on dialysis, or </w:t>
      </w:r>
      <w:r>
        <w:rPr>
          <w:rFonts w:ascii="Calibri" w:cs="Calibri" w:eastAsia="Calibri" w:hAnsi="Calibri"/>
          <w:sz w:val="18"/>
          <w:szCs w:val="18"/>
          <w:u w:val="single" w:color="auto"/>
          <w:color w:val="auto"/>
        </w:rPr>
        <w:t>DD-CKD</w:t>
      </w:r>
      <w:r>
        <w:rPr>
          <w:rFonts w:ascii="Calibri" w:cs="Calibri" w:eastAsia="Calibri" w:hAnsi="Calibri"/>
          <w:sz w:val="18"/>
          <w:szCs w:val="18"/>
          <w:color w:val="auto"/>
        </w:rPr>
        <w:t xml:space="preserve">, or the </w:t>
      </w:r>
      <w:r>
        <w:rPr>
          <w:rFonts w:ascii="Calibri" w:cs="Calibri" w:eastAsia="Calibri" w:hAnsi="Calibri"/>
          <w:sz w:val="18"/>
          <w:szCs w:val="18"/>
          <w:u w:val="single" w:color="auto"/>
          <w:color w:val="auto"/>
        </w:rPr>
        <w:t>Hyperphosphatemia Indicaton</w:t>
      </w:r>
      <w:r>
        <w:rPr>
          <w:rFonts w:ascii="Calibri" w:cs="Calibri" w:eastAsia="Calibri" w:hAnsi="Calibri"/>
          <w:sz w:val="18"/>
          <w:szCs w:val="18"/>
          <w:color w:val="auto"/>
        </w:rPr>
        <w:t>, it requires Part D Plan sponsors to impose prior authorizaton or other steps to ensure that Auryxia is reimbursed only for the Hyperphosphatemia Indicaton. We decided beginning in 2022 to terminate certain Part D contracts, as patents no longer had the access beneft given the prior authorizaton requirement. Now patents must go through a medical exempton process, which is very similar to a prior authorizaton review. While we believe this had, and may contnue to have, a negatve impact on our overall sales volume, we believe it had a signifcant positve impact on our net selling price. However, if we experience additonal negatve impacts on our sales volume as a result of this change, it could have a negatve impact on our product revenue.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Medicaid reimbursement of drugs varies by state. Private third-party payor reimbursement policies also vary and may or may not be consistent with Medicare reimbursement methodologies. Manufacturers of outpatent prescripton drugs may be required to provide discounts or rebates under government healthcare programs or to certain third-party payors in order to obtain coverage of such products.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Additonally, we will be required to enter into contracts with dialysis organizatons, GPOs, third party payors and/or PBMs ofering rebates or discounts on our products in order to obtain favorable formulary status and we may not be able to agree upon commercially reasonable terms with such dialysis organizatons, GPOs, third party payors or PBMs, or provide data sufcient to obtain favorable coverage and reimbursement for many reasons, including that we may be at a compettve disadvantage relatve to companies with more extensive product lines. In additon, dialysis organizatons, GPOs, third party payors, PBMs and/or other enttes that purchase our products may impose restrictons on our ability to raise prices for our products over tme without incurring additonal costs. Three distributors, Fresenius Medical Care Rx, McKesson Corporaton and Cencora, Inc., formerly known as AmerisourceBergen Drug Corporaton, in the aggregate, accounted for a signifcant percentage of our gross revenue during the year ended December 31, 2024. However, due to a variety of factors, including coverage of our products in the ESRD bundle and to support commercial availability of Vafseo in 2025, there were changes to the manner in which we distributed our products, which we implemented in January 2025. This included, for example, reducing the number of mainline wholesalers in our distributon network, distributon of products through specialty distributors, and an increased focus on direct sales through contracts with dialysis organizatons. If we are not able to enter into and maintain agreements with wholesalers, specialty distributors, the dialysis organizatons and other purchasers for the sale of our products on favorable terms, on a tmely basis or at all, or if dialysis organizatons or other purchasers do not purchase as much product as we antcipate or terminate our arrangements, it would adversely impact the market opportunity for our products, our product revenues and operatng results.</w:t>
      </w:r>
    </w:p>
    <w:p>
      <w:pPr>
        <w:spacing w:after="0" w:line="12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Furthermore, the dialysis market is unique and is dominated by three providers: DaVita, Fresenius and USRC, which account for a vast majority of the dialysis populaton in the U.S. If we are not able to maintain supply agreements with these, and other, dialysis organizatons for the sale of Vafseo on favorable terms, in a tmely mater or at all, our business may be materially harmed.</w:t>
      </w:r>
    </w:p>
    <w:p>
      <w:pPr>
        <w:spacing w:after="0" w:line="111"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Similar to how payor coverage may afect the sales of a product, formulary status within dialysis organizatons may afect what products are prescribed within that specifc organizaton. Therefore, if a product is not on a formulary, the prescribers within that organizaton may be less likely to prescribe that product or may have a difcult tme prescribing that product, resultng in less sales. Further, one dialysis organizaton’s determinaton to add a product to their formulary does not assure that other dialysis organizatons will also add the product to theirs. There is always a risk a dialysis organizaton will not contract with a drug manufacturer for a specifc product, or will terminate their contract, resultng in that product not being on that organizaton’s formulary. If any dialysis organizaton does not add Auryxia or Vafseo to the formulary, or removes Auryxia or Vafseo from the formulary, our business may be materially harmed.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2" w:name="page63"/>
    <w:bookmarkEnd w:id="6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we may be unable to sell Auryxia or Vafseo to dialysis providers on a proftable basis if CMS signifcantly reduces the level of reimbursement for dialysis services and providers choose to use alternatve therapies or look to re-negotate their contracts with us. Our proftability may also be afected if our costs of producton increase faster than increases in reimbursement levels. Adequate coverage and reimbursement of our products by government and private insurance plans, including Medicare Advantage plans, are central to patent and provider acceptance of any products for which we receive marketng approval. Existng compettve products may enter into sole source agreements with dialysis providers that impact the ability for new product innovatons and new compettors may face price pressure based on existng contracts with dialysis providers.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Further, in many countries outside the U.S., a drug must be approved for reimbursement before it can be marketed or sold in that country. In some cases, the prices that we intend to charge for our products are also subject to approval. Approval by the EMA or another regulatory authority does not ensure approval by reimbursement authorites in that jurisdicton, and approval by one reimbursement authority outside the U.S. does not ensure approval by any other reimbursement authorites.</w:t>
      </w:r>
    </w:p>
    <w:p>
      <w:pPr>
        <w:spacing w:after="0" w:line="98" w:lineRule="exact"/>
        <w:rPr>
          <w:sz w:val="20"/>
          <w:szCs w:val="20"/>
          <w:color w:val="auto"/>
        </w:rPr>
      </w:pPr>
    </w:p>
    <w:p>
      <w:pPr>
        <w:jc w:val="both"/>
        <w:spacing w:after="0" w:line="221" w:lineRule="auto"/>
        <w:rPr>
          <w:sz w:val="20"/>
          <w:szCs w:val="20"/>
          <w:color w:val="auto"/>
        </w:rPr>
      </w:pPr>
      <w:r>
        <w:rPr>
          <w:rFonts w:ascii="Calibri" w:cs="Calibri" w:eastAsia="Calibri" w:hAnsi="Calibri"/>
          <w:sz w:val="18"/>
          <w:szCs w:val="18"/>
          <w:color w:val="auto"/>
        </w:rPr>
        <w:t>However, the failure to obtain reimbursement in one jurisdicton may negatvely impact our ability to obtain reimbursement in another jurisdicton. In additon, we plan to rely on a partner to obtain approval by reimbursement authorites outside the U.S. Our partners may not be able to obtain such reimbursement approvals on a tmely basis, if at all, and favorable pricing in certain countries depends on a number of factors, some of which are outside of our partners' control. Vafseo was approved in Japan for the treatment of adult patents with anemia due to CKD and is being marketed by MTPC in Japan under the trade name Vafseo. Pricing and reimbursement strategy is a key component of MTPC’s commercializaton plans for Vafseo in Japan. If coverage and reimbursement terms change, MTPC may not be able to, or may decide not to, contnue commercializaton of Vafseo in Japan. Furthermore, Vafseo was approved in Europe and Australia for the treatment of anemia due to CKD in DD-CKD patents. In Europe, reimbursement is obtained on a country-by-country basis and it is a tme consuming process. In May 2023, we entered into the license agreement with Medice, pursuant to which we granted Medice an exclusive license to develop and commercialize Vafseo for the treatment of anemia in patents with CKD in the Medice Territory. Medice launched and has received pricing and reimbursement for Vafseo in certain countries in Europe and is working on launching and securing pricing and reimbursement for Vafseo in other markets across Europe. There is no guarantee of the tming or extent of reimbursement that they will receive in each country, if at all. If Medice is not able to obtain favorable pricing in the Medice Territory, or if such approvals are delayed, it will afect Medice’s sales of Vafseo in the Medice Territory, which could have an adverse efect on our results of operatons.</w:t>
      </w:r>
    </w:p>
    <w:p>
      <w:pPr>
        <w:spacing w:after="0" w:line="110" w:lineRule="exact"/>
        <w:rPr>
          <w:sz w:val="20"/>
          <w:szCs w:val="20"/>
          <w:color w:val="auto"/>
        </w:rPr>
      </w:pPr>
    </w:p>
    <w:p>
      <w:pPr>
        <w:spacing w:after="0"/>
        <w:rPr>
          <w:sz w:val="20"/>
          <w:szCs w:val="20"/>
          <w:color w:val="auto"/>
        </w:rPr>
      </w:pPr>
      <w:r>
        <w:rPr>
          <w:rFonts w:ascii="Calibri" w:cs="Calibri" w:eastAsia="Calibri" w:hAnsi="Calibri"/>
          <w:sz w:val="17"/>
          <w:szCs w:val="17"/>
          <w:b w:val="1"/>
          <w:bCs w:val="1"/>
          <w:i w:val="1"/>
          <w:iCs w:val="1"/>
          <w:color w:val="auto"/>
        </w:rPr>
        <w:t>We face substantal competton, which may result in others discovering, developing or commercializing products before, or more successfully than, we do.</w:t>
      </w:r>
    </w:p>
    <w:p>
      <w:pPr>
        <w:spacing w:after="0" w:line="103" w:lineRule="exact"/>
        <w:rPr>
          <w:sz w:val="20"/>
          <w:szCs w:val="20"/>
          <w:color w:val="auto"/>
        </w:rPr>
      </w:pPr>
    </w:p>
    <w:p>
      <w:pPr>
        <w:jc w:val="both"/>
        <w:spacing w:after="0" w:line="223" w:lineRule="auto"/>
        <w:rPr>
          <w:sz w:val="20"/>
          <w:szCs w:val="20"/>
          <w:color w:val="auto"/>
        </w:rPr>
      </w:pPr>
      <w:r>
        <w:rPr>
          <w:rFonts w:ascii="Calibri" w:cs="Calibri" w:eastAsia="Calibri" w:hAnsi="Calibri"/>
          <w:sz w:val="18"/>
          <w:szCs w:val="18"/>
          <w:color w:val="auto"/>
        </w:rPr>
        <w:t>The development and commercializaton of new drugs is highly compettve and subject to rapid and signifcant technological change. Our future success depends on our ability to demonstrate and maintain a compettve advantage with respect to the development and commercializaton of Auryxia, Vafseo and any other product or product candidate, including those that may be in-licensed or acquired. Our objectve is to successfully commercialize Auryxia and Vafseo and develop and commercialize new products with clinically proven efcacy, convenience, tolerability and/or safety. In many cases, any approved products that we commercialize will compete with existng, market-leading products. If existng or new compettors of Auryxia or Vafseo take market share from us, it could have an adverse impact on our revenue and our business.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currently have exclusive rights under a series of patents and patent applicatons to commercialize Auryxia in the U.S. that protect us from generic drug competton untl March 20, 2025. Following LoE, in March 2025, the tming and number of generic versions of Auryxia that enter the market will afect our revenue from Auryxia. We and our licensors, Panion &amp; BF Biotech, Inc., or </w:t>
      </w:r>
      <w:r>
        <w:rPr>
          <w:rFonts w:ascii="Calibri" w:cs="Calibri" w:eastAsia="Calibri" w:hAnsi="Calibri"/>
          <w:sz w:val="18"/>
          <w:szCs w:val="18"/>
          <w:u w:val="single" w:color="auto"/>
          <w:color w:val="auto"/>
        </w:rPr>
        <w:t>Panion</w:t>
      </w:r>
      <w:r>
        <w:rPr>
          <w:rFonts w:ascii="Calibri" w:cs="Calibri" w:eastAsia="Calibri" w:hAnsi="Calibri"/>
          <w:sz w:val="18"/>
          <w:szCs w:val="18"/>
          <w:color w:val="auto"/>
        </w:rPr>
        <w:t xml:space="preserve">, and, as applicable, Dr. Hsu, entered into setlement agreements with all of the third partes who submited Paragraph IV certfcaton notce leters regarding Abbreviated New Drug Applicatons, or </w:t>
      </w:r>
      <w:r>
        <w:rPr>
          <w:rFonts w:ascii="Calibri" w:cs="Calibri" w:eastAsia="Calibri" w:hAnsi="Calibri"/>
          <w:sz w:val="18"/>
          <w:szCs w:val="18"/>
          <w:u w:val="single" w:color="auto"/>
          <w:color w:val="auto"/>
        </w:rPr>
        <w:t>ANDAs</w:t>
      </w:r>
      <w:r>
        <w:rPr>
          <w:rFonts w:ascii="Calibri" w:cs="Calibri" w:eastAsia="Calibri" w:hAnsi="Calibri"/>
          <w:sz w:val="18"/>
          <w:szCs w:val="18"/>
          <w:color w:val="auto"/>
        </w:rPr>
        <w:t xml:space="preserve">, submited to the FDA, pursuant to which we granted licenses to market a generic version of Auryxia in the U.S. beginning on March 20, 2025 (subject to FDA approval). On February 5, 2025, we entered into an Authorized Generic Distributon and Supply Agreement with Mylan Pharmaceutcals, Inc., or </w:t>
      </w:r>
      <w:r>
        <w:rPr>
          <w:rFonts w:ascii="Calibri" w:cs="Calibri" w:eastAsia="Calibri" w:hAnsi="Calibri"/>
          <w:sz w:val="18"/>
          <w:szCs w:val="18"/>
          <w:u w:val="single" w:color="auto"/>
          <w:color w:val="auto"/>
        </w:rPr>
        <w:t>AG Partner</w:t>
      </w:r>
      <w:r>
        <w:rPr>
          <w:rFonts w:ascii="Calibri" w:cs="Calibri" w:eastAsia="Calibri" w:hAnsi="Calibri"/>
          <w:sz w:val="18"/>
          <w:szCs w:val="18"/>
          <w:color w:val="auto"/>
        </w:rPr>
        <w:t>, pursuant to which, on or afer March 20, 2025, they will sell an authorized generic version of Auryxia. The impact of LoE on future Auryxia revenues will depend on many factors, including our ability to maintain contracts with dialysis organizatons, the tming and number of generics and the pricing of generics and other products on the market that compete with Auryxia. In additon, we believe the dynamics of Auryxia reimbursement being included in the ESRD bundle under Medicare Part B and Auryxia LoE could result in the buying patern of certain customers in future years being diferent than their historical practces. If Auryxia sales decline faster than we antcipate following LoE, our results of operatons and fnancial conditon will be materially harmed.</w:t>
      </w:r>
    </w:p>
    <w:p>
      <w:pPr>
        <w:spacing w:after="0" w:line="117"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Auryxia is competng in the hyperphosphatemia market in the U.S. with other FDA-approved phosphate binders such as Renagel® (sevelamer hydrochloride) and Renvela® (sevelamer carbonate), both marketed by Sanof, PhosLo® and Phoslyra® (calcium acetate), marketed by Fresenius Medical Care North America, Fosrenol® (lanthanum carbonate), marketed by Shire Pharmaceutcals Group plc, and Velphoro® (sucroferric oxyhydroxide), marketed by Fresenius Medical Care North America, as well as over-the-counter calcium carbonate products such as TUMS® and metal-based optons such as aluminum, lanthanum and magnesium. Most of the phosphate binders listed above are now also available in generic forms. In additon, other agents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3" w:name="page64"/>
    <w:bookmarkEnd w:id="6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are in development, including OPKO Health Inc.’s Alpharen™ Tablets (fermagate tablets) and Unicycive’s RENAZORB™ (lanthanum dioxycarbonate), or could otherwise enter the market that may impact the market for Auryxia. In October 2023, the FDA approved XPHOZAH® (tenapanor), a phosphate absorpton inhibitor that is marketed by Ardelyx and indicated to reduce serum phosphorus in adults with CKD on dialysis as add-on therapy in patents who have an inadequate response to phosphate binders or who are intolerant of any dose of phosphate binder therapy, which may adversely impact the market for Auryxia.</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Auryxia is competng in the IDA market in the U.S. with over-the-counter oral iron, ferrous sulfate, other prescripton oral iron formulatons, including ferrous gluconate, ferrous fumerate, and polysaccharide iron complex, and intravenous iron formulatons, including Feraheme® (ferumoxytol injecton), Venofer® (iron sucrose injecton), Ferrlicit® (sodium ferric gluconate complex in sucrose injecton), Injectafer® (ferric carboxymaltose injecton), and Triferic® (ferric pyrophosphate citrate). In additon, other new therapies for the treatment of IDA may impact the market for Auryxia, such as Shield Therapeutcs plc's Feraccru® (ferric maltol), which is available in Europe for the treatment of IDA and Accrufer® (ferric maltol), which was launched in the U.S. for the treatment of IDA in July 2021.</w:t>
      </w:r>
    </w:p>
    <w:p>
      <w:pPr>
        <w:spacing w:after="0" w:line="100" w:lineRule="exact"/>
        <w:rPr>
          <w:sz w:val="20"/>
          <w:szCs w:val="20"/>
          <w:color w:val="auto"/>
        </w:rPr>
      </w:pPr>
    </w:p>
    <w:p>
      <w:pPr>
        <w:jc w:val="both"/>
        <w:spacing w:after="0" w:line="229" w:lineRule="auto"/>
        <w:rPr>
          <w:sz w:val="20"/>
          <w:szCs w:val="20"/>
          <w:color w:val="auto"/>
        </w:rPr>
      </w:pPr>
      <w:r>
        <w:rPr>
          <w:rFonts w:ascii="Calibri" w:cs="Calibri" w:eastAsia="Calibri" w:hAnsi="Calibri"/>
          <w:sz w:val="17"/>
          <w:szCs w:val="17"/>
          <w:color w:val="auto"/>
        </w:rPr>
        <w:t xml:space="preserve">In Japan, our Japanese sublicensee, Japan Tobacco Internatonal, or JT, and its subsidiary, Torii Pharmaceutcal Co., Ltd., or </w:t>
      </w:r>
      <w:r>
        <w:rPr>
          <w:rFonts w:ascii="Calibri" w:cs="Calibri" w:eastAsia="Calibri" w:hAnsi="Calibri"/>
          <w:sz w:val="17"/>
          <w:szCs w:val="17"/>
          <w:u w:val="single" w:color="auto"/>
          <w:color w:val="auto"/>
        </w:rPr>
        <w:t>Torii</w:t>
      </w:r>
      <w:r>
        <w:rPr>
          <w:rFonts w:ascii="Calibri" w:cs="Calibri" w:eastAsia="Calibri" w:hAnsi="Calibri"/>
          <w:sz w:val="17"/>
          <w:szCs w:val="17"/>
          <w:color w:val="auto"/>
        </w:rPr>
        <w:t>, commercialize Riona (ferric citrate hydrate). In the hyperphosphatemia market, Riona competes with Fosrenol® (lanthanum carbonate hydrate) marketed by Bayer Yakuhin Ltd., generic lanthanum carbonate hydrate products, and Phozevel® (tenapor hydrochloride) marketed by Kyowa Kirin Co., Ltd. In the IDA market in Japan, Riona competes with Ferromia® (sodium ferrous citrate) marketed by Alfresa Pharma Corporaton and Fero-Gradumet® (dried ferrous sulfate) marketed by Viatris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-385445</wp:posOffset>
            </wp:positionV>
            <wp:extent cx="1149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4935" cy="8890"/>
                    </a:xfrm>
                    <a:prstGeom prst="rect">
                      <a:avLst/>
                    </a:prstGeom>
                    <a:noFill/>
                  </pic:spPr>
                </pic:pic>
              </a:graphicData>
            </a:graphic>
          </wp:anchor>
        </w:drawing>
      </w:r>
    </w:p>
    <w:p>
      <w:pPr>
        <w:spacing w:after="0" w:line="7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Furthermore, Auryxia’s commercial opportunites may be reduced or eliminated if our compettors develop and market products that are less expensive, more efectve, safer or ofer greater patent convenience than Auryxia. Other companies have product candidates in various stages of preclinical or clinical development to treat diseases and complicatons of the diseases for which we are marketng Auryxia.</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Drugs that may compete with Vafseo include Epogen® (epoetn alfa) and Aranesp® (darbepoetn alfa), both commercialized by Amgen, Procrit® (epoetn alfa) and Eprex® (epoetn alfa), commercialized by Johnson &amp; Johnson in the U.S. and Europe, respectvely, Mircera® (methoxy PEG-epoetn beta), commercialized by CSL Vifor in the U.S. and Roche Holding Ltd., or Roche, outside of the U.S., Evrenzo® (roxadustat) in Europe commercialized by Astellas Pharma Inc., or Astellas, Eporato® (epoetn theta) in Europe commercialized by Teva Pharmaceutcals Ltd., Silapo® (epoetn zeta) in Europe commercialized by Stada Arzneimitel AG, Epoetn Alfa Hexal® (epoetn alfa) in Europe commercialized by Hexal AG, Binocrit® (epoetn alfa-biosimilar) in Europe commercialized by Sandoz, and NeoRecormon® (epoetn beta) in Europe commercialized by Roche.</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and our partners may also face competton from potental new anemia therapies. There are several other oral hypoxia-inducible factor prolyl hydroxylase inhibitor product candidates in various stages of development for anemia indicatons in territories outside the U.S. that may be in direct competton with Vafseo if and when they are approved and launched commercially. These candidates are being developed by companies such as JT and Bayer HealthCare AG, or </w:t>
      </w:r>
      <w:r>
        <w:rPr>
          <w:rFonts w:ascii="Calibri" w:cs="Calibri" w:eastAsia="Calibri" w:hAnsi="Calibri"/>
          <w:sz w:val="18"/>
          <w:szCs w:val="18"/>
          <w:u w:val="single" w:color="auto"/>
          <w:color w:val="auto"/>
        </w:rPr>
        <w:t>Bayer</w:t>
      </w:r>
      <w:r>
        <w:rPr>
          <w:rFonts w:ascii="Calibri" w:cs="Calibri" w:eastAsia="Calibri" w:hAnsi="Calibri"/>
          <w:sz w:val="18"/>
          <w:szCs w:val="18"/>
          <w:color w:val="auto"/>
        </w:rPr>
        <w:t>. In Europe, roxadustat is approved for the treatment of anemia in patents with CKD.</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Furthermore, certain companies are developing potental new therapies for renal-related diseases that could potentally reduce injectable erythropoiesis stmulatng agent, or ESA, utlizaton and thus limit the market potental for Vafseo if they are approved and launched commercially. Other new therapies are in development for the treatment of conditons inclusive of renal anemia that may impact the market for anemia-targeted treatment.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Japan, vadadustat is sold under the name Vafseo, which is approved for patents with CKD, including both DD-CKD and NDD-CKD, and competes with roxadustat, daprodustat and enarodustat. Roxadustat is approved for the treatment of DD-CKD patents and NDD-CKD patents. In additon, daprodustat, GSK’s product candidate, and enarodustat, JT’s product candidate, are approved in Japan for the treatment of anemia due to CKD, and molidustat, Bayer HealthCare AG's product, is approved in Japan for the treatment of renal anemia. In China, roxadustat is commercialized for the treatment of anemia due to CKD in DD-CKD patents and for the treatment of anemia due to CKD in NDD-CKD patents.</w:t>
      </w:r>
    </w:p>
    <w:p>
      <w:pPr>
        <w:spacing w:after="0" w:line="99" w:lineRule="exact"/>
        <w:rPr>
          <w:sz w:val="20"/>
          <w:szCs w:val="20"/>
          <w:color w:val="auto"/>
        </w:rPr>
      </w:pPr>
    </w:p>
    <w:p>
      <w:pPr>
        <w:jc w:val="both"/>
        <w:spacing w:after="0" w:line="236" w:lineRule="auto"/>
        <w:rPr>
          <w:sz w:val="20"/>
          <w:szCs w:val="20"/>
          <w:color w:val="auto"/>
        </w:rPr>
      </w:pPr>
      <w:r>
        <w:rPr>
          <w:rFonts w:ascii="Calibri" w:cs="Calibri" w:eastAsia="Calibri" w:hAnsi="Calibri"/>
          <w:sz w:val="17"/>
          <w:szCs w:val="17"/>
          <w:color w:val="auto"/>
        </w:rPr>
        <w:t xml:space="preserve">A biosimilar is a biologic product that is licensed for marketng based on demonstratng that it is highly similar to an existng, FDA-approved branded biologic product (i.e., a reference biologic product). The patents for the existng, branded biologic product must expire in a given market before biosimilars may enter that market without the risk of being sued for patent infringement. In additon, an applicaton for a biosimilar product can only be approved by the FDA 12 years afer the existng, branded product was licensed under a Biologics License Applicaton, or </w:t>
      </w:r>
      <w:r>
        <w:rPr>
          <w:rFonts w:ascii="Calibri" w:cs="Calibri" w:eastAsia="Calibri" w:hAnsi="Calibri"/>
          <w:sz w:val="17"/>
          <w:szCs w:val="17"/>
          <w:u w:val="single" w:color="auto"/>
          <w:color w:val="auto"/>
        </w:rPr>
        <w:t>BLA</w:t>
      </w:r>
      <w:r>
        <w:rPr>
          <w:rFonts w:ascii="Calibri" w:cs="Calibri" w:eastAsia="Calibri" w:hAnsi="Calibri"/>
          <w:sz w:val="17"/>
          <w:szCs w:val="17"/>
          <w:color w:val="auto"/>
        </w:rPr>
        <w:t>. The patents for epoetn alfa, an injectable ESA, expired in 2004 in the EU, and the remaining patents expired between 2012 and 2016 in the U.S. The introducton of biosimilars into the injectable ESA market in the U.S. will consttute additonal competton for Vafseo. In the U.S., Pfzer’s biosimilar version of injectable ESAs, Retacrit® (epoetn alfa-epbx), was approved by the FDA in May 2018 and launched in November 2018 and several biosimilar versions of injectable ESAs are available for sale in the EU.</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4" w:name="page65"/>
    <w:bookmarkEnd w:id="6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Many of our potental compettors have signifcantly greater fnancial, manufacturing, marketng, drug development, technical and human resources than we do. Large pharmaceutcal companies, in partcular, have extensive experience in clinical testng, obtaining marketng approvals, recruitng patents and manufacturing pharmaceutcal products. Large and established companies such as Amgen, Roche and GSK, among others, compete in the market for drug products to treat kidney disease. In partcular, these companies have greater experience and expertse in conductng preclinical testng and clinical trials, obtaining marketng approvals, manufacturing such products on a broad scale and marketng approved products. These companies also have signifcantly greater research and marketng capabilites than we do and may also have products that have been approved or are in late stages of development and have collaboratve arrangements in our target markets with leading companies and research insttutons. Established pharmaceutcal companies may also invest heavily to accelerate discovery and development of novel compounds or to in-license novel compounds that could make the product candidates that we are developing obsolete. Smaller and other early-stage companies may also prove to be signifcant compettors. As a result of all of these factors, our compettors may succeed in obtaining patent protecton and/or marketng approval, or discovering, developing and commercializing compettve products, before, or more efectvely than, we do. If we are not able to compete efectvely against potental compettors, our business will not grow and our fnancial conditon and operatons will sufer.</w:t>
      </w:r>
    </w:p>
    <w:p>
      <w:pPr>
        <w:spacing w:after="0" w:line="118" w:lineRule="exact"/>
        <w:rPr>
          <w:sz w:val="20"/>
          <w:szCs w:val="20"/>
          <w:color w:val="auto"/>
        </w:rPr>
      </w:pPr>
    </w:p>
    <w:p>
      <w:pPr>
        <w:jc w:val="both"/>
        <w:ind w:right="80"/>
        <w:spacing w:after="0" w:line="230" w:lineRule="auto"/>
        <w:rPr>
          <w:sz w:val="20"/>
          <w:szCs w:val="20"/>
          <w:color w:val="auto"/>
        </w:rPr>
      </w:pPr>
      <w:r>
        <w:rPr>
          <w:rFonts w:ascii="Calibri" w:cs="Calibri" w:eastAsia="Calibri" w:hAnsi="Calibri"/>
          <w:sz w:val="18"/>
          <w:szCs w:val="18"/>
          <w:b w:val="1"/>
          <w:bCs w:val="1"/>
          <w:i w:val="1"/>
          <w:iCs w:val="1"/>
          <w:color w:val="auto"/>
        </w:rPr>
        <w:t>The commercializaton of ferric citrate, branded as Riona in Japan, Vafseo in Europe, Japan and other territories where it is approved, and our current and potental future eforts with respect to the development and commercializaton of our products and product candidates outside of the U.S. subject us to a variety of risks associated with internatonal operatons, which could materially adversely afect our business.</w:t>
      </w:r>
    </w:p>
    <w:p>
      <w:pPr>
        <w:spacing w:after="0" w:line="9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Our Japanese sublicensee, JT, and its subsidiary, Torii, commercialize Riona, the trade name for ferric citrate hydrate in Japan, as an oral treatment for the improvement of hyperphosphatemia in patents with CKD, including DD-CKD and NDD-CKD, and for the treatment of adult patents with IDA in Japan. In Japan and certain other countries in Asia, we granted MTPC exclusive rights to commercialize Vafseo, which has been approved and is being marketed by MTPC in Japan under the trade name Vafseo. In May 2023, we entered into the license agreement with Medice, pursuant to which we granted Medice an exclusive license to develop and commercialize Vafseo for the treatment of anemia in patents with CKD in the Medice Territory. Pursuant to the license agreement, we transferred the marketng authorizaton issued by the EMA, UK, the Swiss Agency for Therapeutc Products and the Australian Therapeutc Goods Administraton to Medice. We also granted Averoa SAS, or </w:t>
      </w:r>
      <w:r>
        <w:rPr>
          <w:rFonts w:ascii="Calibri" w:cs="Calibri" w:eastAsia="Calibri" w:hAnsi="Calibri"/>
          <w:sz w:val="18"/>
          <w:szCs w:val="18"/>
          <w:u w:val="single" w:color="auto"/>
          <w:color w:val="auto"/>
        </w:rPr>
        <w:t>Averoa</w:t>
      </w:r>
      <w:r>
        <w:rPr>
          <w:rFonts w:ascii="Calibri" w:cs="Calibri" w:eastAsia="Calibri" w:hAnsi="Calibri"/>
          <w:sz w:val="18"/>
          <w:szCs w:val="18"/>
          <w:color w:val="auto"/>
        </w:rPr>
        <w:t xml:space="preserve">, an exclusive license to develop and commercialize ferric citrate in the EEA, Turkey, Switzerland, UK, Balkans, and certain countries in Eastern Europe and the Middle East, or the </w:t>
      </w:r>
      <w:r>
        <w:rPr>
          <w:rFonts w:ascii="Calibri" w:cs="Calibri" w:eastAsia="Calibri" w:hAnsi="Calibri"/>
          <w:sz w:val="18"/>
          <w:szCs w:val="18"/>
          <w:u w:val="single" w:color="auto"/>
          <w:color w:val="auto"/>
        </w:rPr>
        <w:t>Averoa Territory</w:t>
      </w:r>
      <w:r>
        <w:rPr>
          <w:rFonts w:ascii="Calibri" w:cs="Calibri" w:eastAsia="Calibri" w:hAnsi="Calibri"/>
          <w:sz w:val="18"/>
          <w:szCs w:val="18"/>
          <w:color w:val="auto"/>
        </w:rPr>
        <w:t>.</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we have conducted and in the future may conduct clinical trials outside of the U.S. for any product or product candidate that may be in-licensed or acquired. As a result of these and other actvites, we are or may become subject to additonal risks in developing and commercializing Auryxia and Vafseo outside the U.S., including, among others:</w:t>
      </w:r>
    </w:p>
    <w:p>
      <w:pPr>
        <w:spacing w:after="0" w:line="111" w:lineRule="exact"/>
        <w:rPr>
          <w:sz w:val="20"/>
          <w:szCs w:val="20"/>
          <w:color w:val="auto"/>
        </w:rPr>
      </w:pPr>
    </w:p>
    <w:p>
      <w:pPr>
        <w:ind w:left="660" w:hanging="328"/>
        <w:spacing w:after="0" w:line="235" w:lineRule="auto"/>
        <w:tabs>
          <w:tab w:leader="none" w:pos="653"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politcal, regulatory, compliance and economic developments, weakness or instability that could restrict our ability to manufacture, market and sell our products;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changes in internatonal medical reimbursement policies and programs;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changes in healthcare policies of foreign jurisdictons;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trade protecton measures, including import or export licensing requirements and tarifs and our compliance therewith;</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our ability to develop or manage relatonships with qualifed local distributors and trading companies;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diminished protecton of intellectual property in some countries outside of the U.S.;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difering labor regulatons and business practces;</w:t>
      </w:r>
    </w:p>
    <w:p>
      <w:pPr>
        <w:spacing w:after="0" w:line="55" w:lineRule="exact"/>
        <w:rPr>
          <w:rFonts w:ascii="Calibri" w:cs="Calibri" w:eastAsia="Calibri" w:hAnsi="Calibri"/>
          <w:sz w:val="18"/>
          <w:szCs w:val="18"/>
          <w:color w:val="auto"/>
        </w:rPr>
      </w:pPr>
    </w:p>
    <w:p>
      <w:pPr>
        <w:ind w:left="660" w:right="20" w:hanging="328"/>
        <w:spacing w:after="0" w:line="235" w:lineRule="auto"/>
        <w:tabs>
          <w:tab w:leader="none" w:pos="653"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 xml:space="preserve">compliance with laws, including the U.S. Foreign Corrupt Practces Act, or </w:t>
      </w:r>
      <w:r>
        <w:rPr>
          <w:rFonts w:ascii="Calibri" w:cs="Calibri" w:eastAsia="Calibri" w:hAnsi="Calibri"/>
          <w:sz w:val="18"/>
          <w:szCs w:val="18"/>
          <w:u w:val="single" w:color="auto"/>
          <w:color w:val="auto"/>
        </w:rPr>
        <w:t>FCPA</w:t>
      </w:r>
      <w:r>
        <w:rPr>
          <w:rFonts w:ascii="Calibri" w:cs="Calibri" w:eastAsia="Calibri" w:hAnsi="Calibri"/>
          <w:sz w:val="18"/>
          <w:szCs w:val="18"/>
          <w:color w:val="auto"/>
        </w:rPr>
        <w:t xml:space="preserve">, the UK Bribery Act or similar local regulaton, the EU General Data Protecton Regulaton, or </w:t>
      </w:r>
      <w:r>
        <w:rPr>
          <w:rFonts w:ascii="Calibri" w:cs="Calibri" w:eastAsia="Calibri" w:hAnsi="Calibri"/>
          <w:sz w:val="18"/>
          <w:szCs w:val="18"/>
          <w:u w:val="single" w:color="auto"/>
          <w:color w:val="auto"/>
        </w:rPr>
        <w:t>GDPR</w:t>
      </w:r>
      <w:r>
        <w:rPr>
          <w:rFonts w:ascii="Calibri" w:cs="Calibri" w:eastAsia="Calibri" w:hAnsi="Calibri"/>
          <w:sz w:val="18"/>
          <w:szCs w:val="18"/>
          <w:color w:val="auto"/>
        </w:rPr>
        <w:t>, and similar data protecton laws, and tax, employment, immigraton and labor laws;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economic weakness, including infaton, increasing interest rates, or politcal instability in partcular foreign economies and markets;</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foreign currency fuctuatons, which could result in increased operatng expenses and reduced revenues, and other obligatons incident to doing business in another country;</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producton shortages resultng from any events afectng raw material supply or manufacturing capabilites abroad; and</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33"/>
        </w:numPr>
        <w:rPr>
          <w:rFonts w:ascii="Calibri" w:cs="Calibri" w:eastAsia="Calibri" w:hAnsi="Calibri"/>
          <w:sz w:val="18"/>
          <w:szCs w:val="18"/>
          <w:color w:val="auto"/>
        </w:rPr>
      </w:pPr>
      <w:r>
        <w:rPr>
          <w:rFonts w:ascii="Calibri" w:cs="Calibri" w:eastAsia="Calibri" w:hAnsi="Calibri"/>
          <w:sz w:val="18"/>
          <w:szCs w:val="18"/>
          <w:color w:val="auto"/>
        </w:rPr>
        <w:t>business interruptons resultng from geopolitcal actons, including war and terrorism, global pandemics, or natural disasters including earthquakes, typhoons, foods and fres.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5" w:name="page66"/>
    <w:bookmarkEnd w:id="6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we receive revenues from royalty payments converted to U.S. dollars based on net sales of Riona and Vafseo in Japanese yen, the Euro, the Pound Sterling and the Swiss Franc. The exchange rates between these currencies on the one hand, and the U.S. dollar, on the other hand, have changed substantally in recent years and may fuctuate substantally in the future. Our results of operatons could be adversely afected over tme by certain movements in exchange rates, partcularly if these currencies depreciate against the U.S. dollar.</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Any of these factors may, individually or as a group, have a material adverse efect on our business and results of operatons. As and if we contnue to expand our commercializaton eforts, we may encounter new risks.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Risks Related to Product Development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Clinical drug development involves a lengthy and expensive process with an uncertain outcome, and we will incur additonal costs in connecton with, and may experience delays in completng, or ultmately be unable to complete, the development of any of our product candidates.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risk of failure in drug development is high. Before obtaining marketng approval from regulatory authorites for the sale of any product candidate, we must complete preclinical development and conduct extensive clinical trials to demonstrate the safety and efcacy of our product candidates in humans. Preclinical studies and clinical trials are expensive, difcult to design and implement, can take several years to complete, and their outcomes are inherently uncertain. Failure can occur at any tme during the process.</w:t>
      </w:r>
    </w:p>
    <w:p>
      <w:pPr>
        <w:spacing w:after="0" w:line="98" w:lineRule="exact"/>
        <w:rPr>
          <w:sz w:val="20"/>
          <w:szCs w:val="20"/>
          <w:color w:val="auto"/>
        </w:rPr>
      </w:pPr>
    </w:p>
    <w:p>
      <w:pPr>
        <w:jc w:val="both"/>
        <w:spacing w:after="0" w:line="207" w:lineRule="auto"/>
        <w:rPr>
          <w:sz w:val="20"/>
          <w:szCs w:val="20"/>
          <w:color w:val="auto"/>
        </w:rPr>
      </w:pPr>
      <w:r>
        <w:rPr>
          <w:rFonts w:ascii="Calibri" w:cs="Calibri" w:eastAsia="Calibri" w:hAnsi="Calibri"/>
          <w:sz w:val="18"/>
          <w:szCs w:val="18"/>
          <w:color w:val="auto"/>
        </w:rPr>
        <w:t>We may be unable to successfully complete clinical trials of Auryxia, Vafseo and our product candidates or to successfully obtain approval of label expansion for Vafseo or approval of our product candidates, if the results of those trials and studies are not positve or are only modestly positve, or if there are concerns with the product profle due to efcacy or safety. Further, the results of preclinical studies and early clinical trials of our product candidates may not be predictve of the results of later-stage clinical trials, interim results of a clinical trial do not necessarily predict fnal results, and results of Phase 3 clinical trials for one indicaton may not be predictve of results of Phase 3 clinical trials for another indicaton. For example, we announced positve results from the INNO</w:t>
      </w:r>
      <w:r>
        <w:rPr>
          <w:rFonts w:ascii="Calibri" w:cs="Calibri" w:eastAsia="Calibri" w:hAnsi="Calibri"/>
          <w:sz w:val="28"/>
          <w:szCs w:val="28"/>
          <w:color w:val="auto"/>
          <w:vertAlign w:val="subscript"/>
        </w:rPr>
        <w:t>2</w:t>
      </w:r>
      <w:r>
        <w:rPr>
          <w:rFonts w:ascii="Calibri" w:cs="Calibri" w:eastAsia="Calibri" w:hAnsi="Calibri"/>
          <w:sz w:val="18"/>
          <w:szCs w:val="18"/>
          <w:color w:val="auto"/>
        </w:rPr>
        <w:t>VATE program; however, while Vafseo achieved the primary and key secondary efcacy endpoints in each of the two PRO</w:t>
      </w:r>
      <w:r>
        <w:rPr>
          <w:rFonts w:ascii="Calibri" w:cs="Calibri" w:eastAsia="Calibri" w:hAnsi="Calibri"/>
          <w:sz w:val="28"/>
          <w:szCs w:val="28"/>
          <w:color w:val="auto"/>
          <w:vertAlign w:val="subscript"/>
        </w:rPr>
        <w:t>2</w:t>
      </w:r>
      <w:r>
        <w:rPr>
          <w:rFonts w:ascii="Calibri" w:cs="Calibri" w:eastAsia="Calibri" w:hAnsi="Calibri"/>
          <w:sz w:val="18"/>
          <w:szCs w:val="18"/>
          <w:color w:val="auto"/>
        </w:rPr>
        <w:t>TECT studies, the PRO</w:t>
      </w:r>
      <w:r>
        <w:rPr>
          <w:rFonts w:ascii="Calibri" w:cs="Calibri" w:eastAsia="Calibri" w:hAnsi="Calibri"/>
          <w:sz w:val="28"/>
          <w:szCs w:val="28"/>
          <w:color w:val="auto"/>
          <w:vertAlign w:val="subscript"/>
        </w:rPr>
        <w:t>2</w:t>
      </w:r>
      <w:r>
        <w:rPr>
          <w:rFonts w:ascii="Calibri" w:cs="Calibri" w:eastAsia="Calibri" w:hAnsi="Calibri"/>
          <w:sz w:val="18"/>
          <w:szCs w:val="18"/>
          <w:color w:val="auto"/>
        </w:rPr>
        <w:t xml:space="preserve">TECT program did not meet the primary major adverse cardiovascular event, or </w:t>
      </w:r>
      <w:r>
        <w:rPr>
          <w:rFonts w:ascii="Calibri" w:cs="Calibri" w:eastAsia="Calibri" w:hAnsi="Calibri"/>
          <w:sz w:val="18"/>
          <w:szCs w:val="18"/>
          <w:u w:val="single" w:color="auto"/>
          <w:color w:val="auto"/>
        </w:rPr>
        <w:t>MACE</w:t>
      </w:r>
      <w:r>
        <w:rPr>
          <w:rFonts w:ascii="Calibri" w:cs="Calibri" w:eastAsia="Calibri" w:hAnsi="Calibri"/>
          <w:sz w:val="18"/>
          <w:szCs w:val="18"/>
          <w:color w:val="auto"/>
        </w:rPr>
        <w:t>, safety endpoint. Many companies in the biopharmaceutcal industry have sufered signifcant setbacks in late-stage clinical trials afer achieving positve results in early-stage development, and we may face similar setbacks. Moreover, preclinical and clinical data are ofen susceptble to varying interpretatons and analyses, and many companies that have believed their product candidates performed satsfactorily in preclinical studies and clinical trials have nonetheless failed to obtain marketng approval of their product candidates. For example, in March 2022, we received the CRL for Vafseo indicatng that the FDA had determined that it could not approve the NDA in its present form, thus delaying any potental approval of Vafseo. Following submission of the FDRR to the FDA in 2022, we fled a resubmission to our NDA for vadadustat for the treatment of anemia due to CKD only in adult DD-CKD patents in 2023. On March 27, 2024, the FDA approved our NDA for vadadustat under the trade name of Vafseo for the treatment of anemia due to CKD in adults who have been receiving dialysis for at least three months. However, we expended signifcant additonal resources to obtain the approval of Vafseo, the approved indicaton is limited to the treatment of anemia due to CKD in adults who have been receiving dialysis for at least three months and the commercializaton of Vafseo was delayed, which had and could contnue to have an adverse efect on our business.</w:t>
      </w:r>
    </w:p>
    <w:p>
      <w:pPr>
        <w:spacing w:after="0" w:line="1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several lifecycle management and label expansion opportunites currently under evaluaton for Vafseo, one of which is the potental for alternatve dosing, and another of which is label expansion for the treatment of adult patents with NDD-CKD. However, we will be required to complete additonal clinical trials before seeking approval for label expansion for the treatment of adult patents with NDD-CKD and we may be required to generate additonal clinical data before seeking approval for alternatve dosing. Clinical trials are tme consuming and expensive, and even though Vafseo is approved for adult patents with anemia due to CKD on dialysis for at least three months, we may not be successful in any of our lifecycle management or label expansion opportunites in the tmeframe antcipated by us, or at all. For example, we plan to start a Phase 3 trial in the second half of 2025 to potentally expand Vafseo label to include the treatment of late-stage NDD-CKD patents; however, the FDA may not agree with our study design or we may not successfully demonstrate safety and/or efcacy needed to obtain regulatory approval or we may be unable to successfully complete the trial when antcipated, or at all. If the clinical trials for our label expansion opportunites are not successful or take longer than antcipated, or if we do not obtain FDA approval of label expansion for Vafseo for the treatment of adult patents with NDD-CKD or for alternatve dosing in a tmely manner, or at all, it could impact future revenue and have an adverse efect on our business. In additon, it is impossible to predict when or if any of our other product candidates will prove efectve or safe in humans or will receive marketng approval or on what terms.</w:t>
      </w:r>
    </w:p>
    <w:p>
      <w:pPr>
        <w:spacing w:after="0" w:line="1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may experience numerous unforeseen events during, or as a result of, preclinical development or clinical trials that could delay, prevent or make more challenging our ability to receive or maintain marketng approval or commercialize our product candidates. We may be required to complete additonal clinical trials for Auryxia, Vafseo and any other product or product candidate, including those that may be in-licensed or acquired, in order to obtain or maintain required regulatory approvals.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6" w:name="page67"/>
    <w:bookmarkEnd w:id="6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preclinical studies and clinical trials may take longer to complete than currently antcipated, or may be delayed, suspended, required to be repeated, prematurely terminated or may not successfully demonstrate safety and/or efcacy needed to obtain or maintain regulatory approval for a variety of other reasons, such as:</w:t>
      </w:r>
    </w:p>
    <w:p>
      <w:pPr>
        <w:spacing w:after="0" w:line="106" w:lineRule="exact"/>
        <w:rPr>
          <w:sz w:val="20"/>
          <w:szCs w:val="20"/>
          <w:color w:val="auto"/>
        </w:rPr>
      </w:pPr>
    </w:p>
    <w:p>
      <w:pPr>
        <w:ind w:left="640" w:hanging="308"/>
        <w:spacing w:after="0"/>
        <w:tabs>
          <w:tab w:leader="none" w:pos="640"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the costs may be greater than we antcipate;</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the number of patents required for clinical trials may be larger than we antcipate;</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enrollment in our clinical trials may be slower than we antcipate, or partcipants may drop out of these clinical trials at a higher rate than we antcipate;</w:t>
      </w:r>
    </w:p>
    <w:p>
      <w:pPr>
        <w:spacing w:after="0" w:line="42" w:lineRule="exact"/>
        <w:rPr>
          <w:rFonts w:ascii="Calibri" w:cs="Calibri" w:eastAsia="Calibri" w:hAnsi="Calibri"/>
          <w:sz w:val="18"/>
          <w:szCs w:val="18"/>
          <w:color w:val="auto"/>
        </w:rPr>
      </w:pPr>
    </w:p>
    <w:p>
      <w:pPr>
        <w:jc w:val="both"/>
        <w:ind w:left="660" w:right="700" w:hanging="328"/>
        <w:spacing w:after="0" w:line="225" w:lineRule="auto"/>
        <w:tabs>
          <w:tab w:leader="none" w:pos="653"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 xml:space="preserve">our third party contractors, such as our contract research organizatons, or </w:t>
      </w:r>
      <w:r>
        <w:rPr>
          <w:rFonts w:ascii="Calibri" w:cs="Calibri" w:eastAsia="Calibri" w:hAnsi="Calibri"/>
          <w:sz w:val="18"/>
          <w:szCs w:val="18"/>
          <w:u w:val="single" w:color="auto"/>
          <w:color w:val="auto"/>
        </w:rPr>
        <w:t>CROs</w:t>
      </w:r>
      <w:r>
        <w:rPr>
          <w:rFonts w:ascii="Calibri" w:cs="Calibri" w:eastAsia="Calibri" w:hAnsi="Calibri"/>
          <w:sz w:val="18"/>
          <w:szCs w:val="18"/>
          <w:color w:val="auto"/>
        </w:rPr>
        <w:t>, may fail to comply with regulatory requirements, perform efectvely, or meet their contractual obligatons to us in a tmely manner, or at all, or we may fail to communicate efectvely or provide the appropriate level of oversight of such third party contractors;</w:t>
      </w:r>
    </w:p>
    <w:p>
      <w:pPr>
        <w:spacing w:after="0" w:line="57"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the supply or quality of our startng materials, drug substance and drug product necessary to conduct clinical trials of our product candidates may be insufcient or inadequate;</w:t>
      </w:r>
    </w:p>
    <w:p>
      <w:pPr>
        <w:spacing w:after="0" w:line="55" w:lineRule="exact"/>
        <w:rPr>
          <w:rFonts w:ascii="Calibri" w:cs="Calibri" w:eastAsia="Calibri" w:hAnsi="Calibri"/>
          <w:sz w:val="18"/>
          <w:szCs w:val="18"/>
          <w:color w:val="auto"/>
        </w:rPr>
      </w:pPr>
    </w:p>
    <w:p>
      <w:pPr>
        <w:jc w:val="both"/>
        <w:ind w:left="660" w:hanging="328"/>
        <w:spacing w:after="0" w:line="235" w:lineRule="auto"/>
        <w:tabs>
          <w:tab w:leader="none" w:pos="653"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regulators, independent data monitoring commitees, insttutonal review boards, safety commitees, or ethics commitees, may require that we suspend or terminate our clinical trials for various reasons, including noncompliance with regulatory requirements, unforeseen safety issues or adverse side efects, failure to demonstrate a beneft from using our product candidate, or a fnding that the partcipants are being exposed to unacceptable health risks;</w:t>
      </w:r>
    </w:p>
    <w:p>
      <w:pPr>
        <w:spacing w:after="0" w:line="57" w:lineRule="exact"/>
        <w:rPr>
          <w:rFonts w:ascii="Calibri" w:cs="Calibri" w:eastAsia="Calibri" w:hAnsi="Calibri"/>
          <w:sz w:val="18"/>
          <w:szCs w:val="18"/>
          <w:color w:val="auto"/>
        </w:rPr>
      </w:pPr>
    </w:p>
    <w:p>
      <w:pPr>
        <w:jc w:val="both"/>
        <w:ind w:left="660" w:hanging="328"/>
        <w:spacing w:after="0" w:line="235" w:lineRule="auto"/>
        <w:tabs>
          <w:tab w:leader="none" w:pos="653"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clinical trials of our product candidates may produce negatve or inconclusive results or results that may be interpreted in a manner diferent than we interpret them, and we may decide, or regulators may require us, to conduct additonal clinical trials, repeat a clinical trial or abandon product development programs;</w:t>
      </w:r>
    </w:p>
    <w:p>
      <w:pPr>
        <w:spacing w:after="0" w:line="56"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lack of adequate funding to contnue a clinical trial, including unforeseen costs due to enrollment delays, requirements to conduct additonal clinical trials or repeat a clinical trial and increased expenses associated with the services of our CROs and other third partes;</w:t>
      </w:r>
    </w:p>
    <w:p>
      <w:pPr>
        <w:spacing w:after="0" w:line="55" w:lineRule="exact"/>
        <w:rPr>
          <w:rFonts w:ascii="Calibri" w:cs="Calibri" w:eastAsia="Calibri" w:hAnsi="Calibri"/>
          <w:sz w:val="18"/>
          <w:szCs w:val="18"/>
          <w:color w:val="auto"/>
        </w:rPr>
      </w:pPr>
    </w:p>
    <w:p>
      <w:pPr>
        <w:jc w:val="both"/>
        <w:ind w:left="660" w:hanging="328"/>
        <w:spacing w:after="0" w:line="235" w:lineRule="auto"/>
        <w:tabs>
          <w:tab w:leader="none" w:pos="653"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 xml:space="preserve">we may fail to initate, delay or fail to complete a clinical trial as a result of an Investgatonal New Drug applicaton, or </w:t>
      </w:r>
      <w:r>
        <w:rPr>
          <w:rFonts w:ascii="Calibri" w:cs="Calibri" w:eastAsia="Calibri" w:hAnsi="Calibri"/>
          <w:sz w:val="18"/>
          <w:szCs w:val="18"/>
          <w:u w:val="single" w:color="auto"/>
          <w:color w:val="auto"/>
        </w:rPr>
        <w:t>IND</w:t>
      </w:r>
      <w:r>
        <w:rPr>
          <w:rFonts w:ascii="Calibri" w:cs="Calibri" w:eastAsia="Calibri" w:hAnsi="Calibri"/>
          <w:sz w:val="18"/>
          <w:szCs w:val="18"/>
          <w:color w:val="auto"/>
        </w:rPr>
        <w:t>, being placed on clinical hold by the FDA, the EMA, the PMDA, or other regulatory authorites, or for other reasons, such as failure to recruit or enroll suitable patents or patents' failure to return for post-treatment follow up;</w:t>
      </w:r>
    </w:p>
    <w:p>
      <w:pPr>
        <w:spacing w:after="0" w:line="51" w:lineRule="exact"/>
        <w:rPr>
          <w:rFonts w:ascii="Calibri" w:cs="Calibri" w:eastAsia="Calibri" w:hAnsi="Calibri"/>
          <w:sz w:val="18"/>
          <w:szCs w:val="18"/>
          <w:color w:val="auto"/>
        </w:rPr>
      </w:pPr>
    </w:p>
    <w:p>
      <w:pPr>
        <w:ind w:left="640" w:hanging="308"/>
        <w:spacing w:after="0"/>
        <w:tabs>
          <w:tab w:leader="none" w:pos="640"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we may determine to expand or otherwise change a clinical trial, including afer it has begun;</w:t>
      </w:r>
    </w:p>
    <w:p>
      <w:pPr>
        <w:spacing w:after="0" w:line="55" w:lineRule="exact"/>
        <w:rPr>
          <w:rFonts w:ascii="Calibri" w:cs="Calibri" w:eastAsia="Calibri" w:hAnsi="Calibri"/>
          <w:sz w:val="18"/>
          <w:szCs w:val="18"/>
          <w:color w:val="auto"/>
        </w:rPr>
      </w:pPr>
    </w:p>
    <w:p>
      <w:pPr>
        <w:jc w:val="both"/>
        <w:ind w:left="660" w:hanging="328"/>
        <w:spacing w:after="0" w:line="235" w:lineRule="auto"/>
        <w:tabs>
          <w:tab w:leader="none" w:pos="653"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clinical trial sites and investgators deviatng from the clinical protocol, failing to conduct the trial in accordance with regulatory requirements, or dropping out of a trial, or failure by us or our CROs to communicate efectvely or provide the appropriate level of oversight of such clinical sites and investgators;</w:t>
      </w:r>
    </w:p>
    <w:p>
      <w:pPr>
        <w:spacing w:after="0" w:line="56"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there may be an inability, delay, or failure in identfying and maintaining a sufcient number of clinical trial sites, many of which may already be engaged in other clinical programs;</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there may be a delay or failure in reaching agreement with the FDA, the EMA, the PMDA or other regulatory authorites on a clinical trial design upon which we are able to execute;</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there may be a delay or failure in obtaining authorizaton to commence a clinical trial or inability to comply with conditons imposed by a regulatory authority regarding the scope or design of a clinical trial;</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there may be delays in reaching, or failure to reach, agreement on acceptable terms with prospectve clinical trial sites and prospectve CROs, the terms of which can be subject to extensive negotaton and may vary signifcantly among diferent CROs and clinical trial sites;</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the FDA, the EMA, the PMDA or other regulatory authorites may require us to submit additonal data or impose further requirements before permitng us to initate a clinical trial or during an ongoing clinical trial;</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the FDA, the EMA, the PMDA or other regulatory authorites may disagree with our clinical trial design and our interpretaton of data from clinical trials, or may change the requirements for approval even afer it has reviewed and commented on the design for our clinical trials;</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 xml:space="preserve">third partes with which we work may fail to comply with good practce quality guidelines and regulatons, or </w:t>
      </w:r>
      <w:r>
        <w:rPr>
          <w:rFonts w:ascii="Calibri" w:cs="Calibri" w:eastAsia="Calibri" w:hAnsi="Calibri"/>
          <w:sz w:val="18"/>
          <w:szCs w:val="18"/>
          <w:u w:val="single" w:color="auto"/>
          <w:color w:val="auto"/>
        </w:rPr>
        <w:t>GxP</w:t>
      </w:r>
      <w:r>
        <w:rPr>
          <w:rFonts w:ascii="Calibri" w:cs="Calibri" w:eastAsia="Calibri" w:hAnsi="Calibri"/>
          <w:sz w:val="18"/>
          <w:szCs w:val="18"/>
          <w:color w:val="auto"/>
          <w:highlight w:val="white"/>
        </w:rPr>
        <w:t>, including good laboratory</w:t>
      </w:r>
      <w:r>
        <w:rPr>
          <w:rFonts w:ascii="Calibri" w:cs="Calibri" w:eastAsia="Calibri" w:hAnsi="Calibri"/>
          <w:sz w:val="18"/>
          <w:szCs w:val="18"/>
          <w:color w:val="auto"/>
        </w:rPr>
        <w:t xml:space="preserve"> practce, good clinical practce, or </w:t>
      </w:r>
      <w:r>
        <w:rPr>
          <w:rFonts w:ascii="Calibri" w:cs="Calibri" w:eastAsia="Calibri" w:hAnsi="Calibri"/>
          <w:sz w:val="18"/>
          <w:szCs w:val="18"/>
          <w:u w:val="single" w:color="auto"/>
          <w:color w:val="auto"/>
        </w:rPr>
        <w:t>GCP</w:t>
      </w:r>
      <w:r>
        <w:rPr>
          <w:rFonts w:ascii="Calibri" w:cs="Calibri" w:eastAsia="Calibri" w:hAnsi="Calibri"/>
          <w:sz w:val="18"/>
          <w:szCs w:val="18"/>
          <w:color w:val="auto"/>
        </w:rPr>
        <w:t xml:space="preserve">, and current good manufacturing practce, or </w:t>
      </w:r>
      <w:r>
        <w:rPr>
          <w:rFonts w:ascii="Calibri" w:cs="Calibri" w:eastAsia="Calibri" w:hAnsi="Calibri"/>
          <w:sz w:val="18"/>
          <w:szCs w:val="18"/>
          <w:u w:val="single" w:color="auto"/>
          <w:color w:val="auto"/>
        </w:rPr>
        <w:t>cGMP</w:t>
      </w:r>
      <w:r>
        <w:rPr>
          <w:rFonts w:ascii="Calibri" w:cs="Calibri" w:eastAsia="Calibri" w:hAnsi="Calibri"/>
          <w:sz w:val="18"/>
          <w:szCs w:val="18"/>
          <w:color w:val="auto"/>
          <w:highlight w:val="white"/>
        </w:rPr>
        <w:t>; or</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34"/>
        </w:numPr>
        <w:rPr>
          <w:rFonts w:ascii="Calibri" w:cs="Calibri" w:eastAsia="Calibri" w:hAnsi="Calibri"/>
          <w:sz w:val="18"/>
          <w:szCs w:val="18"/>
          <w:color w:val="auto"/>
        </w:rPr>
      </w:pPr>
      <w:r>
        <w:rPr>
          <w:rFonts w:ascii="Calibri" w:cs="Calibri" w:eastAsia="Calibri" w:hAnsi="Calibri"/>
          <w:sz w:val="18"/>
          <w:szCs w:val="18"/>
          <w:color w:val="auto"/>
        </w:rPr>
        <w:t>there may be changes in governmental regulatons or administratve actons.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If any of the foregoing occurs, the following may result:</w:t>
      </w:r>
    </w:p>
    <w:p>
      <w:pPr>
        <w:spacing w:after="0" w:line="154" w:lineRule="exact"/>
        <w:rPr>
          <w:sz w:val="20"/>
          <w:szCs w:val="20"/>
          <w:color w:val="auto"/>
        </w:rPr>
      </w:pPr>
    </w:p>
    <w:p>
      <w:pPr>
        <w:ind w:left="660" w:hanging="328"/>
        <w:spacing w:after="0" w:line="222" w:lineRule="auto"/>
        <w:tabs>
          <w:tab w:leader="none" w:pos="655" w:val="left"/>
        </w:tabs>
        <w:numPr>
          <w:ilvl w:val="0"/>
          <w:numId w:val="35"/>
        </w:numPr>
        <w:rPr>
          <w:rFonts w:ascii="Arial" w:cs="Arial" w:eastAsia="Arial" w:hAnsi="Arial"/>
          <w:sz w:val="22"/>
          <w:szCs w:val="22"/>
          <w:color w:val="auto"/>
        </w:rPr>
      </w:pPr>
      <w:r>
        <w:rPr>
          <w:rFonts w:ascii="Times New Roman" w:cs="Times New Roman" w:eastAsia="Times New Roman" w:hAnsi="Times New Roman"/>
          <w:sz w:val="18"/>
          <w:szCs w:val="18"/>
          <w:color w:val="auto"/>
        </w:rPr>
        <w:t>re</w:t>
      </w:r>
      <w:r>
        <w:rPr>
          <w:rFonts w:ascii="Calibri" w:cs="Calibri" w:eastAsia="Calibri" w:hAnsi="Calibri"/>
          <w:sz w:val="18"/>
          <w:szCs w:val="18"/>
          <w:color w:val="auto"/>
        </w:rPr>
        <w:t>gulators may require that we conduct additonal clinical trials, repeat clinical trials or conduct other studies beyond those that we currently</w:t>
      </w:r>
      <w:r>
        <w:rPr>
          <w:rFonts w:ascii="Times New Roman" w:cs="Times New Roman" w:eastAsia="Times New Roman" w:hAnsi="Times New Roman"/>
          <w:sz w:val="18"/>
          <w:szCs w:val="18"/>
          <w:color w:val="auto"/>
        </w:rPr>
        <w:t xml:space="preserve"> </w:t>
      </w:r>
      <w:r>
        <w:rPr>
          <w:rFonts w:ascii="Calibri" w:cs="Calibri" w:eastAsia="Calibri" w:hAnsi="Calibri"/>
          <w:sz w:val="18"/>
          <w:szCs w:val="18"/>
          <w:color w:val="auto"/>
        </w:rPr>
        <w:t>contemplate;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7" w:name="page68"/>
    <w:bookmarkEnd w:id="6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40" w:hanging="308"/>
        <w:spacing w:after="0"/>
        <w:tabs>
          <w:tab w:leader="none" w:pos="640"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we may be delayed in obtaining marketng approval for our product candidates;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we may not obtain marketng approval for our product candidates at all;</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we may obtain approval for indicatons or patent populatons that are not as broad as intended or desired;</w:t>
      </w:r>
    </w:p>
    <w:p>
      <w:pPr>
        <w:spacing w:after="0" w:line="55" w:lineRule="exact"/>
        <w:rPr>
          <w:rFonts w:ascii="Calibri" w:cs="Calibri" w:eastAsia="Calibri" w:hAnsi="Calibri"/>
          <w:sz w:val="18"/>
          <w:szCs w:val="18"/>
          <w:color w:val="auto"/>
        </w:rPr>
      </w:pPr>
    </w:p>
    <w:p>
      <w:pPr>
        <w:ind w:left="660" w:right="20" w:hanging="328"/>
        <w:spacing w:after="0" w:line="235" w:lineRule="auto"/>
        <w:tabs>
          <w:tab w:leader="none" w:pos="653"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we may obtain approval with labeling that includes signifcant use or distributon restrictons or safety warnings that would reduce the potental market for any approved product or inhibit our ability to successfully commercialize any approved product;</w:t>
      </w:r>
    </w:p>
    <w:p>
      <w:pPr>
        <w:spacing w:after="0" w:line="55" w:lineRule="exact"/>
        <w:rPr>
          <w:rFonts w:ascii="Calibri" w:cs="Calibri" w:eastAsia="Calibri" w:hAnsi="Calibri"/>
          <w:sz w:val="18"/>
          <w:szCs w:val="18"/>
          <w:color w:val="auto"/>
        </w:rPr>
      </w:pPr>
    </w:p>
    <w:p>
      <w:pPr>
        <w:ind w:left="660" w:right="20" w:hanging="328"/>
        <w:spacing w:after="0" w:line="235" w:lineRule="auto"/>
        <w:tabs>
          <w:tab w:leader="none" w:pos="653"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a REMS or FDA-imposed risk management plan that use risk minimizaton strategies to ensure that the benefts of certain prescripton drugs outweigh their risks, may be required;</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we may be subject to additonal post-marketng restrictons and/or requirements; or</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36"/>
        </w:numPr>
        <w:rPr>
          <w:rFonts w:ascii="Calibri" w:cs="Calibri" w:eastAsia="Calibri" w:hAnsi="Calibri"/>
          <w:sz w:val="18"/>
          <w:szCs w:val="18"/>
          <w:color w:val="auto"/>
        </w:rPr>
      </w:pPr>
      <w:r>
        <w:rPr>
          <w:rFonts w:ascii="Calibri" w:cs="Calibri" w:eastAsia="Calibri" w:hAnsi="Calibri"/>
          <w:sz w:val="18"/>
          <w:szCs w:val="18"/>
          <w:color w:val="auto"/>
        </w:rPr>
        <w:t>the product may be removed from the market afer obtaining marketng approval.</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product development costs may also increase if we experience development delays or delays in receiving the requisite marketng approvals. Our preclinical studies or clinical trials may need to be restructured or may not be completed on schedule, or at all. Signifcant preclinical or clinical trial delays also could shorten any periods during which we may have the exclusive right to commercialize Vafseo for potental future indicatons or any product candidate that is approved, including those that may be in-licensed or acquired, or allow our compettors to bring products to market before we do. This could impair our ability to successfully commercialize our product candidates and may harm our business and results of operatons.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We may fnd it difcult to enroll patents in our clinical trials, which could delay or prevent clinical trials of Auryxia, Vafseo or any other product or product candidate, including those that may be in-licensed or acquired.</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Identfying and qualifying patents to partcipate in clinical trials is critcal to the success of our clinical trials. The tming of our clinical trials depends, in part, on the speed at which we can recruit patents to partcipate in our clinical trials. Patents may be unwilling to partcipate in our clinical trials because of concerns about investgatonal research studies, the tme and commitment needed to partcipate in a study, adverse events observed with the product candidate under study, the current standard of care, compettor products and/or other investgatonal agents, in each case for the same indicatons and/or similar patent populatons. In additon, in the case of clinical trials of any product candidate, patents currently receiving treatment with the current standard of care or a compettor product may be reluctant to partcipate in a clinical trial with an investgatonal drug. Additonally, it is ofen more difcult to enroll special or partcular subpopulatons of patents, such as pediatric or elderly patents, due to a number of factors including parental or other caregiver consideratons, concerns and burdens. For example, we began enrolling sites in a post-approval pediatric study for the Hyperphosphatemia Indicaton of Auryxia in the second quarter of 2022, which began patent recruitment in the third quarter of 2022, but enrollment of eligible pediatric patents in study sites contnues to be very slow despite eforts to do so.</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Finally, competton for clinical trial sites may limit our access to patents appropriate for our clinical trials. As a result, the tmeline for recruitng patents and conductng studies may be delayed. These delays could result in increased costs, delays in advancing our development of any product or product candidate, or terminaton of the clinical trial altogether.</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may not be able to identfy, recruit and enroll a sufcient number of patents, or those with required or desired characteristcs, to complete our clinical trials in a tmely manner. Patent enrollment is afected by many factors, including:</w:t>
      </w:r>
    </w:p>
    <w:p>
      <w:pPr>
        <w:spacing w:after="0" w:line="105" w:lineRule="exact"/>
        <w:rPr>
          <w:sz w:val="20"/>
          <w:szCs w:val="20"/>
          <w:color w:val="auto"/>
        </w:rPr>
      </w:pPr>
    </w:p>
    <w:p>
      <w:pPr>
        <w:ind w:left="640" w:hanging="308"/>
        <w:spacing w:after="0"/>
        <w:tabs>
          <w:tab w:leader="none" w:pos="64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severity of the disease under investgaton;</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design of the study protocol;</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size and nature of the patent populaton;</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eligibility criteria for, and design of, the study in queston, including study complexity;</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perceived risks and benefts of the product or product candidate under study, including as a result of adverse efects observed in similar or competng therapies;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proximity and availability of clinical trial sites for prospectve patents;</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availability of competng therapies and clinical trials and clinicians’ and patents’ perceptons as to the potental advantages of the product or product candidate being studied in relaton to available therapies or other product candidates in development;</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eforts to facilitate tmely enrollment in clinical trials;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partcipaton length and demands on patents and caregivers;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site stafng shortages and turnover;</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clinical trial sites and investgators failing to perform efectvely; and</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37"/>
        </w:numPr>
        <w:rPr>
          <w:rFonts w:ascii="Calibri" w:cs="Calibri" w:eastAsia="Calibri" w:hAnsi="Calibri"/>
          <w:sz w:val="18"/>
          <w:szCs w:val="18"/>
          <w:color w:val="auto"/>
        </w:rPr>
      </w:pPr>
      <w:r>
        <w:rPr>
          <w:rFonts w:ascii="Calibri" w:cs="Calibri" w:eastAsia="Calibri" w:hAnsi="Calibri"/>
          <w:sz w:val="18"/>
          <w:szCs w:val="18"/>
          <w:color w:val="auto"/>
        </w:rPr>
        <w:t>patent referral practces of physicians.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8" w:name="page69"/>
    <w:bookmarkEnd w:id="6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may not be able to initate or complete clinical trials in a tmely manner, or at all, if we cannot enroll a sufcient number of eligible patents to partcipate in the clinical trials required by regulatory agencies. If we have difculty enrolling a sufcient number of patents to conduct our clinical trials as planned, we may need to delay, limit or terminate ongoing or planned clinical trials, any of which may delay approval, or result in failure to maintain or obtain approval, of our products or product candidates, which would have a material adverse efect on our business.</w:t>
      </w:r>
    </w:p>
    <w:p>
      <w:pPr>
        <w:spacing w:after="0" w:line="111"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 xml:space="preserve">Further, if we are slow or unable to adapt to changes in existng requirements or the adopton of new requirements or policies governing clinical trials, our development plans may be impacted. For example, in December 2022, with the passage of Food and Drug Omnibus Reform Act, or </w:t>
      </w:r>
      <w:r>
        <w:rPr>
          <w:rFonts w:ascii="Calibri" w:cs="Calibri" w:eastAsia="Calibri" w:hAnsi="Calibri"/>
          <w:sz w:val="17"/>
          <w:szCs w:val="17"/>
          <w:u w:val="single" w:color="auto"/>
          <w:color w:val="auto"/>
        </w:rPr>
        <w:t>FDORA</w:t>
      </w:r>
      <w:r>
        <w:rPr>
          <w:rFonts w:ascii="Calibri" w:cs="Calibri" w:eastAsia="Calibri" w:hAnsi="Calibri"/>
          <w:sz w:val="17"/>
          <w:szCs w:val="17"/>
          <w:color w:val="auto"/>
        </w:rPr>
        <w:t xml:space="preserve">, Congress required sponsors to develop and submit a diversity acton plan, or </w:t>
      </w:r>
      <w:r>
        <w:rPr>
          <w:rFonts w:ascii="Calibri" w:cs="Calibri" w:eastAsia="Calibri" w:hAnsi="Calibri"/>
          <w:sz w:val="17"/>
          <w:szCs w:val="17"/>
          <w:u w:val="single" w:color="auto"/>
          <w:color w:val="auto"/>
        </w:rPr>
        <w:t>DAP</w:t>
      </w:r>
      <w:r>
        <w:rPr>
          <w:rFonts w:ascii="Calibri" w:cs="Calibri" w:eastAsia="Calibri" w:hAnsi="Calibri"/>
          <w:sz w:val="17"/>
          <w:szCs w:val="17"/>
          <w:color w:val="auto"/>
        </w:rPr>
        <w:t>, for each phase 3 clinical trial or any other “pivotal study” of a new drug or biological product. These plans are meant to encourage the enrollment of more diverse patent populatons in late-stage clinical trials of FDA-regulated products. Specifcally, acton plans must include the sponsor’s goals for enrollment, the underlying ratonale for those goals, and an explanaton of how the sponsor intends to meet them. In June 2024, as mandated by FDORA, the FDA issued draf guidance outlining the general requirements for DAPs. Unlike most guidance documents issued by the FDA, the DAP guidance when fnalized will have the force of law because FDORA specifcally dictates that the form and manner for submission of DAPs are specifed in FDA guidance. On January 27, 2025, in response to an Executve Order issued by President Trump on January 21, 2025, on Diversity, Equity and Inclusion programs, the FDA removed this draf guidance from its website. As a result, the applicability of statutory obligatons to submit DAPs and the agency’s current thinking on best practces for clinical development remain unclear and we will need to carefully navigate such uncertainty.</w:t>
      </w:r>
    </w:p>
    <w:p>
      <w:pPr>
        <w:spacing w:after="0" w:line="106"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 xml:space="preserve">In additon, the regulatory landscape related to clinical trials in the European Union recently evolved. The EU Clinical Trials Regulaton, or </w:t>
      </w:r>
      <w:r>
        <w:rPr>
          <w:rFonts w:ascii="Calibri" w:cs="Calibri" w:eastAsia="Calibri" w:hAnsi="Calibri"/>
          <w:sz w:val="17"/>
          <w:szCs w:val="17"/>
          <w:u w:val="single" w:color="auto"/>
          <w:color w:val="auto"/>
        </w:rPr>
        <w:t>CTR</w:t>
      </w:r>
      <w:r>
        <w:rPr>
          <w:rFonts w:ascii="Calibri" w:cs="Calibri" w:eastAsia="Calibri" w:hAnsi="Calibri"/>
          <w:sz w:val="17"/>
          <w:szCs w:val="17"/>
          <w:color w:val="auto"/>
        </w:rPr>
        <w:t xml:space="preserve">, which was adopted in April 2014 and repeals the EU Clinical Trials Directve, became applicable on January 31, 2022. While the Clinical Trials Directve required a separate clinical trial applicaton, or </w:t>
      </w:r>
      <w:r>
        <w:rPr>
          <w:rFonts w:ascii="Calibri" w:cs="Calibri" w:eastAsia="Calibri" w:hAnsi="Calibri"/>
          <w:sz w:val="17"/>
          <w:szCs w:val="17"/>
          <w:u w:val="single" w:color="auto"/>
          <w:color w:val="auto"/>
        </w:rPr>
        <w:t>CTA</w:t>
      </w:r>
      <w:r>
        <w:rPr>
          <w:rFonts w:ascii="Calibri" w:cs="Calibri" w:eastAsia="Calibri" w:hAnsi="Calibri"/>
          <w:sz w:val="17"/>
          <w:szCs w:val="17"/>
          <w:color w:val="auto"/>
        </w:rPr>
        <w:t>, to be submited in each member state, to both the competent natonal health authority and an independent ethics commitee, the CTR introduces a centralized process and only requires the submission of a single applicaton to all member states concerned. The CTR allows sponsors to make a single submission to both the competent authority and an ethics commitee in each member state, leading to a single decision per member state. The assessment procedure of the CTA has been harmonized as well, including a joint assessment by all member states concerned, and a separate assessment by each member state with respect to specifc requirements related to its own territory, including ethics rules. Each member state’s decision is communicated to the sponsor via the centralized EU portal. Once the CTA is approved, clinical study development may proceed.</w:t>
      </w:r>
    </w:p>
    <w:p>
      <w:pPr>
        <w:spacing w:after="0" w:line="10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We have conducted and intend to conduct certain of our clinical trials globally. However, there are additonal risks unique to conductng trials outside of the U.S., and the FDA and other foreign equivalents may not accept data from such trials, in which case our development plans may be delayed, which could materially harm our business.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conducted and intend to contnue conductng certain of our clinical trials globally. The acceptance by the FDA or other regulatory authorites of data from clinical trials conducted outside their jurisdicton may be subject to certain conditons or may not be accepted at all. In cases where data from foreign clinical trials are intended to serve as the sole basis for marketng approval in the United States, the FDA will generally not approve the applicaton on the basis of foreign data alone unless (i) the data are applicable to the U.S. populaton and U.S. medical practce, (ii) the trials were performed by clinical investgators of recognized competence and pursuant to good clinical practce, or GCP, regulatons and (iii) the data may be considered valid without the need for an on-site inspecton by the FDA, or if the FDA considers such inspecton to be necessary, the FDA is able to validate the data through an on-site inspecton or other appropriate means.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even where foreign clinical trial data are not intended to serve as the sole basis for approval, the FDA will not accept the data as support for an applicaton for marketng approval unless the clinical trial is well-designed and well-conducted in accordance with GCP requirements and the FDA is able to validate the data from the trial through an onsite inspecton if deemed necessary. Many foreign regulatory authorites have similar approval requirements. In additon, such foreign trials would be subject to the applicable local laws of the foreign jurisdictons where the trials are conducted. There can be no assurance that the FDA or any comparable foreign regulatory authority will accept data from trials conducted outside of the United States or the applicable jurisdicton. If the FDA or any comparable foreign regulatory authority does not accept such data, it could result in the need for additonal trials, which could be costly and tme-consuming, and which may result in current or future product candidates that we may develop not receiving approval for commercializaton in the applicable jurisdicton.</w:t>
      </w:r>
    </w:p>
    <w:p>
      <w:pPr>
        <w:spacing w:after="0" w:line="110" w:lineRule="exact"/>
        <w:rPr>
          <w:sz w:val="20"/>
          <w:szCs w:val="20"/>
          <w:color w:val="auto"/>
        </w:rPr>
      </w:pPr>
    </w:p>
    <w:p>
      <w:pPr>
        <w:spacing w:after="0"/>
        <w:rPr>
          <w:sz w:val="20"/>
          <w:szCs w:val="20"/>
          <w:color w:val="auto"/>
        </w:rPr>
      </w:pPr>
      <w:r>
        <w:rPr>
          <w:rFonts w:ascii="Calibri" w:cs="Calibri" w:eastAsia="Calibri" w:hAnsi="Calibri"/>
          <w:sz w:val="18"/>
          <w:szCs w:val="18"/>
          <w:color w:val="auto"/>
        </w:rPr>
        <w:t>Conductng clinical trials outside the United States also exposes us to additonal risks, including risks associated with:</w:t>
      </w:r>
    </w:p>
    <w:p>
      <w:pPr>
        <w:spacing w:after="0" w:line="88" w:lineRule="exact"/>
        <w:rPr>
          <w:sz w:val="20"/>
          <w:szCs w:val="20"/>
          <w:color w:val="auto"/>
        </w:rPr>
      </w:pPr>
    </w:p>
    <w:p>
      <w:pPr>
        <w:ind w:left="900" w:right="7240"/>
        <w:spacing w:after="0" w:line="374" w:lineRule="auto"/>
        <w:rPr>
          <w:sz w:val="20"/>
          <w:szCs w:val="20"/>
          <w:color w:val="auto"/>
        </w:rPr>
      </w:pPr>
      <w:r>
        <w:rPr>
          <w:rFonts w:ascii="Calibri" w:cs="Calibri" w:eastAsia="Calibri" w:hAnsi="Calibri"/>
          <w:sz w:val="17"/>
          <w:szCs w:val="17"/>
          <w:color w:val="auto"/>
        </w:rPr>
        <w:t>additonal foreign regulatory requirements; foreign exchange fuctuatons;</w:t>
      </w:r>
    </w:p>
    <w:p>
      <w:pPr>
        <w:spacing w:after="0" w:line="1" w:lineRule="exact"/>
        <w:rPr>
          <w:sz w:val="20"/>
          <w:szCs w:val="20"/>
          <w:color w:val="auto"/>
        </w:rPr>
      </w:pPr>
    </w:p>
    <w:p>
      <w:pPr>
        <w:ind w:left="900" w:right="4180"/>
        <w:spacing w:after="0" w:line="348" w:lineRule="auto"/>
        <w:rPr>
          <w:sz w:val="20"/>
          <w:szCs w:val="20"/>
          <w:color w:val="auto"/>
        </w:rPr>
      </w:pPr>
      <w:r>
        <w:rPr>
          <w:rFonts w:ascii="Calibri" w:cs="Calibri" w:eastAsia="Calibri" w:hAnsi="Calibri"/>
          <w:sz w:val="18"/>
          <w:szCs w:val="18"/>
          <w:color w:val="auto"/>
        </w:rPr>
        <w:t>compliance with foreign manufacturing, customs, shipment and storage requirements; cultural diferences in medical practce and clinical research;</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9" w:name="page70"/>
    <w:bookmarkEnd w:id="6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diminished protecton of intellectual property in some countries; and</w:t>
      </w:r>
    </w:p>
    <w:p>
      <w:pPr>
        <w:spacing w:after="0" w:line="104" w:lineRule="exact"/>
        <w:rPr>
          <w:sz w:val="20"/>
          <w:szCs w:val="20"/>
          <w:color w:val="auto"/>
        </w:rPr>
      </w:pPr>
    </w:p>
    <w:p>
      <w:pPr>
        <w:ind w:left="660"/>
        <w:spacing w:after="0"/>
        <w:rPr>
          <w:sz w:val="20"/>
          <w:szCs w:val="20"/>
          <w:color w:val="auto"/>
        </w:rPr>
      </w:pPr>
      <w:r>
        <w:rPr>
          <w:rFonts w:ascii="Calibri" w:cs="Calibri" w:eastAsia="Calibri" w:hAnsi="Calibri"/>
          <w:sz w:val="18"/>
          <w:szCs w:val="18"/>
          <w:color w:val="auto"/>
        </w:rPr>
        <w:t>interruptons or delays in our trials resultng from geopolitcal events, such as war or terrorism.</w:t>
      </w:r>
    </w:p>
    <w:p>
      <w:pPr>
        <w:spacing w:after="0" w:line="13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Auryxia, Vafseo or any other product or product candidate, including those that may be in-licensed or acquired, may cause undesirable side efects or have other propertes that may delay or prevent marketng approval or limit their commercial potental.</w:t>
      </w:r>
    </w:p>
    <w:p>
      <w:pPr>
        <w:spacing w:after="0" w:line="96" w:lineRule="exact"/>
        <w:rPr>
          <w:sz w:val="20"/>
          <w:szCs w:val="20"/>
          <w:color w:val="auto"/>
        </w:rPr>
      </w:pPr>
    </w:p>
    <w:p>
      <w:pPr>
        <w:jc w:val="both"/>
        <w:spacing w:after="0" w:line="221" w:lineRule="auto"/>
        <w:rPr>
          <w:sz w:val="20"/>
          <w:szCs w:val="20"/>
          <w:color w:val="auto"/>
        </w:rPr>
      </w:pPr>
      <w:r>
        <w:rPr>
          <w:rFonts w:ascii="Calibri" w:cs="Calibri" w:eastAsia="Calibri" w:hAnsi="Calibri"/>
          <w:sz w:val="18"/>
          <w:szCs w:val="18"/>
          <w:color w:val="auto"/>
        </w:rPr>
        <w:t>Undesirable efects caused by, or other undesirable propertes of, Auryxia, Vafseo or any other product or product candidate, including those that may be in-licensed or acquired, or competng commercial products or product candidates in development that utlize a common mechanism of acton could cause us or regulatory authorites to interrupt, delay or halt clinical trials, could result in a more restrictve label or the delay, denial or withdrawal of marketng approval by the FDA or other regulatory authorites, and could lead to potental product liability claims. In additon, results of our clinical trials could reveal a high frequency of undesirable efects or unexpected characteristcs. For example, in March 2022, we received the CRL from the FDA for our NDA for Vafseo in which the FDA concluded that the data in the NDA did not support a favorable beneft-risk assessment of Vafseo for dialysis and non-dialysis patents. The FDA expressed safety concerns notng failure to meet non-inferiority in MACE in the non-dialysis patent populaton, the increased risk of thromboembolic events, driven by vascular access thrombosis in dialysis patents, and the risk of drug-induced liver injury. As a result, we fled the FDRR and, following the FDRR, we fled a resubmission to our NDA, and the FDA approved Vafseo on March 27, 2024. However, the approved indicaton is limited to the treatment of anemia due to CKD in adults who have been receiving dialysis for at least three months.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If we or others identfy undesirable efects caused by, or other undesirable propertes of, Auryxia, Vafseo or any other product or product candidate, including those that may be in-licensed or acquired, or if known undesirable efects are more frequent or severe than in the past, or if any of the foregoing are perceived to have occurred, either before or afer receipt of marketng approval, a number of potentally signifcant negatve consequences could result, including:</w:t>
      </w:r>
    </w:p>
    <w:p>
      <w:pPr>
        <w:spacing w:after="0" w:line="126"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22"/>
          <w:szCs w:val="22"/>
          <w:color w:val="auto"/>
        </w:rPr>
      </w:pPr>
      <w:r>
        <w:rPr>
          <w:rFonts w:ascii="Calibri" w:cs="Calibri" w:eastAsia="Calibri" w:hAnsi="Calibri"/>
          <w:sz w:val="18"/>
          <w:szCs w:val="18"/>
          <w:color w:val="auto"/>
        </w:rPr>
        <w:t>our product candidates may not be approved by regulatory authorites;</w:t>
      </w:r>
    </w:p>
    <w:p>
      <w:pPr>
        <w:spacing w:after="0" w:line="50" w:lineRule="exact"/>
        <w:rPr>
          <w:rFonts w:ascii="Arial" w:cs="Arial" w:eastAsia="Arial" w:hAnsi="Arial"/>
          <w:sz w:val="22"/>
          <w:szCs w:val="22"/>
          <w:color w:val="auto"/>
        </w:rPr>
      </w:pPr>
    </w:p>
    <w:p>
      <w:pPr>
        <w:ind w:left="640" w:hanging="308"/>
        <w:spacing w:after="0"/>
        <w:tabs>
          <w:tab w:leader="none" w:pos="640"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our clinical trials may be put on hold;</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patent recruitment could be slowed, and enrolled patents may not want to complete the clinical trial;</w:t>
      </w:r>
    </w:p>
    <w:p>
      <w:pPr>
        <w:spacing w:after="0" w:line="68" w:lineRule="exact"/>
        <w:rPr>
          <w:rFonts w:ascii="Calibri" w:cs="Calibri" w:eastAsia="Calibri" w:hAnsi="Calibri"/>
          <w:sz w:val="18"/>
          <w:szCs w:val="18"/>
          <w:color w:val="auto"/>
        </w:rPr>
      </w:pPr>
    </w:p>
    <w:p>
      <w:pPr>
        <w:ind w:left="660" w:right="300" w:hanging="328"/>
        <w:spacing w:after="0" w:line="222" w:lineRule="auto"/>
        <w:tabs>
          <w:tab w:leader="none" w:pos="660" w:val="left"/>
        </w:tabs>
        <w:numPr>
          <w:ilvl w:val="0"/>
          <w:numId w:val="40"/>
        </w:numPr>
        <w:rPr>
          <w:rFonts w:ascii="Calibri" w:cs="Calibri" w:eastAsia="Calibri" w:hAnsi="Calibri"/>
          <w:sz w:val="21"/>
          <w:szCs w:val="21"/>
          <w:color w:val="auto"/>
        </w:rPr>
      </w:pPr>
      <w:r>
        <w:rPr>
          <w:rFonts w:ascii="Calibri" w:cs="Calibri" w:eastAsia="Calibri" w:hAnsi="Calibri"/>
          <w:sz w:val="17"/>
          <w:szCs w:val="17"/>
          <w:color w:val="auto"/>
        </w:rPr>
        <w:t>regulatory authorites may require warnings on the label, such as the warning on Auryxia’s label regarding iron overload or the boxed warning on Vafseo’s label regarding increased risk of death, myocardial infarcton, stroke, venous thromboembolism and thrombosis of vascular access;</w:t>
      </w:r>
    </w:p>
    <w:p>
      <w:pPr>
        <w:spacing w:after="0" w:line="52" w:lineRule="exact"/>
        <w:rPr>
          <w:rFonts w:ascii="Calibri" w:cs="Calibri" w:eastAsia="Calibri" w:hAnsi="Calibri"/>
          <w:sz w:val="21"/>
          <w:szCs w:val="21"/>
          <w:color w:val="auto"/>
        </w:rPr>
      </w:pPr>
    </w:p>
    <w:p>
      <w:pPr>
        <w:ind w:left="640" w:hanging="308"/>
        <w:spacing w:after="0"/>
        <w:tabs>
          <w:tab w:leader="none" w:pos="640"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REMS or FDA-imposed risk management plans that use restrictve risk minimizaton strategies may be required;</w:t>
      </w:r>
    </w:p>
    <w:p>
      <w:pPr>
        <w:spacing w:after="0" w:line="55" w:lineRule="exact"/>
        <w:rPr>
          <w:rFonts w:ascii="Calibri" w:cs="Calibri" w:eastAsia="Calibri" w:hAnsi="Calibri"/>
          <w:sz w:val="18"/>
          <w:szCs w:val="18"/>
          <w:color w:val="auto"/>
        </w:rPr>
      </w:pPr>
    </w:p>
    <w:p>
      <w:pPr>
        <w:jc w:val="both"/>
        <w:ind w:left="660" w:hanging="328"/>
        <w:spacing w:after="0" w:line="235" w:lineRule="auto"/>
        <w:tabs>
          <w:tab w:leader="none" w:pos="653"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we may decide to, or be required to, send drug warnings or safety alerts to physicians, pharmacists and hospitals (or the FDA or other regulatory authorites may choose to issue such alerts), or we may decide to conduct a product recall or be requested to do so by the FDA or other regulatory authority;</w:t>
      </w:r>
    </w:p>
    <w:p>
      <w:pPr>
        <w:spacing w:after="0" w:line="56"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reformulaton of the product, additonal non-clinical or clinical trials, restrictve changes in labeling or changes to or re-approvals of manufacturing facilites may be required;</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we may be precluded from pursuing additonal development opportunites to enhance the clinical profle of a product within its indicated populatons, or studying the product or product candidate in additonal indicatons and populatons or in new formulatons; and</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we could be investgated by the government or sued and held liable for harm caused to patents, including in class acton lawsuits; and</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40"/>
        </w:numPr>
        <w:rPr>
          <w:rFonts w:ascii="Calibri" w:cs="Calibri" w:eastAsia="Calibri" w:hAnsi="Calibri"/>
          <w:sz w:val="18"/>
          <w:szCs w:val="18"/>
          <w:color w:val="auto"/>
        </w:rPr>
      </w:pPr>
      <w:r>
        <w:rPr>
          <w:rFonts w:ascii="Calibri" w:cs="Calibri" w:eastAsia="Calibri" w:hAnsi="Calibri"/>
          <w:sz w:val="18"/>
          <w:szCs w:val="18"/>
          <w:color w:val="auto"/>
        </w:rPr>
        <w:t>our reputaton may sufer.</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Any of these events could prevent us from achieving or maintaining, whether on a restricted basis or at all, marketng approval and, ultmately, market acceptance or penetraton of Auryxia, Vafseo or any other product or product candidate, including those that may be in-licensed or acquired. In additon, any of these events could substantally increase our costs, and could signifcantly impact our ability to successfully commercialize Auryxia, Vafseo or any other product and product candidate, including those that may be in-licensed or acquired, and generate product revenue.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patent populatons treated with Auryxia and the projected patent populatons that will be treated with Vafseo have CKD, a serious disease that increases the risk of cardiovascular disease including heart atacks and stroke and, in its most severe form, results in, kidney failure and the need for dialysis or kidney transplant. Many patents with CKD are elderly with comorbidites making them susceptble to signifcant health risks. Therefore, the likelihood of these patents having adverse events, including serious adverse events is high.</w:t>
      </w:r>
    </w:p>
    <w:p>
      <w:pPr>
        <w:spacing w:after="0" w:line="68" w:lineRule="exact"/>
        <w:rPr>
          <w:sz w:val="20"/>
          <w:szCs w:val="20"/>
          <w:color w:val="auto"/>
        </w:rPr>
      </w:pPr>
    </w:p>
    <w:p>
      <w:pPr>
        <w:jc w:val="both"/>
        <w:spacing w:after="0" w:line="229" w:lineRule="auto"/>
        <w:rPr>
          <w:sz w:val="20"/>
          <w:szCs w:val="20"/>
          <w:color w:val="auto"/>
        </w:rPr>
      </w:pPr>
      <w:r>
        <w:rPr>
          <w:rFonts w:ascii="Calibri" w:cs="Calibri" w:eastAsia="Calibri" w:hAnsi="Calibri"/>
          <w:sz w:val="18"/>
          <w:szCs w:val="18"/>
          <w:color w:val="auto"/>
        </w:rPr>
        <w:t>With respect to the global INNO</w:t>
      </w:r>
      <w:r>
        <w:rPr>
          <w:rFonts w:ascii="Calibri" w:cs="Calibri" w:eastAsia="Calibri" w:hAnsi="Calibri"/>
          <w:sz w:val="23"/>
          <w:szCs w:val="23"/>
          <w:color w:val="auto"/>
          <w:vertAlign w:val="subscript"/>
        </w:rPr>
        <w:t>2</w:t>
      </w:r>
      <w:r>
        <w:rPr>
          <w:rFonts w:ascii="Calibri" w:cs="Calibri" w:eastAsia="Calibri" w:hAnsi="Calibri"/>
          <w:sz w:val="18"/>
          <w:szCs w:val="18"/>
          <w:color w:val="auto"/>
        </w:rPr>
        <w:t xml:space="preserve">VATE Phase 3 program, the incidence of treatment emergent adverse events, or </w:t>
      </w:r>
      <w:r>
        <w:rPr>
          <w:rFonts w:ascii="Calibri" w:cs="Calibri" w:eastAsia="Calibri" w:hAnsi="Calibri"/>
          <w:sz w:val="18"/>
          <w:szCs w:val="18"/>
          <w:u w:val="single" w:color="auto"/>
          <w:color w:val="auto"/>
        </w:rPr>
        <w:t>TEAEs</w:t>
      </w:r>
      <w:r>
        <w:rPr>
          <w:rFonts w:ascii="Calibri" w:cs="Calibri" w:eastAsia="Calibri" w:hAnsi="Calibri"/>
          <w:sz w:val="18"/>
          <w:szCs w:val="18"/>
          <w:color w:val="auto"/>
        </w:rPr>
        <w:t>, during the Correcton and Conversion study in Vafseo-treated patents was 83.8% and 85.5% in darbepoetn alfa treated patents. During the study, the most common TEAEs reported in Vafseo/darbepoetn alfa treated patents were hypertension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0" w:name="page71"/>
    <w:bookmarkEnd w:id="7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(16.2%/ 12.9%) and diarrhea (10.1%/ 9.7%). Serious TEAEs were lower in Vafseo-treated patents at 49.7% compared to 56.5% for darbepoetn alfa treated patents. The incidence of TEAEs during the prevalent dialysis patent study (Conversion) in the Vafseo-treated patents was 88.3%, and 89.3% in darbepoetn alfa treated patents. During the study, the most common TEAEs reported in Vafseo/darbepoetn alfa treated patents were diarrhea (13.0%/ 10.1%), pneumonia (11.0%/ 9.7%), hypertension (10.6%/ 13.8%), and hyperkalemia (9.0%/ 10.8%). Serious TEAEs were slightly lower for Vafseo-treated patents at 55.0% and 58.3% for darbepoetn alfa-treated patents. Patents with DD-CKD experienced an increased risk of thromboembolic events compared to darbepoetn alfa with a tme to frst event HR of 1.20 (95% CI 0.96 — 1.50) driven by thrombosis of vascular access.</w:t>
      </w:r>
    </w:p>
    <w:p>
      <w:pPr>
        <w:spacing w:after="0" w:line="70" w:lineRule="exact"/>
        <w:rPr>
          <w:sz w:val="20"/>
          <w:szCs w:val="20"/>
          <w:color w:val="auto"/>
        </w:rPr>
      </w:pPr>
    </w:p>
    <w:p>
      <w:pPr>
        <w:jc w:val="both"/>
        <w:spacing w:after="0" w:line="247" w:lineRule="auto"/>
        <w:rPr>
          <w:sz w:val="20"/>
          <w:szCs w:val="20"/>
          <w:color w:val="auto"/>
        </w:rPr>
      </w:pPr>
      <w:r>
        <w:rPr>
          <w:rFonts w:ascii="Calibri" w:cs="Calibri" w:eastAsia="Calibri" w:hAnsi="Calibri"/>
          <w:sz w:val="17"/>
          <w:szCs w:val="17"/>
          <w:color w:val="auto"/>
        </w:rPr>
        <w:t>With respect to the global PRO</w:t>
      </w:r>
      <w:r>
        <w:rPr>
          <w:rFonts w:ascii="Calibri" w:cs="Calibri" w:eastAsia="Calibri" w:hAnsi="Calibri"/>
          <w:sz w:val="22"/>
          <w:szCs w:val="22"/>
          <w:color w:val="auto"/>
          <w:vertAlign w:val="subscript"/>
        </w:rPr>
        <w:t>2</w:t>
      </w:r>
      <w:r>
        <w:rPr>
          <w:rFonts w:ascii="Calibri" w:cs="Calibri" w:eastAsia="Calibri" w:hAnsi="Calibri"/>
          <w:sz w:val="17"/>
          <w:szCs w:val="17"/>
          <w:color w:val="auto"/>
        </w:rPr>
        <w:t>TECT Phase 3 program, the incidence of TEAEs during the ESA untreated patents study (Correcton) in the Vafseo-treated patents was 90.9%, and 91.6% in darbepoetn alfa-treated patents. During the study, the most common TEAEs reported in Vafseo/darbepoetn alfa-treated patents were end-stage renal disease (34.7%/ 35.2%), hypertension (17.7%/ 22.1.%), hyperkalemia (12.3.%/ 15.6%), urinary tract infecton (12.9%/ 12.0%), diarrhea (13.9%/ 10.0%), peripheral oedema (12.5%/ 10.5%), fall (9.6%/ 10%) and nausea (10%/ 8.2%). Serious TEAEs were 65.3% for Vafseo-treated patents and 64.5% for darbepoetn alfa-treated patents. The incidence of TEAEs during the ESA-treated patents study (Conversion) in Vafseo-treated patents was 89.1% and 87.7% in darbepoetn alfa-treated patents. During the study, the most common TEAEs reported in Vafseo/darbepoetn alfa-treated patents were end-stage renal disease (27.5%/ 28.4%), hypertension (14.4%/ 14.8%), urinary tract infecton (12.2%/ 14.5%), diarrhea (13.8.%/ 8.8.%), peripheral oedema (9.9%/ 10.1%) and pneumonia (10.0%/ 9.7%). Serious TEAEs were 58.5% for Vafseo-treated patents and 56.6% for darbepoetn alfa-treated patents.</w:t>
      </w:r>
    </w:p>
    <w:p>
      <w:pPr>
        <w:spacing w:after="0" w:line="10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conduct of our Phase 3 program for Vafseo, our team and hepatc experts analyzed hepatc cases (unblinded to treatment) and, following the completon of our global Phase 3 clinical program for Vafseo, there was a review of hepatc safety across the Vafseo clinical program, which included eight completed Phase 2 and 3 studies in NDD-CKD patents, 10 completed Phase 1, 2, and 3 studies, and two then-ongoing Phase 3b studies in DD-CKD patents, and 18 completed studies in healthy subjects (17 Phase 1 and one Phase 3). This review consisted of a blinded re-assessment of hepatc events conducted by a separate panel of hepatc experts. While hepatocellular injury atributed to Vafseo was reported in less than 1% of patents, there was one case of severe hepatocellular injury with jaundice, and we cannot guarantee that similar events will not happen in the future. Additonally, the FDA expressed safety concerns related to the risk of drug-induced liver injury in the CRL that it issued in March 2022, and these safety concerns were addressed following the FDRR and resubmission to our NDA.</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Serious adverse events related to Vafseo, including those noted in the CRL and label, and any other product candidates could have material adverse consequences on the development and potental label expansion of Vafseo or the approval of our other product candidates and our business as a whole. Our understanding of adverse events in prior clinical trials of Vafseo or our product candidates may change as we gather more informaton, the FDA may not agree with our assessment of adverse events and additonal unexpected adverse events may be observed in future clinical trials or in the market.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Any of the above safety data or other occurrences could delay or prevent us from achieving or maintaining marketng approval, harm or prevent sales of Auryxia, Vafseo or any other product or product candidate, including those that may be in-licensed or acquired, increase our expenses and impair or prevent our ability to successfully commercialize Auryxia, Vafseo or any other products or product candidates.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any post-marketng clinical trials conducted, if successful, may expand the patent populatons treated with Auryxia, Vafseo or any other product we acquire or for which we receive marketng approval, within or outside of their current indicatons or patent populatons, which could result in the identfcaton of previously unknown undesirable efects, increased frequency or severity of known undesirable efects, or result in the identfcaton of unexpected safety signals. In additon, Vafseo and any other products are commercialized, they will be used in signifcantly larger patent populatons, in less rigorously controlled environments and, in some cases, by less experienced and less expert treatng practtoners, than in clinical trials, which could result in increased or more serious adverse efects being reported. As a result, regulatory authorites, healthcare practtoners, third party payors or patents may perceive or conclude that the use of Auryxia, Vafseo or any other products are associated with serious adverse efects, undermining our commercializaton eforts.</w:t>
      </w:r>
    </w:p>
    <w:p>
      <w:pPr>
        <w:spacing w:after="0" w:line="11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Risks Related to Regulatory Approval</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We may not be able to obtain marketng approval for any label expansion for Vafseo or any current or future product candidate, or we may experience signifcant delays in doing so, any of which would materially harm our business.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Clinical trials, manufacturing and marketng of any product or product candidate are subject to extensive and rigorous review and regulaton by numerous governmental authorites in the U.S. and other jurisdictons. Before obtaining marketng approval for the commercial sale of any product candidate, we must demonstrate through rigorous and extensive preclinical development and clinical trials that the product candidate is safe and efectve for use in each target indicaton. This process can take many years and marketng approval may never be achieved. Of the large number of drugs in development in the U.S. and in other jurisdictons, only a small percentage successfully complete the FDA’s and other regulatory jurisdictons’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1" w:name="page72"/>
    <w:bookmarkEnd w:id="7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marketng approval processes and are commercialized. Accordingly, even if we are able to obtain the requisite capital to contnue to fund our development eforts, we may be unable to successfully obtain regulatory approval for any label expansion for Vafseo or for any product candidate, including those that may be in-licensed or acquired. Further, any product candidate may not receive marketng approval in the U.S. even if it is approved in other countries. Each regulatory authority makes their own assessment as to the safety and efcacy of a drug, and the FDA’s concern about the safety or efcacy of any product candidate could impact the regulatory authority’s decision in another country.</w:t>
      </w:r>
    </w:p>
    <w:p>
      <w:pPr>
        <w:spacing w:after="0" w:line="112"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In March 2022, we received the CRL from the FDA regarding our NDA for vadadustat for the treatment of anemia due to CKD. Following a FDRR in 2022, we fled a resubmission to our NDA in 2023. On March 27, 2024, the FDA approved our NDA for vadadustat under the trade name Vafseo for the treatment of anemia due to CKD in adults who have been receiving dialysis for at least three months. However, we expended signifcant additonal resources to obtain the approval of Vafseo, the approved indicaton is limited to the treatment of anemia due to CKD in adults who have been receiving dialysis for at least three months and the commercializaton of Vafseo was delayed, which had and could contnue to have an adverse efect on our business.</w:t>
      </w:r>
    </w:p>
    <w:p>
      <w:pPr>
        <w:spacing w:after="0" w:line="103"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Vafseo is currently approved as a treatment for anemia due to CKD for dialysis dependent patents in the U.S., European Union, United Kingdom, Switzerland and Australia. In Japan, Vafseo is approved as a treatment for anemia due to CKD in both dialysis dependent and non-dialysis dependent patents and is marketed and sold by our collaborator MTPC. In Taiwan and South Korea, Vafseo is approved for the treatment of symptomatc anemia due to CKD in adult patents on chronic maintenance dialysis. We are not permited to market Vafseo in any additonal jurisdictons or other indicatons untl the requisite approval from regulatory authorites in such jurisdicton is received. As a conditon to receiving marketng approval for Vafseo in additonal territories or for other indicatons, we may be required by regulatory authorites to conduct additonal preclinical studies or clinical trials. For example, we have several lifecycle management and label expansion opportunites currently under evaluaton for Vafseo, one of which is the potental for alternatve dosing, and another of which is label expansion for the treatment of adult patents with NDD-CKD. However, we may be required to complete additonal clinical trials before seeking approval for additonal indicatons, which are tme consuming and expensive, and even though Vafseo is approved as a treatment for anemia due to CKD for dialysis dependent patents, we may not be successful in any of our lifecycle management or label expansion opportunites in the tmeframe antcipated by us, or at all. For example, we plan to start a Phase 3 trial in the second half of 2025 to potentally expand the Vafseo label to include the treatment of late-stage NDD-CKD patents, however, we may not successfully demonstrate safety and/or efcacy needed to obtain regulatory approval or we may be unable to complete the trial when antcipated or at all. If we do not obtain the approval of label expansion for the treatment of adult patents with NDD-CKD or for alternatve dosing in a tmely manner, or at all, it could impact future revenue and have an adverse efect on our business.</w:t>
      </w:r>
    </w:p>
    <w:p>
      <w:pPr>
        <w:spacing w:after="0" w:line="106"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Obtaining marketng approval in the U.S. and other jurisdictons for any product candidate depends upon numerous factors, many of which are subject to the substantal discreton of the regulatory authorites, including that regulatory agencies may not complete their review processes in a tmely manner and/or, following completon of the review process, may not grant marketng approval or such marketng approval may be limited. Furthermore, approval of a drug does not ensure successful commercializaton. For example, on September 23, 2015, the European Commission, or EC, approved Fexeric (ferric citrate coordinaton complex) for the control of hyperphosphatemia in adult patents with CKD. Pursuant to the sunset clause under EU law, the EC’s approval of Fexeric in the EU was contngent on, among other things, our commencing marketng of Fexeric within three years; although we successfully negotated an extension to December 23, 2019, we did not commence marketng Fexeric by such date and therefore the Fexeric approval in the EU has ceased to be valid. In April 2024, our partner Averoa submited its marketng authorizaton applicaton for ferric citrate in Europe and the applicaton is stll under review.</w:t>
      </w:r>
    </w:p>
    <w:p>
      <w:pPr>
        <w:spacing w:after="0" w:line="10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Safety concerns with a given product may impact marketng approval. For example, safety concerns associated with the current standard of care for the indicatons for Vafseo may afect the FDA’s or other regulatory authorites’ review of the safety results of Vafseo. In additon, these regulatory authorites may not agree with our assessment of adverse events. Further, the policies or regulatons, or the type and amount of clinical data necessary to gain approval, may change during the course of a product candidate’s clinical development and may vary among jurisdictons. It is possible that our product candidates will never obtain marketng approval in the U.S. or certain other jurisdictons or for some or all of the indicatons for which we seek approval.</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The FDA or other regulatory authorites may delay, limit or deny approval of any product candidate for many reasons including, among others:</w:t>
      </w:r>
    </w:p>
    <w:p>
      <w:pPr>
        <w:spacing w:after="0" w:line="104" w:lineRule="exact"/>
        <w:rPr>
          <w:sz w:val="20"/>
          <w:szCs w:val="20"/>
          <w:color w:val="auto"/>
        </w:rPr>
      </w:pPr>
    </w:p>
    <w:p>
      <w:pPr>
        <w:ind w:left="640" w:hanging="308"/>
        <w:spacing w:after="0"/>
        <w:tabs>
          <w:tab w:leader="none" w:pos="640" w:val="left"/>
        </w:tabs>
        <w:numPr>
          <w:ilvl w:val="0"/>
          <w:numId w:val="41"/>
        </w:numPr>
        <w:rPr>
          <w:rFonts w:ascii="Calibri" w:cs="Calibri" w:eastAsia="Calibri" w:hAnsi="Calibri"/>
          <w:sz w:val="18"/>
          <w:szCs w:val="18"/>
          <w:color w:val="auto"/>
        </w:rPr>
      </w:pPr>
      <w:r>
        <w:rPr>
          <w:rFonts w:ascii="Calibri" w:cs="Calibri" w:eastAsia="Calibri" w:hAnsi="Calibri"/>
          <w:sz w:val="18"/>
          <w:szCs w:val="18"/>
          <w:color w:val="auto"/>
        </w:rPr>
        <w:t>the results of our clinical trials may only be modestly positve, or there may be concerns with the profle due to efcacy or safety;</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41"/>
        </w:numPr>
        <w:rPr>
          <w:rFonts w:ascii="Calibri" w:cs="Calibri" w:eastAsia="Calibri" w:hAnsi="Calibri"/>
          <w:sz w:val="18"/>
          <w:szCs w:val="18"/>
          <w:color w:val="auto"/>
        </w:rPr>
      </w:pPr>
      <w:r>
        <w:rPr>
          <w:rFonts w:ascii="Calibri" w:cs="Calibri" w:eastAsia="Calibri" w:hAnsi="Calibri"/>
          <w:sz w:val="18"/>
          <w:szCs w:val="18"/>
          <w:color w:val="auto"/>
        </w:rPr>
        <w:t>the results of our clinical trials may not meet the level of statstcal or clinical signifcance required by the relevant regulatory authority for review and/or marketng approval;</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2" w:name="page73"/>
    <w:bookmarkEnd w:id="7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40" w:hanging="308"/>
        <w:spacing w:after="0"/>
        <w:tabs>
          <w:tab w:leader="none" w:pos="640" w:val="left"/>
        </w:tabs>
        <w:numPr>
          <w:ilvl w:val="0"/>
          <w:numId w:val="42"/>
        </w:numPr>
        <w:rPr>
          <w:rFonts w:ascii="Calibri" w:cs="Calibri" w:eastAsia="Calibri" w:hAnsi="Calibri"/>
          <w:sz w:val="18"/>
          <w:szCs w:val="18"/>
          <w:color w:val="auto"/>
        </w:rPr>
      </w:pPr>
      <w:r>
        <w:rPr>
          <w:rFonts w:ascii="Calibri" w:cs="Calibri" w:eastAsia="Calibri" w:hAnsi="Calibri"/>
          <w:sz w:val="18"/>
          <w:szCs w:val="18"/>
          <w:color w:val="auto"/>
        </w:rPr>
        <w:t>the relevant regulatory authority may disagree with our interpretaton of data from our preclinical studies and clinical trials;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42"/>
        </w:numPr>
        <w:rPr>
          <w:rFonts w:ascii="Calibri" w:cs="Calibri" w:eastAsia="Calibri" w:hAnsi="Calibri"/>
          <w:sz w:val="18"/>
          <w:szCs w:val="18"/>
          <w:color w:val="auto"/>
        </w:rPr>
      </w:pPr>
      <w:r>
        <w:rPr>
          <w:rFonts w:ascii="Calibri" w:cs="Calibri" w:eastAsia="Calibri" w:hAnsi="Calibri"/>
          <w:sz w:val="18"/>
          <w:szCs w:val="18"/>
          <w:color w:val="auto"/>
        </w:rPr>
        <w:t>the relevant regulatory authority may disagree with the number, design, size, conduct or implementaton of our clinical trials;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42"/>
        </w:numPr>
        <w:rPr>
          <w:rFonts w:ascii="Calibri" w:cs="Calibri" w:eastAsia="Calibri" w:hAnsi="Calibri"/>
          <w:sz w:val="18"/>
          <w:szCs w:val="18"/>
          <w:color w:val="auto"/>
        </w:rPr>
      </w:pPr>
      <w:r>
        <w:rPr>
          <w:rFonts w:ascii="Calibri" w:cs="Calibri" w:eastAsia="Calibri" w:hAnsi="Calibri"/>
          <w:sz w:val="18"/>
          <w:szCs w:val="18"/>
          <w:color w:val="auto"/>
        </w:rPr>
        <w:t>the relevant regulatory authority may not approve the label expansion we request for Vafseo;</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42"/>
        </w:numPr>
        <w:rPr>
          <w:rFonts w:ascii="Calibri" w:cs="Calibri" w:eastAsia="Calibri" w:hAnsi="Calibri"/>
          <w:sz w:val="18"/>
          <w:szCs w:val="18"/>
          <w:color w:val="auto"/>
        </w:rPr>
      </w:pPr>
      <w:r>
        <w:rPr>
          <w:rFonts w:ascii="Calibri" w:cs="Calibri" w:eastAsia="Calibri" w:hAnsi="Calibri"/>
          <w:sz w:val="18"/>
          <w:szCs w:val="18"/>
          <w:color w:val="auto"/>
        </w:rPr>
        <w:t>the relevant regulatory authority may approve any product candidate for use only in a small patent populaton or for fewer or more limited indicatons than we request;</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42"/>
        </w:numPr>
        <w:rPr>
          <w:rFonts w:ascii="Calibri" w:cs="Calibri" w:eastAsia="Calibri" w:hAnsi="Calibri"/>
          <w:sz w:val="18"/>
          <w:szCs w:val="18"/>
          <w:color w:val="auto"/>
        </w:rPr>
      </w:pPr>
      <w:r>
        <w:rPr>
          <w:rFonts w:ascii="Calibri" w:cs="Calibri" w:eastAsia="Calibri" w:hAnsi="Calibri"/>
          <w:sz w:val="18"/>
          <w:szCs w:val="18"/>
          <w:color w:val="auto"/>
        </w:rPr>
        <w:t>the relevant regulatory authority may require that we conduct additonal clinical trials or repeat one or more clinical trials;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42"/>
        </w:numPr>
        <w:rPr>
          <w:rFonts w:ascii="Calibri" w:cs="Calibri" w:eastAsia="Calibri" w:hAnsi="Calibri"/>
          <w:sz w:val="18"/>
          <w:szCs w:val="18"/>
          <w:color w:val="auto"/>
        </w:rPr>
      </w:pPr>
      <w:r>
        <w:rPr>
          <w:rFonts w:ascii="Calibri" w:cs="Calibri" w:eastAsia="Calibri" w:hAnsi="Calibri"/>
          <w:sz w:val="18"/>
          <w:szCs w:val="18"/>
          <w:color w:val="auto"/>
        </w:rPr>
        <w:t>the FDA or other relevant regulatory authority may require development of a REMS as a conditon of approval or post-approval;</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42"/>
        </w:numPr>
        <w:rPr>
          <w:rFonts w:ascii="Calibri" w:cs="Calibri" w:eastAsia="Calibri" w:hAnsi="Calibri"/>
          <w:sz w:val="18"/>
          <w:szCs w:val="18"/>
          <w:color w:val="auto"/>
        </w:rPr>
      </w:pPr>
      <w:r>
        <w:rPr>
          <w:rFonts w:ascii="Calibri" w:cs="Calibri" w:eastAsia="Calibri" w:hAnsi="Calibri"/>
          <w:sz w:val="18"/>
          <w:szCs w:val="18"/>
          <w:color w:val="auto"/>
        </w:rPr>
        <w:t>the relevant regulatory authority may grant approval contngent on the performance of costly post-marketng clinical trials;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42"/>
        </w:numPr>
        <w:rPr>
          <w:rFonts w:ascii="Calibri" w:cs="Calibri" w:eastAsia="Calibri" w:hAnsi="Calibri"/>
          <w:sz w:val="18"/>
          <w:szCs w:val="18"/>
          <w:color w:val="auto"/>
        </w:rPr>
      </w:pPr>
      <w:r>
        <w:rPr>
          <w:rFonts w:ascii="Calibri" w:cs="Calibri" w:eastAsia="Calibri" w:hAnsi="Calibri"/>
          <w:sz w:val="18"/>
          <w:szCs w:val="18"/>
          <w:color w:val="auto"/>
        </w:rPr>
        <w:t>the relevant regulatory authority's onsite inspectons may be delayed;</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42"/>
        </w:numPr>
        <w:rPr>
          <w:rFonts w:ascii="Calibri" w:cs="Calibri" w:eastAsia="Calibri" w:hAnsi="Calibri"/>
          <w:sz w:val="18"/>
          <w:szCs w:val="18"/>
          <w:color w:val="auto"/>
        </w:rPr>
      </w:pPr>
      <w:r>
        <w:rPr>
          <w:rFonts w:ascii="Calibri" w:cs="Calibri" w:eastAsia="Calibri" w:hAnsi="Calibri"/>
          <w:sz w:val="18"/>
          <w:szCs w:val="18"/>
          <w:color w:val="auto"/>
        </w:rPr>
        <w:t>we, or our CROs or other vendors, may fail to comply with GxP or fail to pass any regulatory inspectons or audits;</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42"/>
        </w:numPr>
        <w:rPr>
          <w:rFonts w:ascii="Calibri" w:cs="Calibri" w:eastAsia="Calibri" w:hAnsi="Calibri"/>
          <w:sz w:val="18"/>
          <w:szCs w:val="18"/>
          <w:color w:val="auto"/>
        </w:rPr>
      </w:pPr>
      <w:r>
        <w:rPr>
          <w:rFonts w:ascii="Calibri" w:cs="Calibri" w:eastAsia="Calibri" w:hAnsi="Calibri"/>
          <w:sz w:val="18"/>
          <w:szCs w:val="18"/>
          <w:color w:val="auto"/>
        </w:rPr>
        <w:t>we or our third-party manufacturers may fail to perform in accordance with the FDA’s or other relevant regulatory authority's cGMP requirements and guidance;</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42"/>
        </w:numPr>
        <w:rPr>
          <w:rFonts w:ascii="Calibri" w:cs="Calibri" w:eastAsia="Calibri" w:hAnsi="Calibri"/>
          <w:sz w:val="18"/>
          <w:szCs w:val="18"/>
          <w:color w:val="auto"/>
        </w:rPr>
      </w:pPr>
      <w:r>
        <w:rPr>
          <w:rFonts w:ascii="Calibri" w:cs="Calibri" w:eastAsia="Calibri" w:hAnsi="Calibri"/>
          <w:sz w:val="18"/>
          <w:szCs w:val="18"/>
          <w:color w:val="auto"/>
        </w:rPr>
        <w:t>the relevant regulatory authority could deem that our fnancial relatonships with certain principal investgators consttute a confict of interest, such that the data from those principal investgators may not be used to support our applicatons;</w:t>
      </w:r>
    </w:p>
    <w:p>
      <w:pPr>
        <w:spacing w:after="0" w:line="55" w:lineRule="exact"/>
        <w:rPr>
          <w:rFonts w:ascii="Calibri" w:cs="Calibri" w:eastAsia="Calibri" w:hAnsi="Calibri"/>
          <w:sz w:val="18"/>
          <w:szCs w:val="18"/>
          <w:color w:val="auto"/>
        </w:rPr>
      </w:pPr>
    </w:p>
    <w:p>
      <w:pPr>
        <w:jc w:val="both"/>
        <w:ind w:left="660" w:hanging="328"/>
        <w:spacing w:after="0" w:line="235" w:lineRule="auto"/>
        <w:tabs>
          <w:tab w:leader="none" w:pos="653" w:val="left"/>
        </w:tabs>
        <w:numPr>
          <w:ilvl w:val="0"/>
          <w:numId w:val="42"/>
        </w:numPr>
        <w:rPr>
          <w:rFonts w:ascii="Calibri" w:cs="Calibri" w:eastAsia="Calibri" w:hAnsi="Calibri"/>
          <w:sz w:val="18"/>
          <w:szCs w:val="18"/>
          <w:color w:val="auto"/>
        </w:rPr>
      </w:pPr>
      <w:r>
        <w:rPr>
          <w:rFonts w:ascii="Calibri" w:cs="Calibri" w:eastAsia="Calibri" w:hAnsi="Calibri"/>
          <w:sz w:val="18"/>
          <w:szCs w:val="18"/>
          <w:color w:val="373737"/>
        </w:rPr>
        <w:t xml:space="preserve">as part of any future regulatory process, </w:t>
      </w:r>
      <w:r>
        <w:rPr>
          <w:rFonts w:ascii="Calibri" w:cs="Calibri" w:eastAsia="Calibri" w:hAnsi="Calibri"/>
          <w:sz w:val="18"/>
          <w:szCs w:val="18"/>
          <w:color w:val="000000"/>
        </w:rPr>
        <w:t>the FDA may ask an Advisory Commitee to review portons of the NDA, the FDA may have difculty</w:t>
      </w:r>
      <w:r>
        <w:rPr>
          <w:rFonts w:ascii="Calibri" w:cs="Calibri" w:eastAsia="Calibri" w:hAnsi="Calibri"/>
          <w:sz w:val="18"/>
          <w:szCs w:val="18"/>
          <w:color w:val="373737"/>
        </w:rPr>
        <w:t xml:space="preserve"> </w:t>
      </w:r>
      <w:r>
        <w:rPr>
          <w:rFonts w:ascii="Calibri" w:cs="Calibri" w:eastAsia="Calibri" w:hAnsi="Calibri"/>
          <w:sz w:val="18"/>
          <w:szCs w:val="18"/>
          <w:color w:val="000000"/>
        </w:rPr>
        <w:t>scheduling an Advisory Commitee meetng in a tmely manner or, if convened, an FDA Advisory Commitee could recommend non-approval, conditons of approval or restrictons on approval, and the FDA may ultmately agree with the recommendatons;</w:t>
      </w:r>
    </w:p>
    <w:p>
      <w:pPr>
        <w:spacing w:after="0" w:line="56" w:lineRule="exact"/>
        <w:rPr>
          <w:rFonts w:ascii="Calibri" w:cs="Calibri" w:eastAsia="Calibri" w:hAnsi="Calibri"/>
          <w:sz w:val="18"/>
          <w:szCs w:val="18"/>
          <w:color w:val="auto"/>
        </w:rPr>
      </w:pPr>
    </w:p>
    <w:p>
      <w:pPr>
        <w:jc w:val="both"/>
        <w:ind w:left="660" w:hanging="328"/>
        <w:spacing w:after="0" w:line="235" w:lineRule="auto"/>
        <w:tabs>
          <w:tab w:leader="none" w:pos="653" w:val="left"/>
        </w:tabs>
        <w:numPr>
          <w:ilvl w:val="0"/>
          <w:numId w:val="42"/>
        </w:numPr>
        <w:rPr>
          <w:rFonts w:ascii="Calibri" w:cs="Calibri" w:eastAsia="Calibri" w:hAnsi="Calibri"/>
          <w:sz w:val="18"/>
          <w:szCs w:val="18"/>
          <w:color w:val="auto"/>
        </w:rPr>
      </w:pPr>
      <w:r>
        <w:rPr>
          <w:rFonts w:ascii="Calibri" w:cs="Calibri" w:eastAsia="Calibri" w:hAnsi="Calibri"/>
          <w:sz w:val="18"/>
          <w:szCs w:val="18"/>
          <w:color w:val="auto"/>
        </w:rPr>
        <w:t>the relevant regulatory authority’s review process and decision-making regarding any product candidate may be impacted by the results of our and our compettors’ clinical trials and safety concerns of marketed products used to treat the same indicatons as the indicatons for which Vafseo and any other product candidate are being developed;</w:t>
      </w:r>
    </w:p>
    <w:p>
      <w:pPr>
        <w:spacing w:after="0" w:line="56" w:lineRule="exact"/>
        <w:rPr>
          <w:rFonts w:ascii="Calibri" w:cs="Calibri" w:eastAsia="Calibri" w:hAnsi="Calibri"/>
          <w:sz w:val="18"/>
          <w:szCs w:val="18"/>
          <w:color w:val="auto"/>
        </w:rPr>
      </w:pPr>
    </w:p>
    <w:p>
      <w:pPr>
        <w:ind w:left="640" w:hanging="308"/>
        <w:spacing w:after="0"/>
        <w:tabs>
          <w:tab w:leader="none" w:pos="640" w:val="left"/>
        </w:tabs>
        <w:numPr>
          <w:ilvl w:val="0"/>
          <w:numId w:val="42"/>
        </w:numPr>
        <w:rPr>
          <w:rFonts w:ascii="Calibri" w:cs="Calibri" w:eastAsia="Calibri" w:hAnsi="Calibri"/>
          <w:sz w:val="17"/>
          <w:szCs w:val="17"/>
          <w:color w:val="auto"/>
        </w:rPr>
      </w:pPr>
      <w:r>
        <w:rPr>
          <w:rFonts w:ascii="Calibri" w:cs="Calibri" w:eastAsia="Calibri" w:hAnsi="Calibri"/>
          <w:sz w:val="17"/>
          <w:szCs w:val="17"/>
          <w:color w:val="auto"/>
        </w:rPr>
        <w:t>the relevant regulatory authority may not approve the manufacturing processes or facilites of third-party manufacturers with whom we contract; or</w:t>
      </w:r>
    </w:p>
    <w:p>
      <w:pPr>
        <w:spacing w:after="0" w:line="62" w:lineRule="exact"/>
        <w:rPr>
          <w:rFonts w:ascii="Calibri" w:cs="Calibri" w:eastAsia="Calibri" w:hAnsi="Calibri"/>
          <w:sz w:val="17"/>
          <w:szCs w:val="17"/>
          <w:color w:val="auto"/>
        </w:rPr>
      </w:pPr>
    </w:p>
    <w:p>
      <w:pPr>
        <w:ind w:left="660" w:hanging="328"/>
        <w:spacing w:after="0" w:line="235" w:lineRule="auto"/>
        <w:tabs>
          <w:tab w:leader="none" w:pos="653" w:val="left"/>
        </w:tabs>
        <w:numPr>
          <w:ilvl w:val="0"/>
          <w:numId w:val="42"/>
        </w:numPr>
        <w:rPr>
          <w:rFonts w:ascii="Calibri" w:cs="Calibri" w:eastAsia="Calibri" w:hAnsi="Calibri"/>
          <w:sz w:val="18"/>
          <w:szCs w:val="18"/>
          <w:color w:val="auto"/>
        </w:rPr>
      </w:pPr>
      <w:r>
        <w:rPr>
          <w:rFonts w:ascii="Calibri" w:cs="Calibri" w:eastAsia="Calibri" w:hAnsi="Calibri"/>
          <w:sz w:val="18"/>
          <w:szCs w:val="18"/>
          <w:color w:val="auto"/>
        </w:rPr>
        <w:t>the policies or regulatons of the relevant regulatory authority may signifcantly change in a manner that renders our clinical data insufcient for approval or requires us to amend or submit new clinical protocols.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Moreover, principal investgators for our future clinical trials may serve as scientfc advisors or consultants to us and receive compensaton in connecton with such services. Under certain circumstances, we may be required to report some of these relatonships to the FDA or comparable foreign regulatory authorites. The FDA or a comparable foreign regulatory authority may conclude that a fnancial relatonship between us and a principal investgator has created a confict of interest or otherwise afected interpretaton of the study. The FDA or comparable foreign regulatory authority may therefore queston the integrity of the data generated at the applicable clinical trial site and the utlity of the clinical trial itself may be jeopardized. This could result in a delay in approval, or rejecton, of our marketng applicatons by the FDA or comparable foreign regulatory authority, as the case may be, and may ultmately lead to the denial of marketng approval of one or more of our product candidates.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we could be adversely afected by several signifcant administratve law cases decided by the U.S. Supreme Court in 2024. In Loper Bright Enterprises v. Raimondo, for example, the court overruled Chevron U.S.A., Inc. v. Natural Resources Defense Council, Inc., which for 40 years required federal courts to defer to permissible agency interpretatons of statutes that are silent or ambiguous on a partcular topic. The U.S. Supreme Court stripped federal agencies of this presumptve deference and held that courts must exercise their independent judgment when deciding whether an agency such as the FDA acted within its statutory authority under the Administratve Procedure Act, or the APA. Additonally, in Corner Post, Inc. v. Board of Governors of the Federal Reserve System, the court held that actons to challenge a federal regulaton under the APA can be initated within six years of the date of injury to the plaintf, rather than the date the rule is fnalized. The decision appears to give prospectve plaintfs a personal statute of limitatons to challenge longstanding agency regulatons. Another decision, Securites and Exchange Commission v. Jarkesy, overturned regulatory agencies’ ability to impose civil penaltes in administratve proceedings. These decisions could introduce additonal uncertainty into the regulatory process and may result in additonal legal challenges to actons taken by federal regulatory agencies, including the FDA and CMS, that we rely on. In additon to potental changes to regulatons as a result of legal challenges, these decisions may result in increased regulatory uncertainty and delays and other impacts, any of which could adversely impact our business and operatons.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3" w:name="page74"/>
    <w:bookmarkEnd w:id="7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Further, our ability to develop and market new drug products may be impacted by litgaton challenging the FDA’s approval of another company’s drug product. In April 2023, the U.S. District Court for the Northern District of Texas invalidated the approval by the FDA of mifepristone, a drug product which was originally approved in 2000 and whose distributon is governed by various measures adopted under a REMS. The Court of Appeals for the Fifh Circuit declined to order the removal of mifepristone from the market but did hold that plaintfs were likely to prevail in their claim that changes allowing for expanded access of mifepristone, which the FDA authorized in 2016 and 2021, were arbitrary and capricious. In June 2024, the Supreme Court reversed that decision afer unanimously fnding that the plaintfs did not have standing to bring this legal acton against the FDA. On October 11, 2024, the Atorneys General of three states (Missouri, Idaho and Kansas) fled an amended complaint in the U.S. District Court for the Northern District of Texas challenging the FDA’s actons. On January 16, 2025, the district court agreed to allow these states to fle an amended complaint and contnue to pursue this challenge. Depending on the outcome of this litgaton, our ability to develop new drug product candidates and to maintain approval of existng drug products could be delayed, undermined or subject to protracted litgaton.</w:t>
      </w:r>
    </w:p>
    <w:p>
      <w:pPr>
        <w:spacing w:after="0" w:line="116"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Finally, with the change in presidental administratons in 2025, there is substantal uncertainty as to how, if at all, the new administraton will seek to modify or revise the requirements and policies of the FDA, CMS and other government agencies with jurisdicton over our products and product candidates. Any change in regulatons or policies at FDA, CMS or other government agencies could adversely afect our products and product candidates, including the regulatory process or the pricing or reimbursement of our products or product candidates. In additon, the FDA, CMS and other government agencies recently experienced reductons in workforce and could experience additonal such actons. Any disruptons at those agencies or uncertainty from any regulatory changes that afect the development or commercializaton of our products and product candidates could present new challenges as we navigate the clinical development and approval process for our product candidates and could have an adverse efect on the commercializaton of our products.</w:t>
      </w:r>
    </w:p>
    <w:p>
      <w:pPr>
        <w:spacing w:after="0" w:line="101"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b w:val="1"/>
          <w:bCs w:val="1"/>
          <w:i w:val="1"/>
          <w:iCs w:val="1"/>
          <w:color w:val="auto"/>
        </w:rPr>
        <w:t>If we are unable to obtain or maintain marketng approval in jurisdictons outside the United States, we and our partners will not be able to market any product or product candidates outside of the United States.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order to market and sell our product candidates in the European Union, Japan and many other jurisdictons, we or our partners must obtain or maintain separate marketng approvals and comply with numerous and varying regulatory requirements. Approval by the FDA does not ensure approval by regulatory authorites in other countries or jurisdictons, and approval by one regulatory authority outside the United States does not ensure approval by regulatory authorites in other countries or jurisdictons or by the FDA. The approval procedure varies among countries and can involve additonal testng. In additon, clinical trials conducted in one country may not be accepted by regulatory authorites in other countries. The tme required to obtain or maintain approval may difer substantally from that required to obtain or maintain FDA approval. The regulatory approval process outside the United States generally includes all of the risks associated with obtaining or maintaining FDA approval. In additon, in many countries outside the United States, it is required that the product be approved for reimbursement before the product can be approved for sale in that country. We and our partners may not obtain or maintain approvals from regulatory authorites outside the United States on a tmely basis or at all.</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Additonally, we and our partners could face heightened risks with respect to obtaining or maintaining marketng authorizatons in the UK as a result of the withdrawal of the UK from the EU, commonly referred to as Brexit. The UK is no longer part of the European Single Market and EU Customs Union. As of January 1, 2025, the Medicines and Healthcare Products Regulatory Agency, or </w:t>
      </w:r>
      <w:r>
        <w:rPr>
          <w:rFonts w:ascii="Calibri" w:cs="Calibri" w:eastAsia="Calibri" w:hAnsi="Calibri"/>
          <w:sz w:val="18"/>
          <w:szCs w:val="18"/>
          <w:u w:val="single" w:color="auto"/>
          <w:color w:val="auto"/>
        </w:rPr>
        <w:t>MHRA</w:t>
      </w:r>
      <w:r>
        <w:rPr>
          <w:rFonts w:ascii="Calibri" w:cs="Calibri" w:eastAsia="Calibri" w:hAnsi="Calibri"/>
          <w:sz w:val="18"/>
          <w:szCs w:val="18"/>
          <w:color w:val="auto"/>
        </w:rPr>
        <w:t xml:space="preserve">, is responsible for approving all medicinal products destned for the United Kingdom market (i.e., Great Britain and Northern Ireland). At the same tme, a new internatonal recogniton procedure, or </w:t>
      </w:r>
      <w:r>
        <w:rPr>
          <w:rFonts w:ascii="Calibri" w:cs="Calibri" w:eastAsia="Calibri" w:hAnsi="Calibri"/>
          <w:sz w:val="18"/>
          <w:szCs w:val="18"/>
          <w:u w:val="single" w:color="auto"/>
          <w:color w:val="auto"/>
        </w:rPr>
        <w:t>IRP</w:t>
      </w:r>
      <w:r>
        <w:rPr>
          <w:rFonts w:ascii="Calibri" w:cs="Calibri" w:eastAsia="Calibri" w:hAnsi="Calibri"/>
          <w:sz w:val="18"/>
          <w:szCs w:val="18"/>
          <w:color w:val="auto"/>
        </w:rPr>
        <w:t>, will apply, which intends to facilitate approval of pharmaceutcal products in the UK. The IRP is open to applicants that have already received an authorizaton for the same product from one of the MHRA’s specifed Reference Regulators, or RRs. The RRs notably include EMA and regulators in the EEA member states for approvals in the EU centralized procedure and mutual recogniton procedure as well as the FDA (for product approvals granted in the U.S.). However, the concrete functoning of the IRP is currently unclear. Any delay in obtaining, maintaining or an inability to obtain or maintain, any marketng approvals may force us or our partners to restrict or delay eforts to seek regulatory approval in the UK for our product candidates, which could signifcantly and materially harm our business.</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foreign regulatory authorites may change their approval policies and new regulatons may be enacted. For instance, the EU pharmaceutcal legislaton is currently undergoing a complete review process, in the context of the Pharmaceutcal Strategy for Europe initatve, launched by the European Commission in November 2020. The European Commission’s proposal for revision of several legislatve instruments related to medicinal products (potentally reducing the duraton of regulatory data protecton, revising the eligibility for expedited pathways, etc.) was published on April 26, 2023. The proposed revisions remain to be agreed and adopted by the European Parliament and European Council and the proposals may therefore be substantally revised before adopton, which is not antcipated before early 2026. The revisions may, however, have a signifcant impact on the pharmaceutcal industry and our business in the long term.</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Products approved for marketng are subject to extensive post-marketng regulatory requirements, including post-approval pediatric studies for Auryxia and Vafseo, and could be subject to post-marketng restrictons or withdrawal from the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4" w:name="page75"/>
    <w:bookmarkEnd w:id="7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market, and we may be subject to penaltes, including withdrawal of marketng approval, if we fail to comply with regulatory requirements or if we experience unantcipated problems with our products, or product candidates, when and if approved.</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Marketng approvals may be subject to limitatons on the approved indicated uses for which the product may be marketed, other conditons of approval, or contain requirements or commitments for potentally costly post-marketng studies and surveillance to monitor the safety and efcacy of the product, including REMS, or registries or observatonal studies. For example, in connecton with the FDA approvals of Auryxia and Vafseo, we commited to the FDA to conduct certain post-approval pediatric studies of Auryxia and Vafseo under the Pediatric Research Equity Act of 2003, or </w:t>
      </w:r>
      <w:r>
        <w:rPr>
          <w:rFonts w:ascii="Calibri" w:cs="Calibri" w:eastAsia="Calibri" w:hAnsi="Calibri"/>
          <w:sz w:val="18"/>
          <w:szCs w:val="18"/>
          <w:u w:val="single" w:color="auto"/>
          <w:color w:val="auto"/>
        </w:rPr>
        <w:t>PREA</w:t>
      </w:r>
      <w:r>
        <w:rPr>
          <w:rFonts w:ascii="Calibri" w:cs="Calibri" w:eastAsia="Calibri" w:hAnsi="Calibri"/>
          <w:sz w:val="18"/>
          <w:szCs w:val="18"/>
          <w:color w:val="auto"/>
        </w:rPr>
        <w:t xml:space="preserve">. Under PREA, an NDA or supplement to an NDA for certain drug products must contain data to assess the safety and efectveness of the drug product in all relevant pediatric subpopulatons and to support dosing and administraton for each pediatric subpopulaton for which the product is safe and efectve, unless the sponsor receives a deferral or waiver from the FDA. A deferral may be granted for several reasons, including a fnding that the product or therapeutc candidate is ready for approval for use in adults before pediatric trials are complete or that additonal safety or efectveness data needs to be collected before the pediatric trials begin. With regard to the Hyperphosphatemia Indicaton for Auryxia, we initally commited to completng the original post-approval pediatric study and submitng a fnal report to the FDA by December 31, 2019. However, we did not complete the study according to the original schedule and therefore did not submit the required fnal report by December 31, 2019. Consequently, we received a notfcaton of noncompliance with PREA. We have since been released from the original post marketng requirement, or </w:t>
      </w:r>
      <w:r>
        <w:rPr>
          <w:rFonts w:ascii="Calibri" w:cs="Calibri" w:eastAsia="Calibri" w:hAnsi="Calibri"/>
          <w:sz w:val="18"/>
          <w:szCs w:val="18"/>
          <w:u w:val="single" w:color="auto"/>
          <w:color w:val="auto"/>
        </w:rPr>
        <w:t>PMR</w:t>
      </w:r>
      <w:r>
        <w:rPr>
          <w:rFonts w:ascii="Calibri" w:cs="Calibri" w:eastAsia="Calibri" w:hAnsi="Calibri"/>
          <w:sz w:val="18"/>
          <w:szCs w:val="18"/>
          <w:color w:val="auto"/>
        </w:rPr>
        <w:t xml:space="preserve">, and a new PMR was issued that provided that the fnal report was due in April 2024. In June 2023 we requested an extension of tme for the submission of the fnal report and such request was denied by the FDA in August 2023. The PMR trial is ongoing and actvely recruitng patents, but the fnal report for the trial was due in April 2024, so the trial is considered delayed. With regard to Auryxia for the treatment of IDA in adult NDD-CKD patents, or </w:t>
      </w:r>
      <w:r>
        <w:rPr>
          <w:rFonts w:ascii="Calibri" w:cs="Calibri" w:eastAsia="Calibri" w:hAnsi="Calibri"/>
          <w:sz w:val="18"/>
          <w:szCs w:val="18"/>
          <w:u w:val="single" w:color="auto"/>
          <w:color w:val="auto"/>
        </w:rPr>
        <w:t>IDA Indicaton</w:t>
      </w:r>
      <w:r>
        <w:rPr>
          <w:rFonts w:ascii="Calibri" w:cs="Calibri" w:eastAsia="Calibri" w:hAnsi="Calibri"/>
          <w:sz w:val="18"/>
          <w:szCs w:val="18"/>
          <w:color w:val="auto"/>
        </w:rPr>
        <w:t>, we initally commited to completng the post-approval pediatric study and submitng a fnal report to the FDA by January 2023. We did not meet a required milestone relatng to this post-approval pediatric study of Auryxia in a tmely manner and received a notfcaton from the FDA. Subsequently, the FDA agreed to extend the pediatric clinical trial tmelines for the IDA Indicaton and required that the fnal report be submited in August 2024. We subsequently communicated to the FDA that we would be delaying the start of the clinical trial in the IDA Indicaton while we work to produce smaller size tablets. In response, the FDA issued a partal clinical hold untl we manufacture the smaller tablets and provide the FDA with relevant informaton regarding the smaller sized tablets for review. The FDA lifed the partal clinical hold in June 2022, and we contnued to conduct feasibility, however, we have not commenced start-up of this study. In February 2024, we requested an extension for the submission of the fnal report and such request was denied by the FDA in April 2024. In October 2024, we received a leter from the FDA regarding our non-compliance with PREA due to our failure to complete the IDA post-approval pediatric study, and we submited our response, including a proposal to waive the PMR with regard to the IDA Indicaton, to the FDA on November 1, 2024. If the FDA denies our waiver of the PMR with regard to the IDA Indicaton, or we are unable to complete these studies successfully or have further delays in completng these studies, we will need to inform the FDA, have further discussions and, if the FDA fnds that we failed to comply with pediatric study requirements, in violaton of applicable law, it could insttute enforcement proceedings to seize or enjoin the sale of Auryxia, seek civil penaltes or other adverse consequences, which would have a material adverse impact on our ability to commercialize Auryxia and our ability to generate revenues from Auryxia.</w:t>
      </w:r>
    </w:p>
    <w:p>
      <w:pPr>
        <w:spacing w:after="0" w:line="13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additon, the manufacturing processes, labeling, packaging, distributon, adverse event reportng, storage, advertsing, promoton and recordkeeping for Auryxia, Vafseo and any other product for which we receive regulatory approval will be subject to extensive and ongoing regulatory requirements and guidance. These requirements and guidance include manufacturing processes and procedures (including record keeping), the implementaton and operaton of quality systems to control and assure the quality of the product, submissions of safety and other post-marketng informaton and reports, as well as contnued compliance with cGMPs and GCPs for any clinical trials that we conduct post-approval. If we, our contract manufacturing organizatons, or </w:t>
      </w:r>
      <w:r>
        <w:rPr>
          <w:rFonts w:ascii="Calibri" w:cs="Calibri" w:eastAsia="Calibri" w:hAnsi="Calibri"/>
          <w:sz w:val="18"/>
          <w:szCs w:val="18"/>
          <w:u w:val="single" w:color="auto"/>
          <w:color w:val="auto"/>
        </w:rPr>
        <w:t>CMOs,</w:t>
      </w:r>
      <w:r>
        <w:rPr>
          <w:rFonts w:ascii="Calibri" w:cs="Calibri" w:eastAsia="Calibri" w:hAnsi="Calibri"/>
          <w:sz w:val="18"/>
          <w:szCs w:val="18"/>
          <w:color w:val="auto"/>
        </w:rPr>
        <w:t xml:space="preserve"> or other third partes we engage fail to adhere to such regulatory requirements and guidance, we could sufer signifcant consequences, including product seizures or recalls, loss of product approval, fnes and sanctons, reputatonal damage, loss of customer confdence, shipment delays, inventory shortages, inventory write-ofs and other product-related charges and increased manufacturing costs, and our development or commercializaton eforts may be materially harmed.</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Post-approval discovery of previously unknown problems with an approved product, including adverse events of unantcipated severity or frequency or relatng to manufacturing operatons or processes, or failure to comply with regulatory requirements, may result in, among other things:</w:t>
      </w:r>
    </w:p>
    <w:p>
      <w:pPr>
        <w:spacing w:after="0" w:line="105" w:lineRule="exact"/>
        <w:rPr>
          <w:sz w:val="20"/>
          <w:szCs w:val="20"/>
          <w:color w:val="auto"/>
        </w:rPr>
      </w:pPr>
    </w:p>
    <w:p>
      <w:pPr>
        <w:ind w:left="640" w:hanging="308"/>
        <w:spacing w:after="0"/>
        <w:tabs>
          <w:tab w:leader="none" w:pos="64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restrictons on the marketng, distributon, use or manufacturing of the product;</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withdrawal of the product from the market, or product recalls;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restrictons on the labeling or marketng of a product;</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43"/>
        </w:numPr>
        <w:rPr>
          <w:rFonts w:ascii="Calibri" w:cs="Calibri" w:eastAsia="Calibri" w:hAnsi="Calibri"/>
          <w:sz w:val="18"/>
          <w:szCs w:val="18"/>
          <w:color w:val="auto"/>
        </w:rPr>
      </w:pPr>
      <w:r>
        <w:rPr>
          <w:rFonts w:ascii="Calibri" w:cs="Calibri" w:eastAsia="Calibri" w:hAnsi="Calibri"/>
          <w:sz w:val="18"/>
          <w:szCs w:val="18"/>
          <w:color w:val="auto"/>
        </w:rPr>
        <w:t>fnes, resttuton or disgorgement of profts or revenues;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5" w:name="page76"/>
    <w:bookmarkEnd w:id="7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40" w:hanging="308"/>
        <w:spacing w:after="0"/>
        <w:tabs>
          <w:tab w:leader="none" w:pos="640" w:val="left"/>
        </w:tabs>
        <w:numPr>
          <w:ilvl w:val="0"/>
          <w:numId w:val="44"/>
        </w:numPr>
        <w:rPr>
          <w:rFonts w:ascii="Calibri" w:cs="Calibri" w:eastAsia="Calibri" w:hAnsi="Calibri"/>
          <w:sz w:val="18"/>
          <w:szCs w:val="18"/>
          <w:color w:val="auto"/>
        </w:rPr>
      </w:pPr>
      <w:r>
        <w:rPr>
          <w:rFonts w:ascii="Calibri" w:cs="Calibri" w:eastAsia="Calibri" w:hAnsi="Calibri"/>
          <w:sz w:val="18"/>
          <w:szCs w:val="18"/>
          <w:color w:val="auto"/>
        </w:rPr>
        <w:t>warning or unttled leters or clinical holds;</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44"/>
        </w:numPr>
        <w:rPr>
          <w:rFonts w:ascii="Calibri" w:cs="Calibri" w:eastAsia="Calibri" w:hAnsi="Calibri"/>
          <w:sz w:val="18"/>
          <w:szCs w:val="18"/>
          <w:color w:val="auto"/>
        </w:rPr>
      </w:pPr>
      <w:r>
        <w:rPr>
          <w:rFonts w:ascii="Calibri" w:cs="Calibri" w:eastAsia="Calibri" w:hAnsi="Calibri"/>
          <w:sz w:val="18"/>
          <w:szCs w:val="18"/>
          <w:color w:val="auto"/>
        </w:rPr>
        <w:t>refusal by the FDA or other regulatory authorites to approve pending applicatons or supplements to approved applicatons fled by us, or suspension or revocaton of product approvals;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44"/>
        </w:numPr>
        <w:rPr>
          <w:rFonts w:ascii="Calibri" w:cs="Calibri" w:eastAsia="Calibri" w:hAnsi="Calibri"/>
          <w:sz w:val="18"/>
          <w:szCs w:val="18"/>
          <w:color w:val="auto"/>
        </w:rPr>
      </w:pPr>
      <w:r>
        <w:rPr>
          <w:rFonts w:ascii="Calibri" w:cs="Calibri" w:eastAsia="Calibri" w:hAnsi="Calibri"/>
          <w:sz w:val="18"/>
          <w:szCs w:val="18"/>
          <w:color w:val="auto"/>
        </w:rPr>
        <w:t>product seizure or detenton, or refusal to permit the import or export of products;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44"/>
        </w:numPr>
        <w:rPr>
          <w:rFonts w:ascii="Calibri" w:cs="Calibri" w:eastAsia="Calibri" w:hAnsi="Calibri"/>
          <w:sz w:val="18"/>
          <w:szCs w:val="18"/>
          <w:color w:val="auto"/>
        </w:rPr>
      </w:pPr>
      <w:r>
        <w:rPr>
          <w:rFonts w:ascii="Calibri" w:cs="Calibri" w:eastAsia="Calibri" w:hAnsi="Calibri"/>
          <w:sz w:val="18"/>
          <w:szCs w:val="18"/>
          <w:color w:val="auto"/>
        </w:rPr>
        <w:t>REMS; and</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44"/>
        </w:numPr>
        <w:rPr>
          <w:rFonts w:ascii="Calibri" w:cs="Calibri" w:eastAsia="Calibri" w:hAnsi="Calibri"/>
          <w:sz w:val="18"/>
          <w:szCs w:val="18"/>
          <w:color w:val="auto"/>
        </w:rPr>
      </w:pPr>
      <w:r>
        <w:rPr>
          <w:rFonts w:ascii="Calibri" w:cs="Calibri" w:eastAsia="Calibri" w:hAnsi="Calibri"/>
          <w:sz w:val="18"/>
          <w:szCs w:val="18"/>
          <w:color w:val="auto"/>
        </w:rPr>
        <w:t>injunctons or the impositon of civil or criminal penaltes.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example, we previously had three limited, voluntary recalls of Auryxia. These and any other recalls or any supply, quality or manufacturing issues in the future related to Auryxia or Vafseo could result in signifcant negatve consequences, including reputatonal harm, loss of customer confdence, and a negatve impact on our fnancials, any of which could have a material adverse efect on our business and results of operatons, and may impact our ability to supply Auryxia in the U.S. and Vafseo in the U.S., Japan, Europe or in other countries, for commercial and clinical use.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Non-compliance with the FDA, the EMA, the PMDA and other regulatory authorites’ requirements regarding safety monitoring or pharmacovigilance can also result in signifcant fnancial penaltes.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FDA’s policies and those of other regulatory authorites may change, and additonal government regulatons may be enacted. We cannot predict the likelihood, nature or extent of government regulatons that may arise from future legislaton or administratve acton, either in the U.S. or in other jurisdictons. If we are slow or unable to adapt to changes in existng requirements or the adopton of new requirements or policies, or are not able to maintain regulatory compliance, we may lose any marketng approval that we may have obtained and we may not achieve or sustain proftability, which would materially adversely afect our business.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Risks Related to Governmental Regulaton and Compliance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We are subject to complex regulatory schemes that require signifcant resources to ensure compliance and our failure to comply with applicable laws could subject us to government scrutny or enforcement, potentally resultng in costly investgatons, fnes, penaltes or sanctons, contractual damages, reputatonal harm, administratve burdens and diminished profts and future earnings.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In general, a variety of laws apply to us or may otherwise restrict our actvites, including the following:</w:t>
      </w:r>
    </w:p>
    <w:p>
      <w:pPr>
        <w:spacing w:after="0" w:line="154" w:lineRule="exact"/>
        <w:rPr>
          <w:sz w:val="20"/>
          <w:szCs w:val="20"/>
          <w:color w:val="auto"/>
        </w:rPr>
      </w:pPr>
    </w:p>
    <w:p>
      <w:pPr>
        <w:ind w:left="660" w:hanging="328"/>
        <w:spacing w:after="0" w:line="222" w:lineRule="auto"/>
        <w:tabs>
          <w:tab w:leader="none" w:pos="655" w:val="left"/>
        </w:tabs>
        <w:numPr>
          <w:ilvl w:val="0"/>
          <w:numId w:val="45"/>
        </w:numPr>
        <w:rPr>
          <w:rFonts w:ascii="Arial" w:cs="Arial" w:eastAsia="Arial" w:hAnsi="Arial"/>
          <w:sz w:val="22"/>
          <w:szCs w:val="22"/>
          <w:color w:val="auto"/>
        </w:rPr>
      </w:pPr>
      <w:r>
        <w:rPr>
          <w:rFonts w:ascii="Times New Roman" w:cs="Times New Roman" w:eastAsia="Times New Roman" w:hAnsi="Times New Roman"/>
          <w:sz w:val="18"/>
          <w:szCs w:val="18"/>
          <w:color w:val="auto"/>
        </w:rPr>
        <w:t>l</w:t>
      </w:r>
      <w:r>
        <w:rPr>
          <w:rFonts w:ascii="Calibri" w:cs="Calibri" w:eastAsia="Calibri" w:hAnsi="Calibri"/>
          <w:sz w:val="18"/>
          <w:szCs w:val="18"/>
          <w:color w:val="auto"/>
        </w:rPr>
        <w:t>aws and regulatons governing the conduct of preclinical studies and clinical trials in the U.S. and other countries in which we are conductng such</w:t>
      </w:r>
      <w:r>
        <w:rPr>
          <w:rFonts w:ascii="Times New Roman" w:cs="Times New Roman" w:eastAsia="Times New Roman" w:hAnsi="Times New Roman"/>
          <w:sz w:val="18"/>
          <w:szCs w:val="18"/>
          <w:color w:val="auto"/>
        </w:rPr>
        <w:t xml:space="preserve"> </w:t>
      </w:r>
      <w:r>
        <w:rPr>
          <w:rFonts w:ascii="Calibri" w:cs="Calibri" w:eastAsia="Calibri" w:hAnsi="Calibri"/>
          <w:sz w:val="18"/>
          <w:szCs w:val="18"/>
          <w:color w:val="auto"/>
        </w:rPr>
        <w:t>studies;</w:t>
      </w:r>
    </w:p>
    <w:p>
      <w:pPr>
        <w:spacing w:after="0" w:line="51" w:lineRule="exact"/>
        <w:rPr>
          <w:rFonts w:ascii="Arial" w:cs="Arial" w:eastAsia="Arial" w:hAnsi="Arial"/>
          <w:sz w:val="22"/>
          <w:szCs w:val="22"/>
          <w:color w:val="auto"/>
        </w:rPr>
      </w:pPr>
    </w:p>
    <w:p>
      <w:pPr>
        <w:ind w:left="640" w:hanging="308"/>
        <w:spacing w:after="0"/>
        <w:tabs>
          <w:tab w:leader="none" w:pos="640" w:val="left"/>
        </w:tabs>
        <w:numPr>
          <w:ilvl w:val="0"/>
          <w:numId w:val="45"/>
        </w:numPr>
        <w:rPr>
          <w:rFonts w:ascii="Calibri" w:cs="Calibri" w:eastAsia="Calibri" w:hAnsi="Calibri"/>
          <w:sz w:val="18"/>
          <w:szCs w:val="18"/>
          <w:color w:val="auto"/>
        </w:rPr>
      </w:pPr>
      <w:r>
        <w:rPr>
          <w:rFonts w:ascii="Calibri" w:cs="Calibri" w:eastAsia="Calibri" w:hAnsi="Calibri"/>
          <w:sz w:val="18"/>
          <w:szCs w:val="18"/>
          <w:color w:val="auto"/>
        </w:rPr>
        <w:t>ant-corrupton and ant-bribery laws, including the FCPA, the UK Bribery Act and various other ant-corrupton laws in countries outside of the U.S.;</w:t>
      </w:r>
    </w:p>
    <w:p>
      <w:pPr>
        <w:spacing w:after="0" w:line="55" w:lineRule="exact"/>
        <w:rPr>
          <w:rFonts w:ascii="Calibri" w:cs="Calibri" w:eastAsia="Calibri" w:hAnsi="Calibri"/>
          <w:sz w:val="18"/>
          <w:szCs w:val="18"/>
          <w:color w:val="auto"/>
        </w:rPr>
      </w:pPr>
    </w:p>
    <w:p>
      <w:pPr>
        <w:jc w:val="both"/>
        <w:ind w:left="660" w:hanging="328"/>
        <w:spacing w:after="0" w:line="235" w:lineRule="auto"/>
        <w:tabs>
          <w:tab w:leader="none" w:pos="653" w:val="left"/>
        </w:tabs>
        <w:numPr>
          <w:ilvl w:val="0"/>
          <w:numId w:val="45"/>
        </w:numPr>
        <w:rPr>
          <w:rFonts w:ascii="Calibri" w:cs="Calibri" w:eastAsia="Calibri" w:hAnsi="Calibri"/>
          <w:sz w:val="18"/>
          <w:szCs w:val="18"/>
          <w:color w:val="auto"/>
        </w:rPr>
      </w:pPr>
      <w:r>
        <w:rPr>
          <w:rFonts w:ascii="Calibri" w:cs="Calibri" w:eastAsia="Calibri" w:hAnsi="Calibri"/>
          <w:sz w:val="18"/>
          <w:szCs w:val="18"/>
          <w:color w:val="auto"/>
        </w:rPr>
        <w:t xml:space="preserve">data privacy laws existng in the U.S., the EU, the UK and other countries in which we operate, including the U.S. Health Insurance Portability and Accountability Act of 1996, or </w:t>
      </w:r>
      <w:r>
        <w:rPr>
          <w:rFonts w:ascii="Calibri" w:cs="Calibri" w:eastAsia="Calibri" w:hAnsi="Calibri"/>
          <w:sz w:val="18"/>
          <w:szCs w:val="18"/>
          <w:u w:val="single" w:color="auto"/>
          <w:color w:val="auto"/>
        </w:rPr>
        <w:t>HIPAA</w:t>
      </w:r>
      <w:r>
        <w:rPr>
          <w:rFonts w:ascii="Calibri" w:cs="Calibri" w:eastAsia="Calibri" w:hAnsi="Calibri"/>
          <w:sz w:val="18"/>
          <w:szCs w:val="18"/>
          <w:color w:val="auto"/>
        </w:rPr>
        <w:t xml:space="preserve">, as amended by the Health Informaton Technology for Economic and Clinical Health Act, or </w:t>
      </w:r>
      <w:r>
        <w:rPr>
          <w:rFonts w:ascii="Calibri" w:cs="Calibri" w:eastAsia="Calibri" w:hAnsi="Calibri"/>
          <w:sz w:val="18"/>
          <w:szCs w:val="18"/>
          <w:u w:val="single" w:color="auto"/>
          <w:color w:val="auto"/>
        </w:rPr>
        <w:t>HITECH</w:t>
      </w:r>
      <w:r>
        <w:rPr>
          <w:rFonts w:ascii="Calibri" w:cs="Calibri" w:eastAsia="Calibri" w:hAnsi="Calibri"/>
          <w:sz w:val="18"/>
          <w:szCs w:val="18"/>
          <w:color w:val="auto"/>
        </w:rPr>
        <w:t xml:space="preserve">, state privacy and data protecton laws, such as the California Consumer Privacy Act, or </w:t>
      </w:r>
      <w:r>
        <w:rPr>
          <w:rFonts w:ascii="Calibri" w:cs="Calibri" w:eastAsia="Calibri" w:hAnsi="Calibri"/>
          <w:sz w:val="18"/>
          <w:szCs w:val="18"/>
          <w:u w:val="single" w:color="auto"/>
          <w:color w:val="auto"/>
        </w:rPr>
        <w:t>CCPA</w:t>
      </w:r>
      <w:r>
        <w:rPr>
          <w:rFonts w:ascii="Calibri" w:cs="Calibri" w:eastAsia="Calibri" w:hAnsi="Calibri"/>
          <w:sz w:val="18"/>
          <w:szCs w:val="18"/>
          <w:color w:val="auto"/>
        </w:rPr>
        <w:t xml:space="preserve">, as amended by the California Privacy Rights Act of 2020, or </w:t>
      </w:r>
      <w:r>
        <w:rPr>
          <w:rFonts w:ascii="Calibri" w:cs="Calibri" w:eastAsia="Calibri" w:hAnsi="Calibri"/>
          <w:sz w:val="18"/>
          <w:szCs w:val="18"/>
          <w:u w:val="single" w:color="auto"/>
          <w:color w:val="auto"/>
        </w:rPr>
        <w:t>CPRA</w:t>
      </w:r>
      <w:r>
        <w:rPr>
          <w:rFonts w:ascii="Calibri" w:cs="Calibri" w:eastAsia="Calibri" w:hAnsi="Calibri"/>
          <w:sz w:val="18"/>
          <w:szCs w:val="18"/>
          <w:color w:val="auto"/>
        </w:rPr>
        <w:t xml:space="preserve">, as well as other state consumer protecton laws, GDPR, any additonal applicable EU member state, or </w:t>
      </w:r>
      <w:r>
        <w:rPr>
          <w:rFonts w:ascii="Calibri" w:cs="Calibri" w:eastAsia="Calibri" w:hAnsi="Calibri"/>
          <w:sz w:val="18"/>
          <w:szCs w:val="18"/>
          <w:u w:val="single" w:color="auto"/>
          <w:color w:val="auto"/>
        </w:rPr>
        <w:t>EU Member State</w:t>
      </w:r>
      <w:r>
        <w:rPr>
          <w:rFonts w:ascii="Calibri" w:cs="Calibri" w:eastAsia="Calibri" w:hAnsi="Calibri"/>
          <w:sz w:val="18"/>
          <w:szCs w:val="18"/>
          <w:color w:val="auto"/>
        </w:rPr>
        <w:t>, data protecton laws in force from tme to tme, the retained EU law version of the General Data Protecton Regulaton as saved into United Kingdom law by virtue of secton 3 of the United Kingdom's European Union (Withdrawal) Act 2018;</w:t>
      </w:r>
    </w:p>
    <w:p>
      <w:pPr>
        <w:spacing w:after="0" w:line="54" w:lineRule="exact"/>
        <w:rPr>
          <w:rFonts w:ascii="Calibri" w:cs="Calibri" w:eastAsia="Calibri" w:hAnsi="Calibri"/>
          <w:sz w:val="18"/>
          <w:szCs w:val="18"/>
          <w:color w:val="auto"/>
        </w:rPr>
      </w:pPr>
    </w:p>
    <w:p>
      <w:pPr>
        <w:ind w:left="640" w:hanging="308"/>
        <w:spacing w:after="0"/>
        <w:tabs>
          <w:tab w:leader="none" w:pos="640" w:val="left"/>
        </w:tabs>
        <w:numPr>
          <w:ilvl w:val="0"/>
          <w:numId w:val="45"/>
        </w:numPr>
        <w:rPr>
          <w:rFonts w:ascii="Calibri" w:cs="Calibri" w:eastAsia="Calibri" w:hAnsi="Calibri"/>
          <w:sz w:val="18"/>
          <w:szCs w:val="18"/>
          <w:color w:val="auto"/>
        </w:rPr>
      </w:pPr>
      <w:r>
        <w:rPr>
          <w:rFonts w:ascii="Calibri" w:cs="Calibri" w:eastAsia="Calibri" w:hAnsi="Calibri"/>
          <w:sz w:val="18"/>
          <w:szCs w:val="18"/>
          <w:color w:val="auto"/>
        </w:rPr>
        <w:t>federal and state laws requiring the submission of accurate product prices and notfcatons of price increases;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45"/>
        </w:numPr>
        <w:rPr>
          <w:rFonts w:ascii="Calibri" w:cs="Calibri" w:eastAsia="Calibri" w:hAnsi="Calibri"/>
          <w:sz w:val="18"/>
          <w:szCs w:val="18"/>
          <w:color w:val="auto"/>
        </w:rPr>
      </w:pPr>
      <w:r>
        <w:rPr>
          <w:rFonts w:ascii="Calibri" w:cs="Calibri" w:eastAsia="Calibri" w:hAnsi="Calibri"/>
          <w:sz w:val="18"/>
          <w:szCs w:val="18"/>
          <w:color w:val="auto"/>
        </w:rPr>
        <w:t>federal and state securites laws;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45"/>
        </w:numPr>
        <w:rPr>
          <w:rFonts w:ascii="Calibri" w:cs="Calibri" w:eastAsia="Calibri" w:hAnsi="Calibri"/>
          <w:sz w:val="18"/>
          <w:szCs w:val="18"/>
          <w:color w:val="auto"/>
        </w:rPr>
      </w:pPr>
      <w:r>
        <w:rPr>
          <w:rFonts w:ascii="Calibri" w:cs="Calibri" w:eastAsia="Calibri" w:hAnsi="Calibri"/>
          <w:sz w:val="18"/>
          <w:szCs w:val="18"/>
          <w:color w:val="auto"/>
        </w:rPr>
        <w:t>environmental, health and safety laws and regulatons; and</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45"/>
        </w:numPr>
        <w:rPr>
          <w:rFonts w:ascii="Calibri" w:cs="Calibri" w:eastAsia="Calibri" w:hAnsi="Calibri"/>
          <w:sz w:val="18"/>
          <w:szCs w:val="18"/>
          <w:color w:val="auto"/>
        </w:rPr>
      </w:pPr>
      <w:r>
        <w:rPr>
          <w:rFonts w:ascii="Calibri" w:cs="Calibri" w:eastAsia="Calibri" w:hAnsi="Calibri"/>
          <w:sz w:val="18"/>
          <w:szCs w:val="18"/>
          <w:color w:val="auto"/>
        </w:rPr>
        <w:t>internatonal trade laws, which are laws that regulate the sale, purchase, import, export, re-export, transfer and shipment of goods, products, materials, services and technology.</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our relatonships with healthcare providers, physicians and third party payors expose us to broadly applicable fraud and abuse laws that may constrain the business or fnancial arrangements and relatonships through which we market, sell and distribute Auryxia and Vafseo and any other products for which we may obtain marketng approval. As such, these arrangements are subject to applicable ant-kickback, fraud and abuse, false claims, transparency, health informaton privacy and security, and other healthcare laws and regulatons at federal, state and internatonal levels. These restrictons include, but are not limited to, the following:</w:t>
      </w:r>
    </w:p>
    <w:p>
      <w:pPr>
        <w:spacing w:after="0" w:line="112" w:lineRule="exact"/>
        <w:rPr>
          <w:sz w:val="20"/>
          <w:szCs w:val="20"/>
          <w:color w:val="auto"/>
        </w:rPr>
      </w:pPr>
    </w:p>
    <w:p>
      <w:pPr>
        <w:ind w:left="660" w:right="20" w:hanging="328"/>
        <w:spacing w:after="0" w:line="235" w:lineRule="auto"/>
        <w:tabs>
          <w:tab w:leader="none" w:pos="653" w:val="left"/>
        </w:tabs>
        <w:numPr>
          <w:ilvl w:val="0"/>
          <w:numId w:val="46"/>
        </w:numPr>
        <w:rPr>
          <w:rFonts w:ascii="Calibri" w:cs="Calibri" w:eastAsia="Calibri" w:hAnsi="Calibri"/>
          <w:sz w:val="18"/>
          <w:szCs w:val="18"/>
          <w:color w:val="auto"/>
        </w:rPr>
      </w:pPr>
      <w:r>
        <w:rPr>
          <w:rFonts w:ascii="Calibri" w:cs="Calibri" w:eastAsia="Calibri" w:hAnsi="Calibri"/>
          <w:sz w:val="18"/>
          <w:szCs w:val="18"/>
          <w:color w:val="auto"/>
        </w:rPr>
        <w:t xml:space="preserve">the Food, Drug and Cosmetc Act of 1938, as amended, or </w:t>
      </w:r>
      <w:r>
        <w:rPr>
          <w:rFonts w:ascii="Calibri" w:cs="Calibri" w:eastAsia="Calibri" w:hAnsi="Calibri"/>
          <w:sz w:val="18"/>
          <w:szCs w:val="18"/>
          <w:u w:val="single" w:color="auto"/>
          <w:color w:val="auto"/>
        </w:rPr>
        <w:t>FDCA</w:t>
      </w:r>
      <w:r>
        <w:rPr>
          <w:rFonts w:ascii="Calibri" w:cs="Calibri" w:eastAsia="Calibri" w:hAnsi="Calibri"/>
          <w:sz w:val="18"/>
          <w:szCs w:val="18"/>
          <w:color w:val="auto"/>
        </w:rPr>
        <w:t>, which among other things, strictly regulates drug product marketng and promoton and prohibits manufacturers from marketng such products for of-label use;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6" w:name="page77"/>
    <w:bookmarkEnd w:id="7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660" w:hanging="328"/>
        <w:spacing w:after="0" w:line="235" w:lineRule="auto"/>
        <w:tabs>
          <w:tab w:leader="none" w:pos="653" w:val="left"/>
        </w:tabs>
        <w:numPr>
          <w:ilvl w:val="0"/>
          <w:numId w:val="47"/>
        </w:numPr>
        <w:rPr>
          <w:rFonts w:ascii="Calibri" w:cs="Calibri" w:eastAsia="Calibri" w:hAnsi="Calibri"/>
          <w:sz w:val="18"/>
          <w:szCs w:val="18"/>
          <w:color w:val="auto"/>
        </w:rPr>
      </w:pPr>
      <w:r>
        <w:rPr>
          <w:rFonts w:ascii="Calibri" w:cs="Calibri" w:eastAsia="Calibri" w:hAnsi="Calibri"/>
          <w:sz w:val="18"/>
          <w:szCs w:val="18"/>
          <w:color w:val="auto"/>
        </w:rPr>
        <w:t>federal laws that require pharmaceutcal manufacturers to report certain calculated product prices to the government or provide certain discounts or rebates to government authorites or private enttes, ofen as a conditon of reimbursement under government healthcare programs, and laws requiring notfcaton of price increases;</w:t>
      </w:r>
    </w:p>
    <w:p>
      <w:pPr>
        <w:spacing w:after="0" w:line="56" w:lineRule="exact"/>
        <w:rPr>
          <w:rFonts w:ascii="Calibri" w:cs="Calibri" w:eastAsia="Calibri" w:hAnsi="Calibri"/>
          <w:sz w:val="18"/>
          <w:szCs w:val="18"/>
          <w:color w:val="auto"/>
        </w:rPr>
      </w:pPr>
    </w:p>
    <w:p>
      <w:pPr>
        <w:jc w:val="both"/>
        <w:ind w:left="660" w:hanging="328"/>
        <w:spacing w:after="0" w:line="235" w:lineRule="auto"/>
        <w:tabs>
          <w:tab w:leader="none" w:pos="653" w:val="left"/>
        </w:tabs>
        <w:numPr>
          <w:ilvl w:val="0"/>
          <w:numId w:val="47"/>
        </w:numPr>
        <w:rPr>
          <w:rFonts w:ascii="Calibri" w:cs="Calibri" w:eastAsia="Calibri" w:hAnsi="Calibri"/>
          <w:sz w:val="18"/>
          <w:szCs w:val="18"/>
          <w:color w:val="auto"/>
        </w:rPr>
      </w:pPr>
      <w:r>
        <w:rPr>
          <w:rFonts w:ascii="Calibri" w:cs="Calibri" w:eastAsia="Calibri" w:hAnsi="Calibri"/>
          <w:sz w:val="18"/>
          <w:szCs w:val="18"/>
          <w:color w:val="auto"/>
        </w:rPr>
        <w:t>the federal Ant-Kickback Statute, which prohibits, among other things, persons from knowingly and willfully solicitng, ofering, receiving or providing remuneraton, directly or indirectly, in cash or in kind, to induce or reward, or in return for, either the referral of an individual for, or the purchase, order or recommendaton or arranging of, any good or service, for which payment may be made under a federal healthcare program such as Medicare and Medicaid;</w:t>
      </w:r>
    </w:p>
    <w:p>
      <w:pPr>
        <w:spacing w:after="0" w:line="57" w:lineRule="exact"/>
        <w:rPr>
          <w:rFonts w:ascii="Calibri" w:cs="Calibri" w:eastAsia="Calibri" w:hAnsi="Calibri"/>
          <w:sz w:val="18"/>
          <w:szCs w:val="18"/>
          <w:color w:val="auto"/>
        </w:rPr>
      </w:pPr>
    </w:p>
    <w:p>
      <w:pPr>
        <w:jc w:val="both"/>
        <w:ind w:left="660" w:hanging="328"/>
        <w:spacing w:after="0" w:line="251" w:lineRule="auto"/>
        <w:tabs>
          <w:tab w:leader="none" w:pos="653" w:val="left"/>
        </w:tabs>
        <w:numPr>
          <w:ilvl w:val="0"/>
          <w:numId w:val="47"/>
        </w:numPr>
        <w:rPr>
          <w:rFonts w:ascii="Calibri" w:cs="Calibri" w:eastAsia="Calibri" w:hAnsi="Calibri"/>
          <w:sz w:val="17"/>
          <w:szCs w:val="17"/>
          <w:color w:val="auto"/>
        </w:rPr>
      </w:pPr>
      <w:r>
        <w:rPr>
          <w:rFonts w:ascii="Calibri" w:cs="Calibri" w:eastAsia="Calibri" w:hAnsi="Calibri"/>
          <w:sz w:val="17"/>
          <w:szCs w:val="17"/>
          <w:color w:val="auto"/>
        </w:rPr>
        <w:t>the federal False Claims Act, which imposes criminal and civil penaltes, including through civil whistleblower or qui tam actons, against individuals or enttes for, among other things, knowingly presentng, or causing to be presented, false or fraudulent claims for payment by a federal healthcare program or making a false statement or record material to payment of a false claim or avoiding, decreasing or concealing an obligaton to pay money to the federal government, with potental liability including mandatory treble damages and signifcant per-claim penaltes, and violatons of the FDCA, the federal government pricing laws, and the federal Ant-Kickback Statute trigger liability under the federal False Claims Act;</w:t>
      </w:r>
    </w:p>
    <w:p>
      <w:pPr>
        <w:spacing w:after="0" w:line="48" w:lineRule="exact"/>
        <w:rPr>
          <w:rFonts w:ascii="Calibri" w:cs="Calibri" w:eastAsia="Calibri" w:hAnsi="Calibri"/>
          <w:sz w:val="17"/>
          <w:szCs w:val="17"/>
          <w:color w:val="auto"/>
        </w:rPr>
      </w:pPr>
    </w:p>
    <w:p>
      <w:pPr>
        <w:ind w:left="660" w:hanging="328"/>
        <w:spacing w:after="0" w:line="235" w:lineRule="auto"/>
        <w:tabs>
          <w:tab w:leader="none" w:pos="653" w:val="left"/>
        </w:tabs>
        <w:numPr>
          <w:ilvl w:val="0"/>
          <w:numId w:val="47"/>
        </w:numPr>
        <w:rPr>
          <w:rFonts w:ascii="Calibri" w:cs="Calibri" w:eastAsia="Calibri" w:hAnsi="Calibri"/>
          <w:sz w:val="18"/>
          <w:szCs w:val="18"/>
          <w:color w:val="auto"/>
        </w:rPr>
      </w:pPr>
      <w:r>
        <w:rPr>
          <w:rFonts w:ascii="Calibri" w:cs="Calibri" w:eastAsia="Calibri" w:hAnsi="Calibri"/>
          <w:sz w:val="18"/>
          <w:szCs w:val="18"/>
          <w:color w:val="auto"/>
        </w:rPr>
        <w:t>HIPAA, which imposes criminal and civil liability for executng a scheme to defraud any healthcare beneft program or making false statements relatng to healthcare maters;</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47"/>
        </w:numPr>
        <w:rPr>
          <w:rFonts w:ascii="Calibri" w:cs="Calibri" w:eastAsia="Calibri" w:hAnsi="Calibri"/>
          <w:sz w:val="18"/>
          <w:szCs w:val="18"/>
          <w:color w:val="auto"/>
        </w:rPr>
      </w:pPr>
      <w:r>
        <w:rPr>
          <w:rFonts w:ascii="Calibri" w:cs="Calibri" w:eastAsia="Calibri" w:hAnsi="Calibri"/>
          <w:sz w:val="18"/>
          <w:szCs w:val="18"/>
          <w:color w:val="auto"/>
        </w:rPr>
        <w:t>HIPAA, as amended by the HITECH, and their respectve implementng regulatons, also imposes obligatons, including mandatory contractual terms, with respect to safeguarding the privacy, security and transmission of individually identfable health informaton;</w:t>
      </w:r>
    </w:p>
    <w:p>
      <w:pPr>
        <w:spacing w:after="0" w:line="55" w:lineRule="exact"/>
        <w:rPr>
          <w:rFonts w:ascii="Calibri" w:cs="Calibri" w:eastAsia="Calibri" w:hAnsi="Calibri"/>
          <w:sz w:val="18"/>
          <w:szCs w:val="18"/>
          <w:color w:val="auto"/>
        </w:rPr>
      </w:pPr>
    </w:p>
    <w:p>
      <w:pPr>
        <w:jc w:val="both"/>
        <w:ind w:left="660" w:hanging="328"/>
        <w:spacing w:after="0" w:line="235" w:lineRule="auto"/>
        <w:tabs>
          <w:tab w:leader="none" w:pos="653" w:val="left"/>
        </w:tabs>
        <w:numPr>
          <w:ilvl w:val="0"/>
          <w:numId w:val="47"/>
        </w:numPr>
        <w:rPr>
          <w:rFonts w:ascii="Calibri" w:cs="Calibri" w:eastAsia="Calibri" w:hAnsi="Calibri"/>
          <w:sz w:val="18"/>
          <w:szCs w:val="18"/>
          <w:color w:val="auto"/>
        </w:rPr>
      </w:pPr>
      <w:r>
        <w:rPr>
          <w:rFonts w:ascii="Calibri" w:cs="Calibri" w:eastAsia="Calibri" w:hAnsi="Calibri"/>
          <w:sz w:val="18"/>
          <w:szCs w:val="18"/>
          <w:color w:val="auto"/>
        </w:rPr>
        <w:t>the federal Open Payments Act (the former Physician Payments Sunshine Act) requires applicable manufacturers of covered drugs to report payments and other transfers of value to physicians, other healthcare providers and teaching hospitals, as well as ownership and investment interests held by physicians and their immediate family members;</w:t>
      </w:r>
    </w:p>
    <w:p>
      <w:pPr>
        <w:spacing w:after="0" w:line="56" w:lineRule="exact"/>
        <w:rPr>
          <w:rFonts w:ascii="Calibri" w:cs="Calibri" w:eastAsia="Calibri" w:hAnsi="Calibri"/>
          <w:sz w:val="18"/>
          <w:szCs w:val="18"/>
          <w:color w:val="auto"/>
        </w:rPr>
      </w:pPr>
    </w:p>
    <w:p>
      <w:pPr>
        <w:jc w:val="both"/>
        <w:ind w:left="660" w:hanging="328"/>
        <w:spacing w:after="0" w:line="235" w:lineRule="auto"/>
        <w:tabs>
          <w:tab w:leader="none" w:pos="653" w:val="left"/>
        </w:tabs>
        <w:numPr>
          <w:ilvl w:val="0"/>
          <w:numId w:val="47"/>
        </w:numPr>
        <w:rPr>
          <w:rFonts w:ascii="Calibri" w:cs="Calibri" w:eastAsia="Calibri" w:hAnsi="Calibri"/>
          <w:sz w:val="18"/>
          <w:szCs w:val="18"/>
          <w:color w:val="auto"/>
        </w:rPr>
      </w:pPr>
      <w:r>
        <w:rPr>
          <w:rFonts w:ascii="Calibri" w:cs="Calibri" w:eastAsia="Calibri" w:hAnsi="Calibri"/>
          <w:sz w:val="18"/>
          <w:szCs w:val="18"/>
          <w:color w:val="auto"/>
        </w:rPr>
        <w:t>analogous state laws and regulatons, such as state ant-kickback and false claims laws and gif ban and transparency statutes, which may apply to sales or marketng arrangements and claims involving healthcare items or services reimbursed by state Medicaid or other programs, or non-governmental third party payors, including private insurers, and which are not preempted by federal laws and ofen difer from state to state, thus complicatng compliance eforts; and</w:t>
      </w:r>
    </w:p>
    <w:p>
      <w:pPr>
        <w:spacing w:after="0" w:line="57"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47"/>
        </w:numPr>
        <w:rPr>
          <w:rFonts w:ascii="Calibri" w:cs="Calibri" w:eastAsia="Calibri" w:hAnsi="Calibri"/>
          <w:sz w:val="18"/>
          <w:szCs w:val="18"/>
          <w:color w:val="auto"/>
        </w:rPr>
      </w:pPr>
      <w:r>
        <w:rPr>
          <w:rFonts w:ascii="Calibri" w:cs="Calibri" w:eastAsia="Calibri" w:hAnsi="Calibri"/>
          <w:sz w:val="18"/>
          <w:szCs w:val="18"/>
          <w:color w:val="auto"/>
        </w:rPr>
        <w:t>U.S. state laws restrictng interactons with healthcare providers and other members of the healthcare community or requiring pharmaceutcal manufacturers to implement certain compliance standards, which vary from state to state.</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Because of the breadth of these U.S. laws, and their non-U.S. equivalents, and the narrowness of the statutory exceptons and safe harbors available, it is possible that some of our business actvites could be subject to challenge under one or more of such laws. In additon, recent healthcare reforms have strengthened these laws. For example, the Health Care Reform Act, among other things, amended the intent requirement of the federal Ant-Kickback Statute. A person or entty no longer needs to have actual knowledge of the statute or specifc intent to violate the law. The Health Care Reform Act also amended the False Claims Act, such that violatons of the Ant-Kickback Statute are now deemed violatons of the False Claims Act.</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Some state laws require pharmaceutcal companies to comply with the pharmaceutcal industry’s voluntary compliance guidelines, such as the Pharmaceutcal Research and Manufacturers of America Code on Interactons with Health Care Professionals. Additonally, some state and local laws require the registraton and specifc training of pharmaceutcal sales representatves in the jurisdicton. State and foreign laws also govern the privacy and security of health informaton in some circumstances, many of which difer from each other in signifcant ways and ofen are not preempted by HIPAA.</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Eforts to ensure that our business complies with applicable healthcare laws and regulatons involves substantal costs and requires us to expend signifcant resources. One of the potental areas for governmental scrutny involves federal and state requirements for pharmaceutcal manufacturers to submit accurate price reports to the government. Because our processes for calculatng applicable government prices and the judgments involved in making these calculatons involve subjectve decisions and complex methodologies, these calculatons are subject to risk of errors and difering interpretatons. In additon, they are subject to review and challenge by the applicable governmental agencies, or potental qui tam complaints, and it is possible that such reviews could result in changes, recalculatons, or defense costs that may have adverse legal or fnancial consequences. It is possible that governmental authorites will conclude that our business practces may not comply with current or future statutes, regulatons or case law involving applicable fraud and abuse or other healthcare laws and regulatons. If our operatons are found to be in violaton of any of these laws or any other governmental regulatons that may apply to us, we may be subject to signifcant civil, criminal and administratve penaltes, damages, fnes, imprisonment, exclusion of products from government funded healthcare programs, such as Medicare and Medicaid, and the curtailment or restructuring of our operatons, any of which could materially adversely afect our business and would result in increased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7" w:name="page78"/>
    <w:bookmarkEnd w:id="7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costs and diversion of management atenton and could negatvely impact the development, regulatory approval and commercializaton of Auryxia or Vafseo, any of which could have a material adverse efect on our business. Further, if any of the physicians or other healthcare providers or enttes with whom we expect to do business is found to be not in compliance with applicable laws, they may be subject to criminal, civil or administratve sanctons, including exclusions from partcipaton in government funded healthcare programs.</w:t>
      </w:r>
    </w:p>
    <w:p>
      <w:pPr>
        <w:spacing w:after="0" w:line="11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b w:val="1"/>
          <w:bCs w:val="1"/>
          <w:i w:val="1"/>
          <w:iCs w:val="1"/>
          <w:color w:val="auto"/>
        </w:rPr>
        <w:t>We will incur signifcant liability if it is determined that we are promotng any “of-label” use of Auryxia, Vafseo or any other product we may develop, in-license or acquire or if it is determined that any of our actvites violates the federal Ant-Kickback Statute.</w:t>
      </w:r>
    </w:p>
    <w:p>
      <w:pPr>
        <w:spacing w:after="0" w:line="96" w:lineRule="exact"/>
        <w:rPr>
          <w:sz w:val="20"/>
          <w:szCs w:val="20"/>
          <w:color w:val="auto"/>
        </w:rPr>
      </w:pPr>
    </w:p>
    <w:p>
      <w:pPr>
        <w:jc w:val="both"/>
        <w:spacing w:after="0" w:line="223" w:lineRule="auto"/>
        <w:rPr>
          <w:sz w:val="20"/>
          <w:szCs w:val="20"/>
          <w:color w:val="auto"/>
        </w:rPr>
      </w:pPr>
      <w:r>
        <w:rPr>
          <w:rFonts w:ascii="Calibri" w:cs="Calibri" w:eastAsia="Calibri" w:hAnsi="Calibri"/>
          <w:sz w:val="18"/>
          <w:szCs w:val="18"/>
          <w:color w:val="auto"/>
        </w:rPr>
        <w:t>Physicians are permited to prescribe drug products for uses that difer from those approved by the FDA or other applicable regulatory agencies. Although the FDA and other regulatory agencies do not regulate a physician’s choice of treatments, the FDA and other regulatory agencies do restrict manufacturer communicatons regarding unapproved uses of an approved drug. Companies are not permited to promote drugs for unapproved uses or in a manner that is inconsistent with the FDA-approved labeling. There are also restrictons about making comparatve or superiority claims based on safety or efcacy that are not supported by substantal evidence. Accordingly, we may not promote Auryxia in the U.S. for use in any indicatons other than the Hyperphosphatemia Indicaton and the IDA Indicaton, and Vafseo for the treatment of anemia due to CKD in adults who have been receiving dialysis for at least three months, and all promotonal claims must be consistent with the FDA-approved labeling for Auryxia or Vafseo, as applicable.</w:t>
      </w:r>
    </w:p>
    <w:p>
      <w:pPr>
        <w:spacing w:after="0" w:line="9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Promotng a drug of-label is a violaton of the FDCA and can give rise to liability under the federal False Claims Act, as well as under additonal federal and state laws and insurance statutes. The FDA, the Department of Justce and other regulatory and enforcement authorites enforce laws and regulatons prohibitng promoton of of-label uses and the promoton of products for which marketng approval has not been obtained, as well as the false advertsing or misleading promoton of drugs. In September 2021, the FDA published fnal regulatons which describe the types of evidence that the agency will consider in determining the intended use of a drug product. In additon, laws and regulatons govern the distributon and tracing of prescripton drugs and prescripton drug samples, including the Prescripton Drug Marketng Act of 1976 and the Drug Supply Chain Security Act, which regulate the distributon and tracing of prescripton drugs and prescripton drug samples at the federal level and set minimum standards for the regulaton of drug distributors by the states. A company that is found to have improperly promoted of-label uses or to have otherwise engaged in false or misleading promoton or improper distributon of drugs will be subject to signifcant liability, potentally including civil and administratve remedies as well as criminal sanctons. It may also be subject to exclusion and debarment from federal healthcare reimbursement programs.</w:t>
      </w:r>
    </w:p>
    <w:p>
      <w:pPr>
        <w:spacing w:after="0" w:line="116"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 xml:space="preserve">Notwithstanding the regulatory restrictons on of-label promoton, the FDA and other regulatory authorites allow companies to engage in truthful, non-misleading, and non-promotonal scientfc communicatons concerning their products in certain circumstances. For example, in January 2025, the FDA published fnal guidance outlining the agency’s non-binding policies governing the distributon of scientfc informaton on unapproved uses to healthcare providers. This fnal guidance calls for such communicatons to be truthful, non-misleading, factual, and unbiased and include all informaton necessary for healthcare providers to interpret the strengths and weaknesses and validity and utlity of the informaton about the unapproved use. In additon, under some relatvely recent guidance from the FDA and the Pre-Approval Informaton Securites Exchange Act of 1934, as amended, or the </w:t>
      </w:r>
      <w:r>
        <w:rPr>
          <w:rFonts w:ascii="Calibri" w:cs="Calibri" w:eastAsia="Calibri" w:hAnsi="Calibri"/>
          <w:sz w:val="18"/>
          <w:szCs w:val="18"/>
          <w:u w:val="single" w:color="auto"/>
          <w:color w:val="auto"/>
        </w:rPr>
        <w:t>Exchange Act</w:t>
      </w:r>
      <w:r>
        <w:rPr>
          <w:rFonts w:ascii="Calibri" w:cs="Calibri" w:eastAsia="Calibri" w:hAnsi="Calibri"/>
          <w:sz w:val="18"/>
          <w:szCs w:val="18"/>
          <w:color w:val="auto"/>
        </w:rPr>
        <w:t xml:space="preserve">, signed into law as part of the Consolidated Appropriatons Act of 2023, or the </w:t>
      </w:r>
      <w:r>
        <w:rPr>
          <w:rFonts w:ascii="Calibri" w:cs="Calibri" w:eastAsia="Calibri" w:hAnsi="Calibri"/>
          <w:sz w:val="18"/>
          <w:szCs w:val="18"/>
          <w:u w:val="single" w:color="auto"/>
          <w:color w:val="auto"/>
        </w:rPr>
        <w:t>Consolidated Appropriatons Act</w:t>
      </w:r>
      <w:r>
        <w:rPr>
          <w:rFonts w:ascii="Calibri" w:cs="Calibri" w:eastAsia="Calibri" w:hAnsi="Calibri"/>
          <w:sz w:val="18"/>
          <w:szCs w:val="18"/>
          <w:color w:val="auto"/>
        </w:rPr>
        <w:t>, companies may also provide informaton that is consistent with a product's FDA approved-labeling and proactvely speak to formulary commitee members of payors regarding data for an unapproved drug or unapproved uses of an approved drug. We intend to engage in these discussions and communicate with healthcare providers, payors and other consttuencies in compliance with all applicable laws, regulatory guidance and industry best practces. Although we believe we have put in place a robust compliance program and processes designed to ensure that all such actvites are performed in a legal and compliant manner, such program and processes may not be sufcient to deter or detect all violatons, and we will need to carefully navigate the FDA’s various regulatons, guidance and policies, along with recently enacted legislaton, to ensure compliance with restrictons governing promoton of our products.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if a company’s actvites are determined to have violated the federal Ant-Kickback Statute, this can also give rise to liability under the federal False Claims Act and such violatons can result in signifcant fnes, criminal and civil remedies, and exclusion from Medicare and Medicaid. There is increased government focus on relatonships between the pharmaceutcal industry and physicians, pharmacies (especially specialty pharmacies), and other sources of referrals. Common industry actvites, such as speaker programs, insurance assistance and support, relatonships with foundatons providing copayment assistance, and relatonships with patent organizatons and patents are receiving increased governmental atenton. If any of our relatonships or actvites is determined to violate applicable federal and state ant-kickback laws, false claims laws, or other laws or regulatons, the company and/or company executves, employees, and other representatves could be subject to signifcant fnes and criminal sanctons, imprisonment, and potental exclusion from Medicare and Medicaid, and could harm our reputaton or result in signifcant legal expenses and distracton of management.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8" w:name="page79"/>
    <w:bookmarkEnd w:id="7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Policy changes or disruptons at the FDA, regulatory authorites outside the U.S., CMS and other government agencies caused by funding shortages, global health concerns or other events could prevent products, product candidates and services from being developed or commercialized in a tmely manner, with expected terms or at all, which could negatvely impact our business.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ability of the FDA and regulatory authorites outside the U.S. to review and approve products and product candidates can be afected by a variety of factors, including government budget and funding levels, stafng shortages, statutory, regulatory, and policy changes, global health concerns and other events that may otherwise afect the FDA’s or other regulatory authorites' ability to perform routne functons. Average review tmes at the FDA have fuctuated in recent years as a result of certain of these factors. In additon, government funding of other government agencies that fund R&amp;D actvites is subject to the politcal process, which is inherently fuid and unpredictable. Disruptons at the FDA and other agencies may increase the tme necessary for new drugs to be reviewed or approved by necessary government agencies, which would adversely afect our business. If a prolonged government shutdown occurs, it could signifcantly impact the ability of the FDA or other regulatory authorites to tmely review and process our, or our collaboraton partners', regulatory submissions, which could have a material adverse efect on our business.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If a prolonged government shutdown occurs, or if global health concerns prevent the FDA or other regulatory authorites from conductng their regular inspectons, reviews, or other regulatory actvites, it could signifcantly impact the ability of the FDA or other regulatory authorites to tmely review and process our regulatory submissions, which could have a material adverse efect on our business.</w:t>
      </w:r>
    </w:p>
    <w:p>
      <w:pPr>
        <w:spacing w:after="0" w:line="97" w:lineRule="exact"/>
        <w:rPr>
          <w:sz w:val="20"/>
          <w:szCs w:val="20"/>
          <w:color w:val="auto"/>
        </w:rPr>
      </w:pPr>
    </w:p>
    <w:p>
      <w:pPr>
        <w:jc w:val="both"/>
        <w:spacing w:after="0" w:line="221" w:lineRule="auto"/>
        <w:rPr>
          <w:sz w:val="20"/>
          <w:szCs w:val="20"/>
          <w:color w:val="auto"/>
        </w:rPr>
      </w:pPr>
      <w:r>
        <w:rPr>
          <w:rFonts w:ascii="Calibri" w:cs="Calibri" w:eastAsia="Calibri" w:hAnsi="Calibri"/>
          <w:sz w:val="18"/>
          <w:szCs w:val="18"/>
          <w:color w:val="auto"/>
        </w:rPr>
        <w:t>In additon, with the change in presidental administratons in 2025, there is substantal uncertainty as to how, if at all, the new administraton will seek to modify or revise the requirements and policies of the FDA, CMS and other government agencies with jurisdicton over our products and product candidates. Any change in regulatons or policies at FDA, CMS or other government agencies could adversely afect our products and product candidates, including the regulatory process or the pricing or reimbursement of our products or product candidates. In additon, the FDA, CMS and other government agencies recently experienced reductons in workforce and could experience additonal such actons. Any disruptons at those agencies or uncertainty from any regulatory changes that afect the development or commercializaton of our products and product candidates could present new challenges as we navigate the clinical development and approval process for our product candidates and could have an adverse efect on the commercializaton of our products. These and other actons by the new administraton could impact our business as a regulated entty and as a biopharmaceutcal company, and we cannot antcipate in what ways and the magnitude of the impacts.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Compliance with privacy and data security requirements could result in additonal costs and liabilites to us or inhibit our ability to collect and process data globally, and the failure to comply with such requirements could subject us to signifcant fnes and penaltes, which may have a material adverse efect on our business, fnancial conditon or results of operatons.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regulatory framework for the collecton, use, safeguarding, sharing, transfer and other processing of informaton worldwide is rapidly evolving and is likely to remain uncertain for the foreseeable future. Globally, virtually every jurisdicton in which we operate has established its own data security and privacy frameworks with which we must comply. For example, the collecton, use, disclosure, transfer, or other processing of personal data regarding individuals in the EU, including personal health data, is subject to the GDPR, which took efect across all member states of the EEA, in May 2018. Following the withdrawal of the UK from the EU, the UK Data Protecton Act 2018 applies to the processing of personal data that takes place in the UK and includes parallel obligatons to those set forth by GDPR. The GDPR is wide-ranging in scope and imposes numerous requirements on companies that process personal data when required, including requirements relatng to processing health and other sensitve data, obtaining consent of the individuals to whom the personal data relates, when required, providing informaton to individuals regarding data processing actvites, implementng safeguards to protect the security and confdentality of personal data, providing notfcaton of data breaches, and taking certain measures when engaging third party processors. The GDPR increases our obligatons as a sponsor in clinical trials in the EEA by expanding the defniton of personal data to include coded data and requiring changes to informed consent practces and more detailed notces for clinical trial patents and investgators. The GDPR also permits data protecton authorites to require destructon of improperly gathered or used personal informaton and/or impose substantal fnes for violatons of the GDPR, which can be up to four percent of the total worldwide annual turnover of a group of companies from the preceding fnancial year or 20 million Euros, whichever is greater, and it also confers a private right of acton on data subjects and consumer associatons to lodge complaints with supervisory authorites, seek judicial remedies, and obtain compensaton for damages resultng from violatons of the GDPR. In additon, the GDPR provides that EU Member States may make their own further laws and regulatons limitng the processing of personal data, including genetc, biometric or health data and permits EU Member States to adopt further penaltes for violatons that are not subject to the administratve fnes outlined in the GDPR.</w:t>
      </w:r>
    </w:p>
    <w:p>
      <w:pPr>
        <w:spacing w:after="0" w:line="12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GDPR also imposes strict rules on the transfer of personal data to countries outside the EU, including the U.S. and, as a result, increases the scrutny that we should apply to transfers of personal data from such sites to countries that are considered to lack an adequate level of data protecton, such as the U.S. There is ongoing uncertainty about the transfer</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9" w:name="page80"/>
    <w:bookmarkEnd w:id="7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mechanisms that companies rely upon to enable the legal transfer of personal data from the EU to other countries. For example, in July 2020, the Court of Justce of the European Union invalidated the EU-U.S. Privacy Shield, one of the mechanisms used to legitmize the transfer of personal data from the EEA to the U.S. Although a new Data Privacy Framework has been adopted, as court decisions and regulatory guidance evolves, challenges remain with respect to GDPR compliance. Companies must contnue to monitor the regulatory landscape and implement necessary changes, all of which may be costly and may put the company out of compliance while any changes are being implemented.</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Following the withdrawal of the UK from the EU, the UK Data Protecton Act 2018 applies to the processing of personal data that takes place in the UK and includes parallel obligatons to those set forth by GDPR. In relaton to data transfers, both the UK and the EU have determined, through separate “adequacy” decisions, that data transfers between the two jurisdictons are in compliance with the UK Data Protecton Act and the GDPR, respectvely. The UK and the U.S. have also agreed to a U.S.-UK “Data Bridge”, which functons similarly to the EU-U.S. Data Privacy Framework and provides an additonal legal mechanism for companies to transfer data from the UK to the U.S. In additon to the UK, Switzerland has approved an adequacy decision in relaton to the Swiss-U.S. Data Privacy Framework (which would functon similarly to the EU-U.S. Data Privacy Framework and the U.S.-UK Data Bridge in relaton to data transfers from Switzerland to the U.S.). Any changes or updates to these developments have the potental to impact our business.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Additonally, in October 2022, President Biden signed an executve order to implement the EU-U.S. Data Privacy Framework, which serves as a replacement to the EU-U.S. Privacy Shield. The EU initated the process to adopt an adequacy decision for the EU-U.S. Data Privacy Framework in December 2022, and the EC adopted the adequacy decision on July 10, 2023. The adequacy decision permits U.S. companies who self-certfy to the EU-U.S. Data Privacy Framework to rely on it as a valid data transfer mechanism for data transfers from the EU to the U.S. However, some privacy advocacy groups have challenged or suggested that they will be challenging the EU-U.S. Data Privacy Framework. If these challenges are successful, they may not only impact the EU-U.S. Data Privacy Framework, but also further limit the viability of the standard contractual clauses and other data transfer mechanisms. The uncertainty around this issue has the potental to impact our business internatonally.</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Given the breadth and depth of changes in data protecton obligatons, complying with the GDPR’s requirements is rigorous and tme intensive and requires signifcant resources and a review of our technologies, systems and practces, as well as those of any third party collaborators, service providers, contractors or consultants that process or transfer personal data collected in the EU. The GDPR and other changes in laws or regulatons associated with the enhanced protecton of certain types of sensitve data, such as healthcare data or other personal informaton from our clinical trials, could require us to change our business practces and put in place additonal compliance mechanisms, may interrupt or delay our development, regulatory and commercializaton actvites and increase our cost of doing business, and could lead to government enforcement actons, private litgaton and signifcant fnes and penaltes against us and could have a material adverse efect on our business, fnancial conditon or results of operatons.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Similar privacy and data security requirements are either in place or underway in the U.S. There are a broad variety of data protecton laws that may be applicable to our actvites, and a range of enforcement agencies at both the state and federal levels that can review companies for privacy and data security concerns. The Federal Trade Commission, or the FTC, and state Atorneys General all are aggressive in reviewing privacy and data security protectons for consumers. For example, the FTC has been partcularly focused on the unpermited processing of health and genetc data through its recent enforcement actons and is expanding the types of privacy violatons that it interprets to be “unfair” under Secton 5 of the Federal Trade Commission Act, as well as the types of actvites it views to trigger the Health Breach Notfcaton Rule (which the FTC also has the authority to enforce). The agency is also in the process of developing rules related to commercial surveillance and data security that may impact our business. We will need to account for the FTC’s evolving rules and guidance for proper privacy and data security practces in order to mitgate our risk for a potental enforcement acton, which may be costly. If we are subject to a potental FTC enforcement acton, we may be subject to a setlement order that requires us to adhere to very specifc privacy and data security practces, which may impact our business. We may also be required to pay fnes as part of a setlement (depending on the nature of the alleged violatons). If we violate any consent order that we reach with the FTC, we may be subject to additonal fnes and compliance requirements.</w:t>
      </w:r>
    </w:p>
    <w:p>
      <w:pPr>
        <w:spacing w:after="0" w:line="117"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Laws also are being considered at both the state and federal levels. For example, the CCPA, which went into efect on January 1, 2020, and the CPRA, which amends CCPA by expanding the scope and applicability, while also introducing new privacy protectons, is creatng similar risks and obligatons as those created by GDPR. In November 2020, California voters passed a ballot initatve for the CPRA, which went into efect on January 1, 2023 and signifcantly expanded the CCPA to incorporate additonal GDPR-like provisions including requiring that the use, retenton and sharing of personal informaton of California residents be reasonably necessary and proportonate to the purposes of collecton or processing, grantng additonal protectons for sensitve personal informaton, and requiring greater disclosures related to notce to residents regarding retenton of informaton. The CPRA also creates a new agency that is specifcally responsible for enforcing the new law and other California privacy laws. Because of this, we may need to engage in additonal actvites (e.g., data mapping) to identfy the personal informaton we are collectng and the purposes for which such informaton is collected. In additon, we will need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0" w:name="page81"/>
    <w:bookmarkEnd w:id="8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 ensure that our policies recognize the rights granted to consumers (as that phrase is broadly defned in the CCPA and can include business contact informaton).</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to California, at least eighteen other states have passed comprehensive privacy laws similar to the CCPA and CPRA. These laws are either in efect or will go into efect sometme before the end of 2026. Like the CCPA and CPRA, these laws create obligatons related to the processing of personal informaton, as well as special obligatons for the processing of “sensitve” data which includes health data in some cases. Some of the provisions of these laws may apply to our business actvites. There are also states that are strongly considering or have already passed comprehensive privacy laws during the 2024 legislatve sessions that will go into efect in 2025 and beyond. Other states will be considering similar laws in the future, and Congress has also been debatng passing a federal privacy law. There are also states that are specifcally regulatng health informaton that may afect our business. For example, the State of Washington passed the My Health My Data Act in 2023 which specifcally regulated health informaton that is not otherwise regulated by the HIPAA rules, and the law also has a private right of acton, which further increases the relevant compliance risk. Connectcut and Nevada have also passed similar laws regulatng consumer health data, and more states are considering such legislaton. These laws may impact our business actvites, including our identfcaton of research subjects, relatonships with business partners and ultmately the marketng and distributon of our products.</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Plaintfs’ lawyers are also increasingly using privacy-related statutes at both the state and federal level to bring lawsuits against companies for their data-related practces. In partcular, there have been a signifcant number of cases fled against companies for their use of pixels and other web trackers. These cases ofen allege violatons of the California Invasion of Privacy Act and other state laws regulatng wiretapping, as well as the federal Video Privacy Protecton Act. The rise in these types of lawsuits creates potental risk for our business.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If we fail to comply with applicable privacy laws, including applicable HIPAA privacy and security standards, we could face civil and criminal penaltes. HHS enforcement actvity can result in fnancial liability and reputatonal harm, and responses to such enforcement actvity can consume signifcant internal resources. In recent months, the Ofcer of Civil Rights, or </w:t>
      </w:r>
      <w:r>
        <w:rPr>
          <w:rFonts w:ascii="Calibri" w:cs="Calibri" w:eastAsia="Calibri" w:hAnsi="Calibri"/>
          <w:sz w:val="18"/>
          <w:szCs w:val="18"/>
          <w:u w:val="single" w:color="auto"/>
          <w:color w:val="auto"/>
        </w:rPr>
        <w:t>OCR</w:t>
      </w:r>
      <w:r>
        <w:rPr>
          <w:rFonts w:ascii="Calibri" w:cs="Calibri" w:eastAsia="Calibri" w:hAnsi="Calibri"/>
          <w:sz w:val="18"/>
          <w:szCs w:val="18"/>
          <w:color w:val="auto"/>
        </w:rPr>
        <w:t>, has been especially actve in enforcing the HIPAA rules. In additon, state atorneys general are authorized to bring civil actons seeking either injunctons or damages in response to violatons that threaten the privacy of state residents. We cannot be sure how these regulatons will be interpreted, enforced or applied to our operatons. In additon to the risks associated with enforcement actvites and potental contractual liabilites, our ongoing eforts to comply with evolving laws and regulatons at the federal and state level may be costly and require ongoing modifcatons to our policies, procedures and systems. Additonally, OCR is looking to amend the HIPAA Security Rule, which (if and when fnalized) could create additonal compliance obligatons and risk for our business.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There are also increased restrictons at the federal level relatng to transferring sensitve data outside of the U.S. to certain foreign countries. For example, in 2024, Congress passed H.B. 815, which included the Protectng Americans’ Data from Foreign Adversaries Act of 2024. This law creates certain restrictons for enttes that disclose sensitve data (including potental health data) to countries such as China. Failure to comply with these rules can lead to a potental FTC enforcement acton. Additonally, the Department of Justce recently fnalized a rule implementng Executve Order 14117, which creates similar restrictons related to the transfer of sensitve US data to countries such as China. These data transfer restrictons (and others that may pass in the future) may create operatonal challenges and legal risks for our business.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Given the breadth and depth of changes in data protecton obligatons, complying with the GDPR’s requirements is rigorous and tme intensive and requires signifcant resources and a review of our technologies, systems and practces, as well as those of any third-party collaborators, service providers, contractors or consultants that process or transfer personal data collected in the European Union. The GDPR and other changes in laws or regulatons associated with the enhanced protecton of certain types of sensitve data, such as healthcare data or other personal informaton from our clinical trials, could require us to change our business practces and put in place additonal compliance mechanisms, may interrupt or delay our development, regulatory and commercializaton actvites, and could lead to government enforcement actons, private litgaton and signifcant fnes and penaltes against us, all of which could increase our cost of doing business and have a material adverse efect on our business, fnancial conditon or results of operatons. Similarly, failure to comply with federal and state laws regarding privacy and security of personal informaton could expose us to fnes and penaltes under such laws. Even if we are not determined to have violated these laws, government investgatons into these issues typically require the expenditure of signifcant resources and generate negatve publicity, which could harm our reputaton and our business.</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Further, we cannot assure you that our third-party service providers with access to our or our customers’, suppliers’, trial patents’ and employees’ personally identfable and other sensitve or confdental informaton in relaton to which we are responsible will not breach contractual obligatons imposed by us, or that they will not experience data security breaches or atempts thereof, which could have a corresponding efect on our business, including putng us in breach of our obligatons under privacy laws and regulatons and/or which could in turn adversely afect our business, results of operatons and fnancial conditon. We cannot assure you that our contractual measures and our own privacy and security-related safeguards will protect us from the risks associated with the third-party processing, storage and transmission of such informaton.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1" w:name="page82"/>
    <w:bookmarkEnd w:id="8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Legislatve and regulatory healthcare reform may increase the difculty and cost for us to obtain marketng approval of and commercialize our product candidates and afect the prices we may obtain for any products that are approved in the U.S. or foreign jurisdictons.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the U.S. and some foreign jurisdictons, there have been a number of legislatve and regulatory changes and proposed changes regarding the healthcare system that could prevent or delay marketng approval of any product candidate, restrict or regulate post-approval actvites and afect our ability to proftably sell Auryxia and Vafseo. The pharmaceutcal industry has been a partcular focus of these eforts and has been signifcantly afected by legislatve initatves. Current laws, as well as other healthcare reform measures that may be adopted in the future, may result in more rigorous coverage criteria and additonal downward pressure on the price that we receive for any FDA approved product, such as Auryxia or Vafseo or any reimbursement that physicians receive for administering any approved product.</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the U.S. the Medicare Prescripton Drug, Improvement, and Modernizaton Act of 2003, or the </w:t>
      </w:r>
      <w:r>
        <w:rPr>
          <w:rFonts w:ascii="Calibri" w:cs="Calibri" w:eastAsia="Calibri" w:hAnsi="Calibri"/>
          <w:sz w:val="18"/>
          <w:szCs w:val="18"/>
          <w:u w:val="single" w:color="auto"/>
          <w:color w:val="auto"/>
        </w:rPr>
        <w:t>MMA</w:t>
      </w:r>
      <w:r>
        <w:rPr>
          <w:rFonts w:ascii="Calibri" w:cs="Calibri" w:eastAsia="Calibri" w:hAnsi="Calibri"/>
          <w:sz w:val="18"/>
          <w:szCs w:val="18"/>
          <w:color w:val="auto"/>
        </w:rPr>
        <w:t>, changed the way Medicare covers and pays for pharmaceutcal products. The legislaton expanded Medicare coverage for drug purchases by the elderly and introduced a new reimbursement methodology based on average sales prices for physician-administered drugs. In additon, this legislaton provided authority for limitng the number of drugs that will be covered in any therapeutc class. Cost reducton initatves and other provisions of this legislaton could decrease the coverage and price that we receive for Auryxia and any other approved products. While the MMA applies only to drug benefts for Medicare benefciaries, private payors ofen follow Medicare coverage policy and payment limitatons in setng their own reimbursement rates. Therefore, any reducton in reimbursement that results from the MMA may result in a similar reducton in payments from private payors.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March 2010, President Obama signed into law the Patent Protecton and Afordable Care Act, as amended by the Health Care and Educaton Reconciliaton Act of 2010, or, collectvely, the </w:t>
      </w:r>
      <w:r>
        <w:rPr>
          <w:rFonts w:ascii="Calibri" w:cs="Calibri" w:eastAsia="Calibri" w:hAnsi="Calibri"/>
          <w:sz w:val="18"/>
          <w:szCs w:val="18"/>
          <w:u w:val="single" w:color="auto"/>
          <w:color w:val="auto"/>
        </w:rPr>
        <w:t>ACA</w:t>
      </w:r>
      <w:r>
        <w:rPr>
          <w:rFonts w:ascii="Calibri" w:cs="Calibri" w:eastAsia="Calibri" w:hAnsi="Calibri"/>
          <w:sz w:val="18"/>
          <w:szCs w:val="18"/>
          <w:color w:val="auto"/>
        </w:rPr>
        <w:t>. In additon, other legislatve and regulatory changes have been proposed and adopted since the ACA was enacted. These changes include the Budget Control Act of 2011, which, among other things, led to aggregate reductons to Medicare payments to providers of up to 2% per fscal year, which will remain in efect through 2031.</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Under current legislaton, the actual reductons in Medicare payments may vary up to 4%. The Consolidated Appropriatons Act, which was signed into law by President Biden in December 2022, made several changes to sequestraton of the Medicare program. Secton 1001 of the Consolidated Appropriatons Act delays the 4% Statutory Pay-As-You-Go Act of 2010 (PAYGO) sequester for two years, through the end of calendar year 2024. Triggered by enactment of the American Rescue Plan Act of 2021, the 4% cut to the Medicare program would have taken efect in January 2023. The Consolidated Appropriatons Act’s health care ofset ttle includes Secton 4163, which extends the 2% Budget Control Act of 2011 Medicare sequester for six months into fscal year 2032 and lowers the payment reducton percentages in fscal years 2030 and 2031.</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American Taxpayer Relief Act of 2012, which, among other things, reduced Medicare payments to several types of providers and increased the statute of limitatons period for the government to recover overpayments to providers from three to fve years. In additon, other legislatve and regulatory changes have been proposed, but not yet adopted. For example, in July 2019, HHS proposed regulatory changes in kidney health policy and reimbursement. Any new legislatve or regulatory changes may result in additonal reductons in Medicare and other healthcare funding and otherwise afect the prices we may obtain for Auryxia or Vafseo or the frequency with which Auryxia and Vafseo is prescribed or used.</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costs and prices of prescripton pharmaceutcals have also been the subject of considerable discussion in the U.S. To date, there have been several recent U.S. congressional inquiries and proposed and enacted state and federal legislaton designed to, among other things, bring more transparency to drug pricing, review the relatonship between pricing and manufacturer patent programs, reduce the costs of drugs under Medicare and reform government program reimbursement methodologies for drug products. At the federal level, Congress and the current administraton have each indicated that it will contnue to seek new legislatve and/or administratve measures to control drug costs.</w:t>
      </w:r>
    </w:p>
    <w:p>
      <w:pPr>
        <w:spacing w:after="0" w:line="99" w:lineRule="exact"/>
        <w:rPr>
          <w:sz w:val="20"/>
          <w:szCs w:val="20"/>
          <w:color w:val="auto"/>
        </w:rPr>
      </w:pPr>
    </w:p>
    <w:p>
      <w:pPr>
        <w:jc w:val="both"/>
        <w:spacing w:after="0" w:line="221" w:lineRule="auto"/>
        <w:rPr>
          <w:sz w:val="20"/>
          <w:szCs w:val="20"/>
          <w:color w:val="auto"/>
        </w:rPr>
      </w:pPr>
      <w:r>
        <w:rPr>
          <w:rFonts w:ascii="Calibri" w:cs="Calibri" w:eastAsia="Calibri" w:hAnsi="Calibri"/>
          <w:sz w:val="18"/>
          <w:szCs w:val="18"/>
          <w:color w:val="auto"/>
        </w:rPr>
        <w:t xml:space="preserve">In additon, in October 2020, the HHS and the FDA published a fnal rule allowing states and other enttes to develop a Secton 804 Importaton Program to import certain prescripton drugs from Canada into the U.S. That regulaton was challenged in a lawsuit by the Pharmaceutcal Research and Manufacturers of America, or </w:t>
      </w:r>
      <w:r>
        <w:rPr>
          <w:rFonts w:ascii="Calibri" w:cs="Calibri" w:eastAsia="Calibri" w:hAnsi="Calibri"/>
          <w:sz w:val="18"/>
          <w:szCs w:val="18"/>
          <w:u w:val="single" w:color="auto"/>
          <w:color w:val="auto"/>
        </w:rPr>
        <w:t>PhRMA</w:t>
      </w:r>
      <w:r>
        <w:rPr>
          <w:rFonts w:ascii="Calibri" w:cs="Calibri" w:eastAsia="Calibri" w:hAnsi="Calibri"/>
          <w:sz w:val="18"/>
          <w:szCs w:val="18"/>
          <w:color w:val="auto"/>
        </w:rPr>
        <w:t>, but the case was dismissed by a federal district court in February 2023 afer the court found that PhRMA did not have standing to sue HHS. Seven states (Colorado, Florida, Maine, New Hampshire, New Mexico, Texas and Vermont) have passed laws allowing for the importaton of drugs from Canada. North Dakota and Virginia have passed legislaton establishing workgroups to examine the impact of a state importaton program. As of May 2024, fve states (Colorado, Florida, Maine, New Hampshire and New Mexico) have submited Secton 804 Importaton Program proposals to the FDA. Vermont has submited a concept leter to HHS. On January 5, 2024, the FDA approved Florida’s plan for Canadian drug importaton. Florida now has authority to import certain drugs from Canada for a period of two years once certain conditons are met. Florida will frst need to submit a pre-import request for each drug selected for importaton, which must be approved by the FDA. The state will also need to relabel the drugs and perform quality testng of the products to meet FDA standards.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2" w:name="page83"/>
    <w:bookmarkEnd w:id="8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an oral drug, Auryxia was covered by Medicare under Part D untl January 1, 2025. In January 2011, CMS implemented the ESRD PPS, a prospectve payment system for dialysis treatment. Under the ESRD PPS, CMS generally makes a single bundled payment to the dialysis facility for each dialysis treatment that covers all items and services routnely required for dialysis treatments furnished to Medicare benefciaries in Medicare-certfed ESRD facilites or at their home.</w:t>
      </w:r>
    </w:p>
    <w:p>
      <w:pPr>
        <w:spacing w:after="0" w:line="98" w:lineRule="exact"/>
        <w:rPr>
          <w:sz w:val="20"/>
          <w:szCs w:val="20"/>
          <w:color w:val="auto"/>
        </w:rPr>
      </w:pPr>
    </w:p>
    <w:p>
      <w:pPr>
        <w:jc w:val="both"/>
        <w:spacing w:after="0" w:line="221" w:lineRule="auto"/>
        <w:rPr>
          <w:sz w:val="20"/>
          <w:szCs w:val="20"/>
          <w:color w:val="auto"/>
        </w:rPr>
      </w:pPr>
      <w:r>
        <w:rPr>
          <w:rFonts w:ascii="Calibri" w:cs="Calibri" w:eastAsia="Calibri" w:hAnsi="Calibri"/>
          <w:sz w:val="18"/>
          <w:szCs w:val="18"/>
          <w:color w:val="auto"/>
        </w:rPr>
        <w:t>As of January 2025, oral ESRD-related drugs without injectable or intravenous equivalents, including Auryxia and all other phosphate lowering medicatons, are included in the ESRD bundle and separate Medicare payment for these drugs are no longer available, but ESRD facilites will receive a TDAPA for Auryxia for a period of at least two years startng on January 1, 2025. Vafseo, which we began selling in January 2025, is also included in the ESRD bundle and ESRD facilites will receive a TDAPA for Vafseo as a new renal dialysis drug meetng certain criteria for a period of at least two years startng on January 1, 2025. The TDAPA provides separate payment based on the drug's ASP that will be in additon to the base rate in order to facilitate the adopton of innovatve therapies. If the TDAPA reimbursement amount for Auryxia or Vafseo is lower than antcipated, or if TDAPA is eliminated, it would have an adverse impact on our revenue. Additonally, in the post-TDAPA period, CMS currently expects to increase the single bundled payment base rate paid to the dialysis facility for each dialysis treatment to refect that bundled drugs will be reimbursed as part of the single bundled payment for Medicare patents. However, there can be no assurances that any increase in the single bundled payment base rate will be sufcient to adequately reimburse the dialysis facilites for Auryxia or Vafseo at a price that allows us to contnue to sell Auryxia or Vafseo at a proft.</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July 2024, Ardelyx fled a complaint in the United States District Court for the District of Columbia against HHS, CMS and other partes, which alleged that CMS’s plan to include oral-only phosphate lowering therapies in the ESRD PPS violated its statutory and regulatory authority under the Medicare Improvements for Patents and Providers Act, which established the ESRD PPS bundled payment system for dialysis services. In October 2024, Ardelyx fled a moton for a preliminary injuncton to enjoin CMS from including oral-only phosphate lowering therapies in the ESRD PPS. CMS had earlier fled a moton to dismiss the complaint on jurisdictonal grounds. On November 8, 2024, the district court denied Ardelyx’s moton for a preliminary injuncton and it granted the government’s moton to dismiss. Thereafer, Ardelyx moved for reconsideraton, but the district court also denied that request. On December 26, 2024, Ardelyx fled a notce of appeal with the US Court of Appeals for the DC Circuit. If Ardelyx is successful in its claims, oral-only phosphate lowering therapies, including Auryxia, may be removed from the ESRD bundle, which could reduce antcipated revenue for Auryxia.</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August 16, 2022, the Infaton Reducton Act of 2022, or IRA, was signed into law by President Biden. The legislaton has implicatons for Medicare Part D, which is a program available to individuals who are enttled to Medicare Part A or enrolled in Medicare Part B to give them the opton of paying a monthly premium for outpatent prescripton drug coverage. Among other things, the IRA imposes rebates under Medicare Part B and Medicare Part D to penalize price increases that outpace infaton (frst due in 2023); and replaces the Part D coverage gap discount program with a new discountng program (beginning in 2025). The IRA permits the Secretary of HHS to implement many of these provisions through guidance, as opposed to regulaton, for the inital years. We consider many factors when we implement a price increase for a product, including historical and potental future infaton rates. However, there are many variables that are outside of our control and if we increase the price of Auryxia or Vafseo faster than the pace of infaton, we would be subject to additonal rebates under Medicare, which could have a material adverse efect on our product revenues.</w:t>
      </w:r>
    </w:p>
    <w:p>
      <w:pPr>
        <w:spacing w:after="0" w:line="101" w:lineRule="exact"/>
        <w:rPr>
          <w:sz w:val="20"/>
          <w:szCs w:val="20"/>
          <w:color w:val="auto"/>
        </w:rPr>
      </w:pPr>
    </w:p>
    <w:p>
      <w:pPr>
        <w:jc w:val="both"/>
        <w:spacing w:after="0" w:line="221" w:lineRule="auto"/>
        <w:rPr>
          <w:sz w:val="20"/>
          <w:szCs w:val="20"/>
          <w:color w:val="auto"/>
        </w:rPr>
      </w:pPr>
      <w:r>
        <w:rPr>
          <w:rFonts w:ascii="Calibri" w:cs="Calibri" w:eastAsia="Calibri" w:hAnsi="Calibri"/>
          <w:sz w:val="18"/>
          <w:szCs w:val="18"/>
          <w:color w:val="auto"/>
        </w:rPr>
        <w:t>With respect to price negotatons, Congress authorized Medicare to negotate lower prices for certain costly single-source drug and biologic products that do not have competng generics or biosimilars and are reimbursed under Medicare Part B and Part D. CMS may negotate prices for ten high-cost drugs paid for by Medicare Part D startng in 2026, followed by 15 Part D drugs in 2027, 15 Part B or Part D drugs in 2028, and 20 Part B or Part D drugs in 2029 and beyond. This provision applies to drug products that have been approved for at least 9 years and biologics that have been licensed for 13 years, but it does not apply to drugs and biologics that have been approved for a single rare disease or conditon. On August 15, 2024, HHS published the results of the frst Medicare drug price negotatons for ten selected drugs that treat a range of conditons, including diabetes, CKD and rheumatoid arthrits. The prices of these ten drugs will become efectve January 1, 2026. Subsequently, on January 17, 2025, HHS announced its selecton of 15 additonal drugs covered by Part D for the second cycle of negotatons. This second cycle of negotatons with partcipatng drug companies will occur during 2025, and any negotated prices for this second set of drugs will be efectve startng January 1, 2027. CMS issued a public statement on January 29, 2025, declaring that lowering the cost of prescripton drugs is a top priority of the new administraton and CMS is commited to considering opportunites to bring greater transparency in the negotaton program.</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Further, the legislaton subjects drug manufacturers to civil monetary penaltes and a potental excise tax for failing to comply with the legislaton by ofering a price that is not equal to or less than the negotated “maximum fair price” under the law or for taking price increases that exceed infaton. The legislaton also requires manufacturers to pay rebates for drugs in Medicare Part D whose price increases exceed infaton. The law also caps Medicare out-of-pocket drug costs at an estmated $2,000.</w:t>
      </w:r>
    </w:p>
    <w:p>
      <w:pPr>
        <w:spacing w:after="0" w:line="98"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On June 6, 2023, Merck &amp; Co. Inc. fled a lawsuit against HHS and CMS assertng that, among other things, the IRA’s Drug Price Negotaton Program for Medicare consttutes an uncompensated taking in violaton of the Fifh Amendment of the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3" w:name="page84"/>
    <w:bookmarkEnd w:id="8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21" w:lineRule="auto"/>
        <w:rPr>
          <w:sz w:val="20"/>
          <w:szCs w:val="20"/>
          <w:color w:val="auto"/>
        </w:rPr>
      </w:pPr>
      <w:r>
        <w:rPr>
          <w:rFonts w:ascii="Calibri" w:cs="Calibri" w:eastAsia="Calibri" w:hAnsi="Calibri"/>
          <w:sz w:val="18"/>
          <w:szCs w:val="18"/>
          <w:color w:val="auto"/>
        </w:rPr>
        <w:t>Consttuton. Subsequently, a number of other partes, including the U.S. Chamber of Commerce, Bristol Myers Squibb Company, the PhRMA, Astellas, Novo Nordisk, Janssen Pharmaceutcals, Novarts, AstraZeneca and Boehringer Ingelheim, also fled lawsuits in various courts with similar consttutonal claims against HHS and CMS. There have been various decisions by the courts considering these cases since they were fled. The HHS has generally won the substantve disputes in these cases, and various federal district court judges have expressed skeptcism regarding the merits of the legal arguments being pursued by the pharmaceutcal industry. Certain of these cases are now on appeal and, on October 30, 2024, the Court of Appeals for the Third Circuit heard oral argument in three of these cases. We expect that litgaton involving these and other provisions of the IRA will contnue, with unpredictable and uncertain results. Accordingly, while it is currently unclear how the IRA will be efectuated, we cannot predict with certainty what impact any federal or state health reforms will have on us, but such changes could impose new or more stringent regulatory requirements on our actvites or result in reduced reimbursement for our products, any of which could adversely afect our business, results of operatons and fnancial conditon.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the state level, individual states are increasingly aggressive in passing legislaton and implementng regulatons designed to control pharmaceutcal and biological product pricing, including price or patent reimbursement constraints, discounts, restrictons on certain product access, marketng cost disclosure and transparency measures, and, in some cases, designed to encourage importaton from other countries and bulk purchasing. A number of states, for example, require drug manufacturers and other enttes in the drug supply chain, including health carriers, pharmacy beneft managers, wholesale distributors, to disclose informaton about pricing of pharmaceutcals. In additon, regional healthcare authorites and individual hospitals are increasingly using bidding procedures to determine what pharmaceutcal products and which suppliers will be included in their prescripton drug and other healthcare programs. These measures could reduce the ultmate demand for our products or put pressure on our product pricing.</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It is likely that federal and state legislatures within the U.S. and foreign governments will contnue to consider changes to existng healthcare legislaton. We expect that additonal state and federal healthcare reform measures will be adopted in the future, any of which could limit the amounts that federal and state governments will pay for healthcare products and services, which could result in reduced demand for Auryxia or Vafseo and any product candidates for which we receive marketng approval or additonal pricing pressures. We cannot predict the reform initatves that may be adopted in the future or whether initatves that have been adopted will be repealed or modifed. The contnuing eforts of the government, insurance companies, managed care organizatons and other payors of healthcare services to contain or reduce costs of healthcare may adversely afect:</w:t>
      </w:r>
    </w:p>
    <w:p>
      <w:pPr>
        <w:spacing w:after="0" w:line="108" w:lineRule="exact"/>
        <w:rPr>
          <w:sz w:val="20"/>
          <w:szCs w:val="20"/>
          <w:color w:val="auto"/>
        </w:rPr>
      </w:pPr>
    </w:p>
    <w:p>
      <w:pPr>
        <w:ind w:left="640" w:hanging="308"/>
        <w:spacing w:after="0"/>
        <w:tabs>
          <w:tab w:leader="none" w:pos="640" w:val="left"/>
        </w:tabs>
        <w:numPr>
          <w:ilvl w:val="0"/>
          <w:numId w:val="48"/>
        </w:numPr>
        <w:rPr>
          <w:rFonts w:ascii="Calibri" w:cs="Calibri" w:eastAsia="Calibri" w:hAnsi="Calibri"/>
          <w:sz w:val="18"/>
          <w:szCs w:val="18"/>
          <w:color w:val="auto"/>
        </w:rPr>
      </w:pPr>
      <w:r>
        <w:rPr>
          <w:rFonts w:ascii="Calibri" w:cs="Calibri" w:eastAsia="Calibri" w:hAnsi="Calibri"/>
          <w:sz w:val="18"/>
          <w:szCs w:val="18"/>
          <w:color w:val="auto"/>
        </w:rPr>
        <w:t>the demand for Auryxia, Vafseo and any product candidates for which we receive marketng approval;</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48"/>
        </w:numPr>
        <w:rPr>
          <w:rFonts w:ascii="Calibri" w:cs="Calibri" w:eastAsia="Calibri" w:hAnsi="Calibri"/>
          <w:sz w:val="18"/>
          <w:szCs w:val="18"/>
          <w:color w:val="auto"/>
        </w:rPr>
      </w:pPr>
      <w:r>
        <w:rPr>
          <w:rFonts w:ascii="Calibri" w:cs="Calibri" w:eastAsia="Calibri" w:hAnsi="Calibri"/>
          <w:sz w:val="18"/>
          <w:szCs w:val="18"/>
          <w:color w:val="auto"/>
        </w:rPr>
        <w:t>our ability to set a price that we believe is fair for our products;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48"/>
        </w:numPr>
        <w:rPr>
          <w:rFonts w:ascii="Calibri" w:cs="Calibri" w:eastAsia="Calibri" w:hAnsi="Calibri"/>
          <w:sz w:val="18"/>
          <w:szCs w:val="18"/>
          <w:color w:val="auto"/>
        </w:rPr>
      </w:pPr>
      <w:r>
        <w:rPr>
          <w:rFonts w:ascii="Calibri" w:cs="Calibri" w:eastAsia="Calibri" w:hAnsi="Calibri"/>
          <w:sz w:val="18"/>
          <w:szCs w:val="18"/>
          <w:color w:val="auto"/>
        </w:rPr>
        <w:t>our ability to obtain and maintain coverage and reimbursement approval for Auryxia, Vafseo or any other approved product;</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48"/>
        </w:numPr>
        <w:rPr>
          <w:rFonts w:ascii="Calibri" w:cs="Calibri" w:eastAsia="Calibri" w:hAnsi="Calibri"/>
          <w:sz w:val="18"/>
          <w:szCs w:val="18"/>
          <w:color w:val="auto"/>
        </w:rPr>
      </w:pPr>
      <w:r>
        <w:rPr>
          <w:rFonts w:ascii="Calibri" w:cs="Calibri" w:eastAsia="Calibri" w:hAnsi="Calibri"/>
          <w:sz w:val="18"/>
          <w:szCs w:val="18"/>
          <w:color w:val="auto"/>
        </w:rPr>
        <w:t>our ability to generate revenues and achieve or maintain proftability; and</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48"/>
        </w:numPr>
        <w:rPr>
          <w:rFonts w:ascii="Calibri" w:cs="Calibri" w:eastAsia="Calibri" w:hAnsi="Calibri"/>
          <w:sz w:val="18"/>
          <w:szCs w:val="18"/>
          <w:color w:val="auto"/>
        </w:rPr>
      </w:pPr>
      <w:r>
        <w:rPr>
          <w:rFonts w:ascii="Calibri" w:cs="Calibri" w:eastAsia="Calibri" w:hAnsi="Calibri"/>
          <w:sz w:val="18"/>
          <w:szCs w:val="18"/>
          <w:color w:val="auto"/>
        </w:rPr>
        <w:t>the level of taxes that we are required to pay.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in some countries, including EU Member States, the pricing of prescripton pharmaceutcals is subject to governmental control. In these countries, pricing negotatons with governmental authorites can take a signifcant amount of tme afer receipt of marketng approval for a product. In additon, there can be considerable pressure by governments and other stakeholders on prices and reimbursement levels, including as part of cost containment measures. Politcal, economic and regulatory developments may further complicate pricing negotatons, and pricing negotatons may contnue afer reimbursement has been obtained. Reference pricing used by various EU Member States and parallel distributon, or arbitrage between low-priced and high-priced EU Member States, can further reduce prices, and in certain instances render commercializaton in certain markets infeasible or disadvantageous from a fnancial perspectve. In some countries, we or our collaborators may be required to conduct a clinical trial or other studies that compare the cost-efectveness of our product and/or our product candidates to other available products in order to obtain or maintain reimbursement or pricing approval. Publicaton of discounts by third party payors or government authorites may lead to further pressure on the prices or reimbursement levels. If reimbursement of our products is unavailable or limited in scope or amount, or if pricing is set at unsatsfactory levels, the commercial launch of our product and/or product candidates could be delayed, possibly for lengthy periods of tme, we or our collaborators may not launch at all in a partcular country, we may not be able to recoup our investment in one or more product candidates, and there could be a material adverse efect on our business.</w:t>
      </w:r>
    </w:p>
    <w:p>
      <w:pPr>
        <w:spacing w:after="0" w:line="1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Our reportng and payment obligatons under the Medicaid Drug Rebate Program, Medicare and other governmental drug pricing programs are complex and may involve subjectve decisions. Any failure to properly comply with those obligatons could subject us to penaltes and sanctons.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a conditon of reimbursement by various federal and state health insurance programs, we are required to calculate and report certain pricing informaton to federal and state agencies. The regulatons governing the calculatons, price reportng and payment obligatons are complex and subject to interpretaton by various government and regulatory agencies, as well as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4" w:name="page85"/>
    <w:bookmarkEnd w:id="8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the courts. Reasonable assumptons have been made where there is lack of regulatons or clear guidance and such assumptons involve subjectve decisions and estmates. We are required to report any revisions to our calculaton, price reportng and payment obligatons previously reported or paid. Such revisions could afect our liability to federal and state payors and also adversely impact our reported fnancial results of operatons in the period of such restatement. Further, a number of states have either implemented or are considering implementaton of drug price transparency legislaton that may prevent or limit our ability to take price increases at certain rates or frequencies. Requirements under such laws include advance notce of planned price increases, reportng price increase amounts and factors considered in taking such increases, wholesale acquisiton cost informaton disclosure to prescribers, purchasers, and state agencies, and new product notce and reportng. Such legislaton could limit the price or payment for certain drugs, and a number of states are authorized to impose civil monetary penaltes or pursue other enforcement mechanisms against manufacturers for the untmely, inaccurate, or incomplete reportng of drug pricing informaton or for otherwise failing to comply with drug price transparency requirements. If we are found to have violated state law requirements, we may become subject to signifcant penaltes or other enforcement mechanisms, which could have a material adverse efect on our business.</w:t>
      </w:r>
    </w:p>
    <w:p>
      <w:pPr>
        <w:spacing w:after="0" w:line="1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Uncertainty exists as new laws, regulatons, judicial decisions, or new interpretatons of existng laws, or regulatons related to our calculatons, price reportng or payments obligatons increases the chances of a legal challenge, restatement or investgaton. If we become subject to investgatons, restatements, or other inquiries concerning our compliance with price reportng laws and regulatons, we could be required to pay or be subject to additonal reimbursements, penaltes, sanctons or fnes, which could have a material adverse efect on our business, fnancial conditon and results of operatons. In additon, it is possible that future healthcare reform measures could be adopted, which could result in changes to how we calculate or report certain pricing informaton to federal and state agencies, or increased pressure on pricing and reimbursement of our products and thus have an adverse impact on our fnancial positon or business operatons.</w:t>
      </w:r>
    </w:p>
    <w:p>
      <w:pPr>
        <w:spacing w:after="0" w:line="114"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Further, state Medicaid programs may be slow to invoice pharmaceutcal companies for calculated rebates resultng in a lag between the tme a sale is recorded and the tme the rebate is paid. This results in us having to carry a liability on our consolidated balance sheet for the estmate of rebate claims expected for Medicaid patents. If actual claims are higher than current estmates, our fnancial positon and results of operatons could be adversely afected.</w:t>
      </w:r>
    </w:p>
    <w:p>
      <w:pPr>
        <w:spacing w:after="0" w:line="97"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In additon to retroactve rebates and the potental for 340B Program refunds, if we are found to have knowingly submited any false price informaton related to the Medicaid Drug Rebate Program to CMS, we may be liable for civil monetary penaltes. Such failure could also be grounds for CMS to terminate our Medicaid drug rebate agreement, pursuant to which we partcipate in the Medicaid program. In the event that CMS terminates our rebate agreement, federal payments may not be available under government programs, including Medicaid or Medicare Part B, for our covered outpatent drugs.</w:t>
      </w:r>
    </w:p>
    <w:p>
      <w:pPr>
        <w:spacing w:after="0" w:line="10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Additonally, if we overcharge the government in connecton with the Federal Supply Schedule pricing program or Tricare Retail Pharmacy Program, whether due to a misstated Federal Ceiling Price or otherwise, we are required to refund the diference to the government. Failure to make necessary disclosures and/or to identfy contract overcharges can result in allegatons against us under the FDCA and other laws and regulatons. Unexpected refunds to the government, and responding to a government investgaton or enforcement acton, would be expensive and tme-consuming, and could have a material adverse efect on our business, fnancial conditon, results of operatons and growth prospects.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collaborators are also subject to similar requirements outside of the U.S. and thus the atendant risks and uncertaintes. If our collaborators sufer material and adverse efects from such risks and uncertaintes, our rights and benefts for our licensed products could be negatvely impacted, which could have a material and adverse impact on our revenues.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With the passage of the CREATES Act, we are exposed to possible litgaton and damages by compettors who may claim that we are not providing sufcient quanttes of our approved products on commercially reasonable, market-based terms for testng in support of their ANDAs, 505(b)(2) NDAs and biosimilar product applicatons.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December 2019, President Trump signed legislaton intended to facilitate the development of generic and biosimilar products. The bill, previously known as the CREATES Act, authorizes sponsors of ANDAs, 505(b)(2) NDAs or biosimilar product applicatons to fle lawsuits against companies holding NDAs or BLAs that decline to provide sufcient quanttes of an approved reference drug or biological product on commercially reasonable, market-based terms. Drug or biological products on FDA’s drug shortage list are exempt from these new provisions unless the product has been on the list for more than six contnuous months or the FDA determines that the supply of the product will help alleviate or prevent a shortage.</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 bring an acton under the statute, the developer of a product candidate that seeks to develop the product and seek approval under an ANDA, 505(b)(2) NDA, or biosimilar product applicaton must take certain steps to request the reference product from the reference product manufacturer, which, in the case of products covered by a REMS with elements to assure safe use, include obtaining authorizaton from the FDA for the acquisiton of the reference product. If the reference product manufacturer does not provide the reference product and the ANDA, 505(b)(2) NDA, or biosimilar product sponsor does bring an acton for failure to provide a reference product, there are certain afrmatve defenses available to the reference product manufacturer, which must be shown by a preponderance of evidence, including that the NDA or BLA holder sells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5" w:name="page86"/>
    <w:bookmarkEnd w:id="8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reference product through agents, distributors, or wholesalers and has placed no restrictons, explicit or implicit, on selling the reference product to ANDA, 505(b)(2) or biosimilar sponsors. If the sponsor prevails in litgaton, it is enttled to a court order directng the reference product manufacturer to provide, without delay, sufcient quanttes of the applicable product on commercially reasonable, market-based terms, plus reasonable atorney fees and costs.</w:t>
      </w:r>
    </w:p>
    <w:p>
      <w:pPr>
        <w:spacing w:after="0" w:line="9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Additonally, the new statutory provisions authorize a federal court to award the product developer an amount “sufcient to deter” the reference product manufacturer from refusing to provide sufcient product quanttes on commercially reasonable, market-based terms, up to a certain maximum amount based on revenue earned while in noncompliance, if the court fnds, by a preponderance of the evidence, that the reference product manufacturer did not have a legitmate business justfcaton to delay providing the product or failed to comply with the court’s order. For the purposes of the statute, the term “commercially reasonable, market-based terms” is defned as (1) the nondiscriminatory price at or below the most recent wholesale acquisiton cost for the product, (2) a delivery schedule that meets the statutorily defned tmetable, and (3) no additonal conditons on the sale.</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Although we intend to comply fully with the terms of these statutory provisions, we are stll exposed to potental litgaton and damages by compettors who may claim that we are not providing sufcient quanttes of our approved products on commercially reasonable, market-based terms for testng in support of ANDAs, 505(b)(2) NDA applicatons or biosimilar product applicatons. Such litgaton would subject us to additonal litgaton costs, damages and reputatonal harm, which could lead to lower revenues. The CREATES Act may facilitate future competton with Auryxia or Vafseo and any of our product candidates, if approved, which could impact our ability to maximize product revenue.</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If we fail to comply with environmental, health and safety laws and regulatons, we could become subject to fnes or penaltes or incur costs that could harm our business.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subject to numerous environmental, health and safety laws and regulatons, including those governing laboratory procedures and the handling, use, storage, treatment and disposal of hazardous materials and wastes. Our operatons involve the use of hazardous and fammable materials, including chemicals and biological materials. Our operatons also produce hazardous waste products. We generally contract with third partes for the use and disposal of these materials and wastes. We cannot eliminate the risk of contaminaton or injury from these materials. In the event of contaminaton or injury resultng from the use of hazardous materials by our employees, contractors or consultants, we could be held liable for any resultng damages, and any liability could exceed our resources. We also could incur signifcant costs associated with civil or criminal fnes and penaltes for failure to comply with such laws and regulatons.</w:t>
      </w:r>
    </w:p>
    <w:p>
      <w:pPr>
        <w:spacing w:after="0" w:line="114"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Although we maintain workers’ compensaton insurance to cover us for costs and expenses we may incur due to injuries to our employees resultng from the use of hazardous materials, this insurance may not provide adequate coverage against potental liabilites. We do not maintain insurance for environmental liability or toxic tort claims that may be asserted against us in connecton with our storage or disposal of biological, hazardous or radioactve materials.</w:t>
      </w:r>
    </w:p>
    <w:p>
      <w:pPr>
        <w:spacing w:after="0" w:line="9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we may incur substantal costs in order to comply with current or future environmental, health and safety laws and regulatons. These current or future laws and regulatons may impair our research, development or producton eforts. Our failure to comply with these laws and regulatons also may result in substantal fnes, penaltes or other sanctons.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Risks Related to our Reliance on Third Partes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We depend on collaboratons with third partes for the development and commercializaton of Auryxia, including an authorized generic version of Auryxia, Riona and Vafseo and, if these collaboratons are not successful or if our collaborators terminate their agreements with us, we may not be able to capitalize on the market potental of Auryxia, Riona and Vafseo, and our business could be materially harmed.</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sublicensed the rights to commercialize Riona to JT and Torii in Japan. We also entered into a collaboraton agreement with MTPC to develop and commercialize Vafseo in Japan and certain other Asian countries. In additon, we granted to Averoa an exclusive license to develop and commercialize ferric citrate in the Averoa Territory. Furthermore, we granted Medice an exclusive license to develop and commercialize Vafseo for the treatment of anemia in patents with CKD in the Medice Territory. We may form or seek other strategic alliances, joint ventures, or collaboratons, or enter into additonal licensing arrangements with third partes that we believe will complement or augment our and our partners' commercializaton eforts with respect to Auryxia, Riona, Vafseo and any other product candidates. We may not be able to maintain our collaboratons for development and commercializaton. For example, on May 13, 2022, Otsuka Pharmaceutcal Co. Ltd., or </w:t>
      </w:r>
      <w:r>
        <w:rPr>
          <w:rFonts w:ascii="Calibri" w:cs="Calibri" w:eastAsia="Calibri" w:hAnsi="Calibri"/>
          <w:sz w:val="18"/>
          <w:szCs w:val="18"/>
          <w:u w:val="single" w:color="auto"/>
          <w:color w:val="auto"/>
        </w:rPr>
        <w:t>Otsuka</w:t>
      </w:r>
      <w:r>
        <w:rPr>
          <w:rFonts w:ascii="Calibri" w:cs="Calibri" w:eastAsia="Calibri" w:hAnsi="Calibri"/>
          <w:sz w:val="18"/>
          <w:szCs w:val="18"/>
          <w:color w:val="auto"/>
        </w:rPr>
        <w:t>, elected to terminate our collaboraton agreements with them, and we subsequently negotated a Terminaton and Setlement Agreement with Otsuka. This terminaton by Otsuka may have delayed the launch of Vafseo in Europe or other territories previously licensed to Otsuka or adversely afected how we are perceived in scientfc and fnancial communites. For example, in August 2023, Medice informed us that their launch of Vafseo in certain countries in the Medice Territory was going to be later than previously antcipated due to the actvites required to enable the launch. If we are unable to maintain our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6" w:name="page87"/>
    <w:bookmarkEnd w:id="8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alibri" w:cs="Calibri" w:eastAsia="Calibri" w:hAnsi="Calibri"/>
          <w:sz w:val="17"/>
          <w:szCs w:val="17"/>
          <w:color w:val="auto"/>
        </w:rPr>
        <w:t>collaboratons, we may not be able to capitalize on the market potental of our products or product candidates, and our business could be materially harmed.</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February 2025, in advance of the potental market entry of generic competton to our branded Auryxia on or afer March 20, 2025, we entered into an Authorized Generic Distributon and Supply Agreement with our AG Partner, pursuant to which, on or afer March 20, 2025, our AG Partner will sell an authorized generic version of Auryxia. We will be relying on our AG Partner for the commercializaton of this authorized generic. If competton, including from generics other than our AG Partner, capture sales or if generics are sold at a greater discount to Auryxia’s price than antcipated, it could materially and adversely afect our expected revenues. In additon, we are responsible for supplying product to our AG Partner, and if there are problems in the supply chain, we could be subject to certain penaltes, which could be substantal.</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color w:val="auto"/>
        </w:rPr>
        <w:t>In additon, our current and any future collaboratons may not be successful due to a number of important factors, including the following:</w:t>
      </w:r>
    </w:p>
    <w:p>
      <w:pPr>
        <w:spacing w:after="0" w:line="104" w:lineRule="exact"/>
        <w:rPr>
          <w:sz w:val="20"/>
          <w:szCs w:val="20"/>
          <w:color w:val="auto"/>
        </w:rPr>
      </w:pPr>
    </w:p>
    <w:p>
      <w:pPr>
        <w:ind w:left="640" w:hanging="308"/>
        <w:spacing w:after="0"/>
        <w:tabs>
          <w:tab w:leader="none" w:pos="640" w:val="left"/>
        </w:tabs>
        <w:numPr>
          <w:ilvl w:val="0"/>
          <w:numId w:val="49"/>
        </w:numPr>
        <w:rPr>
          <w:rFonts w:ascii="Calibri" w:cs="Calibri" w:eastAsia="Calibri" w:hAnsi="Calibri"/>
          <w:sz w:val="18"/>
          <w:szCs w:val="18"/>
          <w:color w:val="auto"/>
        </w:rPr>
      </w:pPr>
      <w:r>
        <w:rPr>
          <w:rFonts w:ascii="Calibri" w:cs="Calibri" w:eastAsia="Calibri" w:hAnsi="Calibri"/>
          <w:sz w:val="18"/>
          <w:szCs w:val="18"/>
          <w:color w:val="auto"/>
        </w:rPr>
        <w:t>collaborators may have signifcant discreton in determining the eforts and resources that they will apply to these collaboratons;</w:t>
      </w:r>
    </w:p>
    <w:p>
      <w:pPr>
        <w:spacing w:after="0" w:line="55" w:lineRule="exact"/>
        <w:rPr>
          <w:rFonts w:ascii="Calibri" w:cs="Calibri" w:eastAsia="Calibri" w:hAnsi="Calibri"/>
          <w:sz w:val="18"/>
          <w:szCs w:val="18"/>
          <w:color w:val="auto"/>
        </w:rPr>
      </w:pPr>
    </w:p>
    <w:p>
      <w:pPr>
        <w:jc w:val="both"/>
        <w:ind w:left="660" w:hanging="328"/>
        <w:spacing w:after="0" w:line="235" w:lineRule="auto"/>
        <w:tabs>
          <w:tab w:leader="none" w:pos="653" w:val="left"/>
        </w:tabs>
        <w:numPr>
          <w:ilvl w:val="0"/>
          <w:numId w:val="49"/>
        </w:numPr>
        <w:rPr>
          <w:rFonts w:ascii="Calibri" w:cs="Calibri" w:eastAsia="Calibri" w:hAnsi="Calibri"/>
          <w:sz w:val="18"/>
          <w:szCs w:val="18"/>
          <w:color w:val="auto"/>
        </w:rPr>
      </w:pPr>
      <w:r>
        <w:rPr>
          <w:rFonts w:ascii="Calibri" w:cs="Calibri" w:eastAsia="Calibri" w:hAnsi="Calibri"/>
          <w:sz w:val="18"/>
          <w:szCs w:val="18"/>
          <w:color w:val="auto"/>
        </w:rPr>
        <w:t>collaboratons may be terminated in accordance with the terms of the collaboraton agreements and, if terminated, may make it difcult for us to atract new collaborators or adversely afect how we are perceived in scientfc and fnancial communites, and may result in a need for additonal capital and expansion of our internal capabilites to pursue further development or commercializaton of the applicable products and product candidates;</w:t>
      </w:r>
    </w:p>
    <w:p>
      <w:pPr>
        <w:spacing w:after="0" w:line="57" w:lineRule="exact"/>
        <w:rPr>
          <w:rFonts w:ascii="Calibri" w:cs="Calibri" w:eastAsia="Calibri" w:hAnsi="Calibri"/>
          <w:sz w:val="18"/>
          <w:szCs w:val="18"/>
          <w:color w:val="auto"/>
        </w:rPr>
      </w:pPr>
    </w:p>
    <w:p>
      <w:pPr>
        <w:jc w:val="both"/>
        <w:ind w:left="660" w:hanging="328"/>
        <w:spacing w:after="0" w:line="235" w:lineRule="auto"/>
        <w:tabs>
          <w:tab w:leader="none" w:pos="653" w:val="left"/>
        </w:tabs>
        <w:numPr>
          <w:ilvl w:val="0"/>
          <w:numId w:val="49"/>
        </w:numPr>
        <w:rPr>
          <w:rFonts w:ascii="Calibri" w:cs="Calibri" w:eastAsia="Calibri" w:hAnsi="Calibri"/>
          <w:sz w:val="18"/>
          <w:szCs w:val="18"/>
          <w:color w:val="auto"/>
        </w:rPr>
      </w:pPr>
      <w:r>
        <w:rPr>
          <w:rFonts w:ascii="Calibri" w:cs="Calibri" w:eastAsia="Calibri" w:hAnsi="Calibri"/>
          <w:sz w:val="18"/>
          <w:szCs w:val="18"/>
          <w:color w:val="auto"/>
        </w:rPr>
        <w:t>if permited by the terms of the collaboraton agreements, collaborators may elect not to contnue or renew development or commercializaton programs based on clinical trial results, changes in their strategic focus, availability of funding or other external factors such as a business combinaton that diverts resources or creates competng priorites;</w:t>
      </w:r>
    </w:p>
    <w:p>
      <w:pPr>
        <w:spacing w:after="0" w:line="56" w:lineRule="exact"/>
        <w:rPr>
          <w:rFonts w:ascii="Calibri" w:cs="Calibri" w:eastAsia="Calibri" w:hAnsi="Calibri"/>
          <w:sz w:val="18"/>
          <w:szCs w:val="18"/>
          <w:color w:val="auto"/>
        </w:rPr>
      </w:pPr>
    </w:p>
    <w:p>
      <w:pPr>
        <w:jc w:val="both"/>
        <w:ind w:left="660" w:hanging="328"/>
        <w:spacing w:after="0" w:line="235" w:lineRule="auto"/>
        <w:tabs>
          <w:tab w:leader="none" w:pos="653" w:val="left"/>
        </w:tabs>
        <w:numPr>
          <w:ilvl w:val="0"/>
          <w:numId w:val="49"/>
        </w:numPr>
        <w:rPr>
          <w:rFonts w:ascii="Calibri" w:cs="Calibri" w:eastAsia="Calibri" w:hAnsi="Calibri"/>
          <w:sz w:val="18"/>
          <w:szCs w:val="18"/>
          <w:color w:val="auto"/>
        </w:rPr>
      </w:pPr>
      <w:r>
        <w:rPr>
          <w:rFonts w:ascii="Calibri" w:cs="Calibri" w:eastAsia="Calibri" w:hAnsi="Calibri"/>
          <w:sz w:val="18"/>
          <w:szCs w:val="18"/>
          <w:color w:val="auto"/>
        </w:rPr>
        <w:t>if permited by the terms of the collaboraton agreements, collaborators may delay clinical trials, provide insufcient funding for a clinical trial program, stop a clinical trial, abandon a product candidate, repeat or conduct new clinical trials or require a new formulaton of a product candidate for clinical testng;</w:t>
      </w:r>
    </w:p>
    <w:p>
      <w:pPr>
        <w:spacing w:after="0" w:line="51" w:lineRule="exact"/>
        <w:rPr>
          <w:rFonts w:ascii="Calibri" w:cs="Calibri" w:eastAsia="Calibri" w:hAnsi="Calibri"/>
          <w:sz w:val="18"/>
          <w:szCs w:val="18"/>
          <w:color w:val="auto"/>
        </w:rPr>
      </w:pPr>
    </w:p>
    <w:p>
      <w:pPr>
        <w:ind w:left="640" w:hanging="308"/>
        <w:spacing w:after="0"/>
        <w:tabs>
          <w:tab w:leader="none" w:pos="640" w:val="left"/>
        </w:tabs>
        <w:numPr>
          <w:ilvl w:val="0"/>
          <w:numId w:val="49"/>
        </w:numPr>
        <w:rPr>
          <w:rFonts w:ascii="Calibri" w:cs="Calibri" w:eastAsia="Calibri" w:hAnsi="Calibri"/>
          <w:sz w:val="18"/>
          <w:szCs w:val="18"/>
          <w:color w:val="auto"/>
        </w:rPr>
      </w:pPr>
      <w:r>
        <w:rPr>
          <w:rFonts w:ascii="Calibri" w:cs="Calibri" w:eastAsia="Calibri" w:hAnsi="Calibri"/>
          <w:sz w:val="18"/>
          <w:szCs w:val="18"/>
          <w:color w:val="auto"/>
        </w:rPr>
        <w:t>a collaborator with marketng and distributon rights to our products may not commit sufcient resources to their marketng and distributon;</w:t>
      </w:r>
    </w:p>
    <w:p>
      <w:pPr>
        <w:spacing w:after="0" w:line="55" w:lineRule="exact"/>
        <w:rPr>
          <w:rFonts w:ascii="Calibri" w:cs="Calibri" w:eastAsia="Calibri" w:hAnsi="Calibri"/>
          <w:sz w:val="18"/>
          <w:szCs w:val="18"/>
          <w:color w:val="auto"/>
        </w:rPr>
      </w:pPr>
    </w:p>
    <w:p>
      <w:pPr>
        <w:ind w:left="660" w:right="20" w:hanging="328"/>
        <w:spacing w:after="0" w:line="235" w:lineRule="auto"/>
        <w:tabs>
          <w:tab w:leader="none" w:pos="653" w:val="left"/>
        </w:tabs>
        <w:numPr>
          <w:ilvl w:val="0"/>
          <w:numId w:val="49"/>
        </w:numPr>
        <w:rPr>
          <w:rFonts w:ascii="Calibri" w:cs="Calibri" w:eastAsia="Calibri" w:hAnsi="Calibri"/>
          <w:sz w:val="18"/>
          <w:szCs w:val="18"/>
          <w:color w:val="auto"/>
        </w:rPr>
      </w:pPr>
      <w:r>
        <w:rPr>
          <w:rFonts w:ascii="Calibri" w:cs="Calibri" w:eastAsia="Calibri" w:hAnsi="Calibri"/>
          <w:sz w:val="18"/>
          <w:szCs w:val="18"/>
          <w:color w:val="auto"/>
        </w:rPr>
        <w:t>if permited by the terms of the collaboraton agreements, we and our collaborator may have a diference of opinion regarding the development or commercializaton strategy for a partcular product or product candidate, and our collaborator may have ultmate decision making authority;</w:t>
      </w:r>
    </w:p>
    <w:p>
      <w:pPr>
        <w:spacing w:after="0" w:line="55" w:lineRule="exact"/>
        <w:rPr>
          <w:rFonts w:ascii="Calibri" w:cs="Calibri" w:eastAsia="Calibri" w:hAnsi="Calibri"/>
          <w:sz w:val="18"/>
          <w:szCs w:val="18"/>
          <w:color w:val="auto"/>
        </w:rPr>
      </w:pPr>
    </w:p>
    <w:p>
      <w:pPr>
        <w:jc w:val="both"/>
        <w:ind w:left="660" w:hanging="328"/>
        <w:spacing w:after="0" w:line="235" w:lineRule="auto"/>
        <w:tabs>
          <w:tab w:leader="none" w:pos="653" w:val="left"/>
        </w:tabs>
        <w:numPr>
          <w:ilvl w:val="0"/>
          <w:numId w:val="49"/>
        </w:numPr>
        <w:rPr>
          <w:rFonts w:ascii="Calibri" w:cs="Calibri" w:eastAsia="Calibri" w:hAnsi="Calibri"/>
          <w:sz w:val="18"/>
          <w:szCs w:val="18"/>
          <w:color w:val="auto"/>
        </w:rPr>
      </w:pPr>
      <w:r>
        <w:rPr>
          <w:rFonts w:ascii="Calibri" w:cs="Calibri" w:eastAsia="Calibri" w:hAnsi="Calibri"/>
          <w:sz w:val="18"/>
          <w:szCs w:val="18"/>
          <w:color w:val="auto"/>
        </w:rPr>
        <w:t>disputes may arise between a collaborator and us that cause the delay or terminaton of actvites related to research, development, supply or commercializaton of Auryxia, Riona or Vafseo and any other product candidate, or that result in costly litgaton or arbitraton that diverts management atenton and resources;</w:t>
      </w:r>
    </w:p>
    <w:p>
      <w:pPr>
        <w:spacing w:after="0" w:line="56"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49"/>
        </w:numPr>
        <w:rPr>
          <w:rFonts w:ascii="Calibri" w:cs="Calibri" w:eastAsia="Calibri" w:hAnsi="Calibri"/>
          <w:sz w:val="18"/>
          <w:szCs w:val="18"/>
          <w:color w:val="auto"/>
        </w:rPr>
      </w:pPr>
      <w:r>
        <w:rPr>
          <w:rFonts w:ascii="Calibri" w:cs="Calibri" w:eastAsia="Calibri" w:hAnsi="Calibri"/>
          <w:sz w:val="18"/>
          <w:szCs w:val="18"/>
          <w:color w:val="auto"/>
        </w:rPr>
        <w:t>collaboratons may not lead to development or commercializaton of products and product candidates, if approved, in the most efcient manner or at all;</w:t>
      </w:r>
    </w:p>
    <w:p>
      <w:pPr>
        <w:spacing w:after="0" w:line="55" w:lineRule="exact"/>
        <w:rPr>
          <w:rFonts w:ascii="Calibri" w:cs="Calibri" w:eastAsia="Calibri" w:hAnsi="Calibri"/>
          <w:sz w:val="18"/>
          <w:szCs w:val="18"/>
          <w:color w:val="auto"/>
        </w:rPr>
      </w:pPr>
    </w:p>
    <w:p>
      <w:pPr>
        <w:jc w:val="both"/>
        <w:ind w:left="660" w:hanging="328"/>
        <w:spacing w:after="0" w:line="235" w:lineRule="auto"/>
        <w:tabs>
          <w:tab w:leader="none" w:pos="653" w:val="left"/>
        </w:tabs>
        <w:numPr>
          <w:ilvl w:val="0"/>
          <w:numId w:val="49"/>
        </w:numPr>
        <w:rPr>
          <w:rFonts w:ascii="Calibri" w:cs="Calibri" w:eastAsia="Calibri" w:hAnsi="Calibri"/>
          <w:sz w:val="18"/>
          <w:szCs w:val="18"/>
          <w:color w:val="auto"/>
        </w:rPr>
      </w:pPr>
      <w:r>
        <w:rPr>
          <w:rFonts w:ascii="Calibri" w:cs="Calibri" w:eastAsia="Calibri" w:hAnsi="Calibri"/>
          <w:sz w:val="18"/>
          <w:szCs w:val="18"/>
          <w:color w:val="auto"/>
        </w:rPr>
        <w:t>inefciencies or structural changes in internal operatons or processes of our collaborators may lead to increased expenses associated with commercializing a product, including manufacturing costs, rebates, product returns and other adjustments which would negatvely impact net product revenue;</w:t>
      </w:r>
    </w:p>
    <w:p>
      <w:pPr>
        <w:spacing w:after="0" w:line="56" w:lineRule="exact"/>
        <w:rPr>
          <w:rFonts w:ascii="Calibri" w:cs="Calibri" w:eastAsia="Calibri" w:hAnsi="Calibri"/>
          <w:sz w:val="18"/>
          <w:szCs w:val="18"/>
          <w:color w:val="auto"/>
        </w:rPr>
      </w:pPr>
    </w:p>
    <w:p>
      <w:pPr>
        <w:jc w:val="both"/>
        <w:ind w:left="660" w:hanging="328"/>
        <w:spacing w:after="0" w:line="235" w:lineRule="auto"/>
        <w:tabs>
          <w:tab w:leader="none" w:pos="653" w:val="left"/>
        </w:tabs>
        <w:numPr>
          <w:ilvl w:val="0"/>
          <w:numId w:val="49"/>
        </w:numPr>
        <w:rPr>
          <w:rFonts w:ascii="Calibri" w:cs="Calibri" w:eastAsia="Calibri" w:hAnsi="Calibri"/>
          <w:sz w:val="18"/>
          <w:szCs w:val="18"/>
          <w:color w:val="auto"/>
        </w:rPr>
      </w:pPr>
      <w:r>
        <w:rPr>
          <w:rFonts w:ascii="Calibri" w:cs="Calibri" w:eastAsia="Calibri" w:hAnsi="Calibri"/>
          <w:sz w:val="18"/>
          <w:szCs w:val="18"/>
          <w:color w:val="auto"/>
        </w:rPr>
        <w:t>a signifcant change in the senior management team, a change in the fnancial conditon or a change in the business operatons, including a change in control or internal corporate restructuring, of any of our collaborators, could result in delayed tmelines, re-prioritzaton of our programs, decreasing resources or funding allocated to support our programs, or terminaton of the collaboratons; and</w:t>
      </w:r>
    </w:p>
    <w:p>
      <w:pPr>
        <w:spacing w:after="0" w:line="51" w:lineRule="exact"/>
        <w:rPr>
          <w:rFonts w:ascii="Calibri" w:cs="Calibri" w:eastAsia="Calibri" w:hAnsi="Calibri"/>
          <w:sz w:val="18"/>
          <w:szCs w:val="18"/>
          <w:color w:val="auto"/>
        </w:rPr>
      </w:pPr>
    </w:p>
    <w:p>
      <w:pPr>
        <w:ind w:left="640" w:hanging="308"/>
        <w:spacing w:after="0"/>
        <w:tabs>
          <w:tab w:leader="none" w:pos="640" w:val="left"/>
        </w:tabs>
        <w:numPr>
          <w:ilvl w:val="0"/>
          <w:numId w:val="49"/>
        </w:numPr>
        <w:rPr>
          <w:rFonts w:ascii="Calibri" w:cs="Calibri" w:eastAsia="Calibri" w:hAnsi="Calibri"/>
          <w:sz w:val="18"/>
          <w:szCs w:val="18"/>
          <w:color w:val="auto"/>
        </w:rPr>
      </w:pPr>
      <w:r>
        <w:rPr>
          <w:rFonts w:ascii="Calibri" w:cs="Calibri" w:eastAsia="Calibri" w:hAnsi="Calibri"/>
          <w:sz w:val="18"/>
          <w:szCs w:val="18"/>
          <w:color w:val="auto"/>
        </w:rPr>
        <w:t>collaborators may not comply with all applicable regulatory and legal requirements.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If any of these events occur, the market potental of Auryxia, including our authorized generic, Riona or Vafseo, where approved, and any other products or product candidates, could be reduced, and our business could be materially harmed. Collaboratons may also divert resources, including the atenton of management and other employees, from other parts of our business, which could have an adverse efect on other parts of our business, and we cannot be certain that the benefts of the collaboraton will outweigh the potental risks.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We may seek to establish additonal collaboratons and, if we are not able to establish them on commercially reasonable terms, or at all, we may have to alter our development and commercializaton plans.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may decide to enter into additonal collaboratons for the development and commercializaton of Auryxia, Vafseo or our product candidates both within and outside of the U.S. For example, in May 2023, we entered into the license agreement with Medice, pursuant to which we granted Medice an exclusive license to develop and commercialize Vafseo for the treatment of anemia in patents with CKD in the Medice Territory. Any of these relatonships may require us to incur non-recurring and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7" w:name="page88"/>
    <w:bookmarkEnd w:id="8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other charges, increase our near and long-term expenditures, issue securites that dilute our existng stockholders, divert management’s atenton, or disrupt our business.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We may not be successful in entering into additonal collaboratons as a result of many factors, including the following:</w:t>
      </w:r>
    </w:p>
    <w:p>
      <w:pPr>
        <w:spacing w:after="0" w:line="104" w:lineRule="exact"/>
        <w:rPr>
          <w:sz w:val="20"/>
          <w:szCs w:val="20"/>
          <w:color w:val="auto"/>
        </w:rPr>
      </w:pPr>
    </w:p>
    <w:p>
      <w:pPr>
        <w:ind w:left="640" w:hanging="308"/>
        <w:spacing w:after="0"/>
        <w:tabs>
          <w:tab w:leader="none" w:pos="640" w:val="left"/>
        </w:tabs>
        <w:numPr>
          <w:ilvl w:val="0"/>
          <w:numId w:val="50"/>
        </w:numPr>
        <w:rPr>
          <w:rFonts w:ascii="Calibri" w:cs="Calibri" w:eastAsia="Calibri" w:hAnsi="Calibri"/>
          <w:sz w:val="18"/>
          <w:szCs w:val="18"/>
          <w:color w:val="auto"/>
        </w:rPr>
      </w:pPr>
      <w:r>
        <w:rPr>
          <w:rFonts w:ascii="Calibri" w:cs="Calibri" w:eastAsia="Calibri" w:hAnsi="Calibri"/>
          <w:sz w:val="18"/>
          <w:szCs w:val="18"/>
          <w:color w:val="auto"/>
        </w:rPr>
        <w:t>competton in seeking appropriate collaborators;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50"/>
        </w:numPr>
        <w:rPr>
          <w:rFonts w:ascii="Calibri" w:cs="Calibri" w:eastAsia="Calibri" w:hAnsi="Calibri"/>
          <w:sz w:val="18"/>
          <w:szCs w:val="18"/>
          <w:color w:val="auto"/>
        </w:rPr>
      </w:pPr>
      <w:r>
        <w:rPr>
          <w:rFonts w:ascii="Calibri" w:cs="Calibri" w:eastAsia="Calibri" w:hAnsi="Calibri"/>
          <w:sz w:val="18"/>
          <w:szCs w:val="18"/>
          <w:color w:val="auto"/>
        </w:rPr>
        <w:t>a reduced number of potental collaborators due to recent business combinatons in the pharmaceutcal industry;</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50"/>
        </w:numPr>
        <w:rPr>
          <w:rFonts w:ascii="Calibri" w:cs="Calibri" w:eastAsia="Calibri" w:hAnsi="Calibri"/>
          <w:sz w:val="18"/>
          <w:szCs w:val="18"/>
          <w:color w:val="auto"/>
        </w:rPr>
      </w:pPr>
      <w:r>
        <w:rPr>
          <w:rFonts w:ascii="Calibri" w:cs="Calibri" w:eastAsia="Calibri" w:hAnsi="Calibri"/>
          <w:sz w:val="18"/>
          <w:szCs w:val="18"/>
          <w:color w:val="auto"/>
        </w:rPr>
        <w:t>an inability to negotate collaboratons on acceptable terms, on a tmely basis or at all;</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50"/>
        </w:numPr>
        <w:rPr>
          <w:rFonts w:ascii="Calibri" w:cs="Calibri" w:eastAsia="Calibri" w:hAnsi="Calibri"/>
          <w:sz w:val="18"/>
          <w:szCs w:val="18"/>
          <w:color w:val="auto"/>
        </w:rPr>
      </w:pPr>
      <w:r>
        <w:rPr>
          <w:rFonts w:ascii="Calibri" w:cs="Calibri" w:eastAsia="Calibri" w:hAnsi="Calibri"/>
          <w:sz w:val="18"/>
          <w:szCs w:val="18"/>
          <w:color w:val="auto"/>
        </w:rPr>
        <w:t>any internatonal rules, regulatons, guidance, laws, risks or uncertaintes with respect to potental partners outside of the U.S.;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50"/>
        </w:numPr>
        <w:rPr>
          <w:rFonts w:ascii="Calibri" w:cs="Calibri" w:eastAsia="Calibri" w:hAnsi="Calibri"/>
          <w:sz w:val="18"/>
          <w:szCs w:val="18"/>
          <w:color w:val="auto"/>
        </w:rPr>
      </w:pPr>
      <w:r>
        <w:rPr>
          <w:rFonts w:ascii="Calibri" w:cs="Calibri" w:eastAsia="Calibri" w:hAnsi="Calibri"/>
          <w:sz w:val="18"/>
          <w:szCs w:val="18"/>
          <w:color w:val="auto"/>
        </w:rPr>
        <w:t>a potental collaborator’s evaluaton of Auryxia, Vafseo or any other product or product candidate may difer substantally from ours;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50"/>
        </w:numPr>
        <w:rPr>
          <w:rFonts w:ascii="Calibri" w:cs="Calibri" w:eastAsia="Calibri" w:hAnsi="Calibri"/>
          <w:sz w:val="18"/>
          <w:szCs w:val="18"/>
          <w:color w:val="auto"/>
        </w:rPr>
      </w:pPr>
      <w:r>
        <w:rPr>
          <w:rFonts w:ascii="Calibri" w:cs="Calibri" w:eastAsia="Calibri" w:hAnsi="Calibri"/>
          <w:sz w:val="18"/>
          <w:szCs w:val="18"/>
          <w:color w:val="auto"/>
        </w:rPr>
        <w:t>a potental collaborator’s evaluaton of our fnancial stability and resources;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50"/>
        </w:numPr>
        <w:rPr>
          <w:rFonts w:ascii="Calibri" w:cs="Calibri" w:eastAsia="Calibri" w:hAnsi="Calibri"/>
          <w:sz w:val="18"/>
          <w:szCs w:val="18"/>
          <w:color w:val="auto"/>
        </w:rPr>
      </w:pPr>
      <w:r>
        <w:rPr>
          <w:rFonts w:ascii="Calibri" w:cs="Calibri" w:eastAsia="Calibri" w:hAnsi="Calibri"/>
          <w:sz w:val="18"/>
          <w:szCs w:val="18"/>
          <w:color w:val="auto"/>
        </w:rPr>
        <w:t>a potental collaborator’s resources and expertse; and</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50"/>
        </w:numPr>
        <w:rPr>
          <w:rFonts w:ascii="Calibri" w:cs="Calibri" w:eastAsia="Calibri" w:hAnsi="Calibri"/>
          <w:sz w:val="18"/>
          <w:szCs w:val="18"/>
          <w:color w:val="auto"/>
        </w:rPr>
      </w:pPr>
      <w:r>
        <w:rPr>
          <w:rFonts w:ascii="Calibri" w:cs="Calibri" w:eastAsia="Calibri" w:hAnsi="Calibri"/>
          <w:sz w:val="18"/>
          <w:szCs w:val="18"/>
          <w:color w:val="auto"/>
        </w:rPr>
        <w:t>restrictons due to an existng collaboraton agreement.</w:t>
      </w:r>
    </w:p>
    <w:p>
      <w:pPr>
        <w:spacing w:after="0" w:line="5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If we are unable to enter into additonal collaboratons in a tmely manner, or at all, we may have to delay or curtail the commercializaton of Auryxia, Vafseo or the development and potental commercializaton of any of our product candidates, reduce or delay our development programs, or increase our expenditures and undertake additonal development or commercializaton actvites at our own expense. If we elect to increase our expenditures to fund development or commercializaton actvites on our own, we may need to obtain additonal capital, which may not be available to us on acceptable terms or at all. If we do not have sufcient funds, we may not be able to further develop or commercialize Auryxia, Vafseo or our other product candidates. For example, following the terminaton of our collaboraton agreements with Otsuka in 2022, we incurred additonal expenses in connecton with the development of Vafseo in Europe and other countries.</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Even if we enter into additonal collaboraton agreements and strategic partnerships or license our intellectual property, we may not be able to maintain them or they may be unsuccessful, which could delay our tmelines or otherwise adversely afect our business.</w:t>
      </w:r>
    </w:p>
    <w:p>
      <w:pPr>
        <w:spacing w:after="0" w:line="110"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b w:val="1"/>
          <w:bCs w:val="1"/>
          <w:i w:val="1"/>
          <w:iCs w:val="1"/>
          <w:color w:val="auto"/>
        </w:rPr>
        <w:t>Royaltes from commercial sales of Vafseo under our MTPC Agreement will likely fuctuate and will impact our rights to receive future payments under our Royalty Agreement with HCR.</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Pursuant to the Royalty Agreement with HCR, we sold to HCR our right to receive the Royalty Interest Payments payable to us under the MTPC Agreement, subject to the Annual Cap and the Aggregate Cap. Afer HCR receives Royalty Interest Payments equal to the Annual Cap in a given calendar year, we will receive 85% of the Royalty Interest Payments for the remainder of that year. Afer HCR receives Royalty Interest Payments equal to the Aggregate Cap, or we pay the Aggregate Cap to HCR (net of the Royalty Interest Payments already received by HCR), the Royalty Interest Payments will revert back to us, and HCR would have no further right to any Royalty Interest Payments. We received $44.8 million from HCR (net of certain transacton expenses) under the Royalty Agreement.</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royalty revenues under the MTPC Agreement may fuctuate considerably because they depend upon, among other things, the rate of growth of sales of Vafseo in the territory covered by the MTPC Agreement. Negatve fuctuatons in these royalty revenues could delay, diminish or eliminate our ability to receive 85% of the Royalty Interest Payments afer the Annual Cap is achieved in a given calendar year, or our ability to receive 100% of the Royalty Interest Payments afer the Aggregate Cap is achieved.</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We rely upon third partes to conduct all aspects of our product manufacturing and commercial distributon, and in many instances only have a single supplier or distributor, and the loss of these manufacturers or distributors, their failure to supply us on a tmely basis, or at all, or their failure to successfully carry out their contractual dutes or comply with regulatory requirements, cGMP requirements or guidance could cause delays in or disruptons to our supply chain and substantally harm our business.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do not have any manufacturing facilites and do not expect to independently manufacture any products or product candidates. We currently rely, and expect to contnue to rely, on third party manufacturers to produce all of our commercial, clinical and preclinical supply. We also utlize third partes for the commercial distributon of Auryxia and Vafseo, including wholesale distributors and certain specialty pharmacy providers. Our reliance on third party manufacturers, who have control over the manufacturing process, increases the risk that we will not have or be able to maintain or distribute sufcient quanttes of Auryxia, Vafseo or any of our product candidates or the ability to obtain such quanttes at an acceptable cost or quality, which could delay, prevent or impair our and our partners' development or commercializaton eforts.</w:t>
      </w:r>
    </w:p>
    <w:p>
      <w:pPr>
        <w:spacing w:after="0" w:line="100" w:lineRule="exact"/>
        <w:rPr>
          <w:sz w:val="20"/>
          <w:szCs w:val="20"/>
          <w:color w:val="auto"/>
        </w:rPr>
      </w:pPr>
    </w:p>
    <w:p>
      <w:pPr>
        <w:jc w:val="both"/>
        <w:spacing w:after="0" w:line="220" w:lineRule="auto"/>
        <w:rPr>
          <w:sz w:val="20"/>
          <w:szCs w:val="20"/>
          <w:color w:val="auto"/>
        </w:rPr>
      </w:pPr>
      <w:r>
        <w:rPr>
          <w:rFonts w:ascii="Calibri" w:cs="Calibri" w:eastAsia="Calibri" w:hAnsi="Calibri"/>
          <w:sz w:val="18"/>
          <w:szCs w:val="18"/>
          <w:color w:val="auto"/>
        </w:rPr>
        <w:t>We currently rely on single source suppliers for each of Auryxia drug substance and drug product, including our authorized generic, and Vafseo drug substance and drug product, and alternate sources of supply may not be readily available. We have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8" w:name="page89"/>
    <w:bookmarkEnd w:id="8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20" w:lineRule="auto"/>
        <w:rPr>
          <w:sz w:val="20"/>
          <w:szCs w:val="20"/>
          <w:color w:val="auto"/>
        </w:rPr>
      </w:pPr>
      <w:r>
        <w:rPr>
          <w:rFonts w:ascii="Calibri" w:cs="Calibri" w:eastAsia="Calibri" w:hAnsi="Calibri"/>
          <w:sz w:val="18"/>
          <w:szCs w:val="18"/>
          <w:color w:val="auto"/>
        </w:rPr>
        <w:t>also engaged Cardinal Health, Inc., as the exclusive third-party logistcs distributon agent for commercial sales of Auryxia and Vafseo. If any of the following occurs, we may not have sufcient quanttes of Auryxia, Vafseo or our product candidates to support our clinical trials, development, commercializaton, or obtaining and maintaining marketng approvals, which could materially and adversely impact our business and results of operatons:</w:t>
      </w:r>
    </w:p>
    <w:p>
      <w:pPr>
        <w:spacing w:after="0" w:line="58"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22"/>
          <w:szCs w:val="22"/>
          <w:color w:val="auto"/>
        </w:rPr>
      </w:pPr>
      <w:r>
        <w:rPr>
          <w:rFonts w:ascii="Calibri" w:cs="Calibri" w:eastAsia="Calibri" w:hAnsi="Calibri"/>
          <w:sz w:val="18"/>
          <w:szCs w:val="18"/>
          <w:color w:val="auto"/>
        </w:rPr>
        <w:t>we are unsuccessful in maintaining our current supply arrangements for commercial quanttes of Auryxia and Vafseo;</w:t>
      </w:r>
    </w:p>
    <w:p>
      <w:pPr>
        <w:spacing w:after="0" w:line="50" w:lineRule="exact"/>
        <w:rPr>
          <w:rFonts w:ascii="Arial" w:cs="Arial" w:eastAsia="Arial" w:hAnsi="Arial"/>
          <w:sz w:val="22"/>
          <w:szCs w:val="22"/>
          <w:color w:val="auto"/>
        </w:rPr>
      </w:pPr>
    </w:p>
    <w:p>
      <w:pPr>
        <w:ind w:left="640" w:hanging="308"/>
        <w:spacing w:after="0"/>
        <w:tabs>
          <w:tab w:leader="none" w:pos="640" w:val="left"/>
        </w:tabs>
        <w:numPr>
          <w:ilvl w:val="0"/>
          <w:numId w:val="51"/>
        </w:numPr>
        <w:rPr>
          <w:rFonts w:ascii="Calibri" w:cs="Calibri" w:eastAsia="Calibri" w:hAnsi="Calibri"/>
          <w:sz w:val="18"/>
          <w:szCs w:val="18"/>
          <w:color w:val="auto"/>
        </w:rPr>
      </w:pPr>
      <w:r>
        <w:rPr>
          <w:rFonts w:ascii="Calibri" w:cs="Calibri" w:eastAsia="Calibri" w:hAnsi="Calibri"/>
          <w:sz w:val="18"/>
          <w:szCs w:val="18"/>
          <w:color w:val="auto"/>
        </w:rPr>
        <w:t>we are unsuccessful in validatng new sites;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51"/>
        </w:numPr>
        <w:rPr>
          <w:rFonts w:ascii="Calibri" w:cs="Calibri" w:eastAsia="Calibri" w:hAnsi="Calibri"/>
          <w:sz w:val="18"/>
          <w:szCs w:val="18"/>
          <w:color w:val="auto"/>
        </w:rPr>
      </w:pPr>
      <w:r>
        <w:rPr>
          <w:rFonts w:ascii="Calibri" w:cs="Calibri" w:eastAsia="Calibri" w:hAnsi="Calibri"/>
          <w:sz w:val="18"/>
          <w:szCs w:val="18"/>
          <w:color w:val="auto"/>
        </w:rPr>
        <w:t>our commercial supply arrangements for Auryxia or Vafseo are terminated;</w:t>
      </w:r>
    </w:p>
    <w:p>
      <w:pPr>
        <w:spacing w:after="0" w:line="55" w:lineRule="exact"/>
        <w:rPr>
          <w:rFonts w:ascii="Calibri" w:cs="Calibri" w:eastAsia="Calibri" w:hAnsi="Calibri"/>
          <w:sz w:val="18"/>
          <w:szCs w:val="18"/>
          <w:color w:val="auto"/>
        </w:rPr>
      </w:pPr>
    </w:p>
    <w:p>
      <w:pPr>
        <w:jc w:val="both"/>
        <w:ind w:left="660" w:hanging="328"/>
        <w:spacing w:after="0" w:line="235" w:lineRule="auto"/>
        <w:tabs>
          <w:tab w:leader="none" w:pos="653" w:val="left"/>
        </w:tabs>
        <w:numPr>
          <w:ilvl w:val="0"/>
          <w:numId w:val="51"/>
        </w:numPr>
        <w:rPr>
          <w:rFonts w:ascii="Calibri" w:cs="Calibri" w:eastAsia="Calibri" w:hAnsi="Calibri"/>
          <w:sz w:val="18"/>
          <w:szCs w:val="18"/>
          <w:color w:val="auto"/>
        </w:rPr>
      </w:pPr>
      <w:r>
        <w:rPr>
          <w:rFonts w:ascii="Calibri" w:cs="Calibri" w:eastAsia="Calibri" w:hAnsi="Calibri"/>
          <w:sz w:val="18"/>
          <w:szCs w:val="18"/>
          <w:color w:val="auto"/>
        </w:rPr>
        <w:t>any of our third party manufacturers are unable to fulfll the terms of their agreements with us due to technical issues, natural disasters or other reasons, including with respect to quality and quantty, or are unable or unwilling to contnue to manufacture on the manufacturing lines included in our regulatory flings;</w:t>
      </w:r>
    </w:p>
    <w:p>
      <w:pPr>
        <w:spacing w:after="0" w:line="56"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51"/>
        </w:numPr>
        <w:rPr>
          <w:rFonts w:ascii="Calibri" w:cs="Calibri" w:eastAsia="Calibri" w:hAnsi="Calibri"/>
          <w:sz w:val="18"/>
          <w:szCs w:val="18"/>
          <w:color w:val="auto"/>
        </w:rPr>
      </w:pPr>
      <w:r>
        <w:rPr>
          <w:rFonts w:ascii="Calibri" w:cs="Calibri" w:eastAsia="Calibri" w:hAnsi="Calibri"/>
          <w:sz w:val="18"/>
          <w:szCs w:val="18"/>
          <w:color w:val="auto"/>
        </w:rPr>
        <w:t>any of our third party manufacturers breach our supply agreements, do not comply with quality or regulatory requirements and guidance, including cGMP or are subject to regulatory review or ceases their operatons for any reason; or</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51"/>
        </w:numPr>
        <w:rPr>
          <w:rFonts w:ascii="Calibri" w:cs="Calibri" w:eastAsia="Calibri" w:hAnsi="Calibri"/>
          <w:sz w:val="18"/>
          <w:szCs w:val="18"/>
          <w:color w:val="auto"/>
        </w:rPr>
      </w:pPr>
      <w:r>
        <w:rPr>
          <w:rFonts w:ascii="Calibri" w:cs="Calibri" w:eastAsia="Calibri" w:hAnsi="Calibri"/>
          <w:sz w:val="18"/>
          <w:szCs w:val="18"/>
          <w:color w:val="auto"/>
        </w:rPr>
        <w:t>any of our third party distributors fail to perform or encounter any damage or other disrupton at their facilites.</w:t>
      </w:r>
    </w:p>
    <w:p>
      <w:pPr>
        <w:spacing w:after="0" w:line="42" w:lineRule="exact"/>
        <w:rPr>
          <w:sz w:val="20"/>
          <w:szCs w:val="20"/>
          <w:color w:val="auto"/>
        </w:rPr>
      </w:pPr>
    </w:p>
    <w:p>
      <w:pPr>
        <w:jc w:val="both"/>
        <w:spacing w:after="0" w:line="234" w:lineRule="auto"/>
        <w:rPr>
          <w:sz w:val="20"/>
          <w:szCs w:val="20"/>
          <w:color w:val="auto"/>
        </w:rPr>
      </w:pPr>
      <w:r>
        <w:rPr>
          <w:rFonts w:ascii="Calibri" w:cs="Calibri" w:eastAsia="Calibri" w:hAnsi="Calibri"/>
          <w:sz w:val="17"/>
          <w:szCs w:val="17"/>
          <w:color w:val="auto"/>
        </w:rPr>
        <w:t>If we, or any of our third party manufacturers or distributors cannot or do not perform as agreed or expected, or any of our customers were to experience further shutdowns, delays or other business disruptons, including as a result of catastrophic events, including pandemics, terrorist atacks, wars or other armed conficts, geopolitcal tensions or natural disasters, if they misappropriate our proprietary informaton, if they terminate their engagements with us, if we terminate our engagements with them, or if there is a signifcant disagreement, we may be forced to manufacture or distribute the materials ourselves, for which we currently do not have the capabilites or resources, or enter into agreements with other third party manufacturers or distributors, which we may not be able to do in a tmely manner or on favorable or reasonable terms, if at all. If any of these events occur, especially with respect to one of our sole source suppliers, we may not have sufcient quanttes of product for the commercializaton of Auryxia and/or Vafseo or may experience delays in the development of our products or product candidates, which could materially and adversely impact our business and results of operaton. In additon, if we do not have sufcient quanttes of Auryxia, including our authorized generic, or Vafseo to satsfy the requirements of our customer and supply contracts, we may be subject to penaltes, which could be substantal. In some cases, there may be a limited number of qualifed replacement manufacturers, or the technical skills or equipment required to manufacture a product or product candidate may be unique or proprietary to the original manufacturer and we may have difculty transferring such skills or technology to another third party, or a feasible alternatve may not exist. These factors would increase our reliance on our current manufacturers or require us to obtain necessary regulatory approvals and licenses in order to have another third party manufacture Auryxia or Vafseo. If we are required to change manufacturers for any reason, we will be required to verify that the new manufacturer maintains facilites and procedures that comply with quality standards and with all applicable regulatons and guidelines. The delays and costs associated with the qualifcaton of a new manufacturer and validaton of manufacturing processes would negatvely afect our ability to supply clinical trials, obtain and maintain marketng approval, or commercialize or satsfy patent demand for Auryxia and Vafseo, where approved, in a tmely manner, within budget, or at all.</w:t>
      </w:r>
    </w:p>
    <w:p>
      <w:pPr>
        <w:spacing w:after="0" w:line="9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the cost of obtaining Auryxia and Vafseo is subject to adjustment based on our third party manufacturers’ costs of obtaining raw materials and producing the product. We have limited control over the producton costs of Auryxia and Vafseo, including the costs of raw materials, and have seen increases in the producton costs of Auryxia and Vafseo, and any signifcant increase in the cost of obtaining our products could materially adversely afect our revenue for Auryxia and Vafseo.</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Moreover, issues that may arise in any scale-up and technology transfer and contnued commercial scale manufacture of our products may lead to signifcant delays in our development, marketng approval and commercial tmelines for new products or afect commercial supply of Auryxia or Vafseo and negatvely impact our fnancial performance. For example, a producton-related issue resulted in an interrupton in the supply of Auryxia in the third and fourth quarters of 2016. This supply interrupton negatvely impacted our revenues in 2016. This supply interrupton was resolved, and we have taken and contnue to take actons designed to prevent future interruptons in the supply of Auryxia. However, we had experienced issues in manufacturing Auryxia, and if we experience manufacturing issues going forward, or incur additonal costs, or our actons to prevent future interruptons are not successful, we may experience additonal supply issues. In additon, before we can manufacture product at a new site, we must validate the process at that site. If the process validaton is unsuccessful, or takes longer than we antcipate, we may have to expend additonal resources and could experience a supply interrupton. Any future supply interruptons, whether quality or quantty based, for Auryxia or Vafseo where approved, would negatvely and materially impact our reputaton and fnancial conditon.</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There are a limited number of manufacturers that are capable of manufacturing Auryxia and Vafseo for us and complying with cGMP regulatons and guidance and other stringent regulatory requirements and guidance enforced by the FDA, EMA, PMDA and other regulatory authorites. These requirements include, among other things, quality control, quality assurance and the maintenance of records and documentaton, which occur in additon to our own quality assurance releases. The facilites and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9" w:name="page90"/>
    <w:bookmarkEnd w:id="8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processes used by our third party manufacturers to manufacture Auryxia and Vafseo may be inspected by the FDA and other regulatory authorites at any tme, and the facilites and processes used by our third party manufacturers to manufacture Vafseo will be inspected by the FDA, the EMA and other regulatory authorites prior to or afer we submit our marketng applicatons. Although we have general visibility into the manufacturing processes of our third party manufacturers, we do not ultmately control such manufacturing processes of, and have litle control over, our third party manufacturers, including, without limitaton, their compliance with cGMP requirements and guidance for the manufacture of certain startng materials, drug substance and fnished drug product. Similarly, although we review fnal producton, we have litle control over the ability of our third party manufacturers to maintain adequate quality control, quality assurance and qualifed personnel. Our third party manufacturers may experience problems with their manufacturing and distributon operatons and processes, including, for example, quality issues, such as product specifcaton and stability failures, procedural deviatons, improper equipment installaton or operaton, utlity failures, contaminaton, natural disasters and public health epidemics. We may also encounter difcultes relatng to our own quality processes and procedures, including regulatory compliance, lot release, quality control and quality assurance, as well as shortages of qualifed personnel. If our third party manufacturers cannot successfully manufacture material that conforms to our specifcatons and regulatory requirements and guidance, or if we or our third party manufacturers experience manufacturing, operatons and/or quality issues, including an inability or unwillingness to contnue manufacturing our products at all, in accordance with agreed-upon processes or on currently validated manufacturing lines, we may not be able to supply patent demand or maintain marketng approval for Auryxia or Vafseo, and we might be required to expend additonal resources to obtain material from other manufacturers. If any of these events occur, our reputaton and fnancial conditon would be negatvely and materially impacted. In additon, if we have high amounts of write-downs to inventory reserves in the future, it could negatvely impact our ability to supply Auryxia or Vafseo, and our fnancial conditon could be harmed.</w:t>
      </w:r>
    </w:p>
    <w:p>
      <w:pPr>
        <w:spacing w:after="0" w:line="12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If the FDA, EMA or other regulatory authorites withdraws any approval of the facilites being used to manufacture Auryxia, Vafseo or any of our product candidates, we may need to fnd alternatve manufacturing facilites, which would signifcantly impact our ability to contnue commercializing Auryxia or Vafseo in Japan, or to commercialize Vafseo in Europe and other countries, or to develop, obtain marketng approval for or market Vafseo our other product candidates, if approved.</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Moreover, our failure or the failure of our third party manufacturers or distributors to comply with applicable regulatons or guidance, or our failure to oversee or facilitate such compliance, could result in sanctons being imposed on us or our third party manufacturers or distributors, including, where applicable, clinical holds, fnes, injunctons, civil penaltes, delays in, suspension of or withdrawal of approvals, license revocaton, seizures or recalls of Auryxia or Vafseo in the U.S., Japan or Europe, operatng restrictons, receipt of a Form 483 or warning leter, or criminal prosecutons, any of which could signifcantly and adversely afect the supply of Auryxia or Vafseo. For example, we previously conducted three limited, voluntary recalls of Auryxia. These and any other recalls or any supply, quality or manufacturing issues in the future and any related write-downs of inventory or other consequences could result in signifcant negatve consequences, including reputatonal harm, loss of customer confdence, and a negatve impact on our fnancials, any of which could have a material adverse efect on our business and results of operatons, and may impact our ability to supply Auryxia or Vafseo for clinical and commercial use. Also, if our startng materials, drug substance or drug product are damaged or lost while in our or our third party manufacturers’ or distributors' control, it may adversely impact our ability to supply Auryxia or Vafseo, and we may incur signifcant fnancial harm.</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Auryxia, Vafseo and our product candidates may compete with other products and product candidates for access to third party manufacturing facilites. A third party manufacturer or distributor may also encounter delays or operatonal issues brought on by sudden internal resource constraints, labor disputes, shifing priorites or shifing regulatory protocols. Certain of these third party manufacturing facilites may be contractually prohibited from manufacturing Auryxia, Vafseo or our product candidates due to exclusivity provisions in agreements with our compettors. Any of the foregoing could negatvely impact our third party manufacturers' or distributors' ability to meet our demand, which could adversely impact our ability to supply Auryxia, Vafseo or our product candidates, and we may incur signifcant fnancial harm.</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current and antcipated future dependence on third partes for the manufacture and distributon of Auryxia, Vafseo and our product candidates may adversely afect our and our partners' ability to commercialize Auryxia, Vafseo and our product candidates, where approved, on a tmely and compettve basis and may reduce any future proft margins.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We rely upon third partes to conduct our clinical trials and certain of our preclinical studies. If they do not successfully carry out their contractual dutes, comply with regulatory requirements or meet expected deadlines, we may not be able to obtain or maintain marketng approval for Auryxia, Vafseo or any of our product candidates, and our business could be substantally harmed.</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do not have the ability to independently conduct certain preclinical studies and clinical trials. We are currently relying, and expect to contnue to rely, upon third partes, such as CROs, clinical data management organizatons, medical insttutons and clinical investgators, to conduct our current and future preclinical studies and clinical trials. The third partes upon whom we rely may fail to perform efectvely, or terminate their engagement with us, for a number of reasons, including the following:</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0" w:name="page91"/>
    <w:bookmarkEnd w:id="9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22"/>
          <w:szCs w:val="22"/>
          <w:color w:val="auto"/>
        </w:rPr>
      </w:pPr>
      <w:r>
        <w:rPr>
          <w:rFonts w:ascii="Calibri" w:cs="Calibri" w:eastAsia="Calibri" w:hAnsi="Calibri"/>
          <w:sz w:val="18"/>
          <w:szCs w:val="18"/>
          <w:color w:val="auto"/>
        </w:rPr>
        <w:t>if they experience stafng difcultes;</w:t>
      </w:r>
    </w:p>
    <w:p>
      <w:pPr>
        <w:spacing w:after="0" w:line="50" w:lineRule="exact"/>
        <w:rPr>
          <w:rFonts w:ascii="Arial" w:cs="Arial" w:eastAsia="Arial" w:hAnsi="Arial"/>
          <w:sz w:val="22"/>
          <w:szCs w:val="22"/>
          <w:color w:val="auto"/>
        </w:rPr>
      </w:pPr>
    </w:p>
    <w:p>
      <w:pPr>
        <w:ind w:left="640" w:hanging="308"/>
        <w:spacing w:after="0"/>
        <w:tabs>
          <w:tab w:leader="none" w:pos="640" w:val="left"/>
        </w:tabs>
        <w:numPr>
          <w:ilvl w:val="0"/>
          <w:numId w:val="52"/>
        </w:numPr>
        <w:rPr>
          <w:rFonts w:ascii="Calibri" w:cs="Calibri" w:eastAsia="Calibri" w:hAnsi="Calibri"/>
          <w:sz w:val="18"/>
          <w:szCs w:val="18"/>
          <w:color w:val="auto"/>
        </w:rPr>
      </w:pPr>
      <w:r>
        <w:rPr>
          <w:rFonts w:ascii="Calibri" w:cs="Calibri" w:eastAsia="Calibri" w:hAnsi="Calibri"/>
          <w:sz w:val="18"/>
          <w:szCs w:val="18"/>
          <w:color w:val="auto"/>
        </w:rPr>
        <w:t>if we fail to communicate efectvely or provide the appropriate level of oversight;</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52"/>
        </w:numPr>
        <w:rPr>
          <w:rFonts w:ascii="Calibri" w:cs="Calibri" w:eastAsia="Calibri" w:hAnsi="Calibri"/>
          <w:sz w:val="18"/>
          <w:szCs w:val="18"/>
          <w:color w:val="auto"/>
        </w:rPr>
      </w:pPr>
      <w:r>
        <w:rPr>
          <w:rFonts w:ascii="Calibri" w:cs="Calibri" w:eastAsia="Calibri" w:hAnsi="Calibri"/>
          <w:sz w:val="18"/>
          <w:szCs w:val="18"/>
          <w:color w:val="auto"/>
        </w:rPr>
        <w:t>if they undergo changes in priorites or corporate structure including as a result of a merger or acquisiton or other transacton, or become fnancially distressed; or</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52"/>
        </w:numPr>
        <w:rPr>
          <w:rFonts w:ascii="Calibri" w:cs="Calibri" w:eastAsia="Calibri" w:hAnsi="Calibri"/>
          <w:sz w:val="18"/>
          <w:szCs w:val="18"/>
          <w:color w:val="auto"/>
        </w:rPr>
      </w:pPr>
      <w:r>
        <w:rPr>
          <w:rFonts w:ascii="Calibri" w:cs="Calibri" w:eastAsia="Calibri" w:hAnsi="Calibri"/>
          <w:sz w:val="18"/>
          <w:szCs w:val="18"/>
          <w:color w:val="auto"/>
        </w:rPr>
        <w:t>if they form relatonships with other enttes, some of which may be our compettors.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If the third partes upon whom we rely to conduct our trials fail to adhere to clinical trial protocols or to regulatory requirements, the quantty, quality or accuracy of the data obtained by the third partes may be compromised. We are exposed to risk of fraud or other misconduct by such third partes.</w:t>
      </w:r>
    </w:p>
    <w:p>
      <w:pPr>
        <w:spacing w:after="0" w:line="96" w:lineRule="exact"/>
        <w:rPr>
          <w:sz w:val="20"/>
          <w:szCs w:val="20"/>
          <w:color w:val="auto"/>
        </w:rPr>
      </w:pPr>
    </w:p>
    <w:p>
      <w:pPr>
        <w:jc w:val="both"/>
        <w:spacing w:after="0" w:line="223" w:lineRule="auto"/>
        <w:rPr>
          <w:sz w:val="20"/>
          <w:szCs w:val="20"/>
          <w:color w:val="auto"/>
        </w:rPr>
      </w:pPr>
      <w:r>
        <w:rPr>
          <w:rFonts w:ascii="Calibri" w:cs="Calibri" w:eastAsia="Calibri" w:hAnsi="Calibri"/>
          <w:sz w:val="18"/>
          <w:szCs w:val="18"/>
          <w:color w:val="auto"/>
        </w:rPr>
        <w:t>Any of these events could cause our preclinical studies and clinical trials, including post-approval clinical trials, to be extended, delayed, suspended, required to be repeated or terminated, or we may receive unttled warning leters or be the subject of an enforcement acton, which could result in our failing to maintain marketng approval of Auryxia or Vafseo, or failing to obtain or maintain marketng approval for any other product candidates on a tmely basis or at all, any of which would adversely afect our business operatons. In additon, if the third partes upon whom we rely fail to perform efectvely or terminate their engagement with us, we may need to enter into alternatve arrangements, which could delay, perhaps signifcantly, the development and commercializaton of Auryxia, Vafseo or any other product candidates.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Even though we do not directly control the third partes upon whom we rely to conduct our preclinical studies and clinical trials and therefore cannot guarantee the satsfactory and tmely performance of their obligatons to us, we are nevertheless responsible for ensuring that each of our clinical trials and preclinical studies is conducted in accordance with the applicable protocol, legal and regulatory requirements, including GxP requirements, and scientfc standards, and our reliance on these third partes, including CROs, will not relieve us of our regulatory responsibilites. If we or any of our CROs, their subcontractors, or clinical or preclinical trial sites fail to comply with applicable GxP requirements, the clinical data generated in our trials may be deemed unreliable or insufcient, our clinical trials could be put on hold, and/or the FDA, the EMA or other regulatory authorites may require us to perform additonal clinical trials before approving our marketng applicatons. In additon, our clinical and preclinical trials must be conducted with drug product that meets certain specifcatons and is manufactured under applicable cGMP regulatons. These requirements include, among other things, quality control, quality assurance, and the satsfactory maintenance of records and documentaton.</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also rely upon third partes to store and distribute drug product for our clinical trials. For example, we use third partes to store product at various sites in the U.S. to distribute to our clinical trial sites. Any performance failure on the part of our storage or distributor partners could delay clinical development, marketng approval or commercializaton, resultng in additonal costs and depriving us of potental product revenue.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If the licensor of certain intellectual property relatng to Auryxia terminates, modifes or threatens to terminate existng contracts or relatonships with us, our business may be materially harmed.</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do not own all of the rights to our product, Auryxia. We have licensed and sublicensed certain rights, patent and otherwise, to Auryxia from a third party, Panion, who in turn licenses certain rights to Auryxia from one of the inventors of Auryxia. The license agreement with Panion, or the </w:t>
      </w:r>
      <w:r>
        <w:rPr>
          <w:rFonts w:ascii="Calibri" w:cs="Calibri" w:eastAsia="Calibri" w:hAnsi="Calibri"/>
          <w:sz w:val="18"/>
          <w:szCs w:val="18"/>
          <w:u w:val="single" w:color="auto"/>
          <w:color w:val="auto"/>
        </w:rPr>
        <w:t>Panion License</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auto"/>
        </w:rPr>
        <w:t>Agreement</w:t>
      </w:r>
      <w:r>
        <w:rPr>
          <w:rFonts w:ascii="Calibri" w:cs="Calibri" w:eastAsia="Calibri" w:hAnsi="Calibri"/>
          <w:sz w:val="18"/>
          <w:szCs w:val="18"/>
          <w:color w:val="auto"/>
        </w:rPr>
        <w:t xml:space="preserve">, requires us to meet development milestones and imposes development and commercializaton due diligence requirements on us. In additon, under the Panion License Agreement, we must pay royaltes based on a mid-single digit percentage of net sales of product resultng from the licensed technologies, including Auryxia, and pay the patent fling, prosecuton and maintenance costs related to the license. If we do not meet our obligatons in a tmely manner, or if we otherwise breach the terms of the Panion License Agreement, Panion could terminate the agreement, and we would lose the rights to Auryxia. For example, following announcement of the Merger, Panion notfed us in writng that Panion would terminate the Panion License Agreement on November 21, 2018 if we did not cure the breach alleged by Panion, specifcally, that we failed to use commercially reasonable best eforts to commercialize Auryxia outside the U.S. We disagreed with Panion’s claims, and the partes entered discussions to resolve this dispute. On October 24, 2018, prior to the consummaton of the Merger, we and Panion entered into a leter agreement, or the </w:t>
      </w:r>
      <w:r>
        <w:rPr>
          <w:rFonts w:ascii="Calibri" w:cs="Calibri" w:eastAsia="Calibri" w:hAnsi="Calibri"/>
          <w:sz w:val="18"/>
          <w:szCs w:val="18"/>
          <w:u w:val="single" w:color="auto"/>
          <w:color w:val="auto"/>
        </w:rPr>
        <w:t>Panion Leter Agreement</w:t>
      </w:r>
      <w:r>
        <w:rPr>
          <w:rFonts w:ascii="Calibri" w:cs="Calibri" w:eastAsia="Calibri" w:hAnsi="Calibri"/>
          <w:sz w:val="18"/>
          <w:szCs w:val="18"/>
          <w:color w:val="auto"/>
        </w:rPr>
        <w:t xml:space="preserve">, pursuant to which Panion agreed to rescind any and all prior terminaton threats or notces relatng to the Panion License Agreement and waived its rights to terminate the license agreement based on any breach by us of our obligaton to use commercially reasonable eforts to commercialize Auryxia outside the U.S. untl the partes executed an amendment to the Panion License Agreement in accordance with the terms of the Panion Leter Agreement, following consummaton of the Merger. On April 17, 2019, we and Panion entered into an amendment and restatement of the Panion License Agreement, or the </w:t>
      </w:r>
      <w:r>
        <w:rPr>
          <w:rFonts w:ascii="Calibri" w:cs="Calibri" w:eastAsia="Calibri" w:hAnsi="Calibri"/>
          <w:sz w:val="18"/>
          <w:szCs w:val="18"/>
          <w:u w:val="single" w:color="auto"/>
          <w:color w:val="auto"/>
        </w:rPr>
        <w:t>Panion Amended License Agreement</w:t>
      </w:r>
      <w:r>
        <w:rPr>
          <w:rFonts w:ascii="Calibri" w:cs="Calibri" w:eastAsia="Calibri" w:hAnsi="Calibri"/>
          <w:sz w:val="18"/>
          <w:szCs w:val="18"/>
          <w:color w:val="auto"/>
        </w:rPr>
        <w:t xml:space="preserve">, which refects certain revisions consistent with the terms of the Panion Leter Agreement. See Note 10, </w:t>
      </w:r>
      <w:r>
        <w:rPr>
          <w:rFonts w:ascii="Calibri" w:cs="Calibri" w:eastAsia="Calibri" w:hAnsi="Calibri"/>
          <w:sz w:val="18"/>
          <w:szCs w:val="18"/>
          <w:i w:val="1"/>
          <w:iCs w:val="1"/>
          <w:color w:val="auto"/>
        </w:rPr>
        <w:t>Commitments and Contngencies</w:t>
      </w:r>
      <w:r>
        <w:rPr>
          <w:rFonts w:ascii="Calibri" w:cs="Calibri" w:eastAsia="Calibri" w:hAnsi="Calibri"/>
          <w:sz w:val="18"/>
          <w:szCs w:val="18"/>
          <w:color w:val="auto"/>
        </w:rPr>
        <w:t>, to our consolidated fnancial statements in Part II, Item 8. Financial Statements of this Form 10-K for additonal informaton regarding the Panion Amended License Agreement. Even though we entered into the Panion Amended License Agreement, there are no assurances that Panion will not allege other breaches of the Panion Amended License Agreement or otherwise atempt to terminate the Panion Amended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1" w:name="page92"/>
    <w:bookmarkEnd w:id="9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License Agreement in the future. In additon, if Panion breaches its agreement with the inventor from whom it licenses rights to Auryxia, Panion could lose its license, which could impair or delay our ability to develop and commercialize Auryxia.</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From tme to tme, we may have disagreements with Panion, or Panion may have disagreements with the inventor from whom it licenses rights to Auryxia, regarding the terms of the agreements or ownership of proprietary rights, which could impact the commercializaton of Auryxia, could require or result in litgaton or arbitraton, which would be tme-consuming and expensive, could lead to the terminaton of the Panion Amended License Agreement, or force us to negotate a revised or new license agreement on terms less favorable than the original. In additon, in the event that the owners and/or licensors of the rights we license were to enter into bankruptcy or similar proceedings, we could potentally lose our rights to Auryxia or our rights could otherwise be adversely afected, which could prevent us from contnuing to commercialize Auryxia.</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Changes in U.S. and internatonal trade policies, partcularly with respect to China or Canada, may adversely impact our business and operatng results.</w:t>
      </w:r>
    </w:p>
    <w:p>
      <w:pPr>
        <w:spacing w:after="0" w:line="9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U.S. government has recently made statements and taken certain actons that may lead to potental changes to U.S. and internatonal trade policies, including imposing several rounds of tarifs and export control restrictons afectng certain products manufactured in China, Canada and potentally other countries. In March 2018, the Trump administraton announced the impositon of tarifs on steel and aluminum entering the U.S. from China, and in June 2018, the Trump administraton announced further tarifs targetng goods imported from China. Recently both China and the U.S. have each imposed tarifs indicatng the potental for further trade barriers, including the U.S. Commerce Department adding numerous Chinese enttes to its “unverifed list,” which requires U.S. exporters to go through more procedures before exportng goods to such enttes. In March 2025, the U.S. imposed tarifs on certain imports from Canada and Mexico. However, these newly imposed tarifs have resulted in retaliatory tarifs, and threats thereof, against U.S. goods. It is unknown whether and to what extent new tarifs, export controls, or other new laws or regulatons will be adopted, or the efect that any such actons would have on us or our industry.</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Further, many of our manufacturers and suppliers for Auryxia and Vafseo are located in China and Canada. The manufacturing of our drug product for commercial use of both Auryxia and Vafseo takes place in Canada through a third-party manufacturer, Patheon Inc., or </w:t>
      </w:r>
      <w:r>
        <w:rPr>
          <w:rFonts w:ascii="Calibri" w:cs="Calibri" w:eastAsia="Calibri" w:hAnsi="Calibri"/>
          <w:sz w:val="18"/>
          <w:szCs w:val="18"/>
          <w:u w:val="single" w:color="auto"/>
          <w:color w:val="auto"/>
        </w:rPr>
        <w:t>Patheon</w:t>
      </w:r>
      <w:r>
        <w:rPr>
          <w:rFonts w:ascii="Calibri" w:cs="Calibri" w:eastAsia="Calibri" w:hAnsi="Calibri"/>
          <w:sz w:val="18"/>
          <w:szCs w:val="18"/>
          <w:color w:val="auto"/>
        </w:rPr>
        <w:t xml:space="preserve">. Also, the manufacturing of our drug substance and drug product for commercial supply of Vafseo takes place in China through a third-party manufacturer, STA Pharmaceutcal Hong Kong Limited, a subsidiary of WuXi AppTec, or </w:t>
      </w:r>
      <w:r>
        <w:rPr>
          <w:rFonts w:ascii="Calibri" w:cs="Calibri" w:eastAsia="Calibri" w:hAnsi="Calibri"/>
          <w:sz w:val="18"/>
          <w:szCs w:val="18"/>
          <w:u w:val="single" w:color="auto"/>
          <w:color w:val="auto"/>
        </w:rPr>
        <w:t>WuXi STA</w:t>
      </w:r>
      <w:r>
        <w:rPr>
          <w:rFonts w:ascii="Calibri" w:cs="Calibri" w:eastAsia="Calibri" w:hAnsi="Calibri"/>
          <w:sz w:val="18"/>
          <w:szCs w:val="18"/>
          <w:color w:val="auto"/>
        </w:rPr>
        <w:t xml:space="preserve">, and we will likely contnue to rely on foreign CMOs in the future. We also rely on third partes in China for the supply of raw materials used in the manufacture of Vafseo and for certain early-stage research services. Trade tensions and conficts between the U.S. and China, Canada or other countries have recently been escalatng and, as such, we are exposed to the possibility of product supply disrupton and increased costs and expenses in the event of changes to the laws, rules, regulatons and policies of the governments of the U.S., China, Canada or other countries, or due to geopolitcal unrest and unstable economic conditons. In additon, certain Chinese biotechnology companies may become subject to trade restrictons, sanctons, other regulatory requirements or proposed legislaton by the U.S. government, which could restrict or even prohibit our ability to work with such enttes, thereby potentally disruptng their supply of material to us. For example, in February 2024, U.S. lawmakers called for investgatons into and the impositon of possible economic sanctons against Chinese biotechnology companies WuXi AppTec and WuXi Biologics, or collectvely </w:t>
      </w:r>
      <w:r>
        <w:rPr>
          <w:rFonts w:ascii="Calibri" w:cs="Calibri" w:eastAsia="Calibri" w:hAnsi="Calibri"/>
          <w:sz w:val="18"/>
          <w:szCs w:val="18"/>
          <w:u w:val="single" w:color="auto"/>
          <w:color w:val="auto"/>
        </w:rPr>
        <w:t>WuXi</w:t>
      </w:r>
      <w:r>
        <w:rPr>
          <w:rFonts w:ascii="Calibri" w:cs="Calibri" w:eastAsia="Calibri" w:hAnsi="Calibri"/>
          <w:sz w:val="18"/>
          <w:szCs w:val="18"/>
          <w:color w:val="auto"/>
        </w:rPr>
        <w:t>, over alleged tes to the Chinese military. Further, the recently proposed BIOSECURE Act introduced in the House of Representatves, as well as a substantally similar bill in the Senate, targets certain Chinese biotechnology companies. If these bills become law, or similar laws are passed, they would have the potental to severely restrict the ability of companies to contract with certain Chinese biotechnology companies of concern without losing the ability to contract with, or otherwise receive funding from, the U.S. government. Such disruptons could have adverse efects on our ability to commercialize Vafseo or the development of our product candidates and our business operatons.</w:t>
      </w:r>
    </w:p>
    <w:p>
      <w:pPr>
        <w:spacing w:after="0" w:line="12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Any unfavorable government policies on internatonal trade, such as export controls, capital controls or tarifs, may increase the cost of manufacturing our products and product candidates, afect the demand for our products, the compettve positon of our products or product candidates, and import or export of raw materials and fnished product candidate used in our preclinical studies and clinical trials, partcularly with respect to any product candidates and materials that we import from China and Canada, including pursuant to our manufacturing service arrangements with WuXi STA and Patheon. If any new tarifs, export controls, legislaton and/or regulatons are implemented, or if existng trade agreements are renegotated or, in partcular, if either the U.S., Chinese, Canadian or other government takes retaliatory trade actons due to the recent trade tension, such changes could have an adverse efect on our business, fnancial conditon and results of operatons.</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Risks Related to our Intellectual Property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If we are unable to adequately protect our intellectual property, third partes may be able to use our intellectual property, which could adversely afect our ability to compete in the market.</w:t>
      </w:r>
    </w:p>
    <w:p>
      <w:pPr>
        <w:spacing w:after="0" w:line="110"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Our commercial success will depend in part on our ability, and the ability of our licensors, to obtain and maintain patent protecton on our drug product and technologies, and to successfully defend these patents against third party challenges. We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2" w:name="page93"/>
    <w:bookmarkEnd w:id="9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seek to protect our proprietary products and technology by fling patent applicatons in the U.S. and certain foreign jurisdictons. The process for obtaining patent protecton is expensive and tme consuming, and we may not be able to fle and prosecute all necessary or desirable patent applicatons in a cost efectve or tmely manner. In additon, we may fail to identfy patentable subject mater early enough to obtain patent protecton. Further, license agreements with third partes may not allow us to control the preparaton, fling and prosecuton of patent applicatons, or the maintenance or enforcement of patents. Such third partes may decide not to enforce such patents or enforce such patents without our involvement. Thus, these patent applicatons and patents may not, under these circumstances, be prosecuted or enforced in a manner consistent with the best interests of the company.</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pending patent applicatons may not issue as patents and may not issue in all countries in which we develop, manufacture or potentally sell our products or in countries where others develop, manufacture and potentally sell products using our technologies. Moreover, our pending patent applicatons, if issued as patents, may not provide additonal protecton for our products.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patent positons of pharmaceutcal and biotechnology companies can be highly uncertain and involve complex legal and factual questons. No consistent policy regarding the breadth of claims allowed in pharmaceutcal and biotechnology patents has emerged to date. Changes in the patent laws or the interpretaton of the patent laws in the U.S. and other jurisdictons may diminish the value of our patents or narrow the scope of our patent protecton. Accordingly, the patents we own or license may not be sufciently broad to prevent others from practcing our technologies or from developing competng products. Furthermore, others may independently develop similar or alternatve drug products or technologies or design around our patented drug products and technologies which may have an adverse efect on our business. If our compettors prepare and fle patent applicatons in the U.S. that claim technology also claimed by us, we may have to partcipate in interference or derivaton proceedings in front of the U.S. Patent and Trademark Ofce, or USPTO, to determine priority of inventon, which could result in substantal cost, even if the eventual outcome is favorable to us. Because of the extensive tme required for development, testng and regulatory review of a potental product, it is possible that any related patent may expire prior to, or remain in existence for only a short period following, commercializaton, which may signifcantly diminish our ability to exclude others from commercializing products that are similar or identcal to ours. The patents we own or license may be challenged or invalidated or may fail to provide us with any compettve advantage. Since we have licensed or sublicensed many patents from third partes, we may not be able to enforce such licensed patents against third party infringers without the cooperaton of the patent owner and the licensor, which may not be forthcoming. In additon, we may not be successful or tmely in obtaining any patents for which we submit applicatons.</w:t>
      </w:r>
    </w:p>
    <w:p>
      <w:pPr>
        <w:spacing w:after="0" w:line="12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Generally, the frst to fle a patent applicaton is enttled to the patent if all other requirements of patentability are met. However, prior to March 16, 2013, in the U.S., the frst to invent was enttled to the patent. Since publicatons of discoveries in the scientfc literature ofen lag behind the actual discoveries, and patent applicatons in the U.S. and other jurisdictons are typically not published untl 18 months afer fling, or in some cases not at all, we cannot know with certainty whether we were the frst to make the inventons claimed in our patents or pending patent applicatons, or that we were the frst to fle for patent protecton of such inventons. Moreover, the laws enacted by the Leahy-Smith America Invents Act of 2011, which reformed certain patent laws in the U.S., introduce procedures that permit compettors to challenge our patents in the USPTO afer grant, including inter partes review and post grant review. Similar laws exist outside of the U.S. The laws of the European Patent Conventon, for example, provide for post-grant oppositon procedures that permit compettors to challenge, or oppose, our European patents administratvely at the European Patent Ofce, or </w:t>
      </w:r>
      <w:r>
        <w:rPr>
          <w:rFonts w:ascii="Calibri" w:cs="Calibri" w:eastAsia="Calibri" w:hAnsi="Calibri"/>
          <w:sz w:val="18"/>
          <w:szCs w:val="18"/>
          <w:u w:val="single" w:color="auto"/>
          <w:color w:val="auto"/>
        </w:rPr>
        <w:t>EPO.</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may become involved in addressing patentability objectons based on third party submission of references, or we may become involved in defending our patent rights in oppositons, derivaton proceedings, reexaminaton, inter partes review, post grant review, interference proceedings or other patent ofce proceedings or litgaton, in the U.S. or elsewhere, challenging our patent rights or the patent rights of others. An adverse result in any such proceeding or litgaton could reduce the scope of, or invalidate, our patent rights, allow third partes to commercialize our technology or products and compete directly with us, without payment to us.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issuance of a patent is not conclusive as to its inventorship, scope, validity or enforceability, and our owned and licensed patents may be challenged on such a basis in the courts or patent ofces in the U.S. and abroad. As a result of such challenges, we may lose exclusivity or freedom-to-operate or patent claims may be narrowed, invalidated or held unenforceable, in whole or in part, which could limit our ability to prevent third partes from using or commercializing similar or identcal products, or limit the duraton of the patent protecton for our products.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Periodic maintenance fees on any issued patent are due to be paid to the USPTO and foreign patent agencies in several stages over the lifetme of the patent. The USPTO and governmental patent agencies in other jurisdictons also require compliance with a number of procedural, documentary, fee payment (such as annuites) and other similar provisions during the patent applicaton process. While an inadvertent lapse in many cases can be cured by payment of a late fee or by other means in accordance with the applicable rules, there are situatons in which non-compliance can result in abandonment or lapse of the patent or patent applicaton, resultng in partal or complete loss of patent rights in the relevant jurisdicton. Non-compliance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3" w:name="page94"/>
    <w:bookmarkEnd w:id="9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events that could result in abandonment or lapse of a patent or patent applicaton include, but are not limited to, failure to respond to ofcial actons within prescribed tme limits, non-payment of fees, and failure to properly legalize and submit formal documents. In such an event, our compettors might be able to enter the market sooner than we expect, which would have a material adverse efect on our business.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patents protectng our product candidate might expire before or shortly afer such candidate is commercialized. Thus, our patent portolio may not provide sufcient rights to exclude others from commercializing products similar or identcal to ours.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also rely on trade secrets and know-how to protect our intellectual property where we believe patent protecton is not appropriate or obtainable. Trade secrets are difcult to protect. While we require our employees, licensees, collaborators and consultants to enter into confdentality agreements, this may not be sufcient to adequately protect our trade secrets or other proprietary informaton. In additon, in some cases, we share certain ownership and publicaton rights to data relatng to some of our products and product candidates with research collaborators, licensees and other third partes. If we cannot maintain the confdentality of this informaton, our ability to receive patent protecton or protect our trade secrets or other proprietary informaton will be at risk.</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may not be able to protect our intellectual property rights throughout the world.</w:t>
      </w:r>
    </w:p>
    <w:p>
      <w:pPr>
        <w:spacing w:after="0" w:line="10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Filing, prosecutng and defending patents on our products and product candidates in all countries throughout the world would be prohibitvely expensive. Consequently, the breadth of our intellectual property rights in some countries outside the U.S. may be less extensive than those in the U.S. In additon, the laws of some countries do not protect intellectual property rights to the same extent as laws in the U.S. As a result, we may not be able to prevent third partes from practcing our inventons in all countries outside the U.S., or from selling or importng products made using our inventons in and into the U.S. or other countries. Compettors may use our technologies in countries where we have not obtained patent protecton to develop their own products and, further, may infringe our patents in territories where we have patent protecton, but where enforcement is not as strong as in the U.S. These products may compete with our products and our patents or other intellectual property rights may not be efectve or sufcient to prevent them from competng.</w:t>
      </w:r>
    </w:p>
    <w:p>
      <w:pPr>
        <w:spacing w:after="0" w:line="10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Many companies have encountered signifcant problems in protectng and defending intellectual property rights in certain countries. The legal systems of certain countries, partcularly certain developing countries, do not favor the enforcement of patents, trade secrets and other intellectual property, partcularly those relatng to pharmaceutcal and biotechnology products, which could make it difcult for us to stop the infringement of our patents or the marketng of competng products in violaton of our proprietary rights generally. Proceedings to enforce our patent rights in countries outside of the U.S. could result in substantal costs and divert our eforts and atenton from other aspects of our business, could put our patents at risk of being invalidated or interpreted narrowly and our patent applicatons at risk of not issuing, and could provoke third partes to assert claims against us. We may not prevail in any lawsuits that we initate, and the damages or other remedies awarded, if any, may not be commercially meaningful. Accordingly, our eforts to enforce our intellectual property rights around the world may be inadequate to obtain a signifcant commercial advantage for our products and product candidates from the intellectual property that we develop or license.</w:t>
      </w:r>
    </w:p>
    <w:p>
      <w:pPr>
        <w:spacing w:after="0" w:line="116" w:lineRule="exact"/>
        <w:rPr>
          <w:sz w:val="20"/>
          <w:szCs w:val="20"/>
          <w:color w:val="auto"/>
        </w:rPr>
      </w:pPr>
    </w:p>
    <w:p>
      <w:pPr>
        <w:jc w:val="both"/>
        <w:ind w:right="480"/>
        <w:spacing w:after="0" w:line="258" w:lineRule="auto"/>
        <w:rPr>
          <w:sz w:val="20"/>
          <w:szCs w:val="20"/>
          <w:color w:val="auto"/>
        </w:rPr>
      </w:pPr>
      <w:r>
        <w:rPr>
          <w:rFonts w:ascii="Calibri" w:cs="Calibri" w:eastAsia="Calibri" w:hAnsi="Calibri"/>
          <w:sz w:val="17"/>
          <w:szCs w:val="17"/>
          <w:b w:val="1"/>
          <w:bCs w:val="1"/>
          <w:i w:val="1"/>
          <w:iCs w:val="1"/>
          <w:color w:val="auto"/>
        </w:rPr>
        <w:t>The intellectual property that we own or have licensed and related non-patent exclusivity relatng to our current and future products is, and may be, limited, which could adversely afect our ability to compete in the market and adversely afect the value of Auryxia, Vafseo or other future products.</w:t>
      </w:r>
    </w:p>
    <w:p>
      <w:pPr>
        <w:spacing w:after="0" w:line="9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patent rights and related non-patent exclusivity that we own or have licensed relatng to Auryxia, Vafseo or other future products, are, or may be limited in ways that may afect our ability to exclude third partes from competng against us. For example, a third party may design around our owned or licensed compositon of mater patent claims or market a product for the methods of use not covered by our owned or licensed patents.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Obtaining proof of direct infringement by a compettor for a method of use patent requires us to demonstrate that the compettors make and market a product for the patented use(s). Alternatvely, we can prove that our compettors induce or contribute to others in engaging in direct infringement. Proving that a compettor contributes to or induces infringement of a patented method by another has additonal proof requirements. For example, proving inducement of infringement requires proof of intent by the compettor. If we are required to defend ourselves against claims or to protect our own proprietary rights against others, it could result in substantal costs to us and the distracton of our management. An adverse ruling in any litgaton or administratve proceeding could prevent us or our partners from marketng and selling Auryxia, Vafseo or other future products, increase the risk that a generic or other similar version of Auryxia, Vafseo or other future products could enter the market to compete with Auryxia, Vafseo or other future products, limit our or our partners' development and commercializaton of Auryxia, Vafseo or other future products, or otherwise harm our compettve positon and result in additonal signifcant costs.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4" w:name="page95"/>
    <w:bookmarkEnd w:id="9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Moreover, physicians may prescribe a compettve identcal product for indicatons other than the one for which the product has been approved, or “of-label” indicatons, that are covered by the applicable patents. Although such of-label prescriptons may directly infringe or contribute to or induce infringement of method of use patents, such infringement is difcult to prevent.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any limitatons of our patent protecton described above may adversely afect the value of our drug product and may inhibit our ability to obtain a collaboraton partner at terms acceptable to us, if at all.</w:t>
      </w:r>
    </w:p>
    <w:p>
      <w:pPr>
        <w:spacing w:after="0" w:line="96" w:lineRule="exact"/>
        <w:rPr>
          <w:sz w:val="20"/>
          <w:szCs w:val="20"/>
          <w:color w:val="auto"/>
        </w:rPr>
      </w:pPr>
    </w:p>
    <w:p>
      <w:pPr>
        <w:jc w:val="both"/>
        <w:spacing w:after="0" w:line="221" w:lineRule="auto"/>
        <w:rPr>
          <w:sz w:val="20"/>
          <w:szCs w:val="20"/>
          <w:color w:val="auto"/>
        </w:rPr>
      </w:pPr>
      <w:r>
        <w:rPr>
          <w:rFonts w:ascii="Calibri" w:cs="Calibri" w:eastAsia="Calibri" w:hAnsi="Calibri"/>
          <w:sz w:val="18"/>
          <w:szCs w:val="18"/>
          <w:color w:val="auto"/>
        </w:rPr>
        <w:t xml:space="preserve">In additon to patent rights in the U.S., we may seek non-patent exclusivity for any approved or future products under other provisions of the FDCA such as new chemical entty, or </w:t>
      </w:r>
      <w:r>
        <w:rPr>
          <w:rFonts w:ascii="Calibri" w:cs="Calibri" w:eastAsia="Calibri" w:hAnsi="Calibri"/>
          <w:sz w:val="18"/>
          <w:szCs w:val="18"/>
          <w:u w:val="single" w:color="auto"/>
          <w:color w:val="auto"/>
        </w:rPr>
        <w:t>NCE</w:t>
      </w:r>
      <w:r>
        <w:rPr>
          <w:rFonts w:ascii="Calibri" w:cs="Calibri" w:eastAsia="Calibri" w:hAnsi="Calibri"/>
          <w:sz w:val="18"/>
          <w:szCs w:val="18"/>
          <w:color w:val="auto"/>
        </w:rPr>
        <w:t>, exclusivity, or exclusivity for a new use or new formulaton, but there is no guarantee that any products will receive such exclusivity. The FDCA provides a fve-year period of non-patent exclusivity within the U.S. to the frst sponsor to gain approval of an NDA for an NCE. A drug is an NCE if the FDA has not previously approved any other new drug containing the same actve moiety, which consists of the molecule(s) or ion(s) responsible for the acton of the drug substance (but not including those portons of the molecule that cause it to be a salt or ester or which are not bound to the molecule by covalent or similar bonds). Vafseo was granted NCE status following its approval in March 2024 and received a fve-year NCE exclusivity. During the exclusivity period, the FDA may not accept for review an ANDA or a 505(b)(2) NDA submited by another company for another version of such drug where the sponsor does not own or have a legal right of reference to all the data required for approval.</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An ANDA that references an NDA product with NCE exclusivity may be submited afer four years if it contains a certfcaton of patent invalidity or non-infringement. The FDCA also provides three years of exclusivity for an NDA, partcularly a 505(b)(2) NDA or supplement to an existng NDA, if new clinical investgatons, other than bioavailability studies, that were conducted or sponsored by the sponsor are deemed by the FDA to be essental to the approval of the applicaton (for example, for new indicatons, dosages, or strengths of an existng drug). This three-year exclusivity covers only the conditons associated with the new clinical investgatons and does not prohibit the FDA from approving ANDAs for drugs containing the original actve agent. The three-year exclusivity period, unlike fve-year exclusivity, does not prevent the submission of a competng ANDA or 505(b)(2) NDA. Instead, it only prevents the FDA from grantng fnal approval to such a product untl expiraton of the exclusivity period. Five-year and three-year exclusivity will not delay the submission (in the case of fve-year exclusivity) or the approval (in the case of three-year exclusivity) of a full NDA submited under secton 505(b)(1) of the FDCA; however, a sponsor submitng a full NDA would be required to conduct all of its own studies needed to independently support a fnding of safety and efectveness for the proposed product, or have a full right of reference to all studies not conducted by the sponsor.</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cases where NCE exclusivity has been granted to a new drug product, the 30-month stay triggered by such litgaton is extended by the amount of tme such that seven years and six months will elapse from the date of approval of the NDA for that product. Without NCE exclusivity, the 30-month stay on FDA fnal approval of an ANDA runs from the date on which the sponsor of the reference listed drug receives notce of a Paragraph IV certfcaton from the ANDA sponsor.</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to NCE, in the U.S., the FDA has the authority to grant additonal regulatory exclusivity protecton for approved drugs where the sponsor conducts specifed testng in pediatric or adolescent populatons. If granted, this pediatric exclusivity may provide an additonal six months which are added to the term of any non-patent exclusivity that has been awarded as well as to the regulatory protecton related to the term of a relevant patent, to the extent these protectons have not already expired.</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foreign regulatory authorites may change their approval policies and new regulatons may be enacted regarding non-patent exclusivity. For example, EU pharmaceutcal legislaton is currently undergoing a complete review process, in the context of the Pharmaceutcal Strategy for Europe initatve, launched by the EC in November 2020. The EC’s proposal for revision of several legislatve instruments related to medicinal products, which may reduce the duraton of regulatory data protecton and exclusivity periods for orphan drugs, and revise the eligibility for expedited pathways in additon to other changes, was published on April 26, 2023. On April 10, 2024, the European Parliament adopted a positon on the proposal requestng several amendments to the package. The proposed revisions remain to be agreed and adopted by the European Parliament and European Council and the proposals may therefore be substantally revised before adopton, which is not antcipated before early 2026. The revisions may, however, have a signifcant impact on the pharmaceutcal industry and our business in the long term.</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cannot assure you that Auryxia, Vafseo or any of our potental future products will obtain such pediatric exclusivity, NCE exclusivity or any other market exclusivity in the U.S., EU or any other territory, or that we will be the frst to receive the respectve regulatory approval for such drugs so as to be eligible for any non-patent exclusivity protecton. We also cannot assure you that Auryxia, Vafseo or any of our potental future products will obtain patent term extension.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5" w:name="page96"/>
    <w:bookmarkEnd w:id="9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b w:val="1"/>
          <w:bCs w:val="1"/>
          <w:i w:val="1"/>
          <w:iCs w:val="1"/>
          <w:color w:val="auto"/>
        </w:rPr>
        <w:t>The market entry of one or more generic compettors or any third party’s atempt to challenge our intellectual property rights will likely limit Auryxia and Vafseo sales and have an adverse impact on our business and results of operaton.</w:t>
      </w:r>
    </w:p>
    <w:p>
      <w:pPr>
        <w:spacing w:after="0" w:line="96" w:lineRule="exact"/>
        <w:rPr>
          <w:sz w:val="20"/>
          <w:szCs w:val="20"/>
          <w:color w:val="auto"/>
        </w:rPr>
      </w:pPr>
    </w:p>
    <w:p>
      <w:pPr>
        <w:jc w:val="both"/>
        <w:spacing w:after="0" w:line="223" w:lineRule="auto"/>
        <w:rPr>
          <w:sz w:val="20"/>
          <w:szCs w:val="20"/>
          <w:color w:val="auto"/>
        </w:rPr>
      </w:pPr>
      <w:r>
        <w:rPr>
          <w:rFonts w:ascii="Calibri" w:cs="Calibri" w:eastAsia="Calibri" w:hAnsi="Calibri"/>
          <w:sz w:val="18"/>
          <w:szCs w:val="18"/>
          <w:color w:val="auto"/>
        </w:rPr>
        <w:t xml:space="preserve">Although the compositon and use of Auryxia is currently claimed by 3 issued patents that are listed in the FDA’s Orange Book, or </w:t>
      </w:r>
      <w:r>
        <w:rPr>
          <w:rFonts w:ascii="Calibri" w:cs="Calibri" w:eastAsia="Calibri" w:hAnsi="Calibri"/>
          <w:sz w:val="18"/>
          <w:szCs w:val="18"/>
          <w:u w:val="single" w:color="auto"/>
          <w:color w:val="auto"/>
        </w:rPr>
        <w:t>OB</w:t>
      </w:r>
      <w:r>
        <w:rPr>
          <w:rFonts w:ascii="Calibri" w:cs="Calibri" w:eastAsia="Calibri" w:hAnsi="Calibri"/>
          <w:sz w:val="18"/>
          <w:szCs w:val="18"/>
          <w:color w:val="auto"/>
        </w:rPr>
        <w:t>, and the compositon and use of Vafseo is currently claimed by 13 issued patents that are listed in the OB, we cannot assure you that we will be successful in defending against third partes atemptng to invalidate or design around our patents or assertng that our patents are invalid or otherwise unenforceable or not infringed, or in competng against third partes introducing generic equivalents of Auryxia, Vafseo or any of our potental future products. If our Orange Book-listed patents are successfully challenged by a third party and a generic version of Auryxia or Vafseo is approved and launched sooner than we antcipate, revenue from Auryxia or Vafseo, respectvely, could decline signifcantly, which would have a material adverse efect on our sales, results of operatons and fnancial conditon.</w:t>
      </w:r>
    </w:p>
    <w:p>
      <w:pPr>
        <w:spacing w:after="0" w:line="9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previously received Paragraph IV certfcaton notce leters regarding ANDAs submited to the FDA requestng approval for generic versions of Auryxia tablets (210 mg ferric iron per tablet). We fled complaints for patent infringement relatng to such ANDAs, and subsequently entered into setlement and license agreements with all such ANDA flers that allow such ANDA flers to market a generic version of Auryxia in the U.S. beginning on March 20, 2025. It is possible that we may receive Paragraph IV certfcaton notce leters from additonal ANDA flers and may not ultmately be successful in an ANDA litgaton.</w:t>
      </w:r>
    </w:p>
    <w:p>
      <w:pPr>
        <w:spacing w:after="0" w:line="98" w:lineRule="exact"/>
        <w:rPr>
          <w:sz w:val="20"/>
          <w:szCs w:val="20"/>
          <w:color w:val="auto"/>
        </w:rPr>
      </w:pPr>
    </w:p>
    <w:p>
      <w:pPr>
        <w:jc w:val="both"/>
        <w:spacing w:after="0" w:line="224" w:lineRule="auto"/>
        <w:rPr>
          <w:sz w:val="20"/>
          <w:szCs w:val="20"/>
          <w:color w:val="auto"/>
        </w:rPr>
      </w:pPr>
      <w:r>
        <w:rPr>
          <w:rFonts w:ascii="Calibri" w:cs="Calibri" w:eastAsia="Calibri" w:hAnsi="Calibri"/>
          <w:sz w:val="18"/>
          <w:szCs w:val="18"/>
          <w:color w:val="auto"/>
        </w:rPr>
        <w:t>While we expect that the availability of generic versions of Auryxia will negatvely impact our net product revenue for Auryxia and our results of operatons, it is difcult to estmate the impact of generics on Auryxia net product revenue, and if the impact is greater than we currently antcipate, it may materially adversely impact our business and results of operatons. Generic competton for Auryxia or any of our potental future products could have a material adverse efect on our sales, results of operatons and fnancial conditon.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Litgaton and administratve proceedings, including third party claims of intellectual property infringement and oppositon/invalidaton proceedings against third party patents, may be costly and tme consuming and may delay or harm our drug discovery, development and commercializaton eforts.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may be forced to initate litgaton to enforce our contractual and intellectual property rights, or we may be sued by third partes assertng claims based on contract, tort or intellectual property infringement. Compettors may infringe our patents or misappropriate our trade secrets or confdental informaton. We may not be able to prevent infringement of our patents or misappropriaton of our trade secrets or confdental informaton, partcularly in countries where the laws may not protect those rights as fully as in the U.S. In additon, third partes may have or may obtain patents in the future and claim that our products or other technologies infringe their patents. If we are required to defend against suits brought by third partes, or if we sue third partes to protect our rights, we may be required to pay substantal litgaton costs, and our management’s atenton may be diverted from operatng our business. In additon, any legal acton against our licensor, licensees or us that seeks damages or an injuncton of commercial actvites relatng to Auryxia, Vafseo or any product candidates or other technologies, including those that may be in-licensed or acquired, could subject us to monetary liability, a temporary or permanent injuncton preventng the development, marketng and sale of such products or such technologies, and/or require our licensor, licensees or us to obtain a license to contnue to develop, market or sell such products or other technologies. In additon, in an infringement proceeding, a court may decide that a patent of ours is not valid or is unenforceable, or may refuse to stop the other party from using the technology at issue on the grounds that our patents do not cover the technology in queston. We cannot predict whether our licensor, licensees or we would prevail in any of these types of actons or that any required license would be made available on commercially acceptable terms, if at all.</w:t>
      </w:r>
    </w:p>
    <w:p>
      <w:pPr>
        <w:spacing w:after="0" w:line="11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commercial success depends in part on our avoiding infringement of the patents and proprietary rights of third partes. However, there may be patents of third partes of which we are currently unaware with claims to compounds, materials, formulatons, methods of manufacture or methods for treatment related to the use or manufacture of our product candidates. Also, because patent applicatons can take many years to issue, there may be currently pending patent applicatons which may later result in issued patents that our product candidates may infringe. The pharmaceutcal and biotechnology industries are characterized by extensive litgaton over patent and other intellectual property rights. We have in the past and may in the future become a party to, or be threatened with, future adversarial litgaton or other proceedings regarding intellectual property rights with respect to our product and product candidates. As the pharmaceutcal and biotechnology industries expand and more patents are issued, the risk increases that our product candidates may give rise to claims of infringement of the patent rights of others.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While our product candidates are in preclinical studies and clinical trials, we believe that the use of our product candidates in these preclinical studies and clinical trials in the U.S. falls within the scope of the exemptons provided by 35 U.S.C. Secton 271(e), which provides that it shall not be an act of infringement to make, use, ofer to sell, or sell within the U.S. or import into the U.S. a patented inventon solely for uses reasonably related to the development and submission of informaton to the FDA. There is an increased possibility of a patent infringement claim against us with respect to commercial products. Our portolio includes two commercial products: Auryxia and Vafseo. We atempt to ensure that our products and product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6" w:name="page97"/>
    <w:bookmarkEnd w:id="9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candidates and the methods we employ to manufacture them, as well as the methods for their use which we intend to promote, do not infringe other partes’ patents and other proprietary rights. There can be no assurance they do not, however, and compettors or other partes may assert that we infringe their proprietary rights in any event.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FibroGen has fled patent applicatons in the U.S. and other countries directed to purportedly new methods of using previously known heterocyclic carboxamide compounds for purposes of treatng or afectng specifed conditons, and some of these applicatons have since issued as patents. In November 2023, we and our collaboraton partner, MTPC, entered into a Setlement and Cross License Agreement, or the </w:t>
      </w:r>
      <w:r>
        <w:rPr>
          <w:rFonts w:ascii="Calibri" w:cs="Calibri" w:eastAsia="Calibri" w:hAnsi="Calibri"/>
          <w:sz w:val="18"/>
          <w:szCs w:val="18"/>
          <w:u w:val="single" w:color="auto"/>
          <w:color w:val="auto"/>
        </w:rPr>
        <w:t>Setlement Agreement,</w:t>
      </w:r>
      <w:r>
        <w:rPr>
          <w:rFonts w:ascii="Calibri" w:cs="Calibri" w:eastAsia="Calibri" w:hAnsi="Calibri"/>
          <w:sz w:val="18"/>
          <w:szCs w:val="18"/>
          <w:color w:val="auto"/>
        </w:rPr>
        <w:t xml:space="preserve"> with FibroGen and its collaboraton partner, Astellas. The Setlement Agreement resolves all patent disputes between us, MTPC, FibroGen and Astellas in the EU, the contractng states to the European Patent Conventon, the UK and Japan, or the </w:t>
      </w:r>
      <w:r>
        <w:rPr>
          <w:rFonts w:ascii="Calibri" w:cs="Calibri" w:eastAsia="Calibri" w:hAnsi="Calibri"/>
          <w:sz w:val="18"/>
          <w:szCs w:val="18"/>
          <w:u w:val="single" w:color="auto"/>
          <w:color w:val="auto"/>
        </w:rPr>
        <w:t>Setlement Territory</w:t>
      </w:r>
      <w:r>
        <w:rPr>
          <w:rFonts w:ascii="Calibri" w:cs="Calibri" w:eastAsia="Calibri" w:hAnsi="Calibri"/>
          <w:sz w:val="18"/>
          <w:szCs w:val="18"/>
          <w:color w:val="auto"/>
        </w:rPr>
        <w:t>. We may in the future initate invalidity actons or other legal proceedings with respect to FibroGen patents outside of the Setlement Territory. If we are not successful in such proceedings, FibroGen could try to claim that our products infringe their patent rights.</w:t>
      </w:r>
    </w:p>
    <w:p>
      <w:pPr>
        <w:spacing w:after="0" w:line="114"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Third partes, including FibroGen, may in the future claim that our products and product candidates and other technologies infringe upon their patents and may challenge our ability to commercialize Auryxia and Vafseo. Partes making claims against us or our licensees may seek and obtain injunctve or other equitable relief, which could efectvely block our or their ability to contnue to commercialize Auryxia or Vafseo or further develop and commercialize any product candidates, including those that may be in-licensed or acquired. If any third party patents were held by a court of competent jurisdicton to cover the manufacturing process of any of our products or product candidates, any molecules formed during the manufacturing process or any fnal product itself, the holders of any such patents may be able to block our ability to commercialize such product or product candidate unless we obtained a license under the applicable patents, or untl such patents expire or they are fnally determined to be held invalid or unenforceable. Similarly, if any third party patent were held by a court of competent jurisdicton to cover aspects of our formulatons, processes for manufacture or our intended methods of use, the holders of any such patent may be able to block or impair our ability to develop and commercialize the applicable product candidate unless we obtained a license or untl such patent expires or is fnally determined to be held invalid or unenforceable. We may also elect to enter into a license in order to setle litgaton or in order to resolve disputes prior to litgaton. Furthermore, even in the absence of litgaton, we may need to obtain licenses from third partes to advance our research or allow commercializaton of our products or product candidates. Should a license to a third party patent become necessary, we cannot predict whether we would be able to obtain a license or, if a license were available, whether it would be available on commercially reasonable terms. If such a license is necessary and a license under the applicable patent is unavailable on commercially reasonable terms, or at all, our ability to commercialize our product or product candidate may be impaired or delayed, which could in turn signifcantly harm our business.</w:t>
      </w:r>
    </w:p>
    <w:p>
      <w:pPr>
        <w:spacing w:after="0" w:line="1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Further, defense of infringement claims, regardless of their merit, would involve substantal litgaton expense and would be a substantal diversion of employee resources from our business. In the event of a successful claim of infringement against us, we may have to pay substantal damages, including treble damages and atorneys’ fees for willful infringement, pay royaltes or redesign our products, which may be impossible or require substantal tme and monetary expenditure.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there may be a challenge or dispute regarding inventorship or ownership of patents or applicatons currently identfed as being owned by or licensed to us. Defense of these claims, regardless of their merit, would involve substantal litgaton expense and would be a substantal diversion of employee resources from our business. Interference proceedings provoked by third partes or brought by the USPTO may be necessary to determine the priority of inventons with respect to our patents or patent applicatons.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Various administratve proceedings are also available for challenging patents, including interference, reexaminaton, inter partes review, and post-grant review proceedings before the USPTO or oppositons and other comparable proceedings in foreign jurisdictons. Compettors may initate an administratve proceeding challenging our issued patents or pending patent applicatons, which can be expensive and tme-consuming to defend. An adverse result in any current or future defense proceedings could put one or more of our patents at risk of being invalidated, held unenforceable, or interpreted narrowly and held not infringed and could put our patent applicatons at risk of not issuing. In additon, an unfavorable outcome in any current or future proceeding in which we are challenging third party patents could require us to cease using the patented technology or to atempt to license rights to it from the prevailing party. Our business could be harmed if the prevailing party does not ofer us a license on commercially reasonable terms or at all. Even if we are successful, partcipaton in interference or other administratve proceedings before the USPTO or a foreign patent ofce may result in substantal costs and distract our management and other employees.</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currently involved in oppositon proceedings in the Indian Patent Ofce and the European Patent Ofce. The proceedings may be ongoing for a number of years, may be resolved in a manner adverse to the Company and may involve substantal expense and diversion of employee resources from our business, which could have an adverse efect on our business. In additon, we may become involved in additonal oppositon proceedings or other legal or administratve proceedings in the future. For more informaton, see the other risk factors under “Risks Related to our Intellectual Property”.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7" w:name="page98"/>
    <w:bookmarkEnd w:id="9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Furthermore, because of the substantal amount of discovery required in connecton with intellectual property litgaton and some administratve proceedings, there is a risk that some of our confdental informaton could be compromised by disclosure during discovery. In additon, there could be public announcements of the results of hearings, motons or other interim proceedings or developments. If securites analysts or investors perceive these results to be negatve, it could have a substantal adverse efect on the price of our common stock.</w:t>
      </w:r>
    </w:p>
    <w:p>
      <w:pPr>
        <w:spacing w:after="0" w:line="111" w:lineRule="exact"/>
        <w:rPr>
          <w:sz w:val="20"/>
          <w:szCs w:val="20"/>
          <w:color w:val="auto"/>
        </w:rPr>
      </w:pPr>
    </w:p>
    <w:p>
      <w:pPr>
        <w:ind w:right="300"/>
        <w:spacing w:after="0" w:line="235" w:lineRule="auto"/>
        <w:rPr>
          <w:sz w:val="20"/>
          <w:szCs w:val="20"/>
          <w:color w:val="auto"/>
        </w:rPr>
      </w:pPr>
      <w:r>
        <w:rPr>
          <w:rFonts w:ascii="Calibri" w:cs="Calibri" w:eastAsia="Calibri" w:hAnsi="Calibri"/>
          <w:sz w:val="18"/>
          <w:szCs w:val="18"/>
          <w:b w:val="1"/>
          <w:bCs w:val="1"/>
          <w:i w:val="1"/>
          <w:iCs w:val="1"/>
          <w:color w:val="auto"/>
        </w:rPr>
        <w:t>We may be subject to claims that our employees, consultants or independent contractors have wrongfully used or disclosed confdental informaton of third partes.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received confdental and proprietary informaton from potental collaborators, prospectve licensees and other third partes. In additon, we employ individuals who were previously employed at other biotechnology or pharmaceutcal companies. We may be subject to claims that we or our employees, consultants or independent contractors have inadvertently or otherwise used or disclosed confdental informaton of these third partes or our employees’ former employers. We may also be subject to claims that former employees, collaborators or other third partes have an ownership interest in our patents or other intellectual property. We may be subject to ownership disputes in the future arising, for example, from confictng obligatons of consultants or others who are involved in developing our product candidates. Litgaton may be necessary to defend against these claims. If we fail in defending any such claims, in additon to paying monetary damages, we may lose valuable intellectual property rights, such as exclusive ownership of, or right to use, valuable intellectual property. Such an outcome could have a material adverse efect on our business. Even if we are successful in defending against these claims, litgaton could result in substantal cost and be a distracton to our management and employees.</w:t>
      </w:r>
    </w:p>
    <w:p>
      <w:pPr>
        <w:spacing w:after="0" w:line="11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Risks Related to our Business and Managing Growth</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If we fail to atract, retain and motvate senior management and qualifed personnel, we may be unable to successfully develop and commercialize Auryxia, Vafseo or any of our product candidates.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Recruitng and retaining qualifed personnel is critcal to our success. We are also highly dependent on our executves, certain members of our senior management and certain key personnel. The loss of the services of our executves, senior managers or other employees could impede the achievement of our research, development, regulatory and commercializaton objectves and seriously harm our ability to successfully implement our business strategy. Specifcally, following receipt of the CRL, we implemented a reducton of our workforce in April and May 2022 by approximately 42% across all areas of our Company (47% inclusive of the closing of the majority of open positons), including several members of management. In November 2022, we also implemented a reducton of our workforce, by approximately 14% consistng of individuals within our commercial organizaton as a result of our decision to shif to a strategic account management focused model for our commercial eforts. Losing members of management and other key personnel subjects us to a number of risks, including the failure to coordinate responsibilites and tasks, the necessity to create new management systems and processes, the impact on corporate culture, and the retenton of historical knowledge.</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Furthermore, replacing executves, senior managers and other key employees may be difcult and may take an extended period of tme because of the limited number of individuals in our industry with the breadth of skills and experience required to successfully develop and commercialize Auryxia, Vafseo and any product candidates. Our future fnancial performance and our ability to develop and commercialize Auryxia and Vafseo and to compete efectvely will depend, in part, on our ability to manage any future growth efectvely. To that end, we must be able to hire, train, integrate, and retain additonal qualifed personnel with sufcient experience. We may be unable to hire, train, retain or motvate these personnel on acceptable terms given the intense competton for our personnel from our compettors and other companies throughout our industry, partcularly in our geographic region. Over the last several years, the challenges in recruitng and retaining employees across the pharmaceutcal and biotechnology industries have increased substantally due to current industry job market dynamics.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we rely on contractors, consultants and advisors, including scientfc and clinical advisors, to assist us in formulatng and executng our R&amp;D and commercializaton strategy. Our contractors, consultants and advisors may become employed by companies other than ours and may have commitments with other enttes that may limit their availability to us. If additonal members of management or other personnel leave, or we are unable to contnue to atract and retain high quality personnel, our ability to grow and pursue our business strategy will be limited.</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We may encounter difcultes in managing our growth, including with respect to our employee base, and managing our partnerships and operatons successfully.</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our day-to-day operatons, we may encounter difcultes in managing the size of our operatons as well as challenges associated with managing our business. We have strategic collaboratons for the commercializaton of Riona in Japan, the development and commercializaton of ferric citrate in Europe, and the development and commercializaton of vadadustat, which is now being or will be marketed under the trade name Vafseo by our collaboraton partner, MTPC, in Japan and potentally other Asian countries and our collaboraton partner, Medice, in the Medice Territory. As our operatons contnue,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8" w:name="page99"/>
    <w:bookmarkEnd w:id="9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expect that we will need to manage our current relatonships and enter into new relatonships with various strategic collaborators, consultants, vendors, suppliers and other third partes. These relatonships are complex and create numerous risks as we deal with issues that arise.</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example, we supply or have agreed to supply, as applicable, Auryxia in Europe, Vafseo in Japan, Europe and other territories where it is approved for commercial and clinical use to MTPC, Medice and Averoa, which will require us to successfully manage our limited fnancial and managerial resources. In additon, we may not be able to obtain the raw materials or product that we need, or the cost of the raw materials or product may be higher than expected. If we are unable to successfully manage our supply obligatons, our ability to commercialize our products or supply such products to our partners could have a material adverse efect on our relatonships with our partners and our results of operatons.</w:t>
      </w:r>
    </w:p>
    <w:p>
      <w:pPr>
        <w:spacing w:after="0" w:line="99" w:lineRule="exact"/>
        <w:rPr>
          <w:sz w:val="20"/>
          <w:szCs w:val="20"/>
          <w:color w:val="auto"/>
        </w:rPr>
      </w:pPr>
    </w:p>
    <w:p>
      <w:pPr>
        <w:jc w:val="both"/>
        <w:spacing w:after="0" w:line="221" w:lineRule="auto"/>
        <w:rPr>
          <w:sz w:val="20"/>
          <w:szCs w:val="20"/>
          <w:color w:val="auto"/>
        </w:rPr>
      </w:pPr>
      <w:r>
        <w:rPr>
          <w:rFonts w:ascii="Calibri" w:cs="Calibri" w:eastAsia="Calibri" w:hAnsi="Calibri"/>
          <w:sz w:val="18"/>
          <w:szCs w:val="18"/>
          <w:color w:val="auto"/>
        </w:rPr>
        <w:t>Our future fnancial performance and our ability to commercialize Auryxia and Vafseo, if and where approved, and to compete efectvely will depend, in part, on our ability to manage any future growth efectvely. This future growth will impose signifcant added responsibilites on the business and members of management. To manage any future growth, we must contnue to implement and improve our managerial, operatonal and fnancial systems, procedures and processes. We may not be able to implement these improvements in an efcient or tmely manner and may discover defciencies in existng systems, procedures and processes. For example, we recently transitoned to a new enterprise resource planning system and if we encounter any difcultes or issues with the new system it could afect our ability to close our books and complete our fnancial reportng in a tmely manner. Moreover, the systems, procedures and processes currently in place or to be implemented may not be adequate for any such growth. Any expansion of our operatons may lead to signifcant costs and may divert our management and business development resources. Any inability to manage growth could delay the executon of our business plans or disrupt our operatons. We may not be able to accomplish these tasks, and our failure to accomplish any of them could prevent us from successfully managing and, as applicable, growing our Company.</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we may need to adjust the size of our workforce as a result of changes to our expectatons for our business, which can result in management being required to divert a disproportonate amount of its atenton away from our day-to-day actvites and devote a substantal amount of tme to managing these growth-related actvites and related expenses. Further, we rely on independent third partes to provide certain services to us. We structure our relatonships with these outside service providers in a manner that we believe results in an independent contractor relatonship, not an employee relatonship. If any of our service providers are later legally deemed to be employees, we could be subject to employment and tax withholding liabilites and other additonal costs as well as other multple damages and atorneys’ fees.</w:t>
      </w:r>
    </w:p>
    <w:p>
      <w:pPr>
        <w:spacing w:after="0" w:line="113" w:lineRule="exact"/>
        <w:rPr>
          <w:sz w:val="20"/>
          <w:szCs w:val="20"/>
          <w:color w:val="auto"/>
        </w:rPr>
      </w:pPr>
    </w:p>
    <w:p>
      <w:pPr>
        <w:ind w:right="160"/>
        <w:spacing w:after="0" w:line="229" w:lineRule="auto"/>
        <w:rPr>
          <w:sz w:val="20"/>
          <w:szCs w:val="20"/>
          <w:color w:val="auto"/>
        </w:rPr>
      </w:pPr>
      <w:r>
        <w:rPr>
          <w:rFonts w:ascii="Calibri" w:cs="Calibri" w:eastAsia="Calibri" w:hAnsi="Calibri"/>
          <w:sz w:val="18"/>
          <w:szCs w:val="18"/>
          <w:b w:val="1"/>
          <w:bCs w:val="1"/>
          <w:i w:val="1"/>
          <w:iCs w:val="1"/>
          <w:color w:val="auto"/>
        </w:rPr>
        <w:t>We have identfed a material weakness in our internal control over fnancial reportng as of December 31, 2024 relatng to our accountng for inventory and inventory related transactons. If we are not able to remediate this material weakness, or if we experience additonal material weaknesses or other defciencies in our internal control over fnancial reportng in the future or otherwise fail to maintain an efectve system of internal control over fnancial reportng, we may not be able to accurately or tmely report our fnancial results or prevent fraud, and we may conclude that our internal control over fnancial reportng is not efectve, which may adversely afect our business.</w:t>
      </w:r>
    </w:p>
    <w:p>
      <w:pPr>
        <w:spacing w:after="0" w:line="9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Efectve internal control over fnancial reportng is necessary for us to provide reliable fnancial reports and, together with adequate disclosure controls and procedures, is designed to prevent fraud. Any failure to maintain or implement required new or improved controls, or difcultes encountered in implementaton could cause us to fail to meet our reportng obligatons. In additon, any testng by us, as and when required, conducted in connecton with Secton 404 of the Sarbanes-Oxley Act, or Secton 404, or any testng by our independent registered public accountng frm may reveal defciencies in our internal control over fnancial reportng that are deemed to be material weaknesses or that may require prospectve or retroactve changes to our consolidated fnancial statements or identfy other areas for further atenton or improvement.</w:t>
      </w:r>
    </w:p>
    <w:p>
      <w:pPr>
        <w:spacing w:after="0" w:line="100" w:lineRule="exact"/>
        <w:rPr>
          <w:sz w:val="20"/>
          <w:szCs w:val="20"/>
          <w:color w:val="auto"/>
        </w:rPr>
      </w:pPr>
    </w:p>
    <w:p>
      <w:pPr>
        <w:jc w:val="both"/>
        <w:spacing w:after="0" w:line="212" w:lineRule="auto"/>
        <w:rPr>
          <w:sz w:val="20"/>
          <w:szCs w:val="20"/>
          <w:color w:val="auto"/>
        </w:rPr>
      </w:pPr>
      <w:r>
        <w:rPr>
          <w:rFonts w:ascii="Calibri" w:cs="Calibri" w:eastAsia="Calibri" w:hAnsi="Calibri"/>
          <w:sz w:val="18"/>
          <w:szCs w:val="18"/>
          <w:color w:val="auto"/>
        </w:rPr>
        <w:t>We identfed a material weakness in our internal control over fnancial reportng as of December 31, 2024. A material weakness is a defciency, or combinaton of defciencies, in internal control over fnancial reportng, such that there is a reasonable possibility that a material misstatement of our annual or interim consolidated fnancial statements will not be prevented or detected on a tmely basis. Our management concluded that we did not design and maintain efectve controls over inventory. Specifcally, we did not maintain efectve review controls that operated with a sufcient level of precision to evaluate the completeness, accuracy and reasonableness of the product sales forecast, which is used in the evaluaton of excess inventory, including the calculaton of excess frm purchase commitments and the classifcaton of current and non-current inventory. For further discussion of the material weakness, see Part II, Item 9A, “Controls and Procedures.”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taken and plan to contnue to take actons to remediate this material weakness, including (i) designing and implementng new controls to help ensure the completeness and accuracy of our inventory reconciliatons, (ii) engaging accountng personnel with U.S. GAAP experience specifc to inventory accountng and (iii) enhancing the monitoring and oversight controls to help to ensure the completeness and accuracy of inventory included in our fnancial statements and related disclosures. However, we cannot provide assurance that we will be able to correct this material weakness in a tmely manner or that our remediaton eforts will be adequate to allow us to conclude that our internal control over fnancial reportng will be efectve in the future. Even if this material weakness is remediated in the future, we could identfy additonal material weaknesses or defciencies in our internal control over fnancial reportng that could require correcton or</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9" w:name="page100"/>
    <w:bookmarkEnd w:id="9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remediaton. For example, we previously identfed a material weakness in our internal control over fnancial reportng as of December 31, 2022 relatng to our product return reserves that resulted in a revision of our fnancial statements for the years ended December 31, 2022, 2021 and 2020.</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our conclusion that we have a material weakness could give rise to increased scrutny, review, audit and investgaton over our accountng controls and procedures, which could then lead to additonal areas of defciency or errors in our fnancial statements.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will need to contnue to dedicate internal resources, engage outside consultants and maintain a detailed work plan to assess and document the adequacy of internal control over fnancial reportng, contnue steps to remediate the material weakness relatng to our accountng for inventory and inventory related transactons described above and any future control defciencies or material weaknesses, and improve control processes as appropriate, validate through testng that controls are functoning as documented and maintain a contnuous reportng and improvement process for internal control over fnancial reportng. If we are not able to correct material weaknesses or defciencies in internal controls in a tmely manner or otherwise comply with the requirements of Secton 404 in a tmely manner, our ability to record, process, summarize and report fnancial informaton accurately and within applicable tme periods may be adversely afected, and we could be subject to sanctons or investgatons by the Securites Exchange Commission, or the </w:t>
      </w:r>
      <w:r>
        <w:rPr>
          <w:rFonts w:ascii="Calibri" w:cs="Calibri" w:eastAsia="Calibri" w:hAnsi="Calibri"/>
          <w:sz w:val="18"/>
          <w:szCs w:val="18"/>
          <w:u w:val="single" w:color="auto"/>
          <w:color w:val="auto"/>
        </w:rPr>
        <w:t>SEC</w:t>
      </w:r>
      <w:r>
        <w:rPr>
          <w:rFonts w:ascii="Calibri" w:cs="Calibri" w:eastAsia="Calibri" w:hAnsi="Calibri"/>
          <w:sz w:val="18"/>
          <w:szCs w:val="18"/>
          <w:color w:val="auto"/>
        </w:rPr>
        <w:t>, the Nasdaq Stock Market or other regulatory authorites as well as stockholder litgaton which, even if resolved in our favor, would require additonal fnancial and management resources and could adversely afect the market price of our common stock. Any failure to maintain or implement required efectve internal control over fnancial reportng, or any difcultes we encounter in their implementaton, could result in additonal material weaknesses, cause us to fail to meet our reportng obligatons or result in material misstatements in our fnancial statements. Furthermore, if we cannot provide reliable fnancial reports or prevent fraud, our business and results of operatons could be harmed. Inferior internal controls could also cause investors to lose confdence in our reported fnancial informaton, which could have a negatve efect on the trading price of our common stock and could also afect our ability to raise capital to fund future business initatves.</w:t>
      </w:r>
    </w:p>
    <w:p>
      <w:pPr>
        <w:spacing w:after="0" w:line="12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Security breaches and unauthorized use of our informaton technology systems and informaton, or the informaton technology systems or informaton in the possession of our collaborators and other third partes, could damage the integrity of our clinical trials, impact our regulatory flings, compromise our ability to protect our intellectual property, and subject us to regulatory actons that could result in signifcant fnes or other penaltes.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our collaborators, contractors and other third partes rely signifcantly upon informaton technology, and any failure, inadequacy, interrupton or security lapse of that technology, including any cybersecurity incidents, could harm our ability to operate our business efectvely. In additon, we and our collaborators, contractors and other third partes rely on informaton technology networks and systems, including the Internet and artfcial intelligence based sofware, to process, transmit and store clinical trial data, patent informaton, and other electronic informaton, and manage or support a variety of business processes, including operatonal and fnancial transactons and records, personal identfying informaton, payroll data and workforce scheduling informaton. We purchase most of our informaton technology from vendors, on whom our systems depend. We rely on commercially available systems, sofware, tools and monitoring to provide security for the processing, transmission and storage of company and customer informaton.</w:t>
      </w:r>
    </w:p>
    <w:p>
      <w:pPr>
        <w:spacing w:after="0" w:line="114"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In the ordinary course of our business, we and our third party contractors maintain personal and other sensitve data on our and their respectve networks, including our intellectual property and proprietary or confdental business informaton relatng to our business and that of our clinical trial patents and business partners. In partcular, we rely on CROs and other third partes to store and manage informaton from our clinical trials. We also rely on third partes to manage patent informaton for Auryxia and Vafseo. Additonally, the use of artfcial intelligence based sofware is increasingly being used in the biopharmaceutcal industry. Use of artfcial intelligence based sofware may lead to the release of confdental proprietary informaton, which may impact our ability to realize the beneft of our intellectual property. The secure maintenance of this sensitve informaton is critcal to our business and reputaton.</w:t>
      </w:r>
    </w:p>
    <w:p>
      <w:pPr>
        <w:spacing w:after="0" w:line="10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Companies and other enttes and individuals have been increasingly subject to a wide variety of security incidents, cyber-atacks and other atempts to gain unauthorized access to systems and informaton. These threats can come from a variety of sources, ranging in sophistcaton from individual hackers to state-sponsored atacks. Atackers have used artfcial intelligence and machine learning to launch more automated, targeted and coordinated atacks against targets. Cyber threats may be broadly targeted, or they may be custom-crafed against our informaton systems or those of our vendors or third party service providers. A security breach, cyberatack or unauthorized access of our clinical data or other data could damage the integrity of our clinical trials, impact our regulatory flings, cause signifcant risk to our business, compromise our ability to protect our intellectual property, and subject us to regulatory actons, including under the GDPR and CCPA discussed elsewhere in these risk factors and the privacy or security rules under federal, state, or other local laws outside of the U.S. protectng confdental or personal informaton, that could be expensive to defend and could result in signifcant fnes or other penaltes. Cyberatacks can include malware, computer viruses, hacking, social engineering, zero day vulnerabilites or other unauthorized access or other signifcant compromise of our computer, communicatons and related systems. Although</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0" w:name="page101"/>
    <w:bookmarkEnd w:id="10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take steps to manage and avoid these risks and to be prepared to respond to atacks, our preventve and any remedial actons may not be successful and no such measures can eliminate the possibility of the systems’ improper functoning or the improper access or disclosure of confdental or personally identfable informaton such as in the event of cyberatacks. Security breaches, whether through physical or electronic break-ins, computer viruses, ransomware, impersonaton of authorized users, atacks by hackers or other means, can create system disruptons or shutdowns or the unauthorized disclosure of confdental informaton.</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Although we believe our collaborators, vendors and service providers, such as our CROs, take steps to manage and avoid informaton security risks and respond to atacks, we may be adversely afected by atacks against our collaborators, vendors or service providers, and we may not have adequate contractual remedies against such collaborators, vendors and service providers to remedy any harm to our business caused by such event. Additonally, outside partes may atempt to fraudulently induce employees, collaborators, or other contractors to disclose sensitve informaton or take other actons, including making fraudulent payments or downloading malware, by using “spoofng” and “phishing” emails or other types of atacks. Our employees may be targeted by such fraudulent actvites. Outside partes may also subject us to distributed denial of services atacks or introduce viruses or other malware through “trojan horse” programs to our users’ computers in order to gain access to our systems and the data stored therein. Cyber-atacks have become more prevalent and much harder to detect and defend against. Because the techniques used to obtain unauthorized access, disable or degrade service, or sabotage systems change frequently and contnuously become more sophistcated, including the use of artfcial intelligence to generate sophistcated spoofed emails and deep fake voice and video, ofen are not recognized untl launched against a target and may be difcult to detect for a long tme, we may be unable to antcipate these techniques or to implement adequate preventve or detectve measures, and we might not immediately detect such incidents and the damage caused by such incidents.</w:t>
      </w:r>
    </w:p>
    <w:p>
      <w:pPr>
        <w:spacing w:after="0" w:line="1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Such atacks, whether successful or unsuccessful, or other compromises with respect to our informaton security and the measures we implement to prevent, detect and respond to them, could:</w:t>
      </w:r>
    </w:p>
    <w:p>
      <w:pPr>
        <w:spacing w:after="0" w:line="110" w:lineRule="exact"/>
        <w:rPr>
          <w:sz w:val="20"/>
          <w:szCs w:val="20"/>
          <w:color w:val="auto"/>
        </w:rPr>
      </w:pPr>
    </w:p>
    <w:p>
      <w:pPr>
        <w:ind w:left="660" w:hanging="328"/>
        <w:spacing w:after="0" w:line="235" w:lineRule="auto"/>
        <w:tabs>
          <w:tab w:leader="none" w:pos="653"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result in our incurring signifcant costs related to, for example, rebuilding internal systems, defending against litgaton, responding to regulatory inquiries or actons, paying damages or fnes, or taking other remedial steps with respect to third partes;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lead to public exposure of personal informaton of partcipants in our clinical trials, Auryxia patents and others;</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damage the integrity of our studies or delay their completon, disrupt our development programs, our business operatons and commercializaton eforts;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compromise our ability to protect our trade secrets and proprietary informaton;</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damage our reputaton and deter business partners from working with us; or</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divert the atenton of our management and key informaton technology resources.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Any failure to maintain proper functonality and security of our internal computer and informaton systems could result in a loss of, or damage to, our data or marketng applicatons or inappropriate disclosure of confdental or proprietary informaton, interrupt our operatons, damage our reputaton, subject us to liability claims or regulatory penaltes, under a variety of federal, state or other applicable privacy laws, such as HIPAA, the GDPR, or state data protecton laws including the CCPA, harm our compettve positon and delay the further development and commercializaton of our products and product candidates, or impact our relatonships with customers and patents.</w:t>
      </w:r>
    </w:p>
    <w:p>
      <w:pPr>
        <w:spacing w:after="0" w:line="112" w:lineRule="exact"/>
        <w:rPr>
          <w:sz w:val="20"/>
          <w:szCs w:val="20"/>
          <w:color w:val="auto"/>
        </w:rPr>
      </w:pPr>
    </w:p>
    <w:p>
      <w:pPr>
        <w:jc w:val="both"/>
        <w:spacing w:after="0" w:line="237" w:lineRule="auto"/>
        <w:rPr>
          <w:sz w:val="20"/>
          <w:szCs w:val="20"/>
          <w:color w:val="auto"/>
        </w:rPr>
      </w:pPr>
      <w:r>
        <w:rPr>
          <w:rFonts w:ascii="Calibri" w:cs="Calibri" w:eastAsia="Calibri" w:hAnsi="Calibri"/>
          <w:sz w:val="18"/>
          <w:szCs w:val="18"/>
          <w:b w:val="1"/>
          <w:bCs w:val="1"/>
          <w:i w:val="1"/>
          <w:iCs w:val="1"/>
          <w:color w:val="auto"/>
        </w:rPr>
        <w:t xml:space="preserve">Our employees, independent contractors, principal investgators, CROs, CMOs, consultants and vendors may engage in misconduct or other improper actvites, including non-compliance with regulatory standards and requirements and insider trading. In additon, </w:t>
      </w:r>
      <w:r>
        <w:rPr>
          <w:rFonts w:ascii="Calibri" w:cs="Calibri" w:eastAsia="Calibri" w:hAnsi="Calibri"/>
          <w:sz w:val="21"/>
          <w:szCs w:val="21"/>
          <w:b w:val="1"/>
          <w:bCs w:val="1"/>
          <w:i w:val="1"/>
          <w:iCs w:val="1"/>
          <w:color w:val="auto"/>
        </w:rPr>
        <w:t>l</w:t>
      </w:r>
      <w:r>
        <w:rPr>
          <w:rFonts w:ascii="Calibri" w:cs="Calibri" w:eastAsia="Calibri" w:hAnsi="Calibri"/>
          <w:sz w:val="18"/>
          <w:szCs w:val="18"/>
          <w:b w:val="1"/>
          <w:bCs w:val="1"/>
          <w:i w:val="1"/>
          <w:iCs w:val="1"/>
          <w:color w:val="auto"/>
        </w:rPr>
        <w:t>aws and regulatons governing any internatonal operatons we have or may have in the future may require us to develop and implement costly compliance programs.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exposed to the risk that our employees, independent contractors, principal investgators, CROs, CMOs, consultants and vendors may engage in fraudulent conduct or other illegal actvity. Misconduct by these partes could include intentonal, reckless and/or negligent conduct or unauthorized actvites that violate applicable laws, including the following:</w:t>
      </w:r>
    </w:p>
    <w:p>
      <w:pPr>
        <w:spacing w:after="0" w:line="111" w:lineRule="exact"/>
        <w:rPr>
          <w:sz w:val="20"/>
          <w:szCs w:val="20"/>
          <w:color w:val="auto"/>
        </w:rPr>
      </w:pPr>
    </w:p>
    <w:p>
      <w:pPr>
        <w:ind w:left="660" w:hanging="328"/>
        <w:spacing w:after="0" w:line="235" w:lineRule="auto"/>
        <w:tabs>
          <w:tab w:leader="none" w:pos="653" w:val="left"/>
        </w:tabs>
        <w:numPr>
          <w:ilvl w:val="0"/>
          <w:numId w:val="54"/>
        </w:numPr>
        <w:rPr>
          <w:rFonts w:ascii="Calibri" w:cs="Calibri" w:eastAsia="Calibri" w:hAnsi="Calibri"/>
          <w:sz w:val="18"/>
          <w:szCs w:val="18"/>
          <w:color w:val="auto"/>
        </w:rPr>
      </w:pPr>
      <w:r>
        <w:rPr>
          <w:rFonts w:ascii="Calibri" w:cs="Calibri" w:eastAsia="Calibri" w:hAnsi="Calibri"/>
          <w:sz w:val="18"/>
          <w:szCs w:val="18"/>
          <w:color w:val="auto"/>
        </w:rPr>
        <w:t>FDA and other healthcare authorites’ regulatons, including those laws that require the reportng of true, complete and accurate informaton to regulatory authorites, and those prohibitng the promoton of unapproved drugs or approved drugs for an unapproved use;</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54"/>
        </w:numPr>
        <w:rPr>
          <w:rFonts w:ascii="Calibri" w:cs="Calibri" w:eastAsia="Calibri" w:hAnsi="Calibri"/>
          <w:sz w:val="18"/>
          <w:szCs w:val="18"/>
          <w:color w:val="auto"/>
        </w:rPr>
      </w:pPr>
      <w:r>
        <w:rPr>
          <w:rFonts w:ascii="Calibri" w:cs="Calibri" w:eastAsia="Calibri" w:hAnsi="Calibri"/>
          <w:sz w:val="18"/>
          <w:szCs w:val="18"/>
          <w:color w:val="auto"/>
        </w:rPr>
        <w:t>quality standards, including GxP;</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54"/>
        </w:numPr>
        <w:rPr>
          <w:rFonts w:ascii="Calibri" w:cs="Calibri" w:eastAsia="Calibri" w:hAnsi="Calibri"/>
          <w:sz w:val="18"/>
          <w:szCs w:val="18"/>
          <w:color w:val="auto"/>
        </w:rPr>
      </w:pPr>
      <w:r>
        <w:rPr>
          <w:rFonts w:ascii="Calibri" w:cs="Calibri" w:eastAsia="Calibri" w:hAnsi="Calibri"/>
          <w:sz w:val="18"/>
          <w:szCs w:val="18"/>
          <w:color w:val="auto"/>
        </w:rPr>
        <w:t>federal and state healthcare fraud and abuse laws and regulatons and their non-U.S. equivalents;</w:t>
      </w:r>
    </w:p>
    <w:p>
      <w:pPr>
        <w:spacing w:after="0" w:line="55" w:lineRule="exact"/>
        <w:rPr>
          <w:rFonts w:ascii="Calibri" w:cs="Calibri" w:eastAsia="Calibri" w:hAnsi="Calibri"/>
          <w:sz w:val="18"/>
          <w:szCs w:val="18"/>
          <w:color w:val="auto"/>
        </w:rPr>
      </w:pPr>
    </w:p>
    <w:p>
      <w:pPr>
        <w:ind w:left="660" w:right="20" w:hanging="328"/>
        <w:spacing w:after="0" w:line="235" w:lineRule="auto"/>
        <w:tabs>
          <w:tab w:leader="none" w:pos="653" w:val="left"/>
        </w:tabs>
        <w:numPr>
          <w:ilvl w:val="0"/>
          <w:numId w:val="54"/>
        </w:numPr>
        <w:rPr>
          <w:rFonts w:ascii="Calibri" w:cs="Calibri" w:eastAsia="Calibri" w:hAnsi="Calibri"/>
          <w:sz w:val="18"/>
          <w:szCs w:val="18"/>
          <w:color w:val="auto"/>
        </w:rPr>
      </w:pPr>
      <w:r>
        <w:rPr>
          <w:rFonts w:ascii="Calibri" w:cs="Calibri" w:eastAsia="Calibri" w:hAnsi="Calibri"/>
          <w:sz w:val="18"/>
          <w:szCs w:val="18"/>
          <w:color w:val="auto"/>
        </w:rPr>
        <w:t>ant-bribery and ant-corrupton laws, such as the FCPA and the UK Bribery Act or country-specifc ant-bribery or ant-corrupton laws, as well as various import and export laws and regulatons;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54"/>
        </w:numPr>
        <w:rPr>
          <w:rFonts w:ascii="Calibri" w:cs="Calibri" w:eastAsia="Calibri" w:hAnsi="Calibri"/>
          <w:sz w:val="18"/>
          <w:szCs w:val="18"/>
          <w:color w:val="auto"/>
        </w:rPr>
      </w:pPr>
      <w:r>
        <w:rPr>
          <w:rFonts w:ascii="Calibri" w:cs="Calibri" w:eastAsia="Calibri" w:hAnsi="Calibri"/>
          <w:sz w:val="18"/>
          <w:szCs w:val="18"/>
          <w:color w:val="auto"/>
        </w:rPr>
        <w:t>laws that require the reportng of true and accurate fnancial informaton and data; and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1" w:name="page102"/>
    <w:bookmarkEnd w:id="10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40" w:hanging="308"/>
        <w:spacing w:after="0"/>
        <w:tabs>
          <w:tab w:leader="none" w:pos="640" w:val="left"/>
        </w:tabs>
        <w:numPr>
          <w:ilvl w:val="0"/>
          <w:numId w:val="55"/>
        </w:numPr>
        <w:rPr>
          <w:rFonts w:ascii="Calibri" w:cs="Calibri" w:eastAsia="Calibri" w:hAnsi="Calibri"/>
          <w:sz w:val="18"/>
          <w:szCs w:val="18"/>
          <w:color w:val="auto"/>
        </w:rPr>
      </w:pPr>
      <w:r>
        <w:rPr>
          <w:rFonts w:ascii="Calibri" w:cs="Calibri" w:eastAsia="Calibri" w:hAnsi="Calibri"/>
          <w:sz w:val="18"/>
          <w:szCs w:val="18"/>
          <w:color w:val="auto"/>
        </w:rPr>
        <w:t>U.S. state and federal securites laws and regulatons and their non-U.S. equivalents, including those related to insider trading.</w:t>
      </w:r>
    </w:p>
    <w:p>
      <w:pPr>
        <w:spacing w:after="0" w:line="42" w:lineRule="exact"/>
        <w:rPr>
          <w:sz w:val="20"/>
          <w:szCs w:val="20"/>
          <w:color w:val="auto"/>
        </w:rPr>
      </w:pPr>
    </w:p>
    <w:p>
      <w:pPr>
        <w:jc w:val="both"/>
        <w:spacing w:after="0" w:line="223" w:lineRule="auto"/>
        <w:rPr>
          <w:sz w:val="20"/>
          <w:szCs w:val="20"/>
          <w:color w:val="auto"/>
        </w:rPr>
      </w:pPr>
      <w:r>
        <w:rPr>
          <w:rFonts w:ascii="Calibri" w:cs="Calibri" w:eastAsia="Calibri" w:hAnsi="Calibri"/>
          <w:sz w:val="18"/>
          <w:szCs w:val="18"/>
          <w:color w:val="auto"/>
        </w:rPr>
        <w:t>We conducted our global clinical trials for Vafseo, and may in the future conduct additonal trials, in countries where corrupton is prevalent, and violatons of any of these laws by our personnel or by any of our vendors or agents, such as our CROs or CMOs, could have a material adverse impact on our clinical trials and our business and could result in criminal or civil fnes and sanctons. We are subject to complex laws that govern our internatonal business practces. These laws include the FCPA, which prohibits U.S. companies and their intermediaries, such as CROs or CMOs, from making improper payments to foreign government ofcials for the purpose of obtaining or keeping business or obtaining any kind of advantage for the company. The FCPA also requires companies to keep accurate books and records and maintain adequate accountng controls. A number of past and recent FCPA investgatons by the Department of Justce and the SEC have focused on the life sciences sector.</w:t>
      </w:r>
    </w:p>
    <w:p>
      <w:pPr>
        <w:spacing w:after="0" w:line="9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Compliance with the FCPA is expensive and difcult, partcularly in countries in which corrupton is a recognized problem. Some of the countries in which we have conducted clinical trials and in which we have CMOs have a history of corrupton, which increases our risks of FCPA violatons. In additon, the FCPA presents unique challenges in the pharmaceutcal industry because in many countries’ hospitals are operated by the government, and doctors and other hospital employees are considered foreign government ofcials. Certain payments made by pharmaceutcal companies, or on their behalf by CROs, to hospitals in connecton with clinical trials and other work have been deemed to be improper payments to government ofcials and have led to FCPA enforcement actons.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Additonally, the UK Bribery Act applies to our global actvites and prohibits bribery of private individuals as well as public ofcials. The UK Bribery Act prohibits both the ofering and acceptng of a bribe and imposes strict liability on companies for failing to prevent bribery, unless the company can show that it had “adequate procedures” in place to prevent bribery. There are also local ant-bribery and ant-corrupton laws in countries where we have conducted clinical trials, and many of these also carry the risk of signifcant fnancial or criminal penaltes.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also subject to trade control regulatons and trade sancton laws that restrict the movement of certain goods, currency, products, materials, services and technology to, and certain operatons in, various countries or with certain persons. Our ability to transfer commercial and clinical product and other clinical trial supplies, and for our employees, independent contractors, principal investgators, CROs, CMOs, consultants and vendors ability to travel, between certain countries is subject to maintaining required licenses and complying with these laws and regulatons.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Employee misconduct could also involve the improper use of informaton obtained in the course of clinical trials, which could result in regulatory sanctons and serious harm to our reputaton. This could include violatons of HIPAA, other U.S. federal and state laws, and requirements of non-U.S. jurisdictons, including the GDPR. We are also exposed to risks in connecton with any insider trading violatons by employees or others afliated with us.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internal controls, policies and procedures, and training and compliance programs we have implemented to deter prohibited practces may not be efectve in preventng our employees, contractors, consultants, agents or other representatves from violatng or circumventng such internal policies or violatng applicable laws and regulatons. The failure to comply with laws governing internatonal business practces may impact any future clinical trials, result in substantal civil or criminal penaltes for us and any such individuals, including imprisonment, suspension or debarment from government contractng, withdrawal of our products, if approved, from the market, or being delisted from The Nasdaq Capital Market. In additon, we may incur signifcant costs in implementng sufcient systems, controls and processes to ensure compliance with the aforementoned laws. The laws and regulatons referenced above may restrict or prohibit a wide range of pricing, discountng, marketng and promoton, sales commission, customer incentve programs and other business arrangements that could adversely afect our business.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Additonally, it is not always possible to identfy and deter misconduct by employees and third partes, and the precautons we take to detect and prevent this actvity may not be efectve in controlling known or unknown risks or preventng losses or in protectng us from governmental investgatons or other actons or lawsuits stemming from a failure to be in compliance with such laws or regulatons. If any such actons are insttuted against us, and we are not successful in defending ourselves or assertng our rights, or if any such acton is insttuted against our employees, consultants, independent contractors, CROs, CMOs, vendors or principal investgators, those actons could have a signifcant impact on our business, including the impositon of civil, criminal and administratve penaltes, damages, monetary fnes, possible exclusion from partcipaton in Medicare, Medicaid and other federal healthcare programs, contractual damages, reputatonal harm, diminished profts and future earnings, curtailment of our operatons, disclosure of our confdental informaton and imprisonment, any of which could adversely afect our ability to operate our business and our results of operatons.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Our fnancial statements include long-lived assets, including goodwill as a result of the Merger. Other long-lived assets, including property and equipment, right-of-use assets or goodwill, could become impaired in the future under certain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2" w:name="page103"/>
    <w:bookmarkEnd w:id="10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conditons. Any potental future impairment of property and equipment, our right-of-use assets or goodwill may signifcantly impact our results of operatons and fnancial conditon.</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As of December 31, 2024, we had approximately $59.0 million in the aggregate of goodwill from the Merger, $2.2 million of property and equipment and $8.2 million right-of-use assets. In accordance with ASC 350, </w:t>
      </w:r>
      <w:r>
        <w:rPr>
          <w:rFonts w:ascii="Calibri" w:cs="Calibri" w:eastAsia="Calibri" w:hAnsi="Calibri"/>
          <w:sz w:val="18"/>
          <w:szCs w:val="18"/>
          <w:i w:val="1"/>
          <w:iCs w:val="1"/>
          <w:color w:val="auto"/>
        </w:rPr>
        <w:t>Goodwill and Other</w:t>
      </w:r>
      <w:r>
        <w:rPr>
          <w:rFonts w:ascii="Calibri" w:cs="Calibri" w:eastAsia="Calibri" w:hAnsi="Calibri"/>
          <w:sz w:val="18"/>
          <w:szCs w:val="18"/>
          <w:color w:val="auto"/>
        </w:rPr>
        <w:t xml:space="preserve">, we are required annually for goodwill, or more frequently upon certain indicators of impairment, to review our estmates and assumptons underlying the fair value of our goodwill. In additon, under ASC 360, </w:t>
      </w:r>
      <w:r>
        <w:rPr>
          <w:rFonts w:ascii="Calibri" w:cs="Calibri" w:eastAsia="Calibri" w:hAnsi="Calibri"/>
          <w:sz w:val="18"/>
          <w:szCs w:val="18"/>
          <w:i w:val="1"/>
          <w:iCs w:val="1"/>
          <w:color w:val="auto"/>
        </w:rPr>
        <w:t>Property, Plant and Equipment</w:t>
      </w:r>
      <w:r>
        <w:rPr>
          <w:rFonts w:ascii="Calibri" w:cs="Calibri" w:eastAsia="Calibri" w:hAnsi="Calibri"/>
          <w:sz w:val="18"/>
          <w:szCs w:val="18"/>
          <w:color w:val="auto"/>
        </w:rPr>
        <w:t>, we are required to review our property and equipment and right-of-use assets whenever events or changes in circumstances indicate that the carrying amount of an asset or asset group may not be recoverable. Events giving rise to impairment of long-lived assets are an inherent risk in the pharmaceutcal industry and ofen cannot be predicted.</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Conditons that could indicate impairment and necessitate such a review include, but are not limited to, Auryxia’s and Vafseo's commercial performance, our inability to execute on our strategic initatves, the deterioraton of our market capitalizaton such that it is signifcantly below our net book value, a signifcant adverse change in legal factors, unexpected adverse business conditons, and an adverse acton or assessment by a regulator. To the extent we conclude our long-lived assets have become impaired, we may be required to incur material write-ofs relatng to such impairment and any such write-ofs could have a material impact on our future operatng results and fnancial positon. The estmates, judgments and assumptons used in our impairment analyses, and the results of our analyses, are discussed in Note 2, </w:t>
      </w:r>
      <w:r>
        <w:rPr>
          <w:rFonts w:ascii="Calibri" w:cs="Calibri" w:eastAsia="Calibri" w:hAnsi="Calibri"/>
          <w:sz w:val="18"/>
          <w:szCs w:val="18"/>
          <w:i w:val="1"/>
          <w:iCs w:val="1"/>
          <w:color w:val="auto"/>
        </w:rPr>
        <w:t>Summary of Signifcant Accountng Policies</w:t>
      </w:r>
      <w:r>
        <w:rPr>
          <w:rFonts w:ascii="Calibri" w:cs="Calibri" w:eastAsia="Calibri" w:hAnsi="Calibri"/>
          <w:sz w:val="18"/>
          <w:szCs w:val="18"/>
          <w:color w:val="auto"/>
        </w:rPr>
        <w:t>, to our consolidated fnancial statements in Part II, Item 8. Financial Statements and Supplementary Data of this Form 10-K. If these estmates, judgments and assumptons change in the future, additonal impairment charges related to plant and equipment, right-of-use assets or goodwill could be recorded in the future and additonal corresponding adjustments may need to be made to the estmated useful life of the developed product rights for Auryxia, which could materially impact our fnancial positon, certain of our material agreements, and our future operatng results.</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If product liability lawsuits are brought against us, we may incur substantal liabilites and may be required to limit commercializaton of Auryxia or Vafseo.</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face an inherent risk of product liability as a result of the clinical and commercial use of Auryxia and Vafseo and our product candidates. For example, we may be sued if Auryxia, Vafseo or our product candidates allegedly causes injury or is found to be otherwise unsuitable during clinical trials, manufacturing, marketng or sale. Any such product liability claims may include allegatons of defects in manufacturing, defects in design, a failure to warn of dangers inherent in the product or product candidate, negligence, strict liability and breach of warrantes. Claims could also be asserted under state consumer protecton acts. If we cannot successfully defend ourselves against product liability claims, we may incur substantal liabilites or be required to limit commercializaton of Auryxia or Vafseo or afect the development of our product candidates. Even a successful defense would require signifcant fnancial and management resources. Regardless of the merits or eventual outcome, product liability claims may result in:</w:t>
      </w:r>
    </w:p>
    <w:p>
      <w:pPr>
        <w:spacing w:after="0" w:line="109" w:lineRule="exact"/>
        <w:rPr>
          <w:sz w:val="20"/>
          <w:szCs w:val="20"/>
          <w:color w:val="auto"/>
        </w:rPr>
      </w:pPr>
    </w:p>
    <w:p>
      <w:pPr>
        <w:ind w:left="640" w:hanging="308"/>
        <w:spacing w:after="0"/>
        <w:tabs>
          <w:tab w:leader="none" w:pos="640" w:val="left"/>
        </w:tabs>
        <w:numPr>
          <w:ilvl w:val="0"/>
          <w:numId w:val="56"/>
        </w:numPr>
        <w:rPr>
          <w:rFonts w:ascii="Calibri" w:cs="Calibri" w:eastAsia="Calibri" w:hAnsi="Calibri"/>
          <w:sz w:val="18"/>
          <w:szCs w:val="18"/>
          <w:color w:val="auto"/>
        </w:rPr>
      </w:pPr>
      <w:r>
        <w:rPr>
          <w:rFonts w:ascii="Calibri" w:cs="Calibri" w:eastAsia="Calibri" w:hAnsi="Calibri"/>
          <w:sz w:val="18"/>
          <w:szCs w:val="18"/>
          <w:color w:val="auto"/>
        </w:rPr>
        <w:t>decreased demand for Auryxia or Vafseo;</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56"/>
        </w:numPr>
        <w:rPr>
          <w:rFonts w:ascii="Calibri" w:cs="Calibri" w:eastAsia="Calibri" w:hAnsi="Calibri"/>
          <w:sz w:val="18"/>
          <w:szCs w:val="18"/>
          <w:color w:val="auto"/>
        </w:rPr>
      </w:pPr>
      <w:r>
        <w:rPr>
          <w:rFonts w:ascii="Calibri" w:cs="Calibri" w:eastAsia="Calibri" w:hAnsi="Calibri"/>
          <w:sz w:val="18"/>
          <w:szCs w:val="18"/>
          <w:color w:val="auto"/>
        </w:rPr>
        <w:t>injury to our reputaton and signifcant negatve media atenton;</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56"/>
        </w:numPr>
        <w:rPr>
          <w:rFonts w:ascii="Calibri" w:cs="Calibri" w:eastAsia="Calibri" w:hAnsi="Calibri"/>
          <w:sz w:val="18"/>
          <w:szCs w:val="18"/>
          <w:color w:val="auto"/>
        </w:rPr>
      </w:pPr>
      <w:r>
        <w:rPr>
          <w:rFonts w:ascii="Calibri" w:cs="Calibri" w:eastAsia="Calibri" w:hAnsi="Calibri"/>
          <w:sz w:val="18"/>
          <w:szCs w:val="18"/>
          <w:color w:val="auto"/>
        </w:rPr>
        <w:t>withdrawal of clinical trial partcipants;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56"/>
        </w:numPr>
        <w:rPr>
          <w:rFonts w:ascii="Calibri" w:cs="Calibri" w:eastAsia="Calibri" w:hAnsi="Calibri"/>
          <w:sz w:val="18"/>
          <w:szCs w:val="18"/>
          <w:color w:val="auto"/>
        </w:rPr>
      </w:pPr>
      <w:r>
        <w:rPr>
          <w:rFonts w:ascii="Calibri" w:cs="Calibri" w:eastAsia="Calibri" w:hAnsi="Calibri"/>
          <w:sz w:val="18"/>
          <w:szCs w:val="18"/>
          <w:color w:val="auto"/>
        </w:rPr>
        <w:t>delay or terminaton of clinical trials;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56"/>
        </w:numPr>
        <w:rPr>
          <w:rFonts w:ascii="Calibri" w:cs="Calibri" w:eastAsia="Calibri" w:hAnsi="Calibri"/>
          <w:sz w:val="18"/>
          <w:szCs w:val="18"/>
          <w:color w:val="auto"/>
        </w:rPr>
      </w:pPr>
      <w:r>
        <w:rPr>
          <w:rFonts w:ascii="Calibri" w:cs="Calibri" w:eastAsia="Calibri" w:hAnsi="Calibri"/>
          <w:sz w:val="18"/>
          <w:szCs w:val="18"/>
          <w:color w:val="auto"/>
        </w:rPr>
        <w:t>our inability to contnue to develop Auryxia, Vafseo or our product candidates;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56"/>
        </w:numPr>
        <w:rPr>
          <w:rFonts w:ascii="Calibri" w:cs="Calibri" w:eastAsia="Calibri" w:hAnsi="Calibri"/>
          <w:sz w:val="18"/>
          <w:szCs w:val="18"/>
          <w:color w:val="auto"/>
        </w:rPr>
      </w:pPr>
      <w:r>
        <w:rPr>
          <w:rFonts w:ascii="Calibri" w:cs="Calibri" w:eastAsia="Calibri" w:hAnsi="Calibri"/>
          <w:sz w:val="18"/>
          <w:szCs w:val="18"/>
          <w:color w:val="auto"/>
        </w:rPr>
        <w:t>signifcant costs to defend the related litgaton;</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56"/>
        </w:numPr>
        <w:rPr>
          <w:rFonts w:ascii="Calibri" w:cs="Calibri" w:eastAsia="Calibri" w:hAnsi="Calibri"/>
          <w:sz w:val="18"/>
          <w:szCs w:val="18"/>
          <w:color w:val="auto"/>
        </w:rPr>
      </w:pPr>
      <w:r>
        <w:rPr>
          <w:rFonts w:ascii="Calibri" w:cs="Calibri" w:eastAsia="Calibri" w:hAnsi="Calibri"/>
          <w:sz w:val="18"/>
          <w:szCs w:val="18"/>
          <w:color w:val="auto"/>
        </w:rPr>
        <w:t>a diversion of management’s tme and our resources;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56"/>
        </w:numPr>
        <w:rPr>
          <w:rFonts w:ascii="Calibri" w:cs="Calibri" w:eastAsia="Calibri" w:hAnsi="Calibri"/>
          <w:sz w:val="18"/>
          <w:szCs w:val="18"/>
          <w:color w:val="auto"/>
        </w:rPr>
      </w:pPr>
      <w:r>
        <w:rPr>
          <w:rFonts w:ascii="Calibri" w:cs="Calibri" w:eastAsia="Calibri" w:hAnsi="Calibri"/>
          <w:sz w:val="18"/>
          <w:szCs w:val="18"/>
          <w:color w:val="auto"/>
        </w:rPr>
        <w:t>substantal monetary awards to study subjects or patents;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56"/>
        </w:numPr>
        <w:rPr>
          <w:rFonts w:ascii="Calibri" w:cs="Calibri" w:eastAsia="Calibri" w:hAnsi="Calibri"/>
          <w:sz w:val="18"/>
          <w:szCs w:val="18"/>
          <w:color w:val="auto"/>
        </w:rPr>
      </w:pPr>
      <w:r>
        <w:rPr>
          <w:rFonts w:ascii="Calibri" w:cs="Calibri" w:eastAsia="Calibri" w:hAnsi="Calibri"/>
          <w:sz w:val="18"/>
          <w:szCs w:val="18"/>
          <w:color w:val="auto"/>
        </w:rPr>
        <w:t>product recalls or withdrawals, or labeling, marketng or promotonal restrictons;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56"/>
        </w:numPr>
        <w:rPr>
          <w:rFonts w:ascii="Calibri" w:cs="Calibri" w:eastAsia="Calibri" w:hAnsi="Calibri"/>
          <w:sz w:val="18"/>
          <w:szCs w:val="18"/>
          <w:color w:val="auto"/>
        </w:rPr>
      </w:pPr>
      <w:r>
        <w:rPr>
          <w:rFonts w:ascii="Calibri" w:cs="Calibri" w:eastAsia="Calibri" w:hAnsi="Calibri"/>
          <w:sz w:val="18"/>
          <w:szCs w:val="18"/>
          <w:color w:val="auto"/>
        </w:rPr>
        <w:t>decreased demand for Auryxia or Vafseo;</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56"/>
        </w:numPr>
        <w:rPr>
          <w:rFonts w:ascii="Calibri" w:cs="Calibri" w:eastAsia="Calibri" w:hAnsi="Calibri"/>
          <w:sz w:val="18"/>
          <w:szCs w:val="18"/>
          <w:color w:val="auto"/>
        </w:rPr>
      </w:pPr>
      <w:r>
        <w:rPr>
          <w:rFonts w:ascii="Calibri" w:cs="Calibri" w:eastAsia="Calibri" w:hAnsi="Calibri"/>
          <w:sz w:val="18"/>
          <w:szCs w:val="18"/>
          <w:color w:val="auto"/>
        </w:rPr>
        <w:t>loss of revenue;</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56"/>
        </w:numPr>
        <w:rPr>
          <w:rFonts w:ascii="Calibri" w:cs="Calibri" w:eastAsia="Calibri" w:hAnsi="Calibri"/>
          <w:sz w:val="18"/>
          <w:szCs w:val="18"/>
          <w:color w:val="auto"/>
        </w:rPr>
      </w:pPr>
      <w:r>
        <w:rPr>
          <w:rFonts w:ascii="Calibri" w:cs="Calibri" w:eastAsia="Calibri" w:hAnsi="Calibri"/>
          <w:sz w:val="18"/>
          <w:szCs w:val="18"/>
          <w:color w:val="auto"/>
        </w:rPr>
        <w:t>the inability to commercialize Auryxia or Vafseo; and</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56"/>
        </w:numPr>
        <w:rPr>
          <w:rFonts w:ascii="Calibri" w:cs="Calibri" w:eastAsia="Calibri" w:hAnsi="Calibri"/>
          <w:sz w:val="18"/>
          <w:szCs w:val="18"/>
          <w:color w:val="auto"/>
        </w:rPr>
      </w:pPr>
      <w:r>
        <w:rPr>
          <w:rFonts w:ascii="Calibri" w:cs="Calibri" w:eastAsia="Calibri" w:hAnsi="Calibri"/>
          <w:sz w:val="18"/>
          <w:szCs w:val="18"/>
          <w:color w:val="auto"/>
        </w:rPr>
        <w:t>a decline in our stock price.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Failure to obtain and retain sufcient product liability insurance at an acceptable cost to protect against potental product liability claims could prevent or inhibit the commercializaton of products we develop. We currently carry product liability insurance that we believe is appropriate for our Company. Although we maintain product liability insurance, any claim that may be brought against us could result in a court judgment or setlement in an amount that is not covered, in whole or in part, by our insurance or that is in excess of the limits of our insurance coverage. Our insurance policies also have various exclusions, and we may be subject to a product liability claim for which we have insufcient or no coverage. If we have to pay any amounts awarded by a court or negotated in a setlement that exceed our coverage limitatons or that are not covered by our insurance, we may not have, or be able to obtain, sufcient capital to pay such amounts. In additon, insurance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Akebia Therapeutcs, Inc. | Form 10-K | Page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3" w:name="page104"/>
    <w:bookmarkEnd w:id="10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coverage is becoming increasingly expensive, and we may not be able to maintain insurance coverage at a reasonable cost. We also may not be able to obtain additonal insurance coverage that will be adequate to cover additonal product liability risks that may arise. Consequently, a product liability claim may result in losses that could be material to our business.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We will contnue to incur increased costs as a result of operatng as a public company, and our management will be required to devote substantal tme to compliance initatves and corporate governance practces.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As a public company, we operate in a demanding regulatory environment, and we have and will contnue to incur signifcant legal, accountng, auditng, directors and ofcers insurance and other expenses. The Sarbanes-Oxley Act of 2002, or the </w:t>
      </w:r>
      <w:r>
        <w:rPr>
          <w:rFonts w:ascii="Calibri" w:cs="Calibri" w:eastAsia="Calibri" w:hAnsi="Calibri"/>
          <w:sz w:val="18"/>
          <w:szCs w:val="18"/>
          <w:u w:val="single" w:color="auto"/>
          <w:color w:val="auto"/>
        </w:rPr>
        <w:t>Sarbanes-Oxley Act</w:t>
      </w:r>
      <w:r>
        <w:rPr>
          <w:rFonts w:ascii="Calibri" w:cs="Calibri" w:eastAsia="Calibri" w:hAnsi="Calibri"/>
          <w:sz w:val="18"/>
          <w:szCs w:val="18"/>
          <w:color w:val="auto"/>
        </w:rPr>
        <w:t>, the Dodd-Frank Wall Street Reform and Consumer Protecton Act, the listng requirements of The Nasdaq Capital Market and other applicable securites rules and regulatons impose various requirements on public companies, including establishment and maintenance of efectve disclosure and fnancial controls and certain corporate governance practces. In partcular, our compliance with Secton 404 of the Sarbanes-Oxley Act has required and will contnue to require that we incur substantal accountng-related expenses and expend signifcant management eforts. Our testng, or the testng by our independent registered public accountng frm, may reveal defciencies in our internal controls that we would be required to remediate in a tmely manner. If we are not able to comply with the requirements of the Sarbanes-Oxley Act, we could be subject to sanctons or investgatons by the SEC, the Nasdaq Capital Market or other regulatory authorites, which would require additonal fnancial and management resources and could adversely afect the market price of our securites. Furthermore, if we cannot provide reliable fnancial reports or prevent fraud, including as a result of remote working by our employees, our business and results of operatons would likely be materially and adversely afected.</w:t>
      </w:r>
    </w:p>
    <w:p>
      <w:pPr>
        <w:spacing w:after="0" w:line="1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cannot predict or estmate the amount of additonal costs we may incur to contnue to operate as a public company, nor can we predict the tming of such costs. These rules and regulatons are ofen subject to varying interpretatons, in many cases due to their lack of specifcity and, as a result, their applicaton in practce may evolve over tme as new guidance is provided by regulatory and governing bodies, which could result in contnuing uncertainty regarding compliance maters and higher costs necessitated by ongoing revisions to disclosure and governance practces.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Claims for indemnifcaton by our directors and ofcers may reduce our available funds to satsfy successful third-party claims against us and may reduce the amount of money available to us</w:t>
      </w:r>
      <w:r>
        <w:rPr>
          <w:rFonts w:ascii="Calibri" w:cs="Calibri" w:eastAsia="Calibri" w:hAnsi="Calibri"/>
          <w:sz w:val="21"/>
          <w:szCs w:val="21"/>
          <w:b w:val="1"/>
          <w:bCs w:val="1"/>
          <w:i w:val="1"/>
          <w:iCs w:val="1"/>
          <w:color w:val="auto"/>
        </w:rPr>
        <w:t>.</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Our Ninth Amended and Restated Certfcate of Incorporaton, as amended, or </w:t>
      </w:r>
      <w:r>
        <w:rPr>
          <w:rFonts w:ascii="Calibri" w:cs="Calibri" w:eastAsia="Calibri" w:hAnsi="Calibri"/>
          <w:sz w:val="18"/>
          <w:szCs w:val="18"/>
          <w:u w:val="single" w:color="auto"/>
          <w:color w:val="auto"/>
        </w:rPr>
        <w:t>Charter,</w:t>
      </w:r>
      <w:r>
        <w:rPr>
          <w:rFonts w:ascii="Calibri" w:cs="Calibri" w:eastAsia="Calibri" w:hAnsi="Calibri"/>
          <w:sz w:val="18"/>
          <w:szCs w:val="18"/>
          <w:color w:val="auto"/>
        </w:rPr>
        <w:t xml:space="preserve"> and our Second Amended and Restated Bylaws, or </w:t>
      </w:r>
      <w:r>
        <w:rPr>
          <w:rFonts w:ascii="Calibri" w:cs="Calibri" w:eastAsia="Calibri" w:hAnsi="Calibri"/>
          <w:sz w:val="18"/>
          <w:szCs w:val="18"/>
          <w:u w:val="single" w:color="auto"/>
          <w:color w:val="auto"/>
        </w:rPr>
        <w:t>Bylaws</w:t>
      </w:r>
      <w:r>
        <w:rPr>
          <w:rFonts w:ascii="Calibri" w:cs="Calibri" w:eastAsia="Calibri" w:hAnsi="Calibri"/>
          <w:sz w:val="18"/>
          <w:szCs w:val="18"/>
          <w:color w:val="auto"/>
        </w:rPr>
        <w:t xml:space="preserve">, as amended to date, contain provisions that eliminate, to the maximum extent permited by the General Corporaton Law of the State of Delaware, or </w:t>
      </w:r>
      <w:r>
        <w:rPr>
          <w:rFonts w:ascii="Calibri" w:cs="Calibri" w:eastAsia="Calibri" w:hAnsi="Calibri"/>
          <w:sz w:val="18"/>
          <w:szCs w:val="18"/>
          <w:u w:val="single" w:color="auto"/>
          <w:color w:val="auto"/>
        </w:rPr>
        <w:t>DGCL</w:t>
      </w:r>
      <w:r>
        <w:rPr>
          <w:rFonts w:ascii="Calibri" w:cs="Calibri" w:eastAsia="Calibri" w:hAnsi="Calibri"/>
          <w:sz w:val="18"/>
          <w:szCs w:val="18"/>
          <w:color w:val="auto"/>
        </w:rPr>
        <w:t>, the personal liability of our directors and executve ofcers for monetary damages for breach of their fduciary dutes as a director or ofcer. Our Charter and our Bylaws also provide that we will indemnify our directors and executve ofcers and may indemnify our employees and other agents to the fullest extent permited by the DGCL.</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as permited by Secton 145 of the DGCL our Bylaws and our indemnifcaton agreements that we have entered into with our directors and executve ofcers provide that:</w:t>
      </w:r>
    </w:p>
    <w:p>
      <w:pPr>
        <w:spacing w:after="0" w:line="110" w:lineRule="exact"/>
        <w:rPr>
          <w:sz w:val="20"/>
          <w:szCs w:val="20"/>
          <w:color w:val="auto"/>
        </w:rPr>
      </w:pPr>
    </w:p>
    <w:p>
      <w:pPr>
        <w:jc w:val="both"/>
        <w:ind w:left="660" w:hanging="328"/>
        <w:spacing w:after="0" w:line="235" w:lineRule="auto"/>
        <w:tabs>
          <w:tab w:leader="none" w:pos="653" w:val="left"/>
        </w:tabs>
        <w:numPr>
          <w:ilvl w:val="0"/>
          <w:numId w:val="57"/>
        </w:numPr>
        <w:rPr>
          <w:rFonts w:ascii="Calibri" w:cs="Calibri" w:eastAsia="Calibri" w:hAnsi="Calibri"/>
          <w:sz w:val="18"/>
          <w:szCs w:val="18"/>
          <w:color w:val="auto"/>
        </w:rPr>
      </w:pPr>
      <w:r>
        <w:rPr>
          <w:rFonts w:ascii="Calibri" w:cs="Calibri" w:eastAsia="Calibri" w:hAnsi="Calibri"/>
          <w:sz w:val="18"/>
          <w:szCs w:val="18"/>
          <w:color w:val="auto"/>
        </w:rPr>
        <w:t>We will indemnify our directors and ofcers, as defned in our Bylaws, for serving us in those capacites or for serving other related business enterprises at our request, to the fullest extent permited by Delaware law. Delaware law provides that a corporaton may indemnify such person if such person acted in good faith and in a manner such person reasonably believed to be in or not opposed to the best interests of Akebia and, with respect to any criminal proceeding, had no reasonable cause to believe such person’s conduct was unlawful.</w:t>
      </w:r>
    </w:p>
    <w:p>
      <w:pPr>
        <w:spacing w:after="0" w:line="52" w:lineRule="exact"/>
        <w:rPr>
          <w:rFonts w:ascii="Calibri" w:cs="Calibri" w:eastAsia="Calibri" w:hAnsi="Calibri"/>
          <w:sz w:val="18"/>
          <w:szCs w:val="18"/>
          <w:color w:val="auto"/>
        </w:rPr>
      </w:pPr>
    </w:p>
    <w:p>
      <w:pPr>
        <w:ind w:left="640" w:hanging="308"/>
        <w:spacing w:after="0"/>
        <w:tabs>
          <w:tab w:leader="none" w:pos="640" w:val="left"/>
        </w:tabs>
        <w:numPr>
          <w:ilvl w:val="0"/>
          <w:numId w:val="57"/>
        </w:numPr>
        <w:rPr>
          <w:rFonts w:ascii="Calibri" w:cs="Calibri" w:eastAsia="Calibri" w:hAnsi="Calibri"/>
          <w:sz w:val="18"/>
          <w:szCs w:val="18"/>
          <w:color w:val="auto"/>
        </w:rPr>
      </w:pPr>
      <w:r>
        <w:rPr>
          <w:rFonts w:ascii="Calibri" w:cs="Calibri" w:eastAsia="Calibri" w:hAnsi="Calibri"/>
          <w:sz w:val="18"/>
          <w:szCs w:val="18"/>
          <w:color w:val="auto"/>
        </w:rPr>
        <w:t>We may, in our discreton, indemnify employees and agents in those circumstances where indemnifcaton is permited by applicable law.</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57"/>
        </w:numPr>
        <w:rPr>
          <w:rFonts w:ascii="Calibri" w:cs="Calibri" w:eastAsia="Calibri" w:hAnsi="Calibri"/>
          <w:sz w:val="18"/>
          <w:szCs w:val="18"/>
          <w:color w:val="auto"/>
        </w:rPr>
      </w:pPr>
      <w:r>
        <w:rPr>
          <w:rFonts w:ascii="Calibri" w:cs="Calibri" w:eastAsia="Calibri" w:hAnsi="Calibri"/>
          <w:sz w:val="18"/>
          <w:szCs w:val="18"/>
          <w:color w:val="auto"/>
        </w:rPr>
        <w:t>We are required to advance expenses, as incurred, to our directors and ofcers in connecton with defending a proceeding, except that such directors or ofcers shall undertake to repay such advances if it is ultmately determined that such person is not enttled to indemnifcaton.</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57"/>
        </w:numPr>
        <w:rPr>
          <w:rFonts w:ascii="Calibri" w:cs="Calibri" w:eastAsia="Calibri" w:hAnsi="Calibri"/>
          <w:sz w:val="18"/>
          <w:szCs w:val="18"/>
          <w:color w:val="auto"/>
        </w:rPr>
      </w:pPr>
      <w:r>
        <w:rPr>
          <w:rFonts w:ascii="Calibri" w:cs="Calibri" w:eastAsia="Calibri" w:hAnsi="Calibri"/>
          <w:sz w:val="18"/>
          <w:szCs w:val="18"/>
          <w:color w:val="auto"/>
        </w:rPr>
        <w:t>The rights conferred in our Bylaws are not exclusive, and we are authorized to enter into indemnifcaton agreements with our directors, ofcers, employees and agents and to obtain insurance to indemnify such persons.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Any claims for indemnifcaton made by our directors or ofcers could impact our cash resources and our ability to fund the business.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Our ability to use net operatng losses to ofset future taxable income may be subject to certain limitatons.</w:t>
      </w:r>
    </w:p>
    <w:p>
      <w:pPr>
        <w:spacing w:after="0" w:line="109"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 xml:space="preserve">Under Secton 382 of the Internal Revenue Code, or Secton 382, a corporaton that undergoes an “ownership change” is subject to limitatons on its ability to utlize its pre-change net operatng losses, or </w:t>
      </w:r>
      <w:r>
        <w:rPr>
          <w:rFonts w:ascii="Calibri" w:cs="Calibri" w:eastAsia="Calibri" w:hAnsi="Calibri"/>
          <w:sz w:val="17"/>
          <w:szCs w:val="17"/>
          <w:u w:val="single" w:color="auto"/>
          <w:color w:val="auto"/>
        </w:rPr>
        <w:t>NOLs</w:t>
      </w:r>
      <w:r>
        <w:rPr>
          <w:rFonts w:ascii="Calibri" w:cs="Calibri" w:eastAsia="Calibri" w:hAnsi="Calibri"/>
          <w:sz w:val="17"/>
          <w:szCs w:val="17"/>
          <w:color w:val="auto"/>
        </w:rPr>
        <w:t>, to ofset future taxable income. On December 12, 2018, we completed the Merger, which we believe has resulted in an ownership change under Secton 382. In additon, the Tax Cuts and Jobs Act, including amendments made by the CARES Act, includes changes to U.S. federal tax rates and the rules governing net operatng loss carryforwards that may signifcantly impact our ability to utlize our net operatng</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Akebia Therapeutcs, Inc. | Form 10-K | Page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4" w:name="page105"/>
    <w:bookmarkEnd w:id="10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losses to fully ofset taxable income in the future. Future changes in our stock ownership, many of which are outside of our control, could result in an additonal ownership change under Secton 382. As a result, if we generate taxable income, our ability to use our pre-change NOL carryforwards to ofset federal taxable income may be subject to limitatons, which could potentally result in increased future tax liability to us. At the state level, state net operatng losses generated in one state cannot be used to ofset income generated in another state and there may be periods during which the use of NOL carryforwards is suspended or otherwise limited, which could accelerate or permanently increase state taxes owed.</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Furthermore, our ability to utlize our NOLs is conditoned upon our ataining proftability and generatng U.S. taxable income. As described above under “— Risks Related to our Financial Positon, Need for Additonal Capital and Growth Strategy,” we have incurred signifcant net losses since our incepton and antcipate that we will contnue to incur losses for the foreseeable future; thus, we do not know whether or when we will generate the U.S. taxable income necessary to utlize our NOLs.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Our Charter designates the Court of Chancery of the State of Delaware as the sole and exclusive forum for certain types of actons and proceedings that may be initated by our stockholders, which could limit our stockholders’ ability to obtain a favorable judicial forum for disputes with us or our directors, ofcers or employees.</w:t>
      </w:r>
    </w:p>
    <w:p>
      <w:pPr>
        <w:spacing w:after="0" w:line="111" w:lineRule="exact"/>
        <w:rPr>
          <w:sz w:val="20"/>
          <w:szCs w:val="20"/>
          <w:color w:val="auto"/>
        </w:rPr>
      </w:pPr>
    </w:p>
    <w:p>
      <w:pPr>
        <w:jc w:val="both"/>
        <w:spacing w:after="0" w:line="239" w:lineRule="auto"/>
        <w:rPr>
          <w:sz w:val="20"/>
          <w:szCs w:val="20"/>
          <w:color w:val="auto"/>
        </w:rPr>
      </w:pPr>
      <w:r>
        <w:rPr>
          <w:rFonts w:ascii="Calibri" w:cs="Calibri" w:eastAsia="Calibri" w:hAnsi="Calibri"/>
          <w:sz w:val="18"/>
          <w:szCs w:val="18"/>
          <w:color w:val="auto"/>
        </w:rPr>
        <w:t>Our Charter provides that, subject to limited exceptons, the Court of Chancery of the State of Delaware will be the sole and exclusive forum for (i) any derivatve acton or proceeding brought on our behalf, (ii) any acton assertng a claim of breach of a fduciary duty owed by any of our directors, ofcers or other employees to us or our stockholders, (iii) any acton assertng a claim against us arising pursuant to any provision of the DGCL our Charter or our Bylaws, or (iv) any other acton assertng a claim against us, our directors, ofcers or other employees that is governed by the internal afairs doctrine. Under our Charter, this exclusive forum provision will not apply to claims that are vested in the exclusive jurisdicton of a court or forum other than the Court of Chancery of the State of Delaware, or for which the Court of Chancery of the State of Delaware does not have subject mater jurisdicton. For instance, the provision would not apply to actons arising under federal securites laws, including suits brought to enforce any liability or duty created by the Exchange Act, or the rules and regulatons thereunder. Any person or entty purchasing or otherwise acquiring any interest in shares of our capital stock shall be deemed to have notce of and to have consented to the provisions of our Charter described above. This choice of forum provision may limit a stockholder’s ability to bring a claim in a judicial forum that it fnds favorable for disputes with us or our directors, ofcers or other employees, which may discourage such lawsuits against us and our directors, ofcers and employees. Alternatvely, if a court were to fnd these provisions of our Charter inapplicable to, or unenforceable with respect to, one or more of the specifed types of actons or proceedings, we may incur additonal costs associated with resolving such maters in other jurisdictons, which could adversely afect our business and fnancial conditon.</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Risks Related to our Common Stock</w:t>
      </w:r>
    </w:p>
    <w:p>
      <w:pPr>
        <w:spacing w:after="0" w:line="10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b w:val="1"/>
          <w:bCs w:val="1"/>
          <w:i w:val="1"/>
          <w:iCs w:val="1"/>
          <w:color w:val="auto"/>
        </w:rPr>
        <w:t>Our stock price has been and may contnue to be volatle, which could result in substantal losses for holders or future purchasers of our common stock and lawsuits against us and our ofcers and directors and could result in substantal costs and divert management's atenton.</w:t>
      </w:r>
    </w:p>
    <w:p>
      <w:pPr>
        <w:spacing w:after="0" w:line="110"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Our stock price has been and will likely contnue to be volatle. The stock market in general and the market for similarly situated biopharmaceutcal companies specifcally have experienced extreme volatlity that has ofen been unrelated to the operatng performance of partcular companies, such as rising infaton and increasing interest rates. Since our inital public ofering in March 2014, the price of our common stock as reported on The Nasdaq Stock Market has ranged from a low of $0.24 on October 24, 2022 to a high of $31.00 on June 20, 2014. The daily closing market price for our common stock varied between a high price of $2.24 on March 27, 2024 and a low price of $0.86 on June 25, 2024 in the twelve-month period ending on December 31, 2024. During that tme, the price of our common stock ranged from an intra-day low of $0.80 per share to an intra-day high of $2.48 per share. The market price of shares of our common stock could be subject to wide fuctuatons in response to many risk factors listed in this secton, including, among others, developments related to and results of our research or clinical trials, developments related to our regulatory submissions and meetngs with regulatory authorites, commercializaton of Auryxia, Vafseo, and any other product candidates, announcements by us or our compettors of signifcant transactons or strategic collaboratons, negatve publicity around Auryxia or Vafseo, regulatory or legal developments in the U.S. and other countries, developments or disputes concerning our intellectual property, the recruitment or departure of key personnel, actual or antcipated changes in estmates as to fnancial results, changes in the structure of healthcare payment systems, market conditons in the biopharmaceutcal sector, potental delistng from The Nasdaq Stock Market and other factors beyond our control. As a result of this volatlity, our stockholders may not be able to sell their common stock at or above the price at which they purchased it.</w:t>
      </w:r>
    </w:p>
    <w:p>
      <w:pPr>
        <w:spacing w:after="0" w:line="1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securites class actons, shareholder derivatve lawsuits and other legal proceedings are ofen brought against companies for any of the risks described in this Form 10-K following a decline or volatlity in the market price of their securites. We could be the target of such litgaton or other legal proceedings in the future. Class actons, shareholder derivatve lawsuits and other legal proceedings, whether successful or not, could result in substantal costs, damage or setlement awards and such costs and any related setlements or judgments may not be covered by insurance. Monetary</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5" w:name="page106"/>
    <w:bookmarkEnd w:id="10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damages or any other adverse judgment would have a material adverse efect on our business and fnancial positon. In additon, if other resoluton or actons taken as a result of legal proceedings were to restrain our ability to operate or market our products and services, our consolidated fnancial positon, results of operatons or cash fows could be materially adversely afected. We could also sufer an adverse impact on our reputaton, negatve publicity and a diversion of management’s atenton and resources, which could have a material adverse efect on our business.</w:t>
      </w:r>
    </w:p>
    <w:p>
      <w:pPr>
        <w:spacing w:after="0" w:line="246" w:lineRule="exact"/>
        <w:rPr>
          <w:sz w:val="20"/>
          <w:szCs w:val="20"/>
          <w:color w:val="auto"/>
        </w:rPr>
      </w:pPr>
    </w:p>
    <w:p>
      <w:pPr>
        <w:ind w:right="400"/>
        <w:spacing w:after="0" w:line="235" w:lineRule="auto"/>
        <w:rPr>
          <w:sz w:val="20"/>
          <w:szCs w:val="20"/>
          <w:color w:val="auto"/>
        </w:rPr>
      </w:pPr>
      <w:r>
        <w:rPr>
          <w:rFonts w:ascii="Calibri" w:cs="Calibri" w:eastAsia="Calibri" w:hAnsi="Calibri"/>
          <w:sz w:val="18"/>
          <w:szCs w:val="18"/>
          <w:b w:val="1"/>
          <w:bCs w:val="1"/>
          <w:i w:val="1"/>
          <w:iCs w:val="1"/>
          <w:color w:val="auto"/>
        </w:rPr>
        <w:t>If we fail to comply with the contnued listng requirements of Nasdaq, our common stock may be delisted and the price of our common stock and our ability to access the capital markets could be negatvely impacted.</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must satsfy Nasdaq’s contnued listng requirements, including, among other things, a minimum closing bid price of $1.00 per share and tmely fling of all periodic fnancial reports, or risk delistng, which would have a material adverse efect on our business. If we fail to maintain compliance with Nasdaq's contnued listng requirements, it could afect our ability to raise capital on acceptable terms, or at all. In the event we are delisted from Nasdaq, the only established trading market for our common stock would be eliminated, and we would be forced to list our shares on the OTC Markets or another quotaton medium, depending on our ability to meet the specifc listng requirements of those quotaton systems. As a result, an investor would likely fnd it more difcult to trade or obtain accurate price quotatons for our shares. Delistng would likely also reduce the visibility, liquidity, and value of our common stock, reduce insttutonal investor interest in our Company, and may increase the volatlity of our common stock. Delistng could also cause a loss of confdence of potental industry partners, lenders, and employees, which could further harm our business and our future prospects.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The issuance of additonal shares of our common stock or the sale of shares of our common stock by any of our directors, ofcers or signifcant stockholders will dilute our stockholders’ ownership interest in Akebia and may cause the market price of our common stock to decline.</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Most of our outstanding common stock can be traded without restricton at any tme. As such, sales of a substantal number of shares of our common stock in the public market could occur at any tme. These sales, or the percepton in the market that the holders of a large number of shares intend to sell such shares, could reduce the market price of our common stock.</w:t>
      </w:r>
    </w:p>
    <w:p>
      <w:pPr>
        <w:spacing w:after="0" w:line="111" w:lineRule="exact"/>
        <w:rPr>
          <w:sz w:val="20"/>
          <w:szCs w:val="20"/>
          <w:color w:val="auto"/>
        </w:rPr>
      </w:pPr>
    </w:p>
    <w:p>
      <w:pPr>
        <w:jc w:val="both"/>
        <w:spacing w:after="0" w:line="249" w:lineRule="auto"/>
        <w:rPr>
          <w:sz w:val="20"/>
          <w:szCs w:val="20"/>
          <w:color w:val="auto"/>
        </w:rPr>
      </w:pPr>
      <w:r>
        <w:rPr>
          <w:rFonts w:ascii="Calibri" w:cs="Calibri" w:eastAsia="Calibri" w:hAnsi="Calibri"/>
          <w:sz w:val="17"/>
          <w:szCs w:val="17"/>
          <w:color w:val="auto"/>
        </w:rPr>
        <w:t>As of December 31, 2024 and based on the amounts reported in the most recent fling made by BlackRock under Secton 13(g) of the Exchange Act, BlackRock benefcially owned approximately 6.2% of our outstanding shares of common stock. By selling a large number of shares of common stock, BlackRock could cause the price of our common stock to decline. In additon, as of December 31, 2024, CSL Vifor benefcially owned 7,571,429 shares of common stock, which have not been registered pursuant to the Securites Act and were issued and sold in reliance upon the exempton from registraton contained in Secton 4(a)</w:t>
      </w:r>
    </w:p>
    <w:p>
      <w:pPr>
        <w:spacing w:after="0" w:line="3" w:lineRule="exact"/>
        <w:rPr>
          <w:sz w:val="20"/>
          <w:szCs w:val="20"/>
          <w:color w:val="auto"/>
        </w:rPr>
      </w:pPr>
    </w:p>
    <w:p>
      <w:pPr>
        <w:ind w:right="20" w:firstLine="8"/>
        <w:spacing w:after="0" w:line="235" w:lineRule="auto"/>
        <w:tabs>
          <w:tab w:leader="none" w:pos="245" w:val="left"/>
        </w:tabs>
        <w:numPr>
          <w:ilvl w:val="0"/>
          <w:numId w:val="58"/>
        </w:numPr>
        <w:rPr>
          <w:rFonts w:ascii="Calibri" w:cs="Calibri" w:eastAsia="Calibri" w:hAnsi="Calibri"/>
          <w:sz w:val="18"/>
          <w:szCs w:val="18"/>
          <w:color w:val="auto"/>
        </w:rPr>
      </w:pPr>
      <w:r>
        <w:rPr>
          <w:rFonts w:ascii="Calibri" w:cs="Calibri" w:eastAsia="Calibri" w:hAnsi="Calibri"/>
          <w:sz w:val="18"/>
          <w:szCs w:val="18"/>
          <w:color w:val="auto"/>
        </w:rPr>
        <w:t>of the Securites Act and Rule 506 promulgated thereunder, but if they are registered in the future, those shares would become freely tradable and, if a large porton of such shares are sold, could cause the price of our common stock to decline.</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Further, we entered into a warrant agreement with Kreos Capital VII Aggregator SCSp, an afliate of Kreos, or the </w:t>
      </w:r>
      <w:r>
        <w:rPr>
          <w:rFonts w:ascii="Calibri" w:cs="Calibri" w:eastAsia="Calibri" w:hAnsi="Calibri"/>
          <w:sz w:val="18"/>
          <w:szCs w:val="18"/>
          <w:u w:val="single" w:color="auto"/>
          <w:color w:val="auto"/>
        </w:rPr>
        <w:t>Warrant Holder</w:t>
      </w:r>
      <w:r>
        <w:rPr>
          <w:rFonts w:ascii="Calibri" w:cs="Calibri" w:eastAsia="Calibri" w:hAnsi="Calibri"/>
          <w:sz w:val="18"/>
          <w:szCs w:val="18"/>
          <w:color w:val="auto"/>
        </w:rPr>
        <w:t xml:space="preserve">, pursuant to which (i) we issued a warrant to the Warrant Holder to purchase 3,076,923 shares of our common stock, at an exercise price per share of $1.30 (subject to standard adjustments for stock splits, stock dividends, rights oferings and pro rata distributons), or the </w:t>
      </w:r>
      <w:r>
        <w:rPr>
          <w:rFonts w:ascii="Calibri" w:cs="Calibri" w:eastAsia="Calibri" w:hAnsi="Calibri"/>
          <w:sz w:val="18"/>
          <w:szCs w:val="18"/>
          <w:u w:val="single" w:color="auto"/>
          <w:color w:val="auto"/>
        </w:rPr>
        <w:t>Exercise Price</w:t>
      </w:r>
      <w:r>
        <w:rPr>
          <w:rFonts w:ascii="Calibri" w:cs="Calibri" w:eastAsia="Calibri" w:hAnsi="Calibri"/>
          <w:sz w:val="18"/>
          <w:szCs w:val="18"/>
          <w:color w:val="auto"/>
        </w:rPr>
        <w:t>, and (ii) we issued a warrant to the Warrant Holder to purchase 1,153,846 shares of our common stock, at an exercise price per share equal to the Exercise Price. Each warrant is exercisable for eight years from the date of issuance. If any or all of the warrants are exercised, our stockholders could realize diluton, and the value of their shares could decrease.</w:t>
      </w:r>
    </w:p>
    <w:p>
      <w:pPr>
        <w:spacing w:after="0" w:line="113"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We have a signifcant number of shares that are subject to outstanding optons, restricted stock units and other securites convertble into our common stock, and in the future we may issue additonal optons, restricted stock units, or other securites convertble into our common stock. The exercise or vestng of any such optons, restricted stock units, or other securites, and the subsequent sale of the underlying common stock, could cause a further decline in our stock price. These sales also might make it difcult for us to sell equity securites in the future at a tme and at a price that we deem appropriate. Such sales of our common stock could result in higher than average trading volume and may cause the market price for our common stock to decline.</w:t>
      </w:r>
    </w:p>
    <w:p>
      <w:pPr>
        <w:spacing w:after="0" w:line="10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additon, we currently have on fle with the SEC a shelf registraton statement on Form S-3, which allows us to ofer and sell up to $250.0 million in registered securites, such as common stock, preferred stock, debt securites, warrants and units, from tme to tme pursuant to one or more oferings at prices and terms to be determined at the tme of sale, including a sales agreement prospectus that covers the ofering, issuance and sale by us of up to a maximum aggregate ofering price of up to $75.0 million of our common stock that may be issued and sold from tme to tme under a sales agreement with Jeferies LLC.</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Sales of substantal amounts of shares of our common stock or other securites by our employees or our other stockholders or by us under our shelf registraton statement, pursuant to at-the-market oferings or otherwise, could dilute our stockholders, lower the market price of our common stock and impair our ability to raise capital through the sale of equity securites.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6" w:name="page107"/>
    <w:bookmarkEnd w:id="10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Our executve ofcers, directors and principal stockholders maintain the ability to signifcantly infuence all maters submited to stockholders for approval.</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2024, our executve ofcers, directors and principal stockholders, in the aggregate, benefcially owned shares representng a signifcant percentage of our capital stock. As a result, if these stockholders were to choose to act together, they would be able to signifcantly infuence all maters submited to our stockholders for approval, as well as our management and afairs. For example, these persons could signifcantly infuence the electon of directors and approval of any merger, consolidaton or sale of all or substantally all of our assets. This concentraton of votng power could delay or prevent an acquisiton of our Company on terms that other stockholders may desire.</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i w:val="1"/>
          <w:iCs w:val="1"/>
          <w:color w:val="auto"/>
        </w:rPr>
        <w:t>Provisions in our organizatonal documents and Delaware law may have ant-takeover efects that could discourage an acquisiton of us by others, even if an acquisiton would be benefcial to our stockholders, and may prevent atempts by our stockholders to replace or remove our current management.</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Provisions in our Charter and our Bylaws contain provisions that may have the efect of discouraging, delaying or preventng a change in control of us or changes in our management. These provisions could also limit the price that investors might be willing to pay in the future for shares of our common stock, thereby depressing the market price of our common stock. In additon, because our Board of Directors is responsible for appointng certain members of our management team, these provisions may frustrate or prevent any atempts by our stockholders to replace or remove our current management by making it more difcult for stockholders to replace members of our Board of Directors. Among other things, these provisions:</w:t>
      </w:r>
    </w:p>
    <w:p>
      <w:pPr>
        <w:spacing w:after="0" w:line="112" w:lineRule="exact"/>
        <w:rPr>
          <w:sz w:val="20"/>
          <w:szCs w:val="20"/>
          <w:color w:val="auto"/>
        </w:rPr>
      </w:pPr>
    </w:p>
    <w:p>
      <w:pPr>
        <w:ind w:left="660" w:right="20" w:hanging="328"/>
        <w:spacing w:after="0" w:line="235" w:lineRule="auto"/>
        <w:tabs>
          <w:tab w:leader="none" w:pos="653" w:val="left"/>
        </w:tabs>
        <w:numPr>
          <w:ilvl w:val="0"/>
          <w:numId w:val="59"/>
        </w:numPr>
        <w:rPr>
          <w:rFonts w:ascii="Calibri" w:cs="Calibri" w:eastAsia="Calibri" w:hAnsi="Calibri"/>
          <w:sz w:val="18"/>
          <w:szCs w:val="18"/>
          <w:color w:val="auto"/>
        </w:rPr>
      </w:pPr>
      <w:r>
        <w:rPr>
          <w:rFonts w:ascii="Calibri" w:cs="Calibri" w:eastAsia="Calibri" w:hAnsi="Calibri"/>
          <w:sz w:val="18"/>
          <w:szCs w:val="18"/>
          <w:color w:val="auto"/>
        </w:rPr>
        <w:t>authorize “blank check” preferred stock, which could be issued by our Board of Directors without stockholder approval and may contain votng, liquidaton, dividend and other rights superior to our common stock;</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59"/>
        </w:numPr>
        <w:rPr>
          <w:rFonts w:ascii="Calibri" w:cs="Calibri" w:eastAsia="Calibri" w:hAnsi="Calibri"/>
          <w:sz w:val="18"/>
          <w:szCs w:val="18"/>
          <w:color w:val="auto"/>
        </w:rPr>
      </w:pPr>
      <w:r>
        <w:rPr>
          <w:rFonts w:ascii="Calibri" w:cs="Calibri" w:eastAsia="Calibri" w:hAnsi="Calibri"/>
          <w:sz w:val="18"/>
          <w:szCs w:val="18"/>
          <w:color w:val="auto"/>
        </w:rPr>
        <w:t>create a classifed Board of Directors whose members serve staggered three-year terms;</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59"/>
        </w:numPr>
        <w:rPr>
          <w:rFonts w:ascii="Calibri" w:cs="Calibri" w:eastAsia="Calibri" w:hAnsi="Calibri"/>
          <w:sz w:val="18"/>
          <w:szCs w:val="18"/>
          <w:color w:val="auto"/>
        </w:rPr>
      </w:pPr>
      <w:r>
        <w:rPr>
          <w:rFonts w:ascii="Calibri" w:cs="Calibri" w:eastAsia="Calibri" w:hAnsi="Calibri"/>
          <w:sz w:val="18"/>
          <w:szCs w:val="18"/>
          <w:color w:val="auto"/>
        </w:rPr>
        <w:t>specify that special meetngs of our stockholders can be called only by our Board of Directors pursuant to a resoluton adopted by a majority of the total number of directors;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59"/>
        </w:numPr>
        <w:rPr>
          <w:rFonts w:ascii="Calibri" w:cs="Calibri" w:eastAsia="Calibri" w:hAnsi="Calibri"/>
          <w:sz w:val="18"/>
          <w:szCs w:val="18"/>
          <w:color w:val="auto"/>
        </w:rPr>
      </w:pPr>
      <w:r>
        <w:rPr>
          <w:rFonts w:ascii="Calibri" w:cs="Calibri" w:eastAsia="Calibri" w:hAnsi="Calibri"/>
          <w:sz w:val="18"/>
          <w:szCs w:val="18"/>
          <w:color w:val="auto"/>
        </w:rPr>
        <w:t>prohibit stockholder acton by writen consent;</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59"/>
        </w:numPr>
        <w:rPr>
          <w:rFonts w:ascii="Calibri" w:cs="Calibri" w:eastAsia="Calibri" w:hAnsi="Calibri"/>
          <w:sz w:val="18"/>
          <w:szCs w:val="18"/>
          <w:color w:val="auto"/>
        </w:rPr>
      </w:pPr>
      <w:r>
        <w:rPr>
          <w:rFonts w:ascii="Calibri" w:cs="Calibri" w:eastAsia="Calibri" w:hAnsi="Calibri"/>
          <w:sz w:val="18"/>
          <w:szCs w:val="18"/>
          <w:color w:val="auto"/>
        </w:rPr>
        <w:t>establish an advance notce procedure for stockholder approvals to be brought before an annual meetng of our stockholders, including proposed nominatons of persons for electon to our Board of Directors;</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59"/>
        </w:numPr>
        <w:rPr>
          <w:rFonts w:ascii="Calibri" w:cs="Calibri" w:eastAsia="Calibri" w:hAnsi="Calibri"/>
          <w:sz w:val="18"/>
          <w:szCs w:val="18"/>
          <w:color w:val="auto"/>
        </w:rPr>
      </w:pPr>
      <w:r>
        <w:rPr>
          <w:rFonts w:ascii="Calibri" w:cs="Calibri" w:eastAsia="Calibri" w:hAnsi="Calibri"/>
          <w:sz w:val="18"/>
          <w:szCs w:val="18"/>
          <w:color w:val="auto"/>
        </w:rPr>
        <w:t>provide that our directors may be removed only for cause;</w:t>
      </w:r>
    </w:p>
    <w:p>
      <w:pPr>
        <w:spacing w:after="0" w:line="50" w:lineRule="exact"/>
        <w:rPr>
          <w:rFonts w:ascii="Calibri" w:cs="Calibri" w:eastAsia="Calibri" w:hAnsi="Calibri"/>
          <w:sz w:val="18"/>
          <w:szCs w:val="18"/>
          <w:color w:val="auto"/>
        </w:rPr>
      </w:pPr>
    </w:p>
    <w:p>
      <w:pPr>
        <w:ind w:left="640" w:hanging="308"/>
        <w:spacing w:after="0"/>
        <w:tabs>
          <w:tab w:leader="none" w:pos="640" w:val="left"/>
        </w:tabs>
        <w:numPr>
          <w:ilvl w:val="0"/>
          <w:numId w:val="59"/>
        </w:numPr>
        <w:rPr>
          <w:rFonts w:ascii="Calibri" w:cs="Calibri" w:eastAsia="Calibri" w:hAnsi="Calibri"/>
          <w:sz w:val="18"/>
          <w:szCs w:val="18"/>
          <w:color w:val="auto"/>
        </w:rPr>
      </w:pPr>
      <w:r>
        <w:rPr>
          <w:rFonts w:ascii="Calibri" w:cs="Calibri" w:eastAsia="Calibri" w:hAnsi="Calibri"/>
          <w:sz w:val="18"/>
          <w:szCs w:val="18"/>
          <w:color w:val="auto"/>
        </w:rPr>
        <w:t>provide that vacancies on our Board of Directors may be flled only by a majority of directors then in ofce, even though less than a quorum;</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59"/>
        </w:numPr>
        <w:rPr>
          <w:rFonts w:ascii="Calibri" w:cs="Calibri" w:eastAsia="Calibri" w:hAnsi="Calibri"/>
          <w:sz w:val="18"/>
          <w:szCs w:val="18"/>
          <w:color w:val="auto"/>
        </w:rPr>
      </w:pPr>
      <w:r>
        <w:rPr>
          <w:rFonts w:ascii="Calibri" w:cs="Calibri" w:eastAsia="Calibri" w:hAnsi="Calibri"/>
          <w:sz w:val="18"/>
          <w:szCs w:val="18"/>
          <w:color w:val="auto"/>
        </w:rPr>
        <w:t>require a supermajority vote of 75% of the holders of our capital stock enttled to vote or the majority vote of our Board of Directors to amend our Bylaws; and</w:t>
      </w:r>
    </w:p>
    <w:p>
      <w:pPr>
        <w:spacing w:after="0" w:line="55" w:lineRule="exact"/>
        <w:rPr>
          <w:rFonts w:ascii="Calibri" w:cs="Calibri" w:eastAsia="Calibri" w:hAnsi="Calibri"/>
          <w:sz w:val="18"/>
          <w:szCs w:val="18"/>
          <w:color w:val="auto"/>
        </w:rPr>
      </w:pPr>
    </w:p>
    <w:p>
      <w:pPr>
        <w:ind w:left="660" w:hanging="328"/>
        <w:spacing w:after="0" w:line="235" w:lineRule="auto"/>
        <w:tabs>
          <w:tab w:leader="none" w:pos="653" w:val="left"/>
        </w:tabs>
        <w:numPr>
          <w:ilvl w:val="0"/>
          <w:numId w:val="59"/>
        </w:numPr>
        <w:rPr>
          <w:rFonts w:ascii="Calibri" w:cs="Calibri" w:eastAsia="Calibri" w:hAnsi="Calibri"/>
          <w:sz w:val="18"/>
          <w:szCs w:val="18"/>
          <w:color w:val="auto"/>
        </w:rPr>
      </w:pPr>
      <w:r>
        <w:rPr>
          <w:rFonts w:ascii="Calibri" w:cs="Calibri" w:eastAsia="Calibri" w:hAnsi="Calibri"/>
          <w:sz w:val="18"/>
          <w:szCs w:val="18"/>
          <w:color w:val="auto"/>
        </w:rPr>
        <w:t>require a supermajority vote of 85% of the holders of our capital stock enttled to vote to amend the classifcaton of our Board of Directors and to amend certain other provisions of our Charter.</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These provisions, alone or together, could delay or prevent hostle takeovers, changes in control or changes in our management.</w:t>
      </w:r>
    </w:p>
    <w:p>
      <w:pPr>
        <w:spacing w:after="0" w:line="109"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In additon, Secton 203 of the DGCL prohibits a publicly-held Delaware corporaton from engaging in a business combinaton with an interested stockholder, generally a person which together with its afliates owns, or within the last three years has owned, 15% of our votng stock, for a period of three years afer the date of the transacton in which the person became an interested stockholder, unless the business combinaton is approved in a prescribed manner.</w:t>
      </w:r>
    </w:p>
    <w:p>
      <w:pPr>
        <w:spacing w:after="0" w:line="97"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b w:val="1"/>
          <w:bCs w:val="1"/>
          <w:i w:val="1"/>
          <w:iCs w:val="1"/>
          <w:color w:val="auto"/>
        </w:rPr>
        <w:t>Because we do not antcipate paying any cash dividends on our capital in the foreseeable future, capital appreciaton, if any, will be our stockholders’ sole source of gain.</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never declared or paid cash dividends on our capital stock and we currently intend to retain all of our future earnings, if any, to fnance the development and growth of our business. Any payment of cash dividends in the future would be at the discreton of our Board of Directors and would depend on, among other things, our earnings, fnancial conditon, capital requirements, level of indebtedness, statutory and contractual restrictons applying to the payment of dividends and other consideratons that the Board of Directors deems relevant. In additon, the terms of the BlackRock Credit Agreement preclude us from paying cash dividends without prior writen consent of the lender and future debt agreements may preclude us from paying cash dividends. As a result, capital appreciaton, if any, of our common stock will be our stockholders’ sole source of gain for the foreseeable future.</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1B. Unresolved Staf Comments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7" w:name="page108"/>
    <w:bookmarkEnd w:id="10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1C. Cybersecurity.</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Cybersecurity Risk Management and Strategy</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We have certain processes for assessing, identfying, and managing material risks from cybersecurity threats, which are integrated into our enterprise risk management processes. Specifcally, we have processes for:</w:t>
      </w:r>
    </w:p>
    <w:p>
      <w:pPr>
        <w:spacing w:after="0" w:line="164" w:lineRule="exact"/>
        <w:rPr>
          <w:sz w:val="20"/>
          <w:szCs w:val="20"/>
          <w:color w:val="auto"/>
        </w:rPr>
      </w:pPr>
    </w:p>
    <w:p>
      <w:pPr>
        <w:jc w:val="both"/>
        <w:ind w:left="660" w:hanging="328"/>
        <w:spacing w:after="0" w:line="226" w:lineRule="auto"/>
        <w:tabs>
          <w:tab w:leader="none" w:pos="655" w:val="left"/>
        </w:tabs>
        <w:numPr>
          <w:ilvl w:val="0"/>
          <w:numId w:val="60"/>
        </w:numPr>
        <w:rPr>
          <w:rFonts w:ascii="Arial" w:cs="Arial" w:eastAsia="Arial" w:hAnsi="Arial"/>
          <w:sz w:val="22"/>
          <w:szCs w:val="22"/>
          <w:color w:val="auto"/>
        </w:rPr>
      </w:pPr>
      <w:r>
        <w:rPr>
          <w:rFonts w:ascii="Calibri" w:cs="Calibri" w:eastAsia="Calibri" w:hAnsi="Calibri"/>
          <w:sz w:val="18"/>
          <w:szCs w:val="18"/>
          <w:b w:val="1"/>
          <w:bCs w:val="1"/>
          <w:color w:val="auto"/>
        </w:rPr>
        <w:t xml:space="preserve">Identfying and Managing Cybersecurity Risks </w:t>
      </w:r>
      <w:r>
        <w:rPr>
          <w:rFonts w:ascii="Calibri" w:cs="Calibri" w:eastAsia="Calibri" w:hAnsi="Calibri"/>
          <w:sz w:val="18"/>
          <w:szCs w:val="18"/>
          <w:color w:val="auto"/>
        </w:rPr>
        <w:t>— We have implemented a cross-functonal approach to assessing, identfying and managing material</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 xml:space="preserve">cybersecurity threats and incidents. We periodically review, assess, update and test our policies, standards, processes and practces in a manner intended to address cybersecurity threats and events. The results of such reviews, assessments and tests are evaluated by management and reported to our Audit Commitee of the Board of Directors, or the </w:t>
      </w:r>
      <w:r>
        <w:rPr>
          <w:rFonts w:ascii="Calibri" w:cs="Calibri" w:eastAsia="Calibri" w:hAnsi="Calibri"/>
          <w:sz w:val="18"/>
          <w:szCs w:val="18"/>
          <w:u w:val="single" w:color="auto"/>
          <w:color w:val="auto"/>
        </w:rPr>
        <w:t>Audit Commitee</w:t>
      </w:r>
      <w:r>
        <w:rPr>
          <w:rFonts w:ascii="Calibri" w:cs="Calibri" w:eastAsia="Calibri" w:hAnsi="Calibri"/>
          <w:sz w:val="18"/>
          <w:szCs w:val="18"/>
          <w:color w:val="auto"/>
        </w:rPr>
        <w:t>, and our Board of Directors.</w:t>
      </w:r>
    </w:p>
    <w:p>
      <w:pPr>
        <w:spacing w:after="0" w:line="111" w:lineRule="exact"/>
        <w:rPr>
          <w:rFonts w:ascii="Arial" w:cs="Arial" w:eastAsia="Arial" w:hAnsi="Arial"/>
          <w:sz w:val="22"/>
          <w:szCs w:val="22"/>
          <w:color w:val="auto"/>
        </w:rPr>
      </w:pPr>
    </w:p>
    <w:p>
      <w:pPr>
        <w:jc w:val="both"/>
        <w:ind w:left="660" w:hanging="328"/>
        <w:spacing w:after="0" w:line="223" w:lineRule="auto"/>
        <w:tabs>
          <w:tab w:leader="none" w:pos="655" w:val="left"/>
        </w:tabs>
        <w:numPr>
          <w:ilvl w:val="0"/>
          <w:numId w:val="60"/>
        </w:numPr>
        <w:rPr>
          <w:rFonts w:ascii="Arial" w:cs="Arial" w:eastAsia="Arial" w:hAnsi="Arial"/>
          <w:sz w:val="22"/>
          <w:szCs w:val="22"/>
          <w:color w:val="auto"/>
        </w:rPr>
      </w:pPr>
      <w:r>
        <w:rPr>
          <w:rFonts w:ascii="Calibri" w:cs="Calibri" w:eastAsia="Calibri" w:hAnsi="Calibri"/>
          <w:sz w:val="18"/>
          <w:szCs w:val="18"/>
          <w:b w:val="1"/>
          <w:bCs w:val="1"/>
          <w:color w:val="auto"/>
        </w:rPr>
        <w:t xml:space="preserve">Technical Safeguards </w:t>
      </w:r>
      <w:r>
        <w:rPr>
          <w:rFonts w:ascii="Calibri" w:cs="Calibri" w:eastAsia="Calibri" w:hAnsi="Calibri"/>
          <w:sz w:val="18"/>
          <w:szCs w:val="18"/>
          <w:color w:val="auto"/>
        </w:rPr>
        <w:t>— We have integrated cybersecurity into our overall informaton technology operatons and designed our processes and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systems to help protect our informaton assets and operatons from internal and external cyber threats, protect employee and patent informaton from unauthorized access or atack as well as secure our networks and systems.</w:t>
      </w:r>
    </w:p>
    <w:p>
      <w:pPr>
        <w:spacing w:after="0" w:line="111" w:lineRule="exact"/>
        <w:rPr>
          <w:rFonts w:ascii="Arial" w:cs="Arial" w:eastAsia="Arial" w:hAnsi="Arial"/>
          <w:sz w:val="22"/>
          <w:szCs w:val="22"/>
          <w:color w:val="auto"/>
        </w:rPr>
      </w:pPr>
    </w:p>
    <w:p>
      <w:pPr>
        <w:jc w:val="both"/>
        <w:ind w:left="660" w:hanging="328"/>
        <w:spacing w:after="0" w:line="226" w:lineRule="auto"/>
        <w:tabs>
          <w:tab w:leader="none" w:pos="655" w:val="left"/>
        </w:tabs>
        <w:numPr>
          <w:ilvl w:val="0"/>
          <w:numId w:val="60"/>
        </w:numPr>
        <w:rPr>
          <w:rFonts w:ascii="Arial" w:cs="Arial" w:eastAsia="Arial" w:hAnsi="Arial"/>
          <w:sz w:val="22"/>
          <w:szCs w:val="22"/>
          <w:color w:val="auto"/>
        </w:rPr>
      </w:pPr>
      <w:r>
        <w:rPr>
          <w:rFonts w:ascii="Calibri" w:cs="Calibri" w:eastAsia="Calibri" w:hAnsi="Calibri"/>
          <w:sz w:val="18"/>
          <w:szCs w:val="18"/>
          <w:b w:val="1"/>
          <w:bCs w:val="1"/>
          <w:color w:val="auto"/>
        </w:rPr>
        <w:t xml:space="preserve">Incident Response and Recovery Planning — </w:t>
      </w:r>
      <w:r>
        <w:rPr>
          <w:rFonts w:ascii="Calibri" w:cs="Calibri" w:eastAsia="Calibri" w:hAnsi="Calibri"/>
          <w:sz w:val="18"/>
          <w:szCs w:val="18"/>
          <w:color w:val="auto"/>
        </w:rPr>
        <w:t>To beter facilitate our cybersecurity program, our cybersecurity team works collaboratvely across our</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Company to implement programs designed to protect our informaton systems from cybersecurity threats and to promptly respond to any material cybersecurity incidents. We conduct periodic tabletop exercises, including incident simulatons to test these plans and ensure personnel are familiar with their roles and responsibilites in a response scenario.</w:t>
      </w:r>
    </w:p>
    <w:p>
      <w:pPr>
        <w:spacing w:after="0" w:line="111" w:lineRule="exact"/>
        <w:rPr>
          <w:rFonts w:ascii="Arial" w:cs="Arial" w:eastAsia="Arial" w:hAnsi="Arial"/>
          <w:sz w:val="22"/>
          <w:szCs w:val="22"/>
          <w:color w:val="auto"/>
        </w:rPr>
      </w:pPr>
    </w:p>
    <w:p>
      <w:pPr>
        <w:jc w:val="both"/>
        <w:ind w:left="660" w:hanging="328"/>
        <w:spacing w:after="0" w:line="226" w:lineRule="auto"/>
        <w:tabs>
          <w:tab w:leader="none" w:pos="655" w:val="left"/>
        </w:tabs>
        <w:numPr>
          <w:ilvl w:val="0"/>
          <w:numId w:val="60"/>
        </w:numPr>
        <w:rPr>
          <w:rFonts w:ascii="Arial" w:cs="Arial" w:eastAsia="Arial" w:hAnsi="Arial"/>
          <w:sz w:val="22"/>
          <w:szCs w:val="22"/>
          <w:color w:val="auto"/>
        </w:rPr>
      </w:pPr>
      <w:r>
        <w:rPr>
          <w:rFonts w:ascii="Calibri" w:cs="Calibri" w:eastAsia="Calibri" w:hAnsi="Calibri"/>
          <w:sz w:val="18"/>
          <w:szCs w:val="18"/>
          <w:b w:val="1"/>
          <w:bCs w:val="1"/>
          <w:color w:val="auto"/>
        </w:rPr>
        <w:t xml:space="preserve">Third-Party Risk Management </w:t>
      </w:r>
      <w:r>
        <w:rPr>
          <w:rFonts w:ascii="Calibri" w:cs="Calibri" w:eastAsia="Calibri" w:hAnsi="Calibri"/>
          <w:sz w:val="18"/>
          <w:szCs w:val="18"/>
          <w:color w:val="auto"/>
        </w:rPr>
        <w:t>— We maintain a risk-based approach to identfying and overseeing material cybersecurity threats presented by third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partes and the systems of third partes that could adversely impact our business in the event of a material cybersecurity incident afectng those third-party systems. Also, we engage certain external cybersecurity frms to enhance our cybersecurity oversight and cybersecurity breach detecton over third party service providers.</w:t>
      </w:r>
    </w:p>
    <w:p>
      <w:pPr>
        <w:spacing w:after="0" w:line="111" w:lineRule="exact"/>
        <w:rPr>
          <w:rFonts w:ascii="Arial" w:cs="Arial" w:eastAsia="Arial" w:hAnsi="Arial"/>
          <w:sz w:val="22"/>
          <w:szCs w:val="22"/>
          <w:color w:val="auto"/>
        </w:rPr>
      </w:pPr>
    </w:p>
    <w:p>
      <w:pPr>
        <w:jc w:val="both"/>
        <w:ind w:left="660" w:hanging="328"/>
        <w:spacing w:after="0" w:line="226" w:lineRule="auto"/>
        <w:tabs>
          <w:tab w:leader="none" w:pos="655" w:val="left"/>
        </w:tabs>
        <w:numPr>
          <w:ilvl w:val="0"/>
          <w:numId w:val="60"/>
        </w:numPr>
        <w:rPr>
          <w:rFonts w:ascii="Arial" w:cs="Arial" w:eastAsia="Arial" w:hAnsi="Arial"/>
          <w:sz w:val="22"/>
          <w:szCs w:val="22"/>
          <w:color w:val="auto"/>
        </w:rPr>
      </w:pPr>
      <w:r>
        <w:rPr>
          <w:rFonts w:ascii="Calibri" w:cs="Calibri" w:eastAsia="Calibri" w:hAnsi="Calibri"/>
          <w:sz w:val="18"/>
          <w:szCs w:val="18"/>
          <w:b w:val="1"/>
          <w:bCs w:val="1"/>
          <w:color w:val="auto"/>
        </w:rPr>
        <w:t xml:space="preserve">Educaton and Awareness </w:t>
      </w:r>
      <w:r>
        <w:rPr>
          <w:rFonts w:ascii="Calibri" w:cs="Calibri" w:eastAsia="Calibri" w:hAnsi="Calibri"/>
          <w:sz w:val="18"/>
          <w:szCs w:val="18"/>
          <w:color w:val="auto"/>
        </w:rPr>
        <w:t>— We provide training regarding cybersecurity threats as a means to equip our employees and consultants with tools to</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make employees and consultants aware of and to address cybersecurity threats, and to communicate our evolving informaton security policies, standards, processes and practces. We also use technology-based tools to mitgate cybersecurity risks and to bolster our employee-based cybersecurity programs.</w:t>
      </w:r>
    </w:p>
    <w:p>
      <w:pPr>
        <w:spacing w:after="0" w:line="111"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We adjust our cybersecurity policies, standards, processes, and practces as necessary based on the informaton provided by our assessments, audits and reviews. Such processes include (i) procedural and technical safeguards, (ii) response plans, (iii) periodic tests on our systems, (iv) incident simulatons and (v) routne review of our cybersecurity policies and procedures to identfy risks and improve our practces. We engage certain external cybersecurity frms to enhance our cybersecurity oversight. We include confdentality provisions in all contracts with third-party service providers, and data protecton provisions in certain contracts with third-party service providers where applicable, to help protect us and our employees and patents from any related vulnerabilites.</w:t>
      </w:r>
    </w:p>
    <w:p>
      <w:pPr>
        <w:spacing w:after="0" w:line="9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Governance</w:t>
      </w:r>
    </w:p>
    <w:p>
      <w:pPr>
        <w:spacing w:after="0" w:line="10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Our Board of Directors is responsible for exercising oversight of management’s identfcaton and management of, and planning for, risks from cybersecurity threats. While the full Board of Directors has overall responsibility for risk oversight, the Board of Directors has delegated oversight responsibility related to risks from cybersecurity threats to the Audit Commitee of our Board of Directors. The Audit Commitee reports to the Board of Directors at least annually, and notfes the Board of Directors as necessary regarding signifcant new cybersecurity threats or incidents. The Audit Commitee meets annually to discuss our approach to overseeing cybersecurity threats with management, including with members of our internal cybersecurity team.</w:t>
      </w:r>
    </w:p>
    <w:p>
      <w:pPr>
        <w:spacing w:after="0" w:line="10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use an internal management team to run our informaton technology and cybersecurity functons, which includes our informaton and cybersecurity team leads who have collectvely served in various roles in informaton technology and informaton security for over 25 years, including at other public companies. Through ongoing communicatons with this management commitee, senior management is informed about and monitors the preventon, detecton, mitgaton and remediaton of cybersecurity threats and incidents in real-tme and reports such threats and incidents to the Audit Commitee, when appropriate. Management updates the Audit Commitee quarterly regarding our cybersecurity threat risk management and strategy programs. Members of the Audit Commitee are also encouraged to regularly engage in ad hoc</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8" w:name="page109"/>
    <w:bookmarkEnd w:id="10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conversatons with management on cybersecurity-related topics and discuss any updates to our cybersecurity risk management and strategy programs. The Audit Commitee is notfed between such updates regarding signifcant new cybersecurity threats or incidents that meet pre-established reportng thresholds and any ongoing updates regarding any risk, as needed.</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not identfed any risks from cybersecurity threats, including as a result of any previous cybersecurity incidents, that have materially afected or are reasonably likely to materially afect our company, including our business strategy, results of operatons or fnancial conditon. However, as discussed under “Risk Factor — Risks Related to our Business and Managing Growth” in Part I, Item 1A of this Form 10-K, cybersecurity threats could pose multple risks to us. As cybersecurity threats become more frequent, sophistcated, and coordinated, it is reasonably likely that we will be required to expend greater resources to contnue to modify and enhance our protectve measures.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2. Propertes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currently lease approximately 65,167 square feet of ofce, storage and laboratory space in Cambridge, Massachusets, which is our corporate headquarters. Excluding renewal optons, the lease for our Cambridge, Massachusets ofce, storage and lab space expires on September 11, 2026. Due to our primarily hybrid workforce, we are marketng up to 59,216 square feet of furnished ofce space for sublease. We believe our existng facilites are adequate to meet our operatonal needs.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3. Legal Proceedings</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color w:val="auto"/>
        </w:rPr>
        <w:t>From tme to tme, we may be involved in legal proceedings arising from the normal course of business actvites.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Oppositon Proceedings Against Akebia</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September 2018, Dr. Reddy’s Laboratories Limited fled an oppositon to our issued Indian Patent No. 287720 covering the compositon of mater of vadadustat in the Indian Patent Ofce.</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November 6, 2024, Sandoz AG fled an oppositon against our issued European Patent No. 3007695 covering vadadustat once daily dosing regimen in the European Patent Ofce.</w:t>
      </w:r>
    </w:p>
    <w:p>
      <w:pPr>
        <w:spacing w:after="0" w:line="34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4. Mine Safety Disclosures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Not applicable.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9" w:name="page110"/>
    <w:bookmarkEnd w:id="10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PART II</w:t>
      </w:r>
    </w:p>
    <w:p>
      <w:pPr>
        <w:spacing w:after="0" w:line="352" w:lineRule="exact"/>
        <w:rPr>
          <w:sz w:val="20"/>
          <w:szCs w:val="20"/>
          <w:color w:val="auto"/>
        </w:rPr>
      </w:pPr>
    </w:p>
    <w:p>
      <w:pPr>
        <w:ind w:right="2680"/>
        <w:spacing w:after="0" w:line="348" w:lineRule="auto"/>
        <w:rPr>
          <w:sz w:val="20"/>
          <w:szCs w:val="20"/>
          <w:color w:val="auto"/>
        </w:rPr>
      </w:pPr>
      <w:r>
        <w:rPr>
          <w:rFonts w:ascii="Calibri" w:cs="Calibri" w:eastAsia="Calibri" w:hAnsi="Calibri"/>
          <w:sz w:val="18"/>
          <w:szCs w:val="18"/>
          <w:b w:val="1"/>
          <w:bCs w:val="1"/>
          <w:color w:val="auto"/>
        </w:rPr>
        <w:t xml:space="preserve">Item 5. Market for Registrant’s Common Equity, Related Stockholder Maters and Issuer Purchases of Equity Securites </w:t>
      </w:r>
      <w:r>
        <w:rPr>
          <w:rFonts w:ascii="Calibri" w:cs="Calibri" w:eastAsia="Calibri" w:hAnsi="Calibri"/>
          <w:sz w:val="18"/>
          <w:szCs w:val="18"/>
          <w:b w:val="1"/>
          <w:bCs w:val="1"/>
          <w:i w:val="1"/>
          <w:iCs w:val="1"/>
          <w:color w:val="auto"/>
        </w:rPr>
        <w:t>Market Informaton</w:t>
      </w:r>
    </w:p>
    <w:p>
      <w:pPr>
        <w:spacing w:after="0" w:line="6" w:lineRule="exact"/>
        <w:rPr>
          <w:sz w:val="20"/>
          <w:szCs w:val="20"/>
          <w:color w:val="auto"/>
        </w:rPr>
      </w:pPr>
    </w:p>
    <w:p>
      <w:pPr>
        <w:spacing w:after="0"/>
        <w:rPr>
          <w:sz w:val="20"/>
          <w:szCs w:val="20"/>
          <w:color w:val="auto"/>
        </w:rPr>
      </w:pPr>
      <w:r>
        <w:rPr>
          <w:rFonts w:ascii="Calibri" w:cs="Calibri" w:eastAsia="Calibri" w:hAnsi="Calibri"/>
          <w:sz w:val="18"/>
          <w:szCs w:val="18"/>
          <w:color w:val="auto"/>
        </w:rPr>
        <w:t>Our common stock is traded on The Nasdaq Capital Market under the symbol “AKBA”.</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Holders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March 10, 2025, there were approximately 26 holders of record of our common stock. The number of record holders is based upon the actual number of holders registered on our books at such date and does not include shares held in street name by brokers or other nominees, and shares held by persons, partnerships, associatons, corporatons or other enttes whose shares are held by depository trust companies.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Dividends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never declared or paid any cash dividends on our common stock and we do not antcipate paying cash dividends in the foreseeable future. In additon, the terms of our BlackRock Credit Agreement preclude us from paying cash dividends without prior writen consent and future debt agreements may preclude us from paying cash dividends.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Issuer Purchases of Equity Securites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Recent Sales of Unregistered Securites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did not sell any securites that were not registered under the Securites Act of 1933, as amended, or the Securites Act, during the year ended, other than pursuant to transactons previously disclosed in our Current Reports on Form 8-K.</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Purchases of Equity Securites by the Issuer and Afliated Purchasers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Comparatve Stock Performance Graph</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We are a smaller reportng company, as defned by Rule 12b-2 of the Exchange Act, and are not required to provide a stock performance graph.</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Securites Authorized for Issuance under Equity Compensaton Plans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Informaton about our equity compensaton plans is incorporated herein by reference to Item 12, </w:t>
      </w:r>
      <w:r>
        <w:rPr>
          <w:rFonts w:ascii="Calibri" w:cs="Calibri" w:eastAsia="Calibri" w:hAnsi="Calibri"/>
          <w:sz w:val="18"/>
          <w:szCs w:val="18"/>
          <w:i w:val="1"/>
          <w:iCs w:val="1"/>
          <w:color w:val="auto"/>
        </w:rPr>
        <w:t>Security Ownership of Certain Benefcial Owners and</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Management and Related Stockholder Maters</w:t>
      </w:r>
      <w:r>
        <w:rPr>
          <w:rFonts w:ascii="Calibri" w:cs="Calibri" w:eastAsia="Calibri" w:hAnsi="Calibri"/>
          <w:sz w:val="18"/>
          <w:szCs w:val="18"/>
          <w:color w:val="auto"/>
        </w:rPr>
        <w:t>, of this Form 10-K.</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6. [Reserved]</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7. Management’s Discussion and Analysis of Financial Conditon and Results of Operatons</w:t>
      </w:r>
    </w:p>
    <w:p>
      <w:pPr>
        <w:spacing w:after="0" w:line="10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i w:val="1"/>
          <w:iCs w:val="1"/>
          <w:color w:val="auto"/>
        </w:rPr>
        <w:t xml:space="preserve">This Annual Report on Form 10-K, or </w:t>
      </w:r>
      <w:r>
        <w:rPr>
          <w:rFonts w:ascii="Calibri" w:cs="Calibri" w:eastAsia="Calibri" w:hAnsi="Calibri"/>
          <w:sz w:val="17"/>
          <w:szCs w:val="17"/>
          <w:u w:val="single" w:color="auto"/>
          <w:color w:val="auto"/>
        </w:rPr>
        <w:t>Form 10-K</w:t>
      </w:r>
      <w:r>
        <w:rPr>
          <w:rFonts w:ascii="Calibri" w:cs="Calibri" w:eastAsia="Calibri" w:hAnsi="Calibri"/>
          <w:sz w:val="17"/>
          <w:szCs w:val="17"/>
          <w:i w:val="1"/>
          <w:iCs w:val="1"/>
          <w:color w:val="auto"/>
        </w:rPr>
        <w:t>, including this management's discussion and analysis of fnancial conditon and results of operatons, contains forward-looking statements based upon current expectatons that involve risks and uncertaintes. Our actual results may difer materially from those described in or implied in these forward-looking statements as a result of various factors, including those factors set forth in the “Risk Factors” secton included in Part I, Item 1A of this Form 10-K. All references to years, unless otherwise noted, refer to our fscal years, which end on December 31. For purposes of this secton, all references to “we,” “us,” “our,” “Akebia,” or the “Company” refer to Akebia Therapeutcs, Inc. and its consolidated subsidiaries.</w:t>
      </w:r>
    </w:p>
    <w:p>
      <w:pPr>
        <w:spacing w:after="0" w:line="10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discussion and analysis should also be read in conjuncton with the accompanying audited consolidated fnancial statements and related notes included in Part II, Item 8 of this Form 10-K. This secton discusses 2024 and 2023 fnancial conditon, and results of operatons and year-to-year comparisons between 2024 and 2023. For discussion of 2023 items and year-over-year comparisons between 2023 and 2022 that are not included in this 2024 Form 10-K, refer to “Item 7. – Management’s Discussion and Analysis of Financial Conditon and Results of Operatons” found in our Form 10-K for the year ended December 31, 2023, that was fled with the Securites and Exchange Commission on March 14, 2024.</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Business Overview</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are a fully integrated, biopharmaceutcal company with two commercial products for patents impacted by kidney disease. We have built a business focused on developing and commercializing innovatve therapeutcs that we believe serve as a foundaton for future growth. Our team has signifcant expertse in hypoxia-inducible factor, or </w:t>
      </w:r>
      <w:r>
        <w:rPr>
          <w:rFonts w:ascii="Calibri" w:cs="Calibri" w:eastAsia="Calibri" w:hAnsi="Calibri"/>
          <w:sz w:val="18"/>
          <w:szCs w:val="18"/>
          <w:u w:val="single" w:color="auto"/>
          <w:color w:val="auto"/>
        </w:rPr>
        <w:t>HIF</w:t>
      </w:r>
      <w:r>
        <w:rPr>
          <w:rFonts w:ascii="Calibri" w:cs="Calibri" w:eastAsia="Calibri" w:hAnsi="Calibri"/>
          <w:sz w:val="18"/>
          <w:szCs w:val="18"/>
          <w:color w:val="auto"/>
        </w:rPr>
        <w:t>, science having developed</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Akebia Therapeutcs, Inc. | Form 10-K | Page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0" w:name="page111"/>
    <w:bookmarkEnd w:id="11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and commercialized Vafseo® (vadadustat), an oral HIF factor prolyl hydroxylase, or </w:t>
      </w:r>
      <w:r>
        <w:rPr>
          <w:rFonts w:ascii="Calibri" w:cs="Calibri" w:eastAsia="Calibri" w:hAnsi="Calibri"/>
          <w:sz w:val="18"/>
          <w:szCs w:val="18"/>
          <w:u w:val="single" w:color="auto"/>
          <w:color w:val="auto"/>
        </w:rPr>
        <w:t>HIF-PH</w:t>
      </w:r>
      <w:r>
        <w:rPr>
          <w:rFonts w:ascii="Calibri" w:cs="Calibri" w:eastAsia="Calibri" w:hAnsi="Calibri"/>
          <w:sz w:val="18"/>
          <w:szCs w:val="18"/>
          <w:color w:val="auto"/>
        </w:rPr>
        <w:t>, inhibitor and have selected two additonal HIF-based molecules for preclinical development.</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have established the company as a leader in the kidney community, and we believe our cross-organizatonal expertse in renal disease positons the company for success. Chronic kidney disease, or </w:t>
      </w:r>
      <w:r>
        <w:rPr>
          <w:rFonts w:ascii="Calibri" w:cs="Calibri" w:eastAsia="Calibri" w:hAnsi="Calibri"/>
          <w:sz w:val="18"/>
          <w:szCs w:val="18"/>
          <w:u w:val="single" w:color="auto"/>
          <w:color w:val="auto"/>
        </w:rPr>
        <w:t>CKD</w:t>
      </w:r>
      <w:r>
        <w:rPr>
          <w:rFonts w:ascii="Calibri" w:cs="Calibri" w:eastAsia="Calibri" w:hAnsi="Calibri"/>
          <w:sz w:val="18"/>
          <w:szCs w:val="18"/>
          <w:color w:val="auto"/>
        </w:rPr>
        <w:t xml:space="preserve">, is a conditon in which the kidneys are progressively damaged to the point that they cannot properly flter the blood circulatng in the body. This damage causes waste products to build up in the patent’s blood, leading to other health problems, including anemia, cardiovascular disease and bone disease. CKD signifcantly impacts the U.S. healthcare system, potentally afectng approximately 37 million patents and costng Medicare nearly $125 billion annually for treatng Medicare benefciaries with CKD or end-stage renal disease, or </w:t>
      </w:r>
      <w:r>
        <w:rPr>
          <w:rFonts w:ascii="Calibri" w:cs="Calibri" w:eastAsia="Calibri" w:hAnsi="Calibri"/>
          <w:sz w:val="18"/>
          <w:szCs w:val="18"/>
          <w:u w:val="single" w:color="auto"/>
          <w:color w:val="auto"/>
        </w:rPr>
        <w:t>ESRD</w:t>
      </w:r>
      <w:r>
        <w:rPr>
          <w:rFonts w:ascii="Calibri" w:cs="Calibri" w:eastAsia="Calibri" w:hAnsi="Calibri"/>
          <w:sz w:val="18"/>
          <w:szCs w:val="18"/>
          <w:color w:val="auto"/>
        </w:rPr>
        <w:t>, according to the Centers for Disease Control and Preventon. Our two commercial products address certain complicatons of kidney disease.</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color w:val="auto"/>
        </w:rPr>
        <w:t>Our current portolio includes:</w:t>
      </w:r>
    </w:p>
    <w:p>
      <w:pPr>
        <w:spacing w:after="0" w:line="96" w:lineRule="exact"/>
        <w:rPr>
          <w:sz w:val="20"/>
          <w:szCs w:val="20"/>
          <w:color w:val="auto"/>
        </w:rPr>
      </w:pPr>
    </w:p>
    <w:p>
      <w:pPr>
        <w:jc w:val="both"/>
        <w:ind w:left="660"/>
        <w:spacing w:after="0" w:line="223" w:lineRule="auto"/>
        <w:rPr>
          <w:sz w:val="20"/>
          <w:szCs w:val="20"/>
          <w:color w:val="auto"/>
        </w:rPr>
      </w:pPr>
      <w:r>
        <w:rPr>
          <w:rFonts w:ascii="Calibri" w:cs="Calibri" w:eastAsia="Calibri" w:hAnsi="Calibri"/>
          <w:sz w:val="18"/>
          <w:szCs w:val="18"/>
          <w:b w:val="1"/>
          <w:bCs w:val="1"/>
          <w:color w:val="auto"/>
        </w:rPr>
        <w:t xml:space="preserve">Vafseo </w:t>
      </w:r>
      <w:r>
        <w:rPr>
          <w:rFonts w:ascii="Calibri" w:cs="Calibri" w:eastAsia="Calibri" w:hAnsi="Calibri"/>
          <w:sz w:val="18"/>
          <w:szCs w:val="18"/>
          <w:color w:val="auto"/>
        </w:rPr>
        <w:t>was approved by the U.S. Food and Drug Administraton, or the</w:t>
      </w:r>
      <w:r>
        <w:rPr>
          <w:rFonts w:ascii="Calibri" w:cs="Calibri" w:eastAsia="Calibri" w:hAnsi="Calibri"/>
          <w:sz w:val="18"/>
          <w:szCs w:val="18"/>
          <w:b w:val="1"/>
          <w:bCs w:val="1"/>
          <w:color w:val="auto"/>
        </w:rPr>
        <w:t xml:space="preserve"> </w:t>
      </w:r>
      <w:r>
        <w:rPr>
          <w:rFonts w:ascii="Calibri" w:cs="Calibri" w:eastAsia="Calibri" w:hAnsi="Calibri"/>
          <w:sz w:val="18"/>
          <w:szCs w:val="18"/>
          <w:u w:val="single" w:color="auto"/>
          <w:color w:val="auto"/>
        </w:rPr>
        <w:t>FDA</w:t>
      </w:r>
      <w:r>
        <w:rPr>
          <w:rFonts w:ascii="Calibri" w:cs="Calibri" w:eastAsia="Calibri" w:hAnsi="Calibri"/>
          <w:sz w:val="18"/>
          <w:szCs w:val="18"/>
          <w:color w:val="auto"/>
        </w:rPr>
        <w:t>, in March 2024 for the treatment of anemia due to CKD in adult patents</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on dialysis for at least three months. Shipment of Vafseo commenced in January 2025. We have commercial supply agreements for the purchase of Vafseo in place with dialysis organizatons caring for nearly 100% of dialysis patents in the U.S. The current U.S. market opportunity for the treatment of anemia due to CKD in patents with dialysis is approximately $1 billion based on current ESA pricing and Vafseo is the only oral HIF-based treatment available in the U.S.</w:t>
      </w:r>
    </w:p>
    <w:p>
      <w:pPr>
        <w:spacing w:after="0" w:line="113" w:lineRule="exact"/>
        <w:rPr>
          <w:sz w:val="20"/>
          <w:szCs w:val="20"/>
          <w:color w:val="auto"/>
        </w:rPr>
      </w:pPr>
    </w:p>
    <w:p>
      <w:pPr>
        <w:jc w:val="both"/>
        <w:ind w:left="660"/>
        <w:spacing w:after="0" w:line="235" w:lineRule="auto"/>
        <w:rPr>
          <w:sz w:val="20"/>
          <w:szCs w:val="20"/>
          <w:color w:val="auto"/>
        </w:rPr>
      </w:pPr>
      <w:r>
        <w:rPr>
          <w:rFonts w:ascii="Calibri" w:cs="Calibri" w:eastAsia="Calibri" w:hAnsi="Calibri"/>
          <w:sz w:val="18"/>
          <w:szCs w:val="18"/>
          <w:color w:val="auto"/>
        </w:rPr>
        <w:t xml:space="preserve">In the European Union, or </w:t>
      </w:r>
      <w:r>
        <w:rPr>
          <w:rFonts w:ascii="Calibri" w:cs="Calibri" w:eastAsia="Calibri" w:hAnsi="Calibri"/>
          <w:sz w:val="18"/>
          <w:szCs w:val="18"/>
          <w:u w:val="single" w:color="auto"/>
          <w:color w:val="auto"/>
        </w:rPr>
        <w:t>EU</w:t>
      </w:r>
      <w:r>
        <w:rPr>
          <w:rFonts w:ascii="Calibri" w:cs="Calibri" w:eastAsia="Calibri" w:hAnsi="Calibri"/>
          <w:sz w:val="18"/>
          <w:szCs w:val="18"/>
          <w:color w:val="auto"/>
        </w:rPr>
        <w:t xml:space="preserve">, the United Kingdom, or </w:t>
      </w:r>
      <w:r>
        <w:rPr>
          <w:rFonts w:ascii="Calibri" w:cs="Calibri" w:eastAsia="Calibri" w:hAnsi="Calibri"/>
          <w:sz w:val="18"/>
          <w:szCs w:val="18"/>
          <w:u w:val="single" w:color="auto"/>
          <w:color w:val="auto"/>
        </w:rPr>
        <w:t>UK</w:t>
      </w:r>
      <w:r>
        <w:rPr>
          <w:rFonts w:ascii="Calibri" w:cs="Calibri" w:eastAsia="Calibri" w:hAnsi="Calibri"/>
          <w:sz w:val="18"/>
          <w:szCs w:val="18"/>
          <w:color w:val="auto"/>
        </w:rPr>
        <w:t xml:space="preserve">, Switzerland and Australia, Vafseo is approved for the treatment of symptomatc anemia associated with CKD in adults on chronic maintenance dialysis. Our partner MEDICE Arzneimitel Püter GmbH &amp; Co. KG, or </w:t>
      </w:r>
      <w:r>
        <w:rPr>
          <w:rFonts w:ascii="Calibri" w:cs="Calibri" w:eastAsia="Calibri" w:hAnsi="Calibri"/>
          <w:sz w:val="18"/>
          <w:szCs w:val="18"/>
          <w:u w:val="single" w:color="auto"/>
          <w:color w:val="auto"/>
        </w:rPr>
        <w:t>Medice</w:t>
      </w:r>
      <w:r>
        <w:rPr>
          <w:rFonts w:ascii="Calibri" w:cs="Calibri" w:eastAsia="Calibri" w:hAnsi="Calibri"/>
          <w:sz w:val="18"/>
          <w:szCs w:val="18"/>
          <w:color w:val="auto"/>
        </w:rPr>
        <w:t>, has an exclusive license to develop and commercialize Vafseo for the treatment of anemia in patents with CKD in defned territories and launched Vafseo in Germany, Austria, Switzerland, the Netherlands and certain other countries in Europe in 2024.</w:t>
      </w:r>
    </w:p>
    <w:p>
      <w:pPr>
        <w:spacing w:after="0" w:line="111" w:lineRule="exact"/>
        <w:rPr>
          <w:sz w:val="20"/>
          <w:szCs w:val="20"/>
          <w:color w:val="auto"/>
        </w:rPr>
      </w:pPr>
    </w:p>
    <w:p>
      <w:pPr>
        <w:jc w:val="both"/>
        <w:ind w:left="660"/>
        <w:spacing w:after="0" w:line="235" w:lineRule="auto"/>
        <w:rPr>
          <w:sz w:val="20"/>
          <w:szCs w:val="20"/>
          <w:color w:val="auto"/>
        </w:rPr>
      </w:pPr>
      <w:r>
        <w:rPr>
          <w:rFonts w:ascii="Calibri" w:cs="Calibri" w:eastAsia="Calibri" w:hAnsi="Calibri"/>
          <w:sz w:val="18"/>
          <w:szCs w:val="18"/>
          <w:color w:val="auto"/>
        </w:rPr>
        <w:t xml:space="preserve">In Japan, Vafseo is approved as a treatment for anemia due to CKD in both dialysis dependent and non-dialysis dependent patents and is marketed and sold by our collaborator Mitsubishi Tanabe Pharma Corporaton, or </w:t>
      </w:r>
      <w:r>
        <w:rPr>
          <w:rFonts w:ascii="Calibri" w:cs="Calibri" w:eastAsia="Calibri" w:hAnsi="Calibri"/>
          <w:sz w:val="18"/>
          <w:szCs w:val="18"/>
          <w:u w:val="single" w:color="auto"/>
          <w:color w:val="auto"/>
        </w:rPr>
        <w:t>MTPC</w:t>
      </w:r>
      <w:r>
        <w:rPr>
          <w:rFonts w:ascii="Calibri" w:cs="Calibri" w:eastAsia="Calibri" w:hAnsi="Calibri"/>
          <w:sz w:val="18"/>
          <w:szCs w:val="18"/>
          <w:color w:val="auto"/>
        </w:rPr>
        <w:t>. In Taiwan, Vafseo is approved for the treatment of symptomatc anemia due to CKD in adult patents on chronic maintenance dialysis and launched in October 2024 by Tai Tien Pharmaceutcal Company, an afliate of MTPC. In Korea, Vafseo is approved as an anemia treatment for patents with CKD on hemodialysis.</w:t>
      </w:r>
    </w:p>
    <w:p>
      <w:pPr>
        <w:spacing w:after="0" w:line="111" w:lineRule="exact"/>
        <w:rPr>
          <w:sz w:val="20"/>
          <w:szCs w:val="20"/>
          <w:color w:val="auto"/>
        </w:rPr>
      </w:pPr>
    </w:p>
    <w:p>
      <w:pPr>
        <w:jc w:val="both"/>
        <w:ind w:left="660"/>
        <w:spacing w:after="0" w:line="235" w:lineRule="auto"/>
        <w:rPr>
          <w:sz w:val="20"/>
          <w:szCs w:val="20"/>
          <w:color w:val="auto"/>
        </w:rPr>
      </w:pPr>
      <w:r>
        <w:rPr>
          <w:rFonts w:ascii="Calibri" w:cs="Calibri" w:eastAsia="Calibri" w:hAnsi="Calibri"/>
          <w:sz w:val="18"/>
          <w:szCs w:val="18"/>
          <w:b w:val="1"/>
          <w:bCs w:val="1"/>
          <w:color w:val="auto"/>
        </w:rPr>
        <w:t xml:space="preserve">Auryxia® (ferric citrate) </w:t>
      </w:r>
      <w:r>
        <w:rPr>
          <w:rFonts w:ascii="Calibri" w:cs="Calibri" w:eastAsia="Calibri" w:hAnsi="Calibri"/>
          <w:sz w:val="18"/>
          <w:szCs w:val="18"/>
          <w:color w:val="auto"/>
        </w:rPr>
        <w:t>is an orally administered medicine approved and marketed in the U.S. for two indicatons: (1) the control of serum</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 xml:space="preserve">phosphorus levels in adult patents with dialysis dependent chronic kidney disease, or </w:t>
      </w:r>
      <w:r>
        <w:rPr>
          <w:rFonts w:ascii="Calibri" w:cs="Calibri" w:eastAsia="Calibri" w:hAnsi="Calibri"/>
          <w:sz w:val="18"/>
          <w:szCs w:val="18"/>
          <w:u w:val="single" w:color="auto"/>
          <w:color w:val="auto"/>
        </w:rPr>
        <w:t>DD-CKD</w:t>
      </w:r>
      <w:r>
        <w:rPr>
          <w:rFonts w:ascii="Calibri" w:cs="Calibri" w:eastAsia="Calibri" w:hAnsi="Calibri"/>
          <w:sz w:val="18"/>
          <w:szCs w:val="18"/>
          <w:color w:val="auto"/>
        </w:rPr>
        <w:t xml:space="preserve">, and (2) the treatment of iron defciency anemia, or </w:t>
      </w:r>
      <w:r>
        <w:rPr>
          <w:rFonts w:ascii="Calibri" w:cs="Calibri" w:eastAsia="Calibri" w:hAnsi="Calibri"/>
          <w:sz w:val="18"/>
          <w:szCs w:val="18"/>
          <w:u w:val="single" w:color="auto"/>
          <w:color w:val="auto"/>
        </w:rPr>
        <w:t>IDA</w:t>
      </w:r>
      <w:r>
        <w:rPr>
          <w:rFonts w:ascii="Calibri" w:cs="Calibri" w:eastAsia="Calibri" w:hAnsi="Calibri"/>
          <w:sz w:val="18"/>
          <w:szCs w:val="18"/>
          <w:color w:val="auto"/>
        </w:rPr>
        <w:t xml:space="preserve">, in adult patents with non-dialysis-dependent chronic kidney disease, or </w:t>
      </w:r>
      <w:r>
        <w:rPr>
          <w:rFonts w:ascii="Calibri" w:cs="Calibri" w:eastAsia="Calibri" w:hAnsi="Calibri"/>
          <w:sz w:val="18"/>
          <w:szCs w:val="18"/>
          <w:u w:val="single" w:color="auto"/>
          <w:color w:val="auto"/>
        </w:rPr>
        <w:t>NDD-CKD</w:t>
      </w:r>
      <w:r>
        <w:rPr>
          <w:rFonts w:ascii="Calibri" w:cs="Calibri" w:eastAsia="Calibri" w:hAnsi="Calibri"/>
          <w:sz w:val="18"/>
          <w:szCs w:val="18"/>
          <w:color w:val="auto"/>
        </w:rPr>
        <w:t>.</w:t>
      </w:r>
    </w:p>
    <w:p>
      <w:pPr>
        <w:spacing w:after="0" w:line="111" w:lineRule="exact"/>
        <w:rPr>
          <w:sz w:val="20"/>
          <w:szCs w:val="20"/>
          <w:color w:val="auto"/>
        </w:rPr>
      </w:pPr>
    </w:p>
    <w:p>
      <w:pPr>
        <w:jc w:val="both"/>
        <w:ind w:left="660"/>
        <w:spacing w:after="0" w:line="235" w:lineRule="auto"/>
        <w:rPr>
          <w:sz w:val="20"/>
          <w:szCs w:val="20"/>
          <w:color w:val="auto"/>
        </w:rPr>
      </w:pPr>
      <w:r>
        <w:rPr>
          <w:rFonts w:ascii="Calibri" w:cs="Calibri" w:eastAsia="Calibri" w:hAnsi="Calibri"/>
          <w:sz w:val="18"/>
          <w:szCs w:val="18"/>
          <w:color w:val="auto"/>
        </w:rPr>
        <w:t xml:space="preserve">Today, we market Auryxia in the U.S. Auryxia became part of our portolio in 2018 and has historically contributed meaningful revenue to the business. In March 2025, Auryxia will lose exclusivity, or </w:t>
      </w:r>
      <w:r>
        <w:rPr>
          <w:rFonts w:ascii="Calibri" w:cs="Calibri" w:eastAsia="Calibri" w:hAnsi="Calibri"/>
          <w:sz w:val="18"/>
          <w:szCs w:val="18"/>
          <w:u w:val="single" w:color="auto"/>
          <w:color w:val="auto"/>
        </w:rPr>
        <w:t>LoE</w:t>
      </w:r>
      <w:r>
        <w:rPr>
          <w:rFonts w:ascii="Calibri" w:cs="Calibri" w:eastAsia="Calibri" w:hAnsi="Calibri"/>
          <w:sz w:val="18"/>
          <w:szCs w:val="18"/>
          <w:color w:val="auto"/>
        </w:rPr>
        <w:t>. We believe the dynamics of Auryxia reimbursement being included in the ESRD bundle under Medicare Part B could result in slower revenue decline afer the LoE date than in other LoE situatons, but the impact of LoE on future Auryxia revenues will depend on many factors, including our ability to maintain contracts with dialysis organizatons, the tming and number of generics and the pricing of generics and other products on the market that compete with Auryxia.</w:t>
      </w:r>
    </w:p>
    <w:p>
      <w:pPr>
        <w:spacing w:after="0" w:line="99" w:lineRule="exact"/>
        <w:rPr>
          <w:sz w:val="20"/>
          <w:szCs w:val="20"/>
          <w:color w:val="auto"/>
        </w:rPr>
      </w:pPr>
    </w:p>
    <w:p>
      <w:pPr>
        <w:jc w:val="both"/>
        <w:ind w:left="660"/>
        <w:spacing w:after="0" w:line="227" w:lineRule="auto"/>
        <w:rPr>
          <w:sz w:val="20"/>
          <w:szCs w:val="20"/>
          <w:color w:val="auto"/>
        </w:rPr>
      </w:pPr>
      <w:r>
        <w:rPr>
          <w:rFonts w:ascii="Calibri" w:cs="Calibri" w:eastAsia="Calibri" w:hAnsi="Calibri"/>
          <w:sz w:val="17"/>
          <w:szCs w:val="17"/>
          <w:color w:val="auto"/>
        </w:rPr>
        <w:t xml:space="preserve">Ferric citrate hydrate has also been approved in Japan, and is marketed and sold by our Japanese sublicensee, Japan Tobacco, Inc., and its subsidiary, Torii Pharmaceutcal Co., Ltd., collectvely, </w:t>
      </w:r>
      <w:r>
        <w:rPr>
          <w:rFonts w:ascii="Calibri" w:cs="Calibri" w:eastAsia="Calibri" w:hAnsi="Calibri"/>
          <w:sz w:val="17"/>
          <w:szCs w:val="17"/>
          <w:u w:val="single" w:color="auto"/>
          <w:color w:val="auto"/>
        </w:rPr>
        <w:t>JT and Torii</w:t>
      </w:r>
      <w:r>
        <w:rPr>
          <w:rFonts w:ascii="Calibri" w:cs="Calibri" w:eastAsia="Calibri" w:hAnsi="Calibri"/>
          <w:sz w:val="17"/>
          <w:szCs w:val="17"/>
          <w:color w:val="auto"/>
        </w:rPr>
        <w:t xml:space="preserve">, as an oral treatment for the improvement of hyperphosphatemia in patents with CKD, including DD-CKD and NDD-CKD, and for the treatment of adult patents with IDA under the trade name as Riona in Japan. Averoa SAS, or </w:t>
      </w:r>
      <w:r>
        <w:rPr>
          <w:rFonts w:ascii="Calibri" w:cs="Calibri" w:eastAsia="Calibri" w:hAnsi="Calibri"/>
          <w:sz w:val="17"/>
          <w:szCs w:val="17"/>
          <w:u w:val="single" w:color="auto"/>
          <w:color w:val="auto"/>
        </w:rPr>
        <w:t>Averoa</w:t>
      </w:r>
      <w:r>
        <w:rPr>
          <w:rFonts w:ascii="Calibri" w:cs="Calibri" w:eastAsia="Calibri" w:hAnsi="Calibri"/>
          <w:sz w:val="17"/>
          <w:szCs w:val="17"/>
          <w:color w:val="auto"/>
        </w:rPr>
        <w:t xml:space="preserve">, has an exclusive license to develop and commercialize ferric citrate in the European Economic Area, or </w:t>
      </w:r>
      <w:r>
        <w:rPr>
          <w:rFonts w:ascii="Calibri" w:cs="Calibri" w:eastAsia="Calibri" w:hAnsi="Calibri"/>
          <w:sz w:val="17"/>
          <w:szCs w:val="17"/>
          <w:u w:val="single" w:color="auto"/>
          <w:color w:val="auto"/>
        </w:rPr>
        <w:t>EEA</w:t>
      </w:r>
      <w:r>
        <w:rPr>
          <w:rFonts w:ascii="Calibri" w:cs="Calibri" w:eastAsia="Calibri" w:hAnsi="Calibri"/>
          <w:sz w:val="17"/>
          <w:szCs w:val="17"/>
          <w:color w:val="auto"/>
        </w:rPr>
        <w:t>, Turkey, Switzerland, the UK, the Balkans and certain countries in Eastern Europe and the Middle East. Averoa applied for marketng authorizaton for ferric citrate in Europe in April 2024.</w:t>
      </w:r>
    </w:p>
    <w:p>
      <w:pPr>
        <w:spacing w:after="0" w:line="99" w:lineRule="exact"/>
        <w:rPr>
          <w:sz w:val="20"/>
          <w:szCs w:val="20"/>
          <w:color w:val="auto"/>
        </w:rPr>
      </w:pPr>
    </w:p>
    <w:p>
      <w:pPr>
        <w:jc w:val="both"/>
        <w:ind w:left="660"/>
        <w:spacing w:after="0" w:line="235" w:lineRule="auto"/>
        <w:rPr>
          <w:sz w:val="20"/>
          <w:szCs w:val="20"/>
          <w:color w:val="auto"/>
        </w:rPr>
      </w:pPr>
      <w:r>
        <w:rPr>
          <w:rFonts w:ascii="Calibri" w:cs="Calibri" w:eastAsia="Calibri" w:hAnsi="Calibri"/>
          <w:sz w:val="18"/>
          <w:szCs w:val="18"/>
          <w:b w:val="1"/>
          <w:bCs w:val="1"/>
          <w:color w:val="auto"/>
        </w:rPr>
        <w:t xml:space="preserve">Our HIF-based product candidates and other pipeline assets </w:t>
      </w:r>
      <w:r>
        <w:rPr>
          <w:rFonts w:ascii="Calibri" w:cs="Calibri" w:eastAsia="Calibri" w:hAnsi="Calibri"/>
          <w:sz w:val="18"/>
          <w:szCs w:val="18"/>
          <w:color w:val="auto"/>
        </w:rPr>
        <w:t>are being evaluated to target areas of unmet needs. The discovery of HIF laid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 xml:space="preserve">foundaton to explore the central role of oxygen sensing in many diseases. As we have seen through the development of Vafseo as a treatment for anemia due to CKD, when stabilized, HIF triggers wide-ranging adaptve, protectve responses during hypoxic or ischemic conditons. We have selected two additonal HIF molecules for preclinical development: AKB-9090, potentally for cardiac surgery-related acute kidney injury, or </w:t>
      </w:r>
      <w:r>
        <w:rPr>
          <w:rFonts w:ascii="Calibri" w:cs="Calibri" w:eastAsia="Calibri" w:hAnsi="Calibri"/>
          <w:sz w:val="18"/>
          <w:szCs w:val="18"/>
          <w:u w:val="single" w:color="auto"/>
          <w:color w:val="auto"/>
        </w:rPr>
        <w:t>CS-AKI</w:t>
      </w:r>
      <w:r>
        <w:rPr>
          <w:rFonts w:ascii="Calibri" w:cs="Calibri" w:eastAsia="Calibri" w:hAnsi="Calibri"/>
          <w:sz w:val="18"/>
          <w:szCs w:val="18"/>
          <w:color w:val="auto"/>
        </w:rPr>
        <w:t xml:space="preserve">, or acute respiratory distress syndrome, or </w:t>
      </w:r>
      <w:r>
        <w:rPr>
          <w:rFonts w:ascii="Calibri" w:cs="Calibri" w:eastAsia="Calibri" w:hAnsi="Calibri"/>
          <w:sz w:val="18"/>
          <w:szCs w:val="18"/>
          <w:u w:val="single" w:color="auto"/>
          <w:color w:val="auto"/>
        </w:rPr>
        <w:t>ARDS</w:t>
      </w:r>
      <w:r>
        <w:rPr>
          <w:rFonts w:ascii="Calibri" w:cs="Calibri" w:eastAsia="Calibri" w:hAnsi="Calibri"/>
          <w:sz w:val="18"/>
          <w:szCs w:val="18"/>
          <w:color w:val="auto"/>
        </w:rPr>
        <w:t xml:space="preserve">, and AKB-10108 for retnopathy of prematurity, or </w:t>
      </w:r>
      <w:r>
        <w:rPr>
          <w:rFonts w:ascii="Calibri" w:cs="Calibri" w:eastAsia="Calibri" w:hAnsi="Calibri"/>
          <w:sz w:val="18"/>
          <w:szCs w:val="18"/>
          <w:u w:val="single" w:color="auto"/>
          <w:color w:val="auto"/>
        </w:rPr>
        <w:t>ROP</w:t>
      </w:r>
      <w:r>
        <w:rPr>
          <w:rFonts w:ascii="Calibri" w:cs="Calibri" w:eastAsia="Calibri" w:hAnsi="Calibri"/>
          <w:sz w:val="18"/>
          <w:szCs w:val="18"/>
          <w:color w:val="auto"/>
        </w:rPr>
        <w:t>, in neonates.</w:t>
      </w:r>
    </w:p>
    <w:p>
      <w:pPr>
        <w:spacing w:after="0" w:line="99" w:lineRule="exact"/>
        <w:rPr>
          <w:sz w:val="20"/>
          <w:szCs w:val="20"/>
          <w:color w:val="auto"/>
        </w:rPr>
      </w:pPr>
    </w:p>
    <w:p>
      <w:pPr>
        <w:ind w:left="660" w:right="20"/>
        <w:spacing w:after="0" w:line="225" w:lineRule="auto"/>
        <w:rPr>
          <w:sz w:val="20"/>
          <w:szCs w:val="20"/>
          <w:color w:val="auto"/>
        </w:rPr>
      </w:pPr>
      <w:r>
        <w:rPr>
          <w:rFonts w:ascii="Calibri" w:cs="Calibri" w:eastAsia="Calibri" w:hAnsi="Calibri"/>
          <w:sz w:val="18"/>
          <w:szCs w:val="18"/>
          <w:color w:val="auto"/>
        </w:rPr>
        <w:t xml:space="preserve">In June 2021, we acquired from Cyclerion Therapeutcs, Inc., or </w:t>
      </w:r>
      <w:r>
        <w:rPr>
          <w:rFonts w:ascii="Calibri" w:cs="Calibri" w:eastAsia="Calibri" w:hAnsi="Calibri"/>
          <w:sz w:val="18"/>
          <w:szCs w:val="18"/>
          <w:u w:val="single" w:color="auto"/>
          <w:color w:val="auto"/>
        </w:rPr>
        <w:t>Cyclerion</w:t>
      </w:r>
      <w:r>
        <w:rPr>
          <w:rFonts w:ascii="Calibri" w:cs="Calibri" w:eastAsia="Calibri" w:hAnsi="Calibri"/>
          <w:sz w:val="18"/>
          <w:szCs w:val="18"/>
          <w:color w:val="auto"/>
        </w:rPr>
        <w:t xml:space="preserve">, an exclusive global license under certain intellectual property rights to research, develop and commercialize praliciguat, an investgatonal oral soluble guanylate cyclase, or </w:t>
      </w:r>
      <w:r>
        <w:rPr>
          <w:rFonts w:ascii="Calibri" w:cs="Calibri" w:eastAsia="Calibri" w:hAnsi="Calibri"/>
          <w:sz w:val="18"/>
          <w:szCs w:val="18"/>
          <w:u w:val="single" w:color="auto"/>
          <w:color w:val="auto"/>
        </w:rPr>
        <w:t>sGC</w:t>
      </w:r>
      <w:r>
        <w:rPr>
          <w:rFonts w:ascii="Calibri" w:cs="Calibri" w:eastAsia="Calibri" w:hAnsi="Calibri"/>
          <w:sz w:val="18"/>
          <w:szCs w:val="18"/>
          <w:color w:val="auto"/>
        </w:rPr>
        <w:t>, stmulator. We believe there is potental to explore the use of praliciguat for indicatons within kidney disease.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1" w:name="page112"/>
    <w:bookmarkEnd w:id="11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60"/>
        <w:spacing w:after="0" w:line="235" w:lineRule="auto"/>
        <w:rPr>
          <w:sz w:val="20"/>
          <w:szCs w:val="20"/>
          <w:color w:val="auto"/>
        </w:rPr>
      </w:pPr>
      <w:r>
        <w:rPr>
          <w:rFonts w:ascii="Calibri" w:cs="Calibri" w:eastAsia="Calibri" w:hAnsi="Calibri"/>
          <w:sz w:val="18"/>
          <w:szCs w:val="18"/>
          <w:color w:val="auto"/>
        </w:rPr>
        <w:t>We contnue to explore additonal commercial and development opportunites to expand our pipeline and portolio of novel therapeutcs through both internal research and external innovaton to leverage our fully integrated team.</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Factors Afectng Our Performance and Results of Operatons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Financial Highlights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Net product revenue was $152.2 million and $170.3 million for the years ended December 31, 2024 and 2023, respectvely.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incurred net losses in each year since incepton. Our net losses were $69.4 million and $51.9 million for the years ended December 31, 2024 and 2023, respectvely. Substantally all of our net losses resulted from costs incurred in connecton with the contnued commercializaton of Auryxia and development and commercializaton eforts relatng to Vafseo, including conductng clinical trials of, and seeking regulatory approval for, Vafseo, providing general and administratve support for these operatons and protectng our intellectual property.</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Financial Components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Product Revenue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generate product revenue from commercial sales of Auryxia in the U.S. to a limited number of customers, including dialysis organizatons, wholesale distributors and certain specialty pharmacy providers. Our net product revenue includes many variables, including judgments and estmates of discounts, rebates and product returns, which can fuctuate from quarter-to-quarter and year-over-year. We evaluate, at least annually and more frequently, if needed, the price of Auryxia, which will lose exclusivity in March 2025. We expect our product revenue to contnue to be generated from our commercial sales of Auryxia as well as to be generated from our commercial sales of Vafseo following its U.S. market entry in January 2025.</w:t>
      </w:r>
    </w:p>
    <w:p>
      <w:pPr>
        <w:spacing w:after="0" w:line="112" w:lineRule="exact"/>
        <w:rPr>
          <w:sz w:val="20"/>
          <w:szCs w:val="20"/>
          <w:color w:val="auto"/>
        </w:rPr>
      </w:pPr>
    </w:p>
    <w:p>
      <w:pPr>
        <w:ind w:right="40"/>
        <w:spacing w:after="0" w:line="226" w:lineRule="auto"/>
        <w:rPr>
          <w:sz w:val="20"/>
          <w:szCs w:val="20"/>
          <w:color w:val="auto"/>
        </w:rPr>
      </w:pPr>
      <w:r>
        <w:rPr>
          <w:rFonts w:ascii="Calibri" w:cs="Calibri" w:eastAsia="Calibri" w:hAnsi="Calibri"/>
          <w:sz w:val="18"/>
          <w:szCs w:val="18"/>
          <w:color w:val="auto"/>
        </w:rPr>
        <w:t xml:space="preserve">We believe the dynamics of Auryxia reimbursement being included in the end-stage renal disease, or </w:t>
      </w:r>
      <w:r>
        <w:rPr>
          <w:rFonts w:ascii="Calibri" w:cs="Calibri" w:eastAsia="Calibri" w:hAnsi="Calibri"/>
          <w:sz w:val="18"/>
          <w:szCs w:val="18"/>
          <w:u w:val="single" w:color="auto"/>
          <w:color w:val="auto"/>
        </w:rPr>
        <w:t>ESRD</w:t>
      </w:r>
      <w:r>
        <w:rPr>
          <w:rFonts w:ascii="Calibri" w:cs="Calibri" w:eastAsia="Calibri" w:hAnsi="Calibri"/>
          <w:sz w:val="18"/>
          <w:szCs w:val="18"/>
          <w:color w:val="auto"/>
        </w:rPr>
        <w:t>, bundle under Medicare Part B and Auryxia LoE on March 20, 2025, could result in the buying patern of certain customers in future years being diferent than their historical practces. In additon, we believe the dynamics of Auryxia reimbursement moving to Medicare Part B could result in slower revenue decline afer the LoE date than in other LoE scenarios, but the impact of LoE on future Auryxia revenues will depend on many factors, including our ability to maintain contracts with dialysis organizatons, the tming and number of generics and the pricing of generics and other products on the market that compete with Auryxia.</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License, Collaboraton and Other Revenue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License, collaboraton and other revenue includes revenue earned under our agreements with our partners, including license fees, royalty payments and revenue from product we supply.</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expect to contnue to generate revenue from our collaboraton, license, and supply agreements with Medice, MTPC, JT and Torii and any other collaboratons into which we have entered or may enter.</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Cost of Goods Sold</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Cost of goods sold, or </w:t>
      </w:r>
      <w:r>
        <w:rPr>
          <w:rFonts w:ascii="Calibri" w:cs="Calibri" w:eastAsia="Calibri" w:hAnsi="Calibri"/>
          <w:sz w:val="18"/>
          <w:szCs w:val="18"/>
          <w:u w:val="single" w:color="auto"/>
          <w:color w:val="auto"/>
        </w:rPr>
        <w:t>COGS</w:t>
      </w:r>
      <w:r>
        <w:rPr>
          <w:rFonts w:ascii="Calibri" w:cs="Calibri" w:eastAsia="Calibri" w:hAnsi="Calibri"/>
          <w:sz w:val="18"/>
          <w:szCs w:val="18"/>
          <w:color w:val="auto"/>
        </w:rPr>
        <w:t xml:space="preserve">, - Cost of product and other revenue includes costs closely correlated or directly related to the costs to manufacture commercial drug substance and drug product, including at our contract manufacturing organizatons, or </w:t>
      </w:r>
      <w:r>
        <w:rPr>
          <w:rFonts w:ascii="Calibri" w:cs="Calibri" w:eastAsia="Calibri" w:hAnsi="Calibri"/>
          <w:sz w:val="18"/>
          <w:szCs w:val="18"/>
          <w:u w:val="single" w:color="auto"/>
          <w:color w:val="auto"/>
        </w:rPr>
        <w:t>CMOs</w:t>
      </w:r>
      <w:r>
        <w:rPr>
          <w:rFonts w:ascii="Calibri" w:cs="Calibri" w:eastAsia="Calibri" w:hAnsi="Calibri"/>
          <w:sz w:val="18"/>
          <w:szCs w:val="18"/>
          <w:color w:val="auto"/>
        </w:rPr>
        <w:t>, as well as indirect costs. Direct and indirect costs include fees for packaging, shipping, insurance and quality assurance, idle capacity charges, changes in reserves for excess inventory, write-ofs for inventory that fails to meet specifcatons or is otherwise no longer suitable for commercial sale, including scrap, changes in our frm purchase commitment liability and royaltes due to the licensor of Auryxia related to U.S. and Japan product sales recognized during the period.</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COGS also includes costs to manufacture drug product provided to MTPC and Medice for commercial sale of Vafseo in Japan and the European Economic Area, or </w:t>
      </w:r>
      <w:r>
        <w:rPr>
          <w:rFonts w:ascii="Calibri" w:cs="Calibri" w:eastAsia="Calibri" w:hAnsi="Calibri"/>
          <w:sz w:val="18"/>
          <w:szCs w:val="18"/>
          <w:u w:val="single" w:color="auto"/>
          <w:color w:val="auto"/>
        </w:rPr>
        <w:t>EEA</w:t>
      </w:r>
      <w:r>
        <w:rPr>
          <w:rFonts w:ascii="Calibri" w:cs="Calibri" w:eastAsia="Calibri" w:hAnsi="Calibri"/>
          <w:sz w:val="18"/>
          <w:szCs w:val="18"/>
          <w:color w:val="auto"/>
          <w:highlight w:val="white"/>
        </w:rPr>
        <w:t>, the United Kingdom, or</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auto"/>
        </w:rPr>
        <w:t>UK</w:t>
      </w:r>
      <w:r>
        <w:rPr>
          <w:rFonts w:ascii="Calibri" w:cs="Calibri" w:eastAsia="Calibri" w:hAnsi="Calibri"/>
          <w:sz w:val="18"/>
          <w:szCs w:val="18"/>
          <w:color w:val="auto"/>
        </w:rPr>
        <w:t xml:space="preserve">, Switzerland and Australia, or the </w:t>
      </w:r>
      <w:r>
        <w:rPr>
          <w:rFonts w:ascii="Calibri" w:cs="Calibri" w:eastAsia="Calibri" w:hAnsi="Calibri"/>
          <w:sz w:val="18"/>
          <w:szCs w:val="18"/>
          <w:u w:val="single" w:color="auto"/>
          <w:color w:val="auto"/>
        </w:rPr>
        <w:t>Medice Territory</w:t>
      </w:r>
      <w:r>
        <w:rPr>
          <w:rFonts w:ascii="Calibri" w:cs="Calibri" w:eastAsia="Calibri" w:hAnsi="Calibri"/>
          <w:sz w:val="18"/>
          <w:szCs w:val="18"/>
          <w:color w:val="auto"/>
        </w:rPr>
        <w:t>, respectvely, as well as personnel-related costs, including salaries and bonuses, employee benefts and stock-based compensaton atributable to employees in partcular functons and associated directly with the manufacturing of our commercial products.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Cost of product and other revenue for a newly launched product does not include the full cost of manufacturing untl the inital pre-launch inventory is depleted and additonal inventory is manufactured and sold. Untl we received regulatory approval for Vafseo in the U.S. we recorded costs incurred to manufacture the U.S. pre-launch inventory, such as raw materials, drug substance and drug product conversion costs as research and development, or </w:t>
      </w:r>
      <w:r>
        <w:rPr>
          <w:rFonts w:ascii="Calibri" w:cs="Calibri" w:eastAsia="Calibri" w:hAnsi="Calibri"/>
          <w:sz w:val="18"/>
          <w:szCs w:val="18"/>
          <w:u w:val="single" w:color="auto"/>
          <w:color w:val="auto"/>
        </w:rPr>
        <w:t>R&amp;D</w:t>
      </w:r>
      <w:r>
        <w:rPr>
          <w:rFonts w:ascii="Calibri" w:cs="Calibri" w:eastAsia="Calibri" w:hAnsi="Calibri"/>
          <w:sz w:val="18"/>
          <w:szCs w:val="18"/>
          <w:color w:val="auto"/>
        </w:rPr>
        <w:t>, expense.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Cost of goods sold - Amortzaton of intangible asset - In additon, COGS included the amortzaton of development product rights for Auryxia through the end of 2024.</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2" w:name="page113"/>
    <w:bookmarkEnd w:id="11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Research and Development Expenses</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R&amp;D expenses consist primarily of costs incurred for the development of Vafseo prior to regulatory approval and costs associated with our pipeline which includes:</w:t>
      </w:r>
    </w:p>
    <w:p>
      <w:pPr>
        <w:spacing w:after="0" w:line="110" w:lineRule="exact"/>
        <w:rPr>
          <w:sz w:val="20"/>
          <w:szCs w:val="20"/>
          <w:color w:val="auto"/>
        </w:rPr>
      </w:pPr>
    </w:p>
    <w:p>
      <w:pPr>
        <w:ind w:left="740" w:hanging="408"/>
        <w:spacing w:after="0" w:line="235" w:lineRule="auto"/>
        <w:tabs>
          <w:tab w:leader="none" w:pos="733" w:val="left"/>
        </w:tabs>
        <w:numPr>
          <w:ilvl w:val="0"/>
          <w:numId w:val="61"/>
        </w:numPr>
        <w:rPr>
          <w:rFonts w:ascii="Calibri" w:cs="Calibri" w:eastAsia="Calibri" w:hAnsi="Calibri"/>
          <w:sz w:val="18"/>
          <w:szCs w:val="18"/>
          <w:color w:val="auto"/>
        </w:rPr>
      </w:pPr>
      <w:r>
        <w:rPr>
          <w:rFonts w:ascii="Calibri" w:cs="Calibri" w:eastAsia="Calibri" w:hAnsi="Calibri"/>
          <w:sz w:val="18"/>
          <w:szCs w:val="18"/>
          <w:color w:val="auto"/>
        </w:rPr>
        <w:t>personnel-related expenses, including salaries, bonuses, employee benefts, stock-based compensaton and travel expenses for employees engaged in R&amp;D functons;</w:t>
      </w:r>
    </w:p>
    <w:p>
      <w:pPr>
        <w:spacing w:after="0" w:line="50" w:lineRule="exact"/>
        <w:rPr>
          <w:rFonts w:ascii="Calibri" w:cs="Calibri" w:eastAsia="Calibri" w:hAnsi="Calibri"/>
          <w:sz w:val="18"/>
          <w:szCs w:val="18"/>
          <w:color w:val="auto"/>
        </w:rPr>
      </w:pPr>
    </w:p>
    <w:p>
      <w:pPr>
        <w:ind w:left="720" w:hanging="388"/>
        <w:spacing w:after="0"/>
        <w:tabs>
          <w:tab w:leader="none" w:pos="720" w:val="left"/>
        </w:tabs>
        <w:numPr>
          <w:ilvl w:val="0"/>
          <w:numId w:val="61"/>
        </w:numPr>
        <w:rPr>
          <w:rFonts w:ascii="Calibri" w:cs="Calibri" w:eastAsia="Calibri" w:hAnsi="Calibri"/>
          <w:sz w:val="18"/>
          <w:szCs w:val="18"/>
          <w:color w:val="auto"/>
        </w:rPr>
      </w:pPr>
      <w:r>
        <w:rPr>
          <w:rFonts w:ascii="Calibri" w:cs="Calibri" w:eastAsia="Calibri" w:hAnsi="Calibri"/>
          <w:sz w:val="18"/>
          <w:szCs w:val="18"/>
          <w:color w:val="auto"/>
        </w:rPr>
        <w:t>costs associated with feasibility and potental new manufacturing processes and methods for our commercial products;</w:t>
      </w:r>
    </w:p>
    <w:p>
      <w:pPr>
        <w:spacing w:after="0" w:line="50" w:lineRule="exact"/>
        <w:rPr>
          <w:rFonts w:ascii="Calibri" w:cs="Calibri" w:eastAsia="Calibri" w:hAnsi="Calibri"/>
          <w:sz w:val="18"/>
          <w:szCs w:val="18"/>
          <w:color w:val="auto"/>
        </w:rPr>
      </w:pPr>
    </w:p>
    <w:p>
      <w:pPr>
        <w:ind w:left="720" w:hanging="388"/>
        <w:spacing w:after="0"/>
        <w:tabs>
          <w:tab w:leader="none" w:pos="720" w:val="left"/>
        </w:tabs>
        <w:numPr>
          <w:ilvl w:val="0"/>
          <w:numId w:val="61"/>
        </w:numPr>
        <w:rPr>
          <w:rFonts w:ascii="Calibri" w:cs="Calibri" w:eastAsia="Calibri" w:hAnsi="Calibri"/>
          <w:sz w:val="18"/>
          <w:szCs w:val="18"/>
          <w:color w:val="auto"/>
        </w:rPr>
      </w:pPr>
      <w:r>
        <w:rPr>
          <w:rFonts w:ascii="Calibri" w:cs="Calibri" w:eastAsia="Calibri" w:hAnsi="Calibri"/>
          <w:sz w:val="18"/>
          <w:szCs w:val="18"/>
          <w:color w:val="auto"/>
        </w:rPr>
        <w:t>regulatory registraton and related fees for non-commercial products;</w:t>
      </w:r>
    </w:p>
    <w:p>
      <w:pPr>
        <w:spacing w:after="0" w:line="50" w:lineRule="exact"/>
        <w:rPr>
          <w:rFonts w:ascii="Calibri" w:cs="Calibri" w:eastAsia="Calibri" w:hAnsi="Calibri"/>
          <w:sz w:val="18"/>
          <w:szCs w:val="18"/>
          <w:color w:val="auto"/>
        </w:rPr>
      </w:pPr>
    </w:p>
    <w:p>
      <w:pPr>
        <w:ind w:left="720" w:hanging="388"/>
        <w:spacing w:after="0"/>
        <w:tabs>
          <w:tab w:leader="none" w:pos="720" w:val="left"/>
        </w:tabs>
        <w:numPr>
          <w:ilvl w:val="0"/>
          <w:numId w:val="61"/>
        </w:numPr>
        <w:rPr>
          <w:rFonts w:ascii="Calibri" w:cs="Calibri" w:eastAsia="Calibri" w:hAnsi="Calibri"/>
          <w:sz w:val="18"/>
          <w:szCs w:val="18"/>
          <w:color w:val="auto"/>
        </w:rPr>
      </w:pPr>
      <w:r>
        <w:rPr>
          <w:rFonts w:ascii="Calibri" w:cs="Calibri" w:eastAsia="Calibri" w:hAnsi="Calibri"/>
          <w:sz w:val="18"/>
          <w:szCs w:val="18"/>
          <w:color w:val="auto"/>
        </w:rPr>
        <w:t xml:space="preserve">expenses incurred under agreements with contract research organizatons, or </w:t>
      </w:r>
      <w:r>
        <w:rPr>
          <w:rFonts w:ascii="Calibri" w:cs="Calibri" w:eastAsia="Calibri" w:hAnsi="Calibri"/>
          <w:sz w:val="18"/>
          <w:szCs w:val="18"/>
          <w:u w:val="single" w:color="auto"/>
          <w:color w:val="auto"/>
        </w:rPr>
        <w:t>CROs</w:t>
      </w:r>
      <w:r>
        <w:rPr>
          <w:rFonts w:ascii="Calibri" w:cs="Calibri" w:eastAsia="Calibri" w:hAnsi="Calibri"/>
          <w:sz w:val="18"/>
          <w:szCs w:val="18"/>
          <w:color w:val="auto"/>
        </w:rPr>
        <w:t>, and investgatve sites that conduct our clinical trials;</w:t>
      </w:r>
    </w:p>
    <w:p>
      <w:pPr>
        <w:spacing w:after="0" w:line="50" w:lineRule="exact"/>
        <w:rPr>
          <w:rFonts w:ascii="Calibri" w:cs="Calibri" w:eastAsia="Calibri" w:hAnsi="Calibri"/>
          <w:sz w:val="18"/>
          <w:szCs w:val="18"/>
          <w:color w:val="auto"/>
        </w:rPr>
      </w:pPr>
    </w:p>
    <w:p>
      <w:pPr>
        <w:ind w:left="720" w:hanging="388"/>
        <w:spacing w:after="0"/>
        <w:tabs>
          <w:tab w:leader="none" w:pos="720" w:val="left"/>
        </w:tabs>
        <w:numPr>
          <w:ilvl w:val="0"/>
          <w:numId w:val="61"/>
        </w:numPr>
        <w:rPr>
          <w:rFonts w:ascii="Calibri" w:cs="Calibri" w:eastAsia="Calibri" w:hAnsi="Calibri"/>
          <w:sz w:val="18"/>
          <w:szCs w:val="18"/>
          <w:color w:val="auto"/>
        </w:rPr>
      </w:pPr>
      <w:r>
        <w:rPr>
          <w:rFonts w:ascii="Calibri" w:cs="Calibri" w:eastAsia="Calibri" w:hAnsi="Calibri"/>
          <w:sz w:val="18"/>
          <w:szCs w:val="18"/>
          <w:color w:val="auto"/>
        </w:rPr>
        <w:t>the cost of acquiring, developing and manufacturing clinical trial materials through CMOs;</w:t>
      </w:r>
    </w:p>
    <w:p>
      <w:pPr>
        <w:spacing w:after="0" w:line="55" w:lineRule="exact"/>
        <w:rPr>
          <w:rFonts w:ascii="Calibri" w:cs="Calibri" w:eastAsia="Calibri" w:hAnsi="Calibri"/>
          <w:sz w:val="18"/>
          <w:szCs w:val="18"/>
          <w:color w:val="auto"/>
        </w:rPr>
      </w:pPr>
    </w:p>
    <w:p>
      <w:pPr>
        <w:ind w:left="740" w:hanging="408"/>
        <w:spacing w:after="0" w:line="235" w:lineRule="auto"/>
        <w:tabs>
          <w:tab w:leader="none" w:pos="733" w:val="left"/>
        </w:tabs>
        <w:numPr>
          <w:ilvl w:val="0"/>
          <w:numId w:val="61"/>
        </w:numPr>
        <w:rPr>
          <w:rFonts w:ascii="Calibri" w:cs="Calibri" w:eastAsia="Calibri" w:hAnsi="Calibri"/>
          <w:sz w:val="18"/>
          <w:szCs w:val="18"/>
          <w:color w:val="auto"/>
        </w:rPr>
      </w:pPr>
      <w:r>
        <w:rPr>
          <w:rFonts w:ascii="Calibri" w:cs="Calibri" w:eastAsia="Calibri" w:hAnsi="Calibri"/>
          <w:sz w:val="18"/>
          <w:szCs w:val="18"/>
          <w:color w:val="auto"/>
        </w:rPr>
        <w:t>facilites, depreciaton and other expenses, which include direct and allocated expenses for rent and maintenance of facilites, insurance and other supplies associated with our laboratory space as well as our R&amp;D team;</w:t>
      </w:r>
    </w:p>
    <w:p>
      <w:pPr>
        <w:spacing w:after="0" w:line="50" w:lineRule="exact"/>
        <w:rPr>
          <w:rFonts w:ascii="Calibri" w:cs="Calibri" w:eastAsia="Calibri" w:hAnsi="Calibri"/>
          <w:sz w:val="18"/>
          <w:szCs w:val="18"/>
          <w:color w:val="auto"/>
        </w:rPr>
      </w:pPr>
    </w:p>
    <w:p>
      <w:pPr>
        <w:ind w:left="720" w:hanging="388"/>
        <w:spacing w:after="0"/>
        <w:tabs>
          <w:tab w:leader="none" w:pos="720" w:val="left"/>
        </w:tabs>
        <w:numPr>
          <w:ilvl w:val="0"/>
          <w:numId w:val="61"/>
        </w:numPr>
        <w:rPr>
          <w:rFonts w:ascii="Calibri" w:cs="Calibri" w:eastAsia="Calibri" w:hAnsi="Calibri"/>
          <w:sz w:val="18"/>
          <w:szCs w:val="18"/>
          <w:color w:val="auto"/>
        </w:rPr>
      </w:pPr>
      <w:r>
        <w:rPr>
          <w:rFonts w:ascii="Calibri" w:cs="Calibri" w:eastAsia="Calibri" w:hAnsi="Calibri"/>
          <w:sz w:val="18"/>
          <w:szCs w:val="18"/>
          <w:color w:val="auto"/>
        </w:rPr>
        <w:t>costs associated with discovery and development for preclinical, clinical and regulatory actvites; and</w:t>
      </w:r>
    </w:p>
    <w:p>
      <w:pPr>
        <w:spacing w:after="0" w:line="55" w:lineRule="exact"/>
        <w:rPr>
          <w:rFonts w:ascii="Calibri" w:cs="Calibri" w:eastAsia="Calibri" w:hAnsi="Calibri"/>
          <w:sz w:val="18"/>
          <w:szCs w:val="18"/>
          <w:color w:val="auto"/>
        </w:rPr>
      </w:pPr>
    </w:p>
    <w:p>
      <w:pPr>
        <w:ind w:left="740" w:hanging="408"/>
        <w:spacing w:after="0" w:line="235" w:lineRule="auto"/>
        <w:tabs>
          <w:tab w:leader="none" w:pos="733" w:val="left"/>
        </w:tabs>
        <w:numPr>
          <w:ilvl w:val="0"/>
          <w:numId w:val="61"/>
        </w:numPr>
        <w:rPr>
          <w:rFonts w:ascii="Calibri" w:cs="Calibri" w:eastAsia="Calibri" w:hAnsi="Calibri"/>
          <w:sz w:val="18"/>
          <w:szCs w:val="18"/>
          <w:color w:val="auto"/>
        </w:rPr>
      </w:pPr>
      <w:r>
        <w:rPr>
          <w:rFonts w:ascii="Calibri" w:cs="Calibri" w:eastAsia="Calibri" w:hAnsi="Calibri"/>
          <w:sz w:val="18"/>
          <w:szCs w:val="18"/>
          <w:color w:val="auto"/>
        </w:rPr>
        <w:t xml:space="preserve">costs associated with the pre-launch inventory build for Vafseo in the U.S. prior to FDA approval in March 2024 and in Europe prior to the European Commission, or </w:t>
      </w:r>
      <w:r>
        <w:rPr>
          <w:rFonts w:ascii="Calibri" w:cs="Calibri" w:eastAsia="Calibri" w:hAnsi="Calibri"/>
          <w:sz w:val="18"/>
          <w:szCs w:val="18"/>
          <w:u w:val="single" w:color="auto"/>
          <w:color w:val="auto"/>
        </w:rPr>
        <w:t>EC</w:t>
      </w:r>
      <w:r>
        <w:rPr>
          <w:rFonts w:ascii="Calibri" w:cs="Calibri" w:eastAsia="Calibri" w:hAnsi="Calibri"/>
          <w:sz w:val="18"/>
          <w:szCs w:val="18"/>
          <w:color w:val="auto"/>
        </w:rPr>
        <w:t>, approval in April 2023.</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R&amp;D costs are expensed as incurred. Advance payments made for goods or services to be received in the future for use in R&amp;D actvites are recorded as prepaid expenses and other current assets. The prepaid amounts are expensed as the benefts are consumed. Costs for certain development actvites are recognized based on an evaluaton of the progress to completon of specifc tasks using informaton and data provided to us by our vendors and our clinical sites.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cannot determine with certainty the duraton and completon costs of our R&amp;D projects, the costs of related clinical development, or if, when, or to what extent we will generate revenue from the commercializaton or sale of any of our product candidates.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From incepton through December 31, 2024, we have incurred $1.7 billion in R&amp;D expenses. We expect to incur signifcant R&amp;D expenditures for the foreseeable future as we contnue the development of Auryxia, Vafseo and any other product or product candidate, including those that may be in-licensed or acquired.</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signifcant porton of our R&amp;D costs have been external costs, which we track on a program-by-program basis as well as costs related to possible new manufacturing processes and methods associated with our commercial products. These external costs include fees paid to investgators, consultants, central laboratories and CROs in connecton with our clinical trials and costs related to acquiring and manufacturing clinical trial materials, including costs paid to CMOs to manufacture clinical trial materials.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We do not track our internal personnel and facilites costs on a program-by-program basis as our personnel are deployed across multple R&amp;D projects.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Each of our products and product candidates has technical, clinical, regulatory, and commercial risk, including those discussed more fully under the heading “Risk Factors” in Part I, Item 1A of this Form 10-K. A change in the outcome of any of the variables with respect to the development of Auryxia, Vafseo or any other product or product candidate could result in a signifcant change in the costs and tming associated with that development.</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Selling, General and Administratve Expenses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Selling, general and administratve, or </w:t>
      </w:r>
      <w:r>
        <w:rPr>
          <w:rFonts w:ascii="Calibri" w:cs="Calibri" w:eastAsia="Calibri" w:hAnsi="Calibri"/>
          <w:sz w:val="18"/>
          <w:szCs w:val="18"/>
          <w:u w:val="single" w:color="auto"/>
          <w:color w:val="auto"/>
        </w:rPr>
        <w:t>SG&amp;A</w:t>
      </w:r>
      <w:r>
        <w:rPr>
          <w:rFonts w:ascii="Calibri" w:cs="Calibri" w:eastAsia="Calibri" w:hAnsi="Calibri"/>
          <w:sz w:val="18"/>
          <w:szCs w:val="18"/>
          <w:color w:val="auto"/>
        </w:rPr>
        <w:t>, expenses consist primarily of compensaton for personnel, including stock-based compensaton related to commercial, marketng, executve, fnance and accountng, informaton technology, corporate and business development and human resource functons. Other SG&amp;A expenses include costs for marketng initatves for our commercial products, market research and analysis on our commercial products and potental product candidates, conferences and trade shows, travel expenses, professional services fees (including legal, patent, accountng, audit, tax, and consultng fees), insurance costs, general corporate expenses and allocated facilites-related expenses, including rent and maintenance of facilites.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License Expense</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License expense relates to royaltes due to Panion &amp; BF Biotech, Inc., or </w:t>
      </w:r>
      <w:r>
        <w:rPr>
          <w:rFonts w:ascii="Calibri" w:cs="Calibri" w:eastAsia="Calibri" w:hAnsi="Calibri"/>
          <w:sz w:val="18"/>
          <w:szCs w:val="18"/>
          <w:u w:val="single" w:color="auto"/>
          <w:color w:val="auto"/>
        </w:rPr>
        <w:t>Panion</w:t>
      </w:r>
      <w:r>
        <w:rPr>
          <w:rFonts w:ascii="Calibri" w:cs="Calibri" w:eastAsia="Calibri" w:hAnsi="Calibri"/>
          <w:sz w:val="18"/>
          <w:szCs w:val="18"/>
          <w:color w:val="auto"/>
        </w:rPr>
        <w:t>, for sales of Auryxia in the U.S. and Riona in Japan.</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Other Income (Expense), Net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3" w:name="page114"/>
    <w:bookmarkEnd w:id="11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Other income (expense), net consists primarily of interest income on our interest-bearing accounts, interest expense related to our term loans, accreton of the debt discount on our term loans as well as changes in the fair value of our derivatve liability and amortzaton of the discount on the liability related to the terminaton fees associated with the terminaton agreement with BioVectra Inc., or </w:t>
      </w:r>
      <w:r>
        <w:rPr>
          <w:rFonts w:ascii="Calibri" w:cs="Calibri" w:eastAsia="Calibri" w:hAnsi="Calibri"/>
          <w:sz w:val="18"/>
          <w:szCs w:val="18"/>
          <w:u w:val="single" w:color="auto"/>
          <w:color w:val="auto"/>
        </w:rPr>
        <w:t>BioVectra</w:t>
      </w:r>
      <w:r>
        <w:rPr>
          <w:rFonts w:ascii="Calibri" w:cs="Calibri" w:eastAsia="Calibri" w:hAnsi="Calibri"/>
          <w:sz w:val="18"/>
          <w:szCs w:val="18"/>
          <w:color w:val="auto"/>
        </w:rPr>
        <w:t xml:space="preserve">, entered into in December 2022, or the </w:t>
      </w:r>
      <w:r>
        <w:rPr>
          <w:rFonts w:ascii="Calibri" w:cs="Calibri" w:eastAsia="Calibri" w:hAnsi="Calibri"/>
          <w:sz w:val="18"/>
          <w:szCs w:val="18"/>
          <w:u w:val="single" w:color="auto"/>
          <w:color w:val="auto"/>
        </w:rPr>
        <w:t>BioVectra</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auto"/>
        </w:rPr>
        <w:t>Terminaton Agreement</w:t>
      </w:r>
      <w:r>
        <w:rPr>
          <w:rFonts w:ascii="Calibri" w:cs="Calibri" w:eastAsia="Calibri" w:hAnsi="Calibri"/>
          <w:sz w:val="18"/>
          <w:szCs w:val="18"/>
          <w:color w:val="auto"/>
        </w:rPr>
        <w:t xml:space="preserve">. See Note 10, </w:t>
      </w:r>
      <w:r>
        <w:rPr>
          <w:rFonts w:ascii="Calibri" w:cs="Calibri" w:eastAsia="Calibri" w:hAnsi="Calibri"/>
          <w:sz w:val="18"/>
          <w:szCs w:val="18"/>
          <w:i w:val="1"/>
          <w:iCs w:val="1"/>
          <w:color w:val="auto"/>
        </w:rPr>
        <w:t>Commitments and Contngencies,</w:t>
      </w:r>
      <w:r>
        <w:rPr>
          <w:rFonts w:ascii="Calibri" w:cs="Calibri" w:eastAsia="Calibri" w:hAnsi="Calibri"/>
          <w:sz w:val="18"/>
          <w:szCs w:val="18"/>
          <w:color w:val="auto"/>
        </w:rPr>
        <w:t xml:space="preserve"> in the accompanying notes to the consolidated fnancial statements included in Part II, Item 8 of this Form 10-K for further informaton on the BioVectra Terminaton Agreement. Other income (expense), net also includes non-cash interest on our liability related to setlement royaltes and the amortzaton of the discount and deferred gain related to our Working Capital Fund (as defned below) liability to Vifor (Internatonal) Ltd. (now a part of CSL Limited), or </w:t>
      </w:r>
      <w:r>
        <w:rPr>
          <w:rFonts w:ascii="Calibri" w:cs="Calibri" w:eastAsia="Calibri" w:hAnsi="Calibri"/>
          <w:sz w:val="18"/>
          <w:szCs w:val="18"/>
          <w:u w:val="single" w:color="auto"/>
          <w:color w:val="auto"/>
        </w:rPr>
        <w:t>CSL Vifor</w:t>
      </w:r>
      <w:r>
        <w:rPr>
          <w:rFonts w:ascii="Calibri" w:cs="Calibri" w:eastAsia="Calibri" w:hAnsi="Calibri"/>
          <w:sz w:val="18"/>
          <w:szCs w:val="18"/>
          <w:color w:val="auto"/>
        </w:rPr>
        <w:t xml:space="preserve">. See Note 8, </w:t>
      </w:r>
      <w:r>
        <w:rPr>
          <w:rFonts w:ascii="Calibri" w:cs="Calibri" w:eastAsia="Calibri" w:hAnsi="Calibri"/>
          <w:sz w:val="18"/>
          <w:szCs w:val="18"/>
          <w:i w:val="1"/>
          <w:iCs w:val="1"/>
          <w:color w:val="auto"/>
        </w:rPr>
        <w:t>Liability Related to Setlement Royaltes, Working Capital Fund</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Liability and Liability Related to Sale of Future Royaltes</w:t>
      </w:r>
      <w:r>
        <w:rPr>
          <w:rFonts w:ascii="Calibri" w:cs="Calibri" w:eastAsia="Calibri" w:hAnsi="Calibri"/>
          <w:sz w:val="18"/>
          <w:szCs w:val="18"/>
          <w:color w:val="auto"/>
        </w:rPr>
        <w:t>, in the accompanying notes to the consolidated fnancial statements included in Part II, Item 8 of this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Form 10-K for further informaton on our arrangements with CSL Vifor.</w:t>
      </w:r>
    </w:p>
    <w:p>
      <w:pPr>
        <w:spacing w:after="0" w:line="11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Change in Fair Value of Warrant Liability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Change in fair value of warrant liability relates to the change in fair value of our warrant liability related to a warrant agreement with Kreos Capital VII Aggregator SCSp, an afliate of Kreos Capital VII (UK) Limited, or </w:t>
      </w:r>
      <w:r>
        <w:rPr>
          <w:rFonts w:ascii="Calibri" w:cs="Calibri" w:eastAsia="Calibri" w:hAnsi="Calibri"/>
          <w:sz w:val="18"/>
          <w:szCs w:val="18"/>
          <w:u w:val="single" w:color="auto"/>
          <w:color w:val="auto"/>
        </w:rPr>
        <w:t>Kreos.</w:t>
      </w:r>
      <w:r>
        <w:rPr>
          <w:rFonts w:ascii="Calibri" w:cs="Calibri" w:eastAsia="Calibri" w:hAnsi="Calibri"/>
          <w:sz w:val="18"/>
          <w:szCs w:val="18"/>
          <w:color w:val="auto"/>
        </w:rPr>
        <w:t xml:space="preserve"> See Note 3, </w:t>
      </w:r>
      <w:r>
        <w:rPr>
          <w:rFonts w:ascii="Calibri" w:cs="Calibri" w:eastAsia="Calibri" w:hAnsi="Calibri"/>
          <w:sz w:val="18"/>
          <w:szCs w:val="18"/>
          <w:i w:val="1"/>
          <w:iCs w:val="1"/>
          <w:color w:val="auto"/>
        </w:rPr>
        <w:t>Fair Value of Financial Instruments</w:t>
      </w:r>
      <w:r>
        <w:rPr>
          <w:rFonts w:ascii="Calibri" w:cs="Calibri" w:eastAsia="Calibri" w:hAnsi="Calibri"/>
          <w:sz w:val="18"/>
          <w:szCs w:val="18"/>
          <w:color w:val="auto"/>
        </w:rPr>
        <w:t xml:space="preserve">, and Note 7, </w:t>
      </w:r>
      <w:r>
        <w:rPr>
          <w:rFonts w:ascii="Calibri" w:cs="Calibri" w:eastAsia="Calibri" w:hAnsi="Calibri"/>
          <w:sz w:val="18"/>
          <w:szCs w:val="18"/>
          <w:i w:val="1"/>
          <w:iCs w:val="1"/>
          <w:color w:val="auto"/>
        </w:rPr>
        <w:t>Indebtedness</w:t>
      </w:r>
      <w:r>
        <w:rPr>
          <w:rFonts w:ascii="Calibri" w:cs="Calibri" w:eastAsia="Calibri" w:hAnsi="Calibri"/>
          <w:sz w:val="18"/>
          <w:szCs w:val="18"/>
          <w:color w:val="auto"/>
        </w:rPr>
        <w:t>, in the accompanying notes to the consolidated fnancial statements included in Part II, Item 8 of this Form 10-K for further informaton on the warrant liability.</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 Events</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Borrowing Under BlackRock Term Loans</w:t>
      </w:r>
    </w:p>
    <w:p>
      <w:pPr>
        <w:spacing w:after="0" w:line="82" w:lineRule="exact"/>
        <w:rPr>
          <w:sz w:val="20"/>
          <w:szCs w:val="20"/>
          <w:color w:val="auto"/>
        </w:rPr>
      </w:pPr>
    </w:p>
    <w:p>
      <w:pPr>
        <w:jc w:val="both"/>
        <w:spacing w:after="0" w:line="224" w:lineRule="auto"/>
        <w:rPr>
          <w:sz w:val="20"/>
          <w:szCs w:val="20"/>
          <w:color w:val="auto"/>
        </w:rPr>
      </w:pPr>
      <w:r>
        <w:rPr>
          <w:rFonts w:ascii="Calibri" w:cs="Calibri" w:eastAsia="Calibri" w:hAnsi="Calibri"/>
          <w:sz w:val="18"/>
          <w:szCs w:val="18"/>
          <w:color w:val="auto"/>
        </w:rPr>
        <w:t xml:space="preserve">On February 3, 2025, we and Kreos, which are funds and accounts managed by BlackRock Inc., collectvely, </w:t>
      </w:r>
      <w:r>
        <w:rPr>
          <w:rFonts w:ascii="Calibri" w:cs="Calibri" w:eastAsia="Calibri" w:hAnsi="Calibri"/>
          <w:sz w:val="18"/>
          <w:szCs w:val="18"/>
          <w:u w:val="single" w:color="auto"/>
          <w:color w:val="auto"/>
        </w:rPr>
        <w:t>BlackRock</w:t>
      </w:r>
      <w:r>
        <w:rPr>
          <w:rFonts w:ascii="Calibri" w:cs="Calibri" w:eastAsia="Calibri" w:hAnsi="Calibri"/>
          <w:sz w:val="18"/>
          <w:szCs w:val="18"/>
          <w:color w:val="auto"/>
        </w:rPr>
        <w:t xml:space="preserve">, entered into the Second Amendment to the Agreement for the Provision of a Loan Facility, or the </w:t>
      </w:r>
      <w:r>
        <w:rPr>
          <w:rFonts w:ascii="Calibri" w:cs="Calibri" w:eastAsia="Calibri" w:hAnsi="Calibri"/>
          <w:sz w:val="18"/>
          <w:szCs w:val="18"/>
          <w:u w:val="single" w:color="auto"/>
          <w:color w:val="auto"/>
        </w:rPr>
        <w:t>Second Amendment</w:t>
      </w:r>
      <w:r>
        <w:rPr>
          <w:rFonts w:ascii="Calibri" w:cs="Calibri" w:eastAsia="Calibri" w:hAnsi="Calibri"/>
          <w:sz w:val="18"/>
          <w:szCs w:val="18"/>
          <w:color w:val="auto"/>
        </w:rPr>
        <w:t xml:space="preserve">, which amended certain provisions of the Agreement for the Provision of a Loan Facility, dated January 29, 2024, or the </w:t>
      </w:r>
      <w:r>
        <w:rPr>
          <w:rFonts w:ascii="Calibri" w:cs="Calibri" w:eastAsia="Calibri" w:hAnsi="Calibri"/>
          <w:sz w:val="18"/>
          <w:szCs w:val="18"/>
          <w:u w:val="single" w:color="auto"/>
          <w:color w:val="auto"/>
        </w:rPr>
        <w:t>BlackRock Credit Agreement</w:t>
      </w:r>
      <w:r>
        <w:rPr>
          <w:rFonts w:ascii="Calibri" w:cs="Calibri" w:eastAsia="Calibri" w:hAnsi="Calibri"/>
          <w:sz w:val="18"/>
          <w:szCs w:val="18"/>
          <w:color w:val="auto"/>
        </w:rPr>
        <w:t xml:space="preserve">. The BlackRock Credit Agreement provides for a senior secured term loan facility in the aggregate principal amount of up to $55.0 million, subject to certain customary conditons, or the </w:t>
      </w:r>
      <w:r>
        <w:rPr>
          <w:rFonts w:ascii="Calibri" w:cs="Calibri" w:eastAsia="Calibri" w:hAnsi="Calibri"/>
          <w:sz w:val="18"/>
          <w:szCs w:val="18"/>
          <w:u w:val="single" w:color="auto"/>
          <w:color w:val="auto"/>
        </w:rPr>
        <w:t>Term Loan Facility</w:t>
      </w:r>
      <w:r>
        <w:rPr>
          <w:rFonts w:ascii="Calibri" w:cs="Calibri" w:eastAsia="Calibri" w:hAnsi="Calibri"/>
          <w:sz w:val="18"/>
          <w:szCs w:val="18"/>
          <w:color w:val="auto"/>
        </w:rPr>
        <w: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Term Loan Facility provided us access to three tranches: (i) an inital tranche of $37.0 million, which was funded on January 29, 2024, (ii) an additonal tranche of $8.0 million, which was funded on April 19, 2024, and (iii) a fnal tranche of $10.0 million, which was available in a single draw through an expiry date of December 31, 2024, or the </w:t>
      </w:r>
      <w:r>
        <w:rPr>
          <w:rFonts w:ascii="Calibri" w:cs="Calibri" w:eastAsia="Calibri" w:hAnsi="Calibri"/>
          <w:sz w:val="18"/>
          <w:szCs w:val="18"/>
          <w:u w:val="single" w:color="auto"/>
          <w:color w:val="auto"/>
        </w:rPr>
        <w:t>Prior Tranche C Loan</w:t>
      </w:r>
      <w:r>
        <w:rPr>
          <w:rFonts w:ascii="Calibri" w:cs="Calibri" w:eastAsia="Calibri" w:hAnsi="Calibri"/>
          <w:sz w:val="18"/>
          <w:szCs w:val="18"/>
          <w:color w:val="auto"/>
        </w:rPr>
        <w:t xml:space="preserve">. As a result of the Second Amendment, the Prior Tranche C Loan expiry date was extended untl February 3, 2025, or the </w:t>
      </w:r>
      <w:r>
        <w:rPr>
          <w:rFonts w:ascii="Calibri" w:cs="Calibri" w:eastAsia="Calibri" w:hAnsi="Calibri"/>
          <w:sz w:val="18"/>
          <w:szCs w:val="18"/>
          <w:u w:val="single" w:color="auto"/>
          <w:color w:val="auto"/>
        </w:rPr>
        <w:t>Extended Tranche C Loan</w:t>
      </w:r>
      <w:r>
        <w:rPr>
          <w:rFonts w:ascii="Calibri" w:cs="Calibri" w:eastAsia="Calibri" w:hAnsi="Calibri"/>
          <w:sz w:val="18"/>
          <w:szCs w:val="18"/>
          <w:color w:val="auto"/>
        </w:rPr>
        <w:t>. The terms of the Extended Tranche C Loan are substantally similar to the terms of the Prior Tranche C Loan, however, interest will accrue on the Extended Tranche C Loan as if it was advanced on December 31, 2024.</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On February 3, 2025, we received $9.3 million on the Extended Tranche C Loan, afer deductng debt issuance costs, interest, fees and expenses.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February 3, 2025, in connecton with the drawdown of the Extended Tranche C Loan, in accordance with the warrant agreement, dated as of January 29, 2024, between the Company and Kreos Capital VII Aggregator SCSp, or the </w:t>
      </w:r>
      <w:r>
        <w:rPr>
          <w:rFonts w:ascii="Calibri" w:cs="Calibri" w:eastAsia="Calibri" w:hAnsi="Calibri"/>
          <w:sz w:val="18"/>
          <w:szCs w:val="18"/>
          <w:u w:val="single" w:color="auto"/>
          <w:color w:val="auto"/>
        </w:rPr>
        <w:t>Warrant Holder</w:t>
      </w:r>
      <w:r>
        <w:rPr>
          <w:rFonts w:ascii="Calibri" w:cs="Calibri" w:eastAsia="Calibri" w:hAnsi="Calibri"/>
          <w:sz w:val="18"/>
          <w:szCs w:val="18"/>
          <w:color w:val="auto"/>
        </w:rPr>
        <w:t>, we issued a warrant to the Warrant Holder to purchase 1,153,846 shares of our common stock, at an exercise price per share of $1.30. The warrant shall be exercisable for eight years from the date of issuance.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See Note 7, </w:t>
      </w:r>
      <w:r>
        <w:rPr>
          <w:rFonts w:ascii="Calibri" w:cs="Calibri" w:eastAsia="Calibri" w:hAnsi="Calibri"/>
          <w:sz w:val="18"/>
          <w:szCs w:val="18"/>
          <w:i w:val="1"/>
          <w:iCs w:val="1"/>
          <w:color w:val="auto"/>
        </w:rPr>
        <w:t>Indebtedness</w:t>
      </w:r>
      <w:r>
        <w:rPr>
          <w:rFonts w:ascii="Calibri" w:cs="Calibri" w:eastAsia="Calibri" w:hAnsi="Calibri"/>
          <w:sz w:val="18"/>
          <w:szCs w:val="18"/>
          <w:color w:val="auto"/>
        </w:rPr>
        <w:t xml:space="preserve">, and Note 18, </w:t>
      </w:r>
      <w:r>
        <w:rPr>
          <w:rFonts w:ascii="Calibri" w:cs="Calibri" w:eastAsia="Calibri" w:hAnsi="Calibri"/>
          <w:sz w:val="18"/>
          <w:szCs w:val="18"/>
          <w:i w:val="1"/>
          <w:iCs w:val="1"/>
          <w:color w:val="auto"/>
        </w:rPr>
        <w:t>Subsequent Events</w:t>
      </w:r>
      <w:r>
        <w:rPr>
          <w:rFonts w:ascii="Calibri" w:cs="Calibri" w:eastAsia="Calibri" w:hAnsi="Calibri"/>
          <w:sz w:val="18"/>
          <w:szCs w:val="18"/>
          <w:color w:val="auto"/>
        </w:rPr>
        <w:t>, in the accompanying notes to the consolidated fnancial statements included in Part II, Item 8 of this Form 10-K for further informaton.</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Cyclerion Amendment</w:t>
      </w:r>
    </w:p>
    <w:p>
      <w:pPr>
        <w:spacing w:after="0" w:line="9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June 2021, we entered into a license agreement, or the </w:t>
      </w:r>
      <w:r>
        <w:rPr>
          <w:rFonts w:ascii="Calibri" w:cs="Calibri" w:eastAsia="Calibri" w:hAnsi="Calibri"/>
          <w:sz w:val="18"/>
          <w:szCs w:val="18"/>
          <w:u w:val="single" w:color="auto"/>
          <w:color w:val="auto"/>
        </w:rPr>
        <w:t>Cyclerion Agreement</w:t>
      </w:r>
      <w:r>
        <w:rPr>
          <w:rFonts w:ascii="Calibri" w:cs="Calibri" w:eastAsia="Calibri" w:hAnsi="Calibri"/>
          <w:sz w:val="18"/>
          <w:szCs w:val="18"/>
          <w:color w:val="auto"/>
        </w:rPr>
        <w:t>, with Cyclerion under which we obtained an exclusive global license under certain intellectual property rights to research, develop and commercialize praliciguat, an investgatonal oral soluble guanylate cyclase stmulator.</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December 2024, we amended the terms of the Cyclerion Agreement, pursuant to which we made an upfront payment of $1.25 million, and we will also pay Cyclerion $0.5 million on or before September 30, 2025. In additon, we and Cyclerion agreed to the reducton of certain development milestones and the increase of certain royalty rates on net sales and sublicense income. We now control all clinical and commercial manufacturing of praliciguat, which will be conducted by a third party manufacturer. We will also control patent prosecuton and pay intellectual property costs startng April 1, 2025.</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See Note 10, </w:t>
      </w:r>
      <w:r>
        <w:rPr>
          <w:rFonts w:ascii="Calibri" w:cs="Calibri" w:eastAsia="Calibri" w:hAnsi="Calibri"/>
          <w:sz w:val="18"/>
          <w:szCs w:val="18"/>
          <w:i w:val="1"/>
          <w:iCs w:val="1"/>
          <w:color w:val="auto"/>
        </w:rPr>
        <w:t>Commitments and Contngencies</w:t>
      </w:r>
      <w:r>
        <w:rPr>
          <w:rFonts w:ascii="Calibri" w:cs="Calibri" w:eastAsia="Calibri" w:hAnsi="Calibri"/>
          <w:sz w:val="18"/>
          <w:szCs w:val="18"/>
          <w:color w:val="auto"/>
        </w:rPr>
        <w:t>, for further details on the Cyclerion Agreement.</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U.S. Approval and Commercializaton of Vafseo (vadadustat)</w:t>
      </w:r>
    </w:p>
    <w:p>
      <w:pPr>
        <w:spacing w:after="0" w:line="9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March 2024, we received approval from the FDA for Vafseo (vadadustat) Tablets for the treatment of anemia due to CKD in adults who have been receiving dialysis for at least three months. Upon Vafseo approval, we implemented a launch plan to commercialize Vafseo for the treatment of anemia due to CKD in adult patents on dialysis, the critcal frst step toward Vafseo potentally becoming standard of care. We have completed certain critcal commercializaton initatves, including securing</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4" w:name="page115"/>
    <w:bookmarkEnd w:id="11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reimbursement for Vafseo under the Transitonal Drug Add-on Payment Adjustment, or </w:t>
      </w:r>
      <w:r>
        <w:rPr>
          <w:rFonts w:ascii="Calibri" w:cs="Calibri" w:eastAsia="Calibri" w:hAnsi="Calibri"/>
          <w:sz w:val="18"/>
          <w:szCs w:val="18"/>
          <w:u w:val="single" w:color="auto"/>
          <w:color w:val="auto"/>
        </w:rPr>
        <w:t>TDAPA</w:t>
      </w:r>
      <w:r>
        <w:rPr>
          <w:rFonts w:ascii="Calibri" w:cs="Calibri" w:eastAsia="Calibri" w:hAnsi="Calibri"/>
          <w:sz w:val="18"/>
          <w:szCs w:val="18"/>
          <w:color w:val="auto"/>
        </w:rPr>
        <w:t xml:space="preserve">, and securing access to Vafseo for patents through commercial supply agreements with dialysis organizatons. The TDAPA program provides at least two years of reimbursement for Vafseo in additon to the end-stage renal disease, or </w:t>
      </w:r>
      <w:r>
        <w:rPr>
          <w:rFonts w:ascii="Calibri" w:cs="Calibri" w:eastAsia="Calibri" w:hAnsi="Calibri"/>
          <w:sz w:val="18"/>
          <w:szCs w:val="18"/>
          <w:u w:val="single" w:color="auto"/>
          <w:color w:val="auto"/>
        </w:rPr>
        <w:t>ESRD</w:t>
      </w:r>
      <w:r>
        <w:rPr>
          <w:rFonts w:ascii="Calibri" w:cs="Calibri" w:eastAsia="Calibri" w:hAnsi="Calibri"/>
          <w:sz w:val="18"/>
          <w:szCs w:val="18"/>
          <w:color w:val="auto"/>
        </w:rPr>
        <w:t>, bundled rate to dialysis organizatons. Additonally, we received a Level II Healthcare Common Procedure Coding System code for Vafseo which is used by dialysis organizatons for billing the product for Medicare enrollees. Shipment of Vafseo commenced in January 2025.</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At-the-Market (ATM) Ofering</w:t>
      </w:r>
    </w:p>
    <w:p>
      <w:pPr>
        <w:spacing w:after="0" w:line="91" w:lineRule="exact"/>
        <w:rPr>
          <w:sz w:val="20"/>
          <w:szCs w:val="20"/>
          <w:color w:val="auto"/>
        </w:rPr>
      </w:pPr>
    </w:p>
    <w:p>
      <w:pPr>
        <w:spacing w:after="0"/>
        <w:rPr>
          <w:sz w:val="20"/>
          <w:szCs w:val="20"/>
          <w:color w:val="auto"/>
        </w:rPr>
      </w:pPr>
      <w:r>
        <w:rPr>
          <w:rFonts w:ascii="Calibri" w:cs="Calibri" w:eastAsia="Calibri" w:hAnsi="Calibri"/>
          <w:sz w:val="18"/>
          <w:szCs w:val="18"/>
          <w:color w:val="auto"/>
        </w:rPr>
        <w:t>On September 3, 2024, in connecton with the fling of a new shelf registraton statement on Form S-3, we fled a prospectus related to our amended and</w:t>
      </w:r>
    </w:p>
    <w:p>
      <w:pPr>
        <w:spacing w:after="0" w:line="221" w:lineRule="auto"/>
        <w:rPr>
          <w:sz w:val="20"/>
          <w:szCs w:val="20"/>
          <w:color w:val="auto"/>
        </w:rPr>
      </w:pPr>
      <w:r>
        <w:rPr>
          <w:rFonts w:ascii="Calibri" w:cs="Calibri" w:eastAsia="Calibri" w:hAnsi="Calibri"/>
          <w:sz w:val="18"/>
          <w:szCs w:val="18"/>
          <w:color w:val="auto"/>
        </w:rPr>
        <w:t>restated sales agreement with Jeferies LLC (which amended and restated the prior sales agreement), pursuant to which we are able to ofer and sell up to</w:t>
      </w:r>
    </w:p>
    <w:p>
      <w:pPr>
        <w:spacing w:after="0" w:line="234" w:lineRule="auto"/>
        <w:rPr>
          <w:sz w:val="20"/>
          <w:szCs w:val="20"/>
          <w:color w:val="auto"/>
        </w:rPr>
      </w:pPr>
      <w:r>
        <w:rPr>
          <w:rFonts w:ascii="Calibri" w:cs="Calibri" w:eastAsia="Calibri" w:hAnsi="Calibri"/>
          <w:sz w:val="17"/>
          <w:szCs w:val="17"/>
          <w:color w:val="auto"/>
        </w:rPr>
        <w:t>$75.0 million of our common stock at current market prices from tme to tme. Since September 12, 2024 (the date our shelf registraton statement on Form</w:t>
      </w:r>
    </w:p>
    <w:p>
      <w:pPr>
        <w:spacing w:after="0" w:line="221" w:lineRule="auto"/>
        <w:rPr>
          <w:sz w:val="20"/>
          <w:szCs w:val="20"/>
          <w:color w:val="auto"/>
        </w:rPr>
      </w:pPr>
      <w:r>
        <w:rPr>
          <w:rFonts w:ascii="Calibri" w:cs="Calibri" w:eastAsia="Calibri" w:hAnsi="Calibri"/>
          <w:sz w:val="18"/>
          <w:szCs w:val="18"/>
          <w:color w:val="auto"/>
        </w:rPr>
        <w:t>S-3 went efectve) through December 31, 2024, we sold 14,271,631 shares of our common stock under this program with gross proceeds of $24.3 million</w:t>
      </w:r>
    </w:p>
    <w:p>
      <w:pPr>
        <w:spacing w:after="0" w:line="234" w:lineRule="auto"/>
        <w:rPr>
          <w:sz w:val="20"/>
          <w:szCs w:val="20"/>
          <w:color w:val="auto"/>
        </w:rPr>
      </w:pPr>
      <w:r>
        <w:rPr>
          <w:rFonts w:ascii="Calibri" w:cs="Calibri" w:eastAsia="Calibri" w:hAnsi="Calibri"/>
          <w:sz w:val="17"/>
          <w:szCs w:val="17"/>
          <w:color w:val="auto"/>
        </w:rPr>
        <w:t>($23.8 million, net of ofering expenses). Including the amount sold during the year ended December 31, 2024 through the date of the fling of this Form 10-K,</w:t>
      </w:r>
    </w:p>
    <w:p>
      <w:pPr>
        <w:spacing w:after="0" w:line="221" w:lineRule="auto"/>
        <w:rPr>
          <w:sz w:val="20"/>
          <w:szCs w:val="20"/>
          <w:color w:val="auto"/>
        </w:rPr>
      </w:pPr>
      <w:r>
        <w:rPr>
          <w:rFonts w:ascii="Calibri" w:cs="Calibri" w:eastAsia="Calibri" w:hAnsi="Calibri"/>
          <w:sz w:val="18"/>
          <w:szCs w:val="18"/>
          <w:color w:val="auto"/>
        </w:rPr>
        <w:t>we sold 23,708,995 shares of our common stock under the sales agreement with gross proceeds of $43.0 million ($42.2 million, net of ofering expenses).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CSL Vifor Terminaton and Setlement Agreement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July 10, 2024, we and CSL Vifor entered into a Terminaton and Setlement Agreement, or the </w:t>
      </w:r>
      <w:r>
        <w:rPr>
          <w:rFonts w:ascii="Calibri" w:cs="Calibri" w:eastAsia="Calibri" w:hAnsi="Calibri"/>
          <w:sz w:val="18"/>
          <w:szCs w:val="18"/>
          <w:u w:val="single" w:color="auto"/>
          <w:color w:val="auto"/>
        </w:rPr>
        <w:t>Vifor Terminaton Agreement</w:t>
      </w:r>
      <w:r>
        <w:rPr>
          <w:rFonts w:ascii="Calibri" w:cs="Calibri" w:eastAsia="Calibri" w:hAnsi="Calibri"/>
          <w:sz w:val="18"/>
          <w:szCs w:val="18"/>
          <w:color w:val="auto"/>
        </w:rPr>
        <w:t xml:space="preserve">. Pursuant to the Vifor Terminaton Agreement, we and CSL Vifor agreed, among other things, to terminate, efectve immediately, the Second Amended and Restated License Agreement, dated February 18, 2022 and as amended May 3, 2024, or the </w:t>
      </w:r>
      <w:r>
        <w:rPr>
          <w:rFonts w:ascii="Calibri" w:cs="Calibri" w:eastAsia="Calibri" w:hAnsi="Calibri"/>
          <w:sz w:val="18"/>
          <w:szCs w:val="18"/>
          <w:u w:val="single" w:color="auto"/>
          <w:color w:val="auto"/>
        </w:rPr>
        <w:t>Vifor License Agreement</w:t>
      </w:r>
      <w:r>
        <w:rPr>
          <w:rFonts w:ascii="Calibri" w:cs="Calibri" w:eastAsia="Calibri" w:hAnsi="Calibri"/>
          <w:sz w:val="18"/>
          <w:szCs w:val="18"/>
          <w:color w:val="auto"/>
        </w:rPr>
        <w:t>, pursuant to which we granted to CSL Vifor an exclusive license to sell Vafseo to Fresenius Medical Care North America and its afliates, including Fresenius Kidney Care Group LLC, to certain third-party dialysis organizatons approved by us, to independent dialysis organizatons that are members of certain group purchasing organizatons, and to certain non-retail specialty pharmacies in the U.S. We and CSL Vifor agreed to terminate the Vifor License Agreement for business reasons.</w:t>
      </w:r>
    </w:p>
    <w:p>
      <w:pPr>
        <w:spacing w:after="0" w:line="113" w:lineRule="exact"/>
        <w:rPr>
          <w:sz w:val="20"/>
          <w:szCs w:val="20"/>
          <w:color w:val="auto"/>
        </w:rPr>
      </w:pPr>
    </w:p>
    <w:p>
      <w:pPr>
        <w:jc w:val="both"/>
        <w:ind w:right="20"/>
        <w:spacing w:after="0" w:line="258" w:lineRule="auto"/>
        <w:rPr>
          <w:sz w:val="20"/>
          <w:szCs w:val="20"/>
          <w:color w:val="auto"/>
        </w:rPr>
      </w:pPr>
      <w:r>
        <w:rPr>
          <w:rFonts w:ascii="Calibri" w:cs="Calibri" w:eastAsia="Calibri" w:hAnsi="Calibri"/>
          <w:sz w:val="17"/>
          <w:szCs w:val="17"/>
          <w:color w:val="auto"/>
        </w:rPr>
        <w:t xml:space="preserve">See Note 8, </w:t>
      </w:r>
      <w:r>
        <w:rPr>
          <w:rFonts w:ascii="Calibri" w:cs="Calibri" w:eastAsia="Calibri" w:hAnsi="Calibri"/>
          <w:sz w:val="17"/>
          <w:szCs w:val="17"/>
          <w:i w:val="1"/>
          <w:iCs w:val="1"/>
          <w:color w:val="auto"/>
        </w:rPr>
        <w:t>Liability Related to Setlement Royaltes, Working Capital Fund Liability and Liability Related to Sale of Future Royaltes</w:t>
      </w:r>
      <w:r>
        <w:rPr>
          <w:rFonts w:ascii="Calibri" w:cs="Calibri" w:eastAsia="Calibri" w:hAnsi="Calibri"/>
          <w:sz w:val="17"/>
          <w:szCs w:val="17"/>
          <w:color w:val="auto"/>
        </w:rPr>
        <w:t>, in the accompanying notes to the audited consolidated fnancial statements included in Part II, Item 8 of this Form 10-K for further informaton on the Vifor Terminaton Agreement.</w:t>
      </w:r>
    </w:p>
    <w:p>
      <w:pPr>
        <w:spacing w:after="0" w:line="8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Results of Operatons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Comparison of the years ended December 31, 2024 and 2023</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gridSpan w:val="4"/>
          </w:tcPr>
          <w:p>
            <w:pPr>
              <w:jc w:val="right"/>
              <w:ind w:right="119"/>
              <w:spacing w:after="0"/>
              <w:rPr>
                <w:sz w:val="20"/>
                <w:szCs w:val="20"/>
                <w:color w:val="auto"/>
              </w:rPr>
            </w:pPr>
            <w:r>
              <w:rPr>
                <w:rFonts w:ascii="Calibri" w:cs="Calibri" w:eastAsia="Calibri" w:hAnsi="Calibri"/>
                <w:sz w:val="16"/>
                <w:szCs w:val="16"/>
                <w:b w:val="1"/>
                <w:bCs w:val="1"/>
                <w:color w:val="auto"/>
              </w:rPr>
              <w:t>Years ended December 31,</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60" w:type="dxa"/>
            <w:vAlign w:val="bottom"/>
            <w:gridSpan w:val="3"/>
          </w:tcPr>
          <w:p>
            <w:pPr>
              <w:ind w:left="1020"/>
              <w:spacing w:after="0"/>
              <w:rPr>
                <w:sz w:val="20"/>
                <w:szCs w:val="20"/>
                <w:color w:val="auto"/>
              </w:rPr>
            </w:pPr>
            <w:r>
              <w:rPr>
                <w:rFonts w:ascii="Calibri" w:cs="Calibri" w:eastAsia="Calibri" w:hAnsi="Calibri"/>
                <w:sz w:val="16"/>
                <w:szCs w:val="16"/>
                <w:b w:val="1"/>
                <w:bCs w:val="1"/>
                <w:color w:val="auto"/>
              </w:rPr>
              <w:t>Change</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4360" w:type="dxa"/>
            <w:vAlign w:val="bottom"/>
            <w:gridSpan w:val="2"/>
            <w:vMerge w:val="restart"/>
          </w:tcPr>
          <w:p>
            <w:pPr>
              <w:ind w:left="20"/>
              <w:spacing w:after="0"/>
              <w:rPr>
                <w:sz w:val="20"/>
                <w:szCs w:val="20"/>
                <w:color w:val="auto"/>
              </w:rPr>
            </w:pPr>
            <w:r>
              <w:rPr>
                <w:rFonts w:ascii="Calibri" w:cs="Calibri" w:eastAsia="Calibri" w:hAnsi="Calibri"/>
                <w:sz w:val="16"/>
                <w:szCs w:val="16"/>
                <w:i w:val="1"/>
                <w:iCs w:val="1"/>
                <w:color w:val="auto"/>
              </w:rPr>
              <w:t>(dollars in thousands)</w:t>
            </w: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360" w:type="dxa"/>
            <w:vAlign w:val="bottom"/>
            <w:gridSpan w:val="2"/>
            <w:vMerge w:val="continue"/>
          </w:tcPr>
          <w:p>
            <w:pPr>
              <w:spacing w:after="0"/>
              <w:rPr>
                <w:sz w:val="16"/>
                <w:szCs w:val="16"/>
                <w:color w:val="auto"/>
              </w:rPr>
            </w:pPr>
          </w:p>
        </w:tc>
        <w:tc>
          <w:tcPr>
            <w:tcW w:w="104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2024</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2023</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jc w:val="right"/>
              <w:ind w:right="619"/>
              <w:spacing w:after="0" w:line="187" w:lineRule="exact"/>
              <w:rPr>
                <w:sz w:val="20"/>
                <w:szCs w:val="20"/>
                <w:color w:val="auto"/>
              </w:rPr>
            </w:pPr>
            <w:r>
              <w:rPr>
                <w:rFonts w:ascii="Calibri" w:cs="Calibri" w:eastAsia="Calibri" w:hAnsi="Calibri"/>
                <w:sz w:val="16"/>
                <w:szCs w:val="16"/>
                <w:b w:val="1"/>
                <w:bCs w:val="1"/>
                <w:color w:val="auto"/>
              </w:rPr>
              <w:t>$</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tcPr>
          <w:p>
            <w:pPr>
              <w:jc w:val="right"/>
              <w:ind w:right="739"/>
              <w:spacing w:after="0" w:line="187" w:lineRule="exact"/>
              <w:rPr>
                <w:sz w:val="20"/>
                <w:szCs w:val="20"/>
                <w:color w:val="auto"/>
              </w:rPr>
            </w:pPr>
            <w:r>
              <w:rPr>
                <w:rFonts w:ascii="Calibri" w:cs="Calibri" w:eastAsia="Calibri" w:hAnsi="Calibri"/>
                <w:sz w:val="16"/>
                <w:szCs w:val="16"/>
                <w:b w:val="1"/>
                <w:bCs w:val="1"/>
                <w:color w:val="auto"/>
              </w:rPr>
              <w:t>%</w:t>
            </w:r>
          </w:p>
        </w:tc>
        <w:tc>
          <w:tcPr>
            <w:tcW w:w="0" w:type="dxa"/>
            <w:vAlign w:val="bottom"/>
          </w:tcPr>
          <w:p>
            <w:pPr>
              <w:spacing w:after="0"/>
              <w:rPr>
                <w:sz w:val="1"/>
                <w:szCs w:val="1"/>
                <w:color w:val="auto"/>
              </w:rPr>
            </w:pPr>
          </w:p>
        </w:tc>
      </w:tr>
      <w:tr>
        <w:trPr>
          <w:trHeight w:val="23"/>
        </w:trPr>
        <w:tc>
          <w:tcPr>
            <w:tcW w:w="4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280" w:type="dxa"/>
            <w:vAlign w:val="bottom"/>
            <w:tcBorders>
              <w:bottom w:val="single" w:sz="8" w:color="DBDBDB"/>
            </w:tcBorders>
            <w:shd w:val="clear" w:color="auto" w:fill="DBDBDB"/>
          </w:tcPr>
          <w:p>
            <w:pPr>
              <w:ind w:left="20"/>
              <w:spacing w:after="0" w:line="187" w:lineRule="exact"/>
              <w:rPr>
                <w:sz w:val="20"/>
                <w:szCs w:val="20"/>
                <w:color w:val="auto"/>
              </w:rPr>
            </w:pPr>
            <w:r>
              <w:rPr>
                <w:rFonts w:ascii="Calibri" w:cs="Calibri" w:eastAsia="Calibri" w:hAnsi="Calibri"/>
                <w:sz w:val="16"/>
                <w:szCs w:val="16"/>
                <w:color w:val="auto"/>
              </w:rPr>
              <w:t>Revenues</w:t>
            </w:r>
          </w:p>
        </w:tc>
        <w:tc>
          <w:tcPr>
            <w:tcW w:w="8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spacing w:after="0"/>
              <w:rPr>
                <w:sz w:val="16"/>
                <w:szCs w:val="16"/>
                <w:color w:val="auto"/>
              </w:rPr>
            </w:pPr>
          </w:p>
        </w:tc>
        <w:tc>
          <w:tcPr>
            <w:tcW w:w="64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1020" w:type="dxa"/>
            <w:vAlign w:val="bottom"/>
            <w:tcBorders>
              <w:bottom w:val="single" w:sz="8" w:color="DBDBDB"/>
            </w:tcBorders>
            <w:shd w:val="clear" w:color="auto" w:fill="DBDBDB"/>
          </w:tcPr>
          <w:p>
            <w:pPr>
              <w:spacing w:after="0"/>
              <w:rPr>
                <w:sz w:val="16"/>
                <w:szCs w:val="16"/>
                <w:color w:val="auto"/>
              </w:rPr>
            </w:pPr>
          </w:p>
        </w:tc>
        <w:tc>
          <w:tcPr>
            <w:tcW w:w="64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380" w:type="dxa"/>
            <w:vAlign w:val="bottom"/>
            <w:tcBorders>
              <w:bottom w:val="single" w:sz="8" w:color="DBDBDB"/>
            </w:tcBorders>
            <w:shd w:val="clear" w:color="auto" w:fill="DBDBDB"/>
          </w:tcPr>
          <w:p>
            <w:pPr>
              <w:spacing w:after="0"/>
              <w:rPr>
                <w:sz w:val="16"/>
                <w:szCs w:val="16"/>
                <w:color w:val="auto"/>
              </w:rPr>
            </w:pPr>
          </w:p>
        </w:tc>
        <w:tc>
          <w:tcPr>
            <w:tcW w:w="108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58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60" w:type="dxa"/>
            <w:vAlign w:val="bottom"/>
            <w:gridSpan w:val="2"/>
          </w:tcPr>
          <w:p>
            <w:pPr>
              <w:ind w:left="360"/>
              <w:spacing w:after="0" w:line="193" w:lineRule="exact"/>
              <w:rPr>
                <w:sz w:val="20"/>
                <w:szCs w:val="20"/>
                <w:color w:val="auto"/>
              </w:rPr>
            </w:pPr>
            <w:r>
              <w:rPr>
                <w:rFonts w:ascii="Calibri" w:cs="Calibri" w:eastAsia="Calibri" w:hAnsi="Calibri"/>
                <w:sz w:val="16"/>
                <w:szCs w:val="16"/>
                <w:color w:val="auto"/>
              </w:rPr>
              <w:t>Product revenue, net</w:t>
            </w:r>
          </w:p>
        </w:tc>
        <w:tc>
          <w:tcPr>
            <w:tcW w:w="1040" w:type="dxa"/>
            <w:vAlign w:val="bottom"/>
          </w:tcPr>
          <w:p>
            <w:pPr>
              <w:jc w:val="right"/>
              <w:ind w:right="859"/>
              <w:spacing w:after="0" w:line="193" w:lineRule="exact"/>
              <w:rPr>
                <w:sz w:val="20"/>
                <w:szCs w:val="20"/>
                <w:color w:val="auto"/>
              </w:rPr>
            </w:pPr>
            <w:r>
              <w:rPr>
                <w:rFonts w:ascii="Calibri" w:cs="Calibri" w:eastAsia="Calibri" w:hAnsi="Calibri"/>
                <w:sz w:val="16"/>
                <w:szCs w:val="16"/>
                <w:color w:val="auto"/>
                <w:w w:val="97"/>
              </w:rPr>
              <w:t>$</w:t>
            </w:r>
          </w:p>
        </w:tc>
        <w:tc>
          <w:tcPr>
            <w:tcW w:w="640" w:type="dxa"/>
            <w:vAlign w:val="bottom"/>
          </w:tcPr>
          <w:p>
            <w:pPr>
              <w:jc w:val="right"/>
              <w:spacing w:after="0" w:line="193" w:lineRule="exact"/>
              <w:rPr>
                <w:sz w:val="20"/>
                <w:szCs w:val="20"/>
                <w:color w:val="auto"/>
              </w:rPr>
            </w:pPr>
            <w:r>
              <w:rPr>
                <w:rFonts w:ascii="Calibri" w:cs="Calibri" w:eastAsia="Calibri" w:hAnsi="Calibri"/>
                <w:sz w:val="16"/>
                <w:szCs w:val="16"/>
                <w:color w:val="auto"/>
              </w:rPr>
              <w:t>152,180</w:t>
            </w:r>
          </w:p>
        </w:tc>
        <w:tc>
          <w:tcPr>
            <w:tcW w:w="120" w:type="dxa"/>
            <w:vAlign w:val="bottom"/>
          </w:tcPr>
          <w:p>
            <w:pPr>
              <w:spacing w:after="0"/>
              <w:rPr>
                <w:sz w:val="16"/>
                <w:szCs w:val="16"/>
                <w:color w:val="auto"/>
              </w:rPr>
            </w:pPr>
          </w:p>
        </w:tc>
        <w:tc>
          <w:tcPr>
            <w:tcW w:w="1020" w:type="dxa"/>
            <w:vAlign w:val="bottom"/>
          </w:tcPr>
          <w:p>
            <w:pPr>
              <w:jc w:val="right"/>
              <w:ind w:right="839"/>
              <w:spacing w:after="0" w:line="193" w:lineRule="exact"/>
              <w:rPr>
                <w:sz w:val="20"/>
                <w:szCs w:val="20"/>
                <w:color w:val="auto"/>
              </w:rPr>
            </w:pPr>
            <w:r>
              <w:rPr>
                <w:rFonts w:ascii="Calibri" w:cs="Calibri" w:eastAsia="Calibri" w:hAnsi="Calibri"/>
                <w:sz w:val="16"/>
                <w:szCs w:val="16"/>
                <w:color w:val="auto"/>
                <w:w w:val="97"/>
              </w:rPr>
              <w:t>$</w:t>
            </w:r>
          </w:p>
        </w:tc>
        <w:tc>
          <w:tcPr>
            <w:tcW w:w="640" w:type="dxa"/>
            <w:vAlign w:val="bottom"/>
          </w:tcPr>
          <w:p>
            <w:pPr>
              <w:jc w:val="right"/>
              <w:spacing w:after="0" w:line="193" w:lineRule="exact"/>
              <w:rPr>
                <w:sz w:val="20"/>
                <w:szCs w:val="20"/>
                <w:color w:val="auto"/>
              </w:rPr>
            </w:pPr>
            <w:r>
              <w:rPr>
                <w:rFonts w:ascii="Calibri" w:cs="Calibri" w:eastAsia="Calibri" w:hAnsi="Calibri"/>
                <w:sz w:val="16"/>
                <w:szCs w:val="16"/>
                <w:color w:val="auto"/>
              </w:rPr>
              <w:t>170,301</w:t>
            </w:r>
          </w:p>
        </w:tc>
        <w:tc>
          <w:tcPr>
            <w:tcW w:w="120" w:type="dxa"/>
            <w:vAlign w:val="bottom"/>
          </w:tcPr>
          <w:p>
            <w:pPr>
              <w:spacing w:after="0"/>
              <w:rPr>
                <w:sz w:val="16"/>
                <w:szCs w:val="16"/>
                <w:color w:val="auto"/>
              </w:rPr>
            </w:pPr>
          </w:p>
        </w:tc>
        <w:tc>
          <w:tcPr>
            <w:tcW w:w="380" w:type="dxa"/>
            <w:vAlign w:val="bottom"/>
          </w:tcPr>
          <w:p>
            <w:pPr>
              <w:jc w:val="right"/>
              <w:ind w:right="199"/>
              <w:spacing w:after="0" w:line="193" w:lineRule="exact"/>
              <w:rPr>
                <w:sz w:val="20"/>
                <w:szCs w:val="20"/>
                <w:color w:val="auto"/>
              </w:rPr>
            </w:pPr>
            <w:r>
              <w:rPr>
                <w:rFonts w:ascii="Calibri" w:cs="Calibri" w:eastAsia="Calibri" w:hAnsi="Calibri"/>
                <w:sz w:val="16"/>
                <w:szCs w:val="16"/>
                <w:color w:val="auto"/>
                <w:w w:val="97"/>
              </w:rPr>
              <w:t>$</w:t>
            </w:r>
          </w:p>
        </w:tc>
        <w:tc>
          <w:tcPr>
            <w:tcW w:w="1080" w:type="dxa"/>
            <w:vAlign w:val="bottom"/>
          </w:tcPr>
          <w:p>
            <w:pPr>
              <w:jc w:val="right"/>
              <w:spacing w:after="0" w:line="193" w:lineRule="exact"/>
              <w:rPr>
                <w:sz w:val="20"/>
                <w:szCs w:val="20"/>
                <w:color w:val="auto"/>
              </w:rPr>
            </w:pPr>
            <w:r>
              <w:rPr>
                <w:rFonts w:ascii="Calibri" w:cs="Calibri" w:eastAsia="Calibri" w:hAnsi="Calibri"/>
                <w:sz w:val="16"/>
                <w:szCs w:val="16"/>
                <w:color w:val="auto"/>
              </w:rPr>
              <w:t>(18,121)</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(11)%</w:t>
            </w:r>
          </w:p>
        </w:tc>
        <w:tc>
          <w:tcPr>
            <w:tcW w:w="0" w:type="dxa"/>
            <w:vAlign w:val="bottom"/>
          </w:tcPr>
          <w:p>
            <w:pPr>
              <w:spacing w:after="0"/>
              <w:rPr>
                <w:sz w:val="1"/>
                <w:szCs w:val="1"/>
                <w:color w:val="auto"/>
              </w:rPr>
            </w:pPr>
          </w:p>
        </w:tc>
      </w:tr>
      <w:tr>
        <w:trPr>
          <w:trHeight w:val="23"/>
        </w:trPr>
        <w:tc>
          <w:tcPr>
            <w:tcW w:w="4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tcBorders>
              <w:bottom w:val="single" w:sz="8" w:color="DBDBDB"/>
            </w:tcBorders>
            <w:gridSpan w:val="2"/>
            <w:shd w:val="clear" w:color="auto" w:fill="DBDBDB"/>
          </w:tcPr>
          <w:p>
            <w:pPr>
              <w:ind w:left="360"/>
              <w:spacing w:after="0" w:line="193" w:lineRule="exact"/>
              <w:rPr>
                <w:sz w:val="20"/>
                <w:szCs w:val="20"/>
                <w:color w:val="auto"/>
              </w:rPr>
            </w:pPr>
            <w:r>
              <w:rPr>
                <w:rFonts w:ascii="Calibri" w:cs="Calibri" w:eastAsia="Calibri" w:hAnsi="Calibri"/>
                <w:sz w:val="16"/>
                <w:szCs w:val="16"/>
                <w:color w:val="auto"/>
              </w:rPr>
              <w:t>License, collaboraton and other revenue</w:t>
            </w:r>
          </w:p>
        </w:tc>
        <w:tc>
          <w:tcPr>
            <w:tcW w:w="1040" w:type="dxa"/>
            <w:vAlign w:val="bottom"/>
            <w:tcBorders>
              <w:bottom w:val="single" w:sz="8" w:color="DBDBDB"/>
            </w:tcBorders>
            <w:shd w:val="clear" w:color="auto" w:fill="DBDBDB"/>
          </w:tcPr>
          <w:p>
            <w:pPr>
              <w:spacing w:after="0"/>
              <w:rPr>
                <w:sz w:val="18"/>
                <w:szCs w:val="18"/>
                <w:color w:val="auto"/>
              </w:rPr>
            </w:pPr>
          </w:p>
        </w:tc>
        <w:tc>
          <w:tcPr>
            <w:tcW w:w="6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8,000</w:t>
            </w:r>
          </w:p>
        </w:tc>
        <w:tc>
          <w:tcPr>
            <w:tcW w:w="12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spacing w:after="0"/>
              <w:rPr>
                <w:sz w:val="18"/>
                <w:szCs w:val="18"/>
                <w:color w:val="auto"/>
              </w:rPr>
            </w:pPr>
          </w:p>
        </w:tc>
        <w:tc>
          <w:tcPr>
            <w:tcW w:w="6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24,322</w:t>
            </w:r>
          </w:p>
        </w:tc>
        <w:tc>
          <w:tcPr>
            <w:tcW w:w="120" w:type="dxa"/>
            <w:vAlign w:val="bottom"/>
            <w:tcBorders>
              <w:bottom w:val="single" w:sz="8" w:color="DBDBDB"/>
            </w:tcBorders>
            <w:shd w:val="clear" w:color="auto" w:fill="DBDBDB"/>
          </w:tcPr>
          <w:p>
            <w:pPr>
              <w:spacing w:after="0"/>
              <w:rPr>
                <w:sz w:val="18"/>
                <w:szCs w:val="18"/>
                <w:color w:val="auto"/>
              </w:rPr>
            </w:pPr>
          </w:p>
        </w:tc>
        <w:tc>
          <w:tcPr>
            <w:tcW w:w="380" w:type="dxa"/>
            <w:vAlign w:val="bottom"/>
            <w:tcBorders>
              <w:bottom w:val="single" w:sz="8" w:color="DBDBDB"/>
            </w:tcBorders>
            <w:shd w:val="clear" w:color="auto" w:fill="DBDBDB"/>
          </w:tcPr>
          <w:p>
            <w:pPr>
              <w:spacing w:after="0"/>
              <w:rPr>
                <w:sz w:val="18"/>
                <w:szCs w:val="18"/>
                <w:color w:val="auto"/>
              </w:rPr>
            </w:pPr>
          </w:p>
        </w:tc>
        <w:tc>
          <w:tcPr>
            <w:tcW w:w="108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(16,322)</w:t>
            </w:r>
          </w:p>
        </w:tc>
        <w:tc>
          <w:tcPr>
            <w:tcW w:w="10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spacing w:after="0"/>
              <w:rPr>
                <w:sz w:val="18"/>
                <w:szCs w:val="18"/>
                <w:color w:val="auto"/>
              </w:rPr>
            </w:pPr>
          </w:p>
        </w:tc>
        <w:tc>
          <w:tcPr>
            <w:tcW w:w="116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(67)%</w:t>
            </w:r>
          </w:p>
        </w:tc>
        <w:tc>
          <w:tcPr>
            <w:tcW w:w="0" w:type="dxa"/>
            <w:vAlign w:val="bottom"/>
          </w:tcPr>
          <w:p>
            <w:pPr>
              <w:spacing w:after="0"/>
              <w:rPr>
                <w:sz w:val="1"/>
                <w:szCs w:val="1"/>
                <w:color w:val="auto"/>
              </w:rPr>
            </w:pPr>
          </w:p>
        </w:tc>
      </w:tr>
      <w:tr>
        <w:trPr>
          <w:trHeight w:val="187"/>
        </w:trPr>
        <w:tc>
          <w:tcPr>
            <w:tcW w:w="4360" w:type="dxa"/>
            <w:vAlign w:val="bottom"/>
            <w:gridSpan w:val="2"/>
          </w:tcPr>
          <w:p>
            <w:pPr>
              <w:ind w:left="480"/>
              <w:spacing w:after="0" w:line="174" w:lineRule="exact"/>
              <w:rPr>
                <w:sz w:val="20"/>
                <w:szCs w:val="20"/>
                <w:color w:val="auto"/>
              </w:rPr>
            </w:pPr>
            <w:r>
              <w:rPr>
                <w:rFonts w:ascii="Calibri" w:cs="Calibri" w:eastAsia="Calibri" w:hAnsi="Calibri"/>
                <w:sz w:val="16"/>
                <w:szCs w:val="16"/>
                <w:color w:val="auto"/>
              </w:rPr>
              <w:t>Total revenues</w:t>
            </w:r>
          </w:p>
        </w:tc>
        <w:tc>
          <w:tcPr>
            <w:tcW w:w="10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160,180</w:t>
            </w:r>
          </w:p>
        </w:tc>
        <w:tc>
          <w:tcPr>
            <w:tcW w:w="1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194,623</w:t>
            </w: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(34,443)</w:t>
            </w:r>
          </w:p>
        </w:tc>
        <w:tc>
          <w:tcPr>
            <w:tcW w:w="1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(18)%</w:t>
            </w:r>
          </w:p>
        </w:tc>
        <w:tc>
          <w:tcPr>
            <w:tcW w:w="0" w:type="dxa"/>
            <w:vAlign w:val="bottom"/>
          </w:tcPr>
          <w:p>
            <w:pPr>
              <w:spacing w:after="0"/>
              <w:rPr>
                <w:sz w:val="1"/>
                <w:szCs w:val="1"/>
                <w:color w:val="auto"/>
              </w:rPr>
            </w:pPr>
          </w:p>
        </w:tc>
      </w:tr>
      <w:tr>
        <w:trPr>
          <w:trHeight w:val="23"/>
        </w:trPr>
        <w:tc>
          <w:tcPr>
            <w:tcW w:w="4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Cost of goods sold</w:t>
            </w:r>
          </w:p>
        </w:tc>
        <w:tc>
          <w:tcPr>
            <w:tcW w:w="1040" w:type="dxa"/>
            <w:vAlign w:val="bottom"/>
            <w:tcBorders>
              <w:bottom w:val="single" w:sz="8" w:color="DBDBDB"/>
            </w:tcBorders>
            <w:shd w:val="clear" w:color="auto" w:fill="DBDBDB"/>
          </w:tcPr>
          <w:p>
            <w:pPr>
              <w:spacing w:after="0"/>
              <w:rPr>
                <w:sz w:val="17"/>
                <w:szCs w:val="17"/>
                <w:color w:val="auto"/>
              </w:rPr>
            </w:pPr>
          </w:p>
        </w:tc>
        <w:tc>
          <w:tcPr>
            <w:tcW w:w="64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1020" w:type="dxa"/>
            <w:vAlign w:val="bottom"/>
            <w:tcBorders>
              <w:bottom w:val="single" w:sz="8" w:color="DBDBDB"/>
            </w:tcBorders>
            <w:shd w:val="clear" w:color="auto" w:fill="DBDBDB"/>
          </w:tcPr>
          <w:p>
            <w:pPr>
              <w:spacing w:after="0"/>
              <w:rPr>
                <w:sz w:val="17"/>
                <w:szCs w:val="17"/>
                <w:color w:val="auto"/>
              </w:rPr>
            </w:pPr>
          </w:p>
        </w:tc>
        <w:tc>
          <w:tcPr>
            <w:tcW w:w="64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38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58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60" w:type="dxa"/>
            <w:vAlign w:val="bottom"/>
            <w:gridSpan w:val="2"/>
          </w:tcPr>
          <w:p>
            <w:pPr>
              <w:ind w:left="360"/>
              <w:spacing w:after="0" w:line="193" w:lineRule="exact"/>
              <w:rPr>
                <w:sz w:val="20"/>
                <w:szCs w:val="20"/>
                <w:color w:val="auto"/>
              </w:rPr>
            </w:pPr>
            <w:r>
              <w:rPr>
                <w:rFonts w:ascii="Calibri" w:cs="Calibri" w:eastAsia="Calibri" w:hAnsi="Calibri"/>
                <w:sz w:val="16"/>
                <w:szCs w:val="16"/>
                <w:color w:val="auto"/>
              </w:rPr>
              <w:t>Cost of product and other revenue</w:t>
            </w:r>
          </w:p>
        </w:tc>
        <w:tc>
          <w:tcPr>
            <w:tcW w:w="1040" w:type="dxa"/>
            <w:vAlign w:val="bottom"/>
          </w:tcPr>
          <w:p>
            <w:pPr>
              <w:spacing w:after="0"/>
              <w:rPr>
                <w:sz w:val="16"/>
                <w:szCs w:val="16"/>
                <w:color w:val="auto"/>
              </w:rPr>
            </w:pPr>
          </w:p>
        </w:tc>
        <w:tc>
          <w:tcPr>
            <w:tcW w:w="640" w:type="dxa"/>
            <w:vAlign w:val="bottom"/>
          </w:tcPr>
          <w:p>
            <w:pPr>
              <w:jc w:val="right"/>
              <w:spacing w:after="0" w:line="193" w:lineRule="exact"/>
              <w:rPr>
                <w:sz w:val="20"/>
                <w:szCs w:val="20"/>
                <w:color w:val="auto"/>
              </w:rPr>
            </w:pPr>
            <w:r>
              <w:rPr>
                <w:rFonts w:ascii="Calibri" w:cs="Calibri" w:eastAsia="Calibri" w:hAnsi="Calibri"/>
                <w:sz w:val="16"/>
                <w:szCs w:val="16"/>
                <w:color w:val="auto"/>
              </w:rPr>
              <w:t>27,135</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Pr>
          <w:p>
            <w:pPr>
              <w:jc w:val="right"/>
              <w:spacing w:after="0" w:line="193" w:lineRule="exact"/>
              <w:rPr>
                <w:sz w:val="20"/>
                <w:szCs w:val="20"/>
                <w:color w:val="auto"/>
              </w:rPr>
            </w:pPr>
            <w:r>
              <w:rPr>
                <w:rFonts w:ascii="Calibri" w:cs="Calibri" w:eastAsia="Calibri" w:hAnsi="Calibri"/>
                <w:sz w:val="16"/>
                <w:szCs w:val="16"/>
                <w:color w:val="auto"/>
              </w:rPr>
              <w:t>38,107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jc w:val="right"/>
              <w:spacing w:after="0" w:line="193" w:lineRule="exact"/>
              <w:rPr>
                <w:sz w:val="20"/>
                <w:szCs w:val="20"/>
                <w:color w:val="auto"/>
              </w:rPr>
            </w:pPr>
            <w:r>
              <w:rPr>
                <w:rFonts w:ascii="Calibri" w:cs="Calibri" w:eastAsia="Calibri" w:hAnsi="Calibri"/>
                <w:sz w:val="16"/>
                <w:szCs w:val="16"/>
                <w:color w:val="auto"/>
              </w:rPr>
              <w:t>(10,972)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(29)%</w:t>
            </w:r>
          </w:p>
        </w:tc>
        <w:tc>
          <w:tcPr>
            <w:tcW w:w="0" w:type="dxa"/>
            <w:vAlign w:val="bottom"/>
          </w:tcPr>
          <w:p>
            <w:pPr>
              <w:spacing w:after="0"/>
              <w:rPr>
                <w:sz w:val="1"/>
                <w:szCs w:val="1"/>
                <w:color w:val="auto"/>
              </w:rPr>
            </w:pPr>
          </w:p>
        </w:tc>
      </w:tr>
      <w:tr>
        <w:trPr>
          <w:trHeight w:val="23"/>
        </w:trPr>
        <w:tc>
          <w:tcPr>
            <w:tcW w:w="4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tcBorders>
              <w:bottom w:val="single" w:sz="8" w:color="DBDBDB"/>
            </w:tcBorders>
            <w:gridSpan w:val="2"/>
            <w:shd w:val="clear" w:color="auto" w:fill="DBDBDB"/>
          </w:tcPr>
          <w:p>
            <w:pPr>
              <w:ind w:left="360"/>
              <w:spacing w:after="0" w:line="193" w:lineRule="exact"/>
              <w:rPr>
                <w:sz w:val="20"/>
                <w:szCs w:val="20"/>
                <w:color w:val="auto"/>
              </w:rPr>
            </w:pPr>
            <w:r>
              <w:rPr>
                <w:rFonts w:ascii="Calibri" w:cs="Calibri" w:eastAsia="Calibri" w:hAnsi="Calibri"/>
                <w:sz w:val="16"/>
                <w:szCs w:val="16"/>
                <w:color w:val="auto"/>
              </w:rPr>
              <w:t>Amortzaton of intangible asset</w:t>
            </w:r>
          </w:p>
        </w:tc>
        <w:tc>
          <w:tcPr>
            <w:tcW w:w="1040" w:type="dxa"/>
            <w:vAlign w:val="bottom"/>
            <w:tcBorders>
              <w:bottom w:val="single" w:sz="8" w:color="DBDBDB"/>
            </w:tcBorders>
            <w:shd w:val="clear" w:color="auto" w:fill="DBDBDB"/>
          </w:tcPr>
          <w:p>
            <w:pPr>
              <w:spacing w:after="0"/>
              <w:rPr>
                <w:sz w:val="18"/>
                <w:szCs w:val="18"/>
                <w:color w:val="auto"/>
              </w:rPr>
            </w:pPr>
          </w:p>
        </w:tc>
        <w:tc>
          <w:tcPr>
            <w:tcW w:w="6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36,042</w:t>
            </w:r>
          </w:p>
        </w:tc>
        <w:tc>
          <w:tcPr>
            <w:tcW w:w="12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spacing w:after="0"/>
              <w:rPr>
                <w:sz w:val="18"/>
                <w:szCs w:val="18"/>
                <w:color w:val="auto"/>
              </w:rPr>
            </w:pPr>
          </w:p>
        </w:tc>
        <w:tc>
          <w:tcPr>
            <w:tcW w:w="6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36,042</w:t>
            </w:r>
          </w:p>
        </w:tc>
        <w:tc>
          <w:tcPr>
            <w:tcW w:w="120" w:type="dxa"/>
            <w:vAlign w:val="bottom"/>
            <w:tcBorders>
              <w:bottom w:val="single" w:sz="8" w:color="DBDBDB"/>
            </w:tcBorders>
            <w:shd w:val="clear" w:color="auto" w:fill="DBDBDB"/>
          </w:tcPr>
          <w:p>
            <w:pPr>
              <w:spacing w:after="0"/>
              <w:rPr>
                <w:sz w:val="18"/>
                <w:szCs w:val="18"/>
                <w:color w:val="auto"/>
              </w:rPr>
            </w:pPr>
          </w:p>
        </w:tc>
        <w:tc>
          <w:tcPr>
            <w:tcW w:w="380" w:type="dxa"/>
            <w:vAlign w:val="bottom"/>
            <w:tcBorders>
              <w:bottom w:val="single" w:sz="8" w:color="DBDBDB"/>
            </w:tcBorders>
            <w:shd w:val="clear" w:color="auto" w:fill="DBDBDB"/>
          </w:tcPr>
          <w:p>
            <w:pPr>
              <w:spacing w:after="0"/>
              <w:rPr>
                <w:sz w:val="18"/>
                <w:szCs w:val="18"/>
                <w:color w:val="auto"/>
              </w:rPr>
            </w:pPr>
          </w:p>
        </w:tc>
        <w:tc>
          <w:tcPr>
            <w:tcW w:w="1760" w:type="dxa"/>
            <w:vAlign w:val="bottom"/>
            <w:tcBorders>
              <w:bottom w:val="single" w:sz="8" w:color="DBDBDB"/>
            </w:tcBorders>
            <w:gridSpan w:val="3"/>
            <w:shd w:val="clear" w:color="auto" w:fill="DBDBDB"/>
          </w:tcPr>
          <w:p>
            <w:pPr>
              <w:jc w:val="right"/>
              <w:ind w:right="760"/>
              <w:spacing w:after="0" w:line="193" w:lineRule="exact"/>
              <w:rPr>
                <w:sz w:val="20"/>
                <w:szCs w:val="20"/>
                <w:color w:val="auto"/>
              </w:rPr>
            </w:pPr>
            <w:r>
              <w:rPr>
                <w:rFonts w:ascii="Calibri" w:cs="Calibri" w:eastAsia="Calibri" w:hAnsi="Calibri"/>
                <w:sz w:val="16"/>
                <w:szCs w:val="16"/>
                <w:color w:val="auto"/>
              </w:rPr>
              <w:t>—</w:t>
            </w:r>
          </w:p>
        </w:tc>
        <w:tc>
          <w:tcPr>
            <w:tcW w:w="116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 %</w:t>
            </w:r>
          </w:p>
        </w:tc>
        <w:tc>
          <w:tcPr>
            <w:tcW w:w="0" w:type="dxa"/>
            <w:vAlign w:val="bottom"/>
          </w:tcPr>
          <w:p>
            <w:pPr>
              <w:spacing w:after="0"/>
              <w:rPr>
                <w:sz w:val="1"/>
                <w:szCs w:val="1"/>
                <w:color w:val="auto"/>
              </w:rPr>
            </w:pPr>
          </w:p>
        </w:tc>
      </w:tr>
      <w:tr>
        <w:trPr>
          <w:trHeight w:val="187"/>
        </w:trPr>
        <w:tc>
          <w:tcPr>
            <w:tcW w:w="4360" w:type="dxa"/>
            <w:vAlign w:val="bottom"/>
            <w:gridSpan w:val="2"/>
          </w:tcPr>
          <w:p>
            <w:pPr>
              <w:ind w:left="480"/>
              <w:spacing w:after="0" w:line="174" w:lineRule="exact"/>
              <w:rPr>
                <w:sz w:val="20"/>
                <w:szCs w:val="20"/>
                <w:color w:val="auto"/>
              </w:rPr>
            </w:pPr>
            <w:r>
              <w:rPr>
                <w:rFonts w:ascii="Calibri" w:cs="Calibri" w:eastAsia="Calibri" w:hAnsi="Calibri"/>
                <w:sz w:val="16"/>
                <w:szCs w:val="16"/>
                <w:color w:val="auto"/>
              </w:rPr>
              <w:t>Total cost of goods sold</w:t>
            </w:r>
          </w:p>
        </w:tc>
        <w:tc>
          <w:tcPr>
            <w:tcW w:w="10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63,177</w:t>
            </w:r>
          </w:p>
        </w:tc>
        <w:tc>
          <w:tcPr>
            <w:tcW w:w="1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74,149</w:t>
            </w: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(10,972)</w:t>
            </w:r>
          </w:p>
        </w:tc>
        <w:tc>
          <w:tcPr>
            <w:tcW w:w="1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(15)%</w:t>
            </w:r>
          </w:p>
        </w:tc>
        <w:tc>
          <w:tcPr>
            <w:tcW w:w="0" w:type="dxa"/>
            <w:vAlign w:val="bottom"/>
          </w:tcPr>
          <w:p>
            <w:pPr>
              <w:spacing w:after="0"/>
              <w:rPr>
                <w:sz w:val="1"/>
                <w:szCs w:val="1"/>
                <w:color w:val="auto"/>
              </w:rPr>
            </w:pPr>
          </w:p>
        </w:tc>
      </w:tr>
      <w:tr>
        <w:trPr>
          <w:trHeight w:val="23"/>
        </w:trPr>
        <w:tc>
          <w:tcPr>
            <w:tcW w:w="4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Operatng expenses</w:t>
            </w:r>
          </w:p>
        </w:tc>
        <w:tc>
          <w:tcPr>
            <w:tcW w:w="1040" w:type="dxa"/>
            <w:vAlign w:val="bottom"/>
            <w:tcBorders>
              <w:bottom w:val="single" w:sz="8" w:color="DBDBDB"/>
            </w:tcBorders>
            <w:shd w:val="clear" w:color="auto" w:fill="DBDBDB"/>
          </w:tcPr>
          <w:p>
            <w:pPr>
              <w:spacing w:after="0"/>
              <w:rPr>
                <w:sz w:val="17"/>
                <w:szCs w:val="17"/>
                <w:color w:val="auto"/>
              </w:rPr>
            </w:pPr>
          </w:p>
        </w:tc>
        <w:tc>
          <w:tcPr>
            <w:tcW w:w="64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1020" w:type="dxa"/>
            <w:vAlign w:val="bottom"/>
            <w:tcBorders>
              <w:bottom w:val="single" w:sz="8" w:color="DBDBDB"/>
            </w:tcBorders>
            <w:shd w:val="clear" w:color="auto" w:fill="DBDBDB"/>
          </w:tcPr>
          <w:p>
            <w:pPr>
              <w:spacing w:after="0"/>
              <w:rPr>
                <w:sz w:val="17"/>
                <w:szCs w:val="17"/>
                <w:color w:val="auto"/>
              </w:rPr>
            </w:pPr>
          </w:p>
        </w:tc>
        <w:tc>
          <w:tcPr>
            <w:tcW w:w="64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38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58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60" w:type="dxa"/>
            <w:vAlign w:val="bottom"/>
            <w:gridSpan w:val="2"/>
          </w:tcPr>
          <w:p>
            <w:pPr>
              <w:ind w:left="360"/>
              <w:spacing w:after="0" w:line="193" w:lineRule="exact"/>
              <w:rPr>
                <w:sz w:val="20"/>
                <w:szCs w:val="20"/>
                <w:color w:val="auto"/>
              </w:rPr>
            </w:pPr>
            <w:r>
              <w:rPr>
                <w:rFonts w:ascii="Calibri" w:cs="Calibri" w:eastAsia="Calibri" w:hAnsi="Calibri"/>
                <w:sz w:val="16"/>
                <w:szCs w:val="16"/>
                <w:color w:val="auto"/>
              </w:rPr>
              <w:t>Research and development</w:t>
            </w:r>
          </w:p>
        </w:tc>
        <w:tc>
          <w:tcPr>
            <w:tcW w:w="1040" w:type="dxa"/>
            <w:vAlign w:val="bottom"/>
          </w:tcPr>
          <w:p>
            <w:pPr>
              <w:spacing w:after="0"/>
              <w:rPr>
                <w:sz w:val="16"/>
                <w:szCs w:val="16"/>
                <w:color w:val="auto"/>
              </w:rPr>
            </w:pPr>
          </w:p>
        </w:tc>
        <w:tc>
          <w:tcPr>
            <w:tcW w:w="640" w:type="dxa"/>
            <w:vAlign w:val="bottom"/>
          </w:tcPr>
          <w:p>
            <w:pPr>
              <w:jc w:val="right"/>
              <w:spacing w:after="0" w:line="193" w:lineRule="exact"/>
              <w:rPr>
                <w:sz w:val="20"/>
                <w:szCs w:val="20"/>
                <w:color w:val="auto"/>
              </w:rPr>
            </w:pPr>
            <w:r>
              <w:rPr>
                <w:rFonts w:ascii="Calibri" w:cs="Calibri" w:eastAsia="Calibri" w:hAnsi="Calibri"/>
                <w:sz w:val="16"/>
                <w:szCs w:val="16"/>
                <w:color w:val="auto"/>
              </w:rPr>
              <w:t>37,652</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Pr>
          <w:p>
            <w:pPr>
              <w:jc w:val="right"/>
              <w:spacing w:after="0" w:line="193" w:lineRule="exact"/>
              <w:rPr>
                <w:sz w:val="20"/>
                <w:szCs w:val="20"/>
                <w:color w:val="auto"/>
              </w:rPr>
            </w:pPr>
            <w:r>
              <w:rPr>
                <w:rFonts w:ascii="Calibri" w:cs="Calibri" w:eastAsia="Calibri" w:hAnsi="Calibri"/>
                <w:sz w:val="16"/>
                <w:szCs w:val="16"/>
                <w:color w:val="auto"/>
              </w:rPr>
              <w:t>63,079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jc w:val="right"/>
              <w:spacing w:after="0" w:line="193" w:lineRule="exact"/>
              <w:rPr>
                <w:sz w:val="20"/>
                <w:szCs w:val="20"/>
                <w:color w:val="auto"/>
              </w:rPr>
            </w:pPr>
            <w:r>
              <w:rPr>
                <w:rFonts w:ascii="Calibri" w:cs="Calibri" w:eastAsia="Calibri" w:hAnsi="Calibri"/>
                <w:sz w:val="16"/>
                <w:szCs w:val="16"/>
                <w:color w:val="auto"/>
              </w:rPr>
              <w:t>(25,427)</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(40)%</w:t>
            </w:r>
          </w:p>
        </w:tc>
        <w:tc>
          <w:tcPr>
            <w:tcW w:w="0" w:type="dxa"/>
            <w:vAlign w:val="bottom"/>
          </w:tcPr>
          <w:p>
            <w:pPr>
              <w:spacing w:after="0"/>
              <w:rPr>
                <w:sz w:val="1"/>
                <w:szCs w:val="1"/>
                <w:color w:val="auto"/>
              </w:rPr>
            </w:pPr>
          </w:p>
        </w:tc>
      </w:tr>
      <w:tr>
        <w:trPr>
          <w:trHeight w:val="23"/>
        </w:trPr>
        <w:tc>
          <w:tcPr>
            <w:tcW w:w="4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tcBorders>
              <w:bottom w:val="single" w:sz="8" w:color="DBDBDB"/>
            </w:tcBorders>
            <w:gridSpan w:val="2"/>
            <w:shd w:val="clear" w:color="auto" w:fill="DBDBDB"/>
          </w:tcPr>
          <w:p>
            <w:pPr>
              <w:ind w:left="360"/>
              <w:spacing w:after="0" w:line="193" w:lineRule="exact"/>
              <w:rPr>
                <w:sz w:val="20"/>
                <w:szCs w:val="20"/>
                <w:color w:val="auto"/>
              </w:rPr>
            </w:pPr>
            <w:r>
              <w:rPr>
                <w:rFonts w:ascii="Calibri" w:cs="Calibri" w:eastAsia="Calibri" w:hAnsi="Calibri"/>
                <w:sz w:val="16"/>
                <w:szCs w:val="16"/>
                <w:color w:val="auto"/>
              </w:rPr>
              <w:t>Selling, general and administratve</w:t>
            </w:r>
          </w:p>
        </w:tc>
        <w:tc>
          <w:tcPr>
            <w:tcW w:w="1040" w:type="dxa"/>
            <w:vAlign w:val="bottom"/>
            <w:tcBorders>
              <w:bottom w:val="single" w:sz="8" w:color="DBDBDB"/>
            </w:tcBorders>
            <w:shd w:val="clear" w:color="auto" w:fill="DBDBDB"/>
          </w:tcPr>
          <w:p>
            <w:pPr>
              <w:spacing w:after="0"/>
              <w:rPr>
                <w:sz w:val="17"/>
                <w:szCs w:val="17"/>
                <w:color w:val="auto"/>
              </w:rPr>
            </w:pPr>
          </w:p>
        </w:tc>
        <w:tc>
          <w:tcPr>
            <w:tcW w:w="6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106,545</w:t>
            </w:r>
          </w:p>
        </w:tc>
        <w:tc>
          <w:tcPr>
            <w:tcW w:w="120" w:type="dxa"/>
            <w:vAlign w:val="bottom"/>
            <w:tcBorders>
              <w:bottom w:val="single" w:sz="8" w:color="DBDBDB"/>
            </w:tcBorders>
            <w:shd w:val="clear" w:color="auto" w:fill="DBDBDB"/>
          </w:tcPr>
          <w:p>
            <w:pPr>
              <w:spacing w:after="0"/>
              <w:rPr>
                <w:sz w:val="17"/>
                <w:szCs w:val="17"/>
                <w:color w:val="auto"/>
              </w:rPr>
            </w:pPr>
          </w:p>
        </w:tc>
        <w:tc>
          <w:tcPr>
            <w:tcW w:w="1020" w:type="dxa"/>
            <w:vAlign w:val="bottom"/>
            <w:tcBorders>
              <w:bottom w:val="single" w:sz="8" w:color="DBDBDB"/>
            </w:tcBorders>
            <w:shd w:val="clear" w:color="auto" w:fill="DBDBDB"/>
          </w:tcPr>
          <w:p>
            <w:pPr>
              <w:spacing w:after="0"/>
              <w:rPr>
                <w:sz w:val="17"/>
                <w:szCs w:val="17"/>
                <w:color w:val="auto"/>
              </w:rPr>
            </w:pPr>
          </w:p>
        </w:tc>
        <w:tc>
          <w:tcPr>
            <w:tcW w:w="6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100,233</w:t>
            </w:r>
          </w:p>
        </w:tc>
        <w:tc>
          <w:tcPr>
            <w:tcW w:w="120" w:type="dxa"/>
            <w:vAlign w:val="bottom"/>
            <w:tcBorders>
              <w:bottom w:val="single" w:sz="8" w:color="DBDBDB"/>
            </w:tcBorders>
            <w:shd w:val="clear" w:color="auto" w:fill="DBDBDB"/>
          </w:tcPr>
          <w:p>
            <w:pPr>
              <w:spacing w:after="0"/>
              <w:rPr>
                <w:sz w:val="17"/>
                <w:szCs w:val="17"/>
                <w:color w:val="auto"/>
              </w:rPr>
            </w:pPr>
          </w:p>
        </w:tc>
        <w:tc>
          <w:tcPr>
            <w:tcW w:w="38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6,312</w:t>
            </w:r>
          </w:p>
        </w:tc>
        <w:tc>
          <w:tcPr>
            <w:tcW w:w="100" w:type="dxa"/>
            <w:vAlign w:val="bottom"/>
            <w:tcBorders>
              <w:bottom w:val="single" w:sz="8" w:color="DBDBDB"/>
            </w:tcBorders>
            <w:shd w:val="clear" w:color="auto" w:fill="DBDBDB"/>
          </w:tcPr>
          <w:p>
            <w:pPr>
              <w:spacing w:after="0"/>
              <w:rPr>
                <w:sz w:val="17"/>
                <w:szCs w:val="17"/>
                <w:color w:val="auto"/>
              </w:rPr>
            </w:pPr>
          </w:p>
        </w:tc>
        <w:tc>
          <w:tcPr>
            <w:tcW w:w="58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6 %</w:t>
            </w:r>
          </w:p>
        </w:tc>
        <w:tc>
          <w:tcPr>
            <w:tcW w:w="0" w:type="dxa"/>
            <w:vAlign w:val="bottom"/>
          </w:tcPr>
          <w:p>
            <w:pPr>
              <w:spacing w:after="0"/>
              <w:rPr>
                <w:sz w:val="1"/>
                <w:szCs w:val="1"/>
                <w:color w:val="auto"/>
              </w:rPr>
            </w:pPr>
          </w:p>
        </w:tc>
      </w:tr>
      <w:tr>
        <w:trPr>
          <w:trHeight w:val="194"/>
        </w:trPr>
        <w:tc>
          <w:tcPr>
            <w:tcW w:w="4360" w:type="dxa"/>
            <w:vAlign w:val="bottom"/>
            <w:gridSpan w:val="2"/>
          </w:tcPr>
          <w:p>
            <w:pPr>
              <w:ind w:left="360"/>
              <w:spacing w:after="0" w:line="193" w:lineRule="exact"/>
              <w:rPr>
                <w:sz w:val="20"/>
                <w:szCs w:val="20"/>
                <w:color w:val="auto"/>
              </w:rPr>
            </w:pPr>
            <w:r>
              <w:rPr>
                <w:rFonts w:ascii="Calibri" w:cs="Calibri" w:eastAsia="Calibri" w:hAnsi="Calibri"/>
                <w:sz w:val="16"/>
                <w:szCs w:val="16"/>
                <w:color w:val="auto"/>
              </w:rPr>
              <w:t>License</w:t>
            </w:r>
          </w:p>
        </w:tc>
        <w:tc>
          <w:tcPr>
            <w:tcW w:w="1040" w:type="dxa"/>
            <w:vAlign w:val="bottom"/>
          </w:tcPr>
          <w:p>
            <w:pPr>
              <w:spacing w:after="0"/>
              <w:rPr>
                <w:sz w:val="16"/>
                <w:szCs w:val="16"/>
                <w:color w:val="auto"/>
              </w:rPr>
            </w:pPr>
          </w:p>
        </w:tc>
        <w:tc>
          <w:tcPr>
            <w:tcW w:w="640" w:type="dxa"/>
            <w:vAlign w:val="bottom"/>
          </w:tcPr>
          <w:p>
            <w:pPr>
              <w:jc w:val="right"/>
              <w:spacing w:after="0" w:line="193" w:lineRule="exact"/>
              <w:rPr>
                <w:sz w:val="20"/>
                <w:szCs w:val="20"/>
                <w:color w:val="auto"/>
              </w:rPr>
            </w:pPr>
            <w:r>
              <w:rPr>
                <w:rFonts w:ascii="Calibri" w:cs="Calibri" w:eastAsia="Calibri" w:hAnsi="Calibri"/>
                <w:sz w:val="16"/>
                <w:szCs w:val="16"/>
                <w:color w:val="auto"/>
              </w:rPr>
              <w:t>3,220</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Pr>
          <w:p>
            <w:pPr>
              <w:jc w:val="right"/>
              <w:spacing w:after="0" w:line="193" w:lineRule="exact"/>
              <w:rPr>
                <w:sz w:val="20"/>
                <w:szCs w:val="20"/>
                <w:color w:val="auto"/>
              </w:rPr>
            </w:pPr>
            <w:r>
              <w:rPr>
                <w:rFonts w:ascii="Calibri" w:cs="Calibri" w:eastAsia="Calibri" w:hAnsi="Calibri"/>
                <w:sz w:val="16"/>
                <w:szCs w:val="16"/>
                <w:color w:val="auto"/>
              </w:rPr>
              <w:t>3,237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jc w:val="right"/>
              <w:spacing w:after="0" w:line="193" w:lineRule="exact"/>
              <w:rPr>
                <w:sz w:val="20"/>
                <w:szCs w:val="20"/>
                <w:color w:val="auto"/>
              </w:rPr>
            </w:pPr>
            <w:r>
              <w:rPr>
                <w:rFonts w:ascii="Calibri" w:cs="Calibri" w:eastAsia="Calibri" w:hAnsi="Calibri"/>
                <w:sz w:val="16"/>
                <w:szCs w:val="16"/>
                <w:color w:val="auto"/>
              </w:rPr>
              <w:t>(17)</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2"/>
        </w:trPr>
        <w:tc>
          <w:tcPr>
            <w:tcW w:w="4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tcBorders>
              <w:bottom w:val="single" w:sz="8" w:color="DBDBDB"/>
            </w:tcBorders>
            <w:gridSpan w:val="2"/>
            <w:shd w:val="clear" w:color="auto" w:fill="DBDBDB"/>
          </w:tcPr>
          <w:p>
            <w:pPr>
              <w:ind w:left="360"/>
              <w:spacing w:after="0" w:line="193" w:lineRule="exact"/>
              <w:rPr>
                <w:sz w:val="20"/>
                <w:szCs w:val="20"/>
                <w:color w:val="auto"/>
              </w:rPr>
            </w:pPr>
            <w:r>
              <w:rPr>
                <w:rFonts w:ascii="Calibri" w:cs="Calibri" w:eastAsia="Calibri" w:hAnsi="Calibri"/>
                <w:sz w:val="16"/>
                <w:szCs w:val="16"/>
                <w:color w:val="auto"/>
              </w:rPr>
              <w:t>Restructuring</w:t>
            </w:r>
          </w:p>
        </w:tc>
        <w:tc>
          <w:tcPr>
            <w:tcW w:w="1040" w:type="dxa"/>
            <w:vAlign w:val="bottom"/>
            <w:tcBorders>
              <w:bottom w:val="single" w:sz="8" w:color="DBDBDB"/>
            </w:tcBorders>
            <w:shd w:val="clear" w:color="auto" w:fill="DBDBDB"/>
          </w:tcPr>
          <w:p>
            <w:pPr>
              <w:spacing w:after="0"/>
              <w:rPr>
                <w:sz w:val="18"/>
                <w:szCs w:val="18"/>
                <w:color w:val="auto"/>
              </w:rPr>
            </w:pPr>
          </w:p>
        </w:tc>
        <w:tc>
          <w:tcPr>
            <w:tcW w:w="6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58</w:t>
            </w:r>
          </w:p>
        </w:tc>
        <w:tc>
          <w:tcPr>
            <w:tcW w:w="12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spacing w:after="0"/>
              <w:rPr>
                <w:sz w:val="18"/>
                <w:szCs w:val="18"/>
                <w:color w:val="auto"/>
              </w:rPr>
            </w:pPr>
          </w:p>
        </w:tc>
        <w:tc>
          <w:tcPr>
            <w:tcW w:w="6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181</w:t>
            </w:r>
          </w:p>
        </w:tc>
        <w:tc>
          <w:tcPr>
            <w:tcW w:w="120" w:type="dxa"/>
            <w:vAlign w:val="bottom"/>
            <w:tcBorders>
              <w:bottom w:val="single" w:sz="8" w:color="DBDBDB"/>
            </w:tcBorders>
            <w:shd w:val="clear" w:color="auto" w:fill="DBDBDB"/>
          </w:tcPr>
          <w:p>
            <w:pPr>
              <w:spacing w:after="0"/>
              <w:rPr>
                <w:sz w:val="18"/>
                <w:szCs w:val="18"/>
                <w:color w:val="auto"/>
              </w:rPr>
            </w:pPr>
          </w:p>
        </w:tc>
        <w:tc>
          <w:tcPr>
            <w:tcW w:w="380" w:type="dxa"/>
            <w:vAlign w:val="bottom"/>
            <w:tcBorders>
              <w:bottom w:val="single" w:sz="8" w:color="DBDBDB"/>
            </w:tcBorders>
            <w:shd w:val="clear" w:color="auto" w:fill="DBDBDB"/>
          </w:tcPr>
          <w:p>
            <w:pPr>
              <w:spacing w:after="0"/>
              <w:rPr>
                <w:sz w:val="18"/>
                <w:szCs w:val="18"/>
                <w:color w:val="auto"/>
              </w:rPr>
            </w:pPr>
          </w:p>
        </w:tc>
        <w:tc>
          <w:tcPr>
            <w:tcW w:w="108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(123)</w:t>
            </w:r>
          </w:p>
        </w:tc>
        <w:tc>
          <w:tcPr>
            <w:tcW w:w="10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spacing w:after="0"/>
              <w:rPr>
                <w:sz w:val="18"/>
                <w:szCs w:val="18"/>
                <w:color w:val="auto"/>
              </w:rPr>
            </w:pPr>
          </w:p>
        </w:tc>
        <w:tc>
          <w:tcPr>
            <w:tcW w:w="116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(68)%</w:t>
            </w:r>
          </w:p>
        </w:tc>
        <w:tc>
          <w:tcPr>
            <w:tcW w:w="0" w:type="dxa"/>
            <w:vAlign w:val="bottom"/>
          </w:tcPr>
          <w:p>
            <w:pPr>
              <w:spacing w:after="0"/>
              <w:rPr>
                <w:sz w:val="1"/>
                <w:szCs w:val="1"/>
                <w:color w:val="auto"/>
              </w:rPr>
            </w:pPr>
          </w:p>
        </w:tc>
      </w:tr>
      <w:tr>
        <w:trPr>
          <w:trHeight w:val="187"/>
        </w:trPr>
        <w:tc>
          <w:tcPr>
            <w:tcW w:w="4360" w:type="dxa"/>
            <w:vAlign w:val="bottom"/>
            <w:gridSpan w:val="2"/>
          </w:tcPr>
          <w:p>
            <w:pPr>
              <w:ind w:left="480"/>
              <w:spacing w:after="0" w:line="174" w:lineRule="exact"/>
              <w:rPr>
                <w:sz w:val="20"/>
                <w:szCs w:val="20"/>
                <w:color w:val="auto"/>
              </w:rPr>
            </w:pPr>
            <w:r>
              <w:rPr>
                <w:rFonts w:ascii="Calibri" w:cs="Calibri" w:eastAsia="Calibri" w:hAnsi="Calibri"/>
                <w:sz w:val="16"/>
                <w:szCs w:val="16"/>
                <w:color w:val="auto"/>
              </w:rPr>
              <w:t>Total operatng expenses</w:t>
            </w:r>
          </w:p>
        </w:tc>
        <w:tc>
          <w:tcPr>
            <w:tcW w:w="10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147,475</w:t>
            </w:r>
          </w:p>
        </w:tc>
        <w:tc>
          <w:tcPr>
            <w:tcW w:w="1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166,730</w:t>
            </w: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(19,255)</w:t>
            </w:r>
          </w:p>
        </w:tc>
        <w:tc>
          <w:tcPr>
            <w:tcW w:w="1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(12)%</w:t>
            </w:r>
          </w:p>
        </w:tc>
        <w:tc>
          <w:tcPr>
            <w:tcW w:w="0" w:type="dxa"/>
            <w:vAlign w:val="bottom"/>
          </w:tcPr>
          <w:p>
            <w:pPr>
              <w:spacing w:after="0"/>
              <w:rPr>
                <w:sz w:val="1"/>
                <w:szCs w:val="1"/>
                <w:color w:val="auto"/>
              </w:rPr>
            </w:pPr>
          </w:p>
        </w:tc>
      </w:tr>
      <w:tr>
        <w:trPr>
          <w:trHeight w:val="23"/>
        </w:trPr>
        <w:tc>
          <w:tcPr>
            <w:tcW w:w="4280" w:type="dxa"/>
            <w:vAlign w:val="bottom"/>
            <w:tcBorders>
              <w:bottom w:val="single" w:sz="8" w:color="DBDBDB"/>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4360" w:type="dxa"/>
            <w:vAlign w:val="bottom"/>
            <w:tcBorders>
              <w:bottom w:val="single" w:sz="8" w:color="DBDBDB"/>
            </w:tcBorders>
            <w:gridSpan w:val="2"/>
            <w:shd w:val="clear" w:color="auto" w:fill="DBDBDB"/>
          </w:tcPr>
          <w:p>
            <w:pPr>
              <w:ind w:left="20"/>
              <w:spacing w:after="0" w:line="174" w:lineRule="exact"/>
              <w:rPr>
                <w:sz w:val="20"/>
                <w:szCs w:val="20"/>
                <w:color w:val="auto"/>
              </w:rPr>
            </w:pPr>
            <w:r>
              <w:rPr>
                <w:rFonts w:ascii="Calibri" w:cs="Calibri" w:eastAsia="Calibri" w:hAnsi="Calibri"/>
                <w:sz w:val="16"/>
                <w:szCs w:val="16"/>
                <w:color w:val="auto"/>
              </w:rPr>
              <w:t>Operatng loss</w:t>
            </w:r>
          </w:p>
        </w:tc>
        <w:tc>
          <w:tcPr>
            <w:tcW w:w="1040" w:type="dxa"/>
            <w:vAlign w:val="bottom"/>
            <w:tcBorders>
              <w:bottom w:val="single" w:sz="8" w:color="DBDBDB"/>
            </w:tcBorders>
            <w:shd w:val="clear" w:color="auto" w:fill="DBDBDB"/>
          </w:tcPr>
          <w:p>
            <w:pPr>
              <w:spacing w:after="0"/>
              <w:rPr>
                <w:sz w:val="16"/>
                <w:szCs w:val="16"/>
                <w:color w:val="auto"/>
              </w:rPr>
            </w:pPr>
          </w:p>
        </w:tc>
        <w:tc>
          <w:tcPr>
            <w:tcW w:w="64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(50,472)</w:t>
            </w:r>
          </w:p>
        </w:tc>
        <w:tc>
          <w:tcPr>
            <w:tcW w:w="120" w:type="dxa"/>
            <w:vAlign w:val="bottom"/>
            <w:tcBorders>
              <w:bottom w:val="single" w:sz="8" w:color="DBDBDB"/>
            </w:tcBorders>
            <w:shd w:val="clear" w:color="auto" w:fill="DBDBDB"/>
          </w:tcPr>
          <w:p>
            <w:pPr>
              <w:spacing w:after="0"/>
              <w:rPr>
                <w:sz w:val="16"/>
                <w:szCs w:val="16"/>
                <w:color w:val="auto"/>
              </w:rPr>
            </w:pPr>
          </w:p>
        </w:tc>
        <w:tc>
          <w:tcPr>
            <w:tcW w:w="1020" w:type="dxa"/>
            <w:vAlign w:val="bottom"/>
            <w:tcBorders>
              <w:bottom w:val="single" w:sz="8" w:color="DBDBDB"/>
            </w:tcBorders>
            <w:shd w:val="clear" w:color="auto" w:fill="DBDBDB"/>
          </w:tcPr>
          <w:p>
            <w:pPr>
              <w:spacing w:after="0"/>
              <w:rPr>
                <w:sz w:val="16"/>
                <w:szCs w:val="16"/>
                <w:color w:val="auto"/>
              </w:rPr>
            </w:pPr>
          </w:p>
        </w:tc>
        <w:tc>
          <w:tcPr>
            <w:tcW w:w="64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(46,256)</w:t>
            </w:r>
          </w:p>
        </w:tc>
        <w:tc>
          <w:tcPr>
            <w:tcW w:w="120" w:type="dxa"/>
            <w:vAlign w:val="bottom"/>
            <w:tcBorders>
              <w:bottom w:val="single" w:sz="8" w:color="DBDBDB"/>
            </w:tcBorders>
            <w:shd w:val="clear" w:color="auto" w:fill="DBDBDB"/>
          </w:tcPr>
          <w:p>
            <w:pPr>
              <w:spacing w:after="0"/>
              <w:rPr>
                <w:sz w:val="16"/>
                <w:szCs w:val="16"/>
                <w:color w:val="auto"/>
              </w:rPr>
            </w:pPr>
          </w:p>
        </w:tc>
        <w:tc>
          <w:tcPr>
            <w:tcW w:w="380" w:type="dxa"/>
            <w:vAlign w:val="bottom"/>
            <w:tcBorders>
              <w:bottom w:val="single" w:sz="8" w:color="DBDBDB"/>
            </w:tcBorders>
            <w:shd w:val="clear" w:color="auto" w:fill="DBDBDB"/>
          </w:tcPr>
          <w:p>
            <w:pPr>
              <w:spacing w:after="0"/>
              <w:rPr>
                <w:sz w:val="16"/>
                <w:szCs w:val="16"/>
                <w:color w:val="auto"/>
              </w:rPr>
            </w:pPr>
          </w:p>
        </w:tc>
        <w:tc>
          <w:tcPr>
            <w:tcW w:w="108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(4,216)</w:t>
            </w:r>
          </w:p>
        </w:tc>
        <w:tc>
          <w:tcPr>
            <w:tcW w:w="100" w:type="dxa"/>
            <w:vAlign w:val="bottom"/>
            <w:tcBorders>
              <w:bottom w:val="single" w:sz="8" w:color="DBDBDB"/>
            </w:tcBorders>
            <w:shd w:val="clear" w:color="auto" w:fill="DBDBDB"/>
          </w:tcPr>
          <w:p>
            <w:pPr>
              <w:spacing w:after="0"/>
              <w:rPr>
                <w:sz w:val="16"/>
                <w:szCs w:val="16"/>
                <w:color w:val="auto"/>
              </w:rPr>
            </w:pPr>
          </w:p>
        </w:tc>
        <w:tc>
          <w:tcPr>
            <w:tcW w:w="58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9 %</w:t>
            </w:r>
          </w:p>
        </w:tc>
        <w:tc>
          <w:tcPr>
            <w:tcW w:w="0" w:type="dxa"/>
            <w:vAlign w:val="bottom"/>
          </w:tcPr>
          <w:p>
            <w:pPr>
              <w:spacing w:after="0"/>
              <w:rPr>
                <w:sz w:val="1"/>
                <w:szCs w:val="1"/>
                <w:color w:val="auto"/>
              </w:rPr>
            </w:pPr>
          </w:p>
        </w:tc>
      </w:tr>
      <w:tr>
        <w:trPr>
          <w:trHeight w:val="193"/>
        </w:trPr>
        <w:tc>
          <w:tcPr>
            <w:tcW w:w="436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Other expense, net</w:t>
            </w:r>
          </w:p>
        </w:tc>
        <w:tc>
          <w:tcPr>
            <w:tcW w:w="1040" w:type="dxa"/>
            <w:vAlign w:val="bottom"/>
          </w:tcPr>
          <w:p>
            <w:pPr>
              <w:spacing w:after="0"/>
              <w:rPr>
                <w:sz w:val="16"/>
                <w:szCs w:val="16"/>
                <w:color w:val="auto"/>
              </w:rPr>
            </w:pPr>
          </w:p>
        </w:tc>
        <w:tc>
          <w:tcPr>
            <w:tcW w:w="640" w:type="dxa"/>
            <w:vAlign w:val="bottom"/>
          </w:tcPr>
          <w:p>
            <w:pPr>
              <w:jc w:val="right"/>
              <w:spacing w:after="0" w:line="193" w:lineRule="exact"/>
              <w:rPr>
                <w:sz w:val="20"/>
                <w:szCs w:val="20"/>
                <w:color w:val="auto"/>
              </w:rPr>
            </w:pPr>
            <w:r>
              <w:rPr>
                <w:rFonts w:ascii="Calibri" w:cs="Calibri" w:eastAsia="Calibri" w:hAnsi="Calibri"/>
                <w:sz w:val="16"/>
                <w:szCs w:val="16"/>
                <w:color w:val="auto"/>
              </w:rPr>
              <w:t>(18,091)</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40" w:type="dxa"/>
            <w:vAlign w:val="bottom"/>
          </w:tcPr>
          <w:p>
            <w:pPr>
              <w:jc w:val="right"/>
              <w:spacing w:after="0" w:line="193" w:lineRule="exact"/>
              <w:rPr>
                <w:sz w:val="20"/>
                <w:szCs w:val="20"/>
                <w:color w:val="auto"/>
              </w:rPr>
            </w:pPr>
            <w:r>
              <w:rPr>
                <w:rFonts w:ascii="Calibri" w:cs="Calibri" w:eastAsia="Calibri" w:hAnsi="Calibri"/>
                <w:sz w:val="16"/>
                <w:szCs w:val="16"/>
                <w:color w:val="auto"/>
              </w:rPr>
              <w:t>(5,145)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jc w:val="right"/>
              <w:spacing w:after="0" w:line="193" w:lineRule="exact"/>
              <w:rPr>
                <w:sz w:val="20"/>
                <w:szCs w:val="20"/>
                <w:color w:val="auto"/>
              </w:rPr>
            </w:pPr>
            <w:r>
              <w:rPr>
                <w:rFonts w:ascii="Calibri" w:cs="Calibri" w:eastAsia="Calibri" w:hAnsi="Calibri"/>
                <w:sz w:val="16"/>
                <w:szCs w:val="16"/>
                <w:color w:val="auto"/>
              </w:rPr>
              <w:t>(12,946)</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252 %</w:t>
            </w:r>
          </w:p>
        </w:tc>
        <w:tc>
          <w:tcPr>
            <w:tcW w:w="0" w:type="dxa"/>
            <w:vAlign w:val="bottom"/>
          </w:tcPr>
          <w:p>
            <w:pPr>
              <w:spacing w:after="0"/>
              <w:rPr>
                <w:sz w:val="1"/>
                <w:szCs w:val="1"/>
                <w:color w:val="auto"/>
              </w:rPr>
            </w:pPr>
          </w:p>
        </w:tc>
      </w:tr>
      <w:tr>
        <w:trPr>
          <w:trHeight w:val="23"/>
        </w:trPr>
        <w:tc>
          <w:tcPr>
            <w:tcW w:w="4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Change in fair value or warrant liability</w:t>
            </w:r>
          </w:p>
        </w:tc>
        <w:tc>
          <w:tcPr>
            <w:tcW w:w="1040" w:type="dxa"/>
            <w:vAlign w:val="bottom"/>
            <w:tcBorders>
              <w:bottom w:val="single" w:sz="8" w:color="DBDBDB"/>
            </w:tcBorders>
            <w:shd w:val="clear" w:color="auto" w:fill="DBDBDB"/>
          </w:tcPr>
          <w:p>
            <w:pPr>
              <w:spacing w:after="0"/>
              <w:rPr>
                <w:sz w:val="17"/>
                <w:szCs w:val="17"/>
                <w:color w:val="auto"/>
              </w:rPr>
            </w:pPr>
          </w:p>
        </w:tc>
        <w:tc>
          <w:tcPr>
            <w:tcW w:w="6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(330)</w:t>
            </w:r>
          </w:p>
        </w:tc>
        <w:tc>
          <w:tcPr>
            <w:tcW w:w="120" w:type="dxa"/>
            <w:vAlign w:val="bottom"/>
            <w:tcBorders>
              <w:bottom w:val="single" w:sz="8" w:color="DBDBDB"/>
            </w:tcBorders>
            <w:shd w:val="clear" w:color="auto" w:fill="DBDBDB"/>
          </w:tcPr>
          <w:p>
            <w:pPr>
              <w:spacing w:after="0"/>
              <w:rPr>
                <w:sz w:val="17"/>
                <w:szCs w:val="17"/>
                <w:color w:val="auto"/>
              </w:rPr>
            </w:pPr>
          </w:p>
        </w:tc>
        <w:tc>
          <w:tcPr>
            <w:tcW w:w="102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gridSpan w:val="2"/>
            <w:shd w:val="clear" w:color="auto" w:fill="DBDBDB"/>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38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(330)</w:t>
            </w:r>
          </w:p>
        </w:tc>
        <w:tc>
          <w:tcPr>
            <w:tcW w:w="100" w:type="dxa"/>
            <w:vAlign w:val="bottom"/>
            <w:tcBorders>
              <w:bottom w:val="single" w:sz="8" w:color="DBDBDB"/>
            </w:tcBorders>
            <w:shd w:val="clear" w:color="auto" w:fill="DBDBDB"/>
          </w:tcPr>
          <w:p>
            <w:pPr>
              <w:spacing w:after="0"/>
              <w:rPr>
                <w:sz w:val="17"/>
                <w:szCs w:val="17"/>
                <w:color w:val="auto"/>
              </w:rPr>
            </w:pPr>
          </w:p>
        </w:tc>
        <w:tc>
          <w:tcPr>
            <w:tcW w:w="58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194"/>
        </w:trPr>
        <w:tc>
          <w:tcPr>
            <w:tcW w:w="436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Loss on extnguishment of debt</w:t>
            </w:r>
          </w:p>
        </w:tc>
        <w:tc>
          <w:tcPr>
            <w:tcW w:w="1040" w:type="dxa"/>
            <w:vAlign w:val="bottom"/>
          </w:tcPr>
          <w:p>
            <w:pPr>
              <w:spacing w:after="0"/>
              <w:rPr>
                <w:sz w:val="16"/>
                <w:szCs w:val="16"/>
                <w:color w:val="auto"/>
              </w:rPr>
            </w:pPr>
          </w:p>
        </w:tc>
        <w:tc>
          <w:tcPr>
            <w:tcW w:w="640" w:type="dxa"/>
            <w:vAlign w:val="bottom"/>
          </w:tcPr>
          <w:p>
            <w:pPr>
              <w:jc w:val="right"/>
              <w:spacing w:after="0" w:line="193" w:lineRule="exact"/>
              <w:rPr>
                <w:sz w:val="20"/>
                <w:szCs w:val="20"/>
                <w:color w:val="auto"/>
              </w:rPr>
            </w:pPr>
            <w:r>
              <w:rPr>
                <w:rFonts w:ascii="Calibri" w:cs="Calibri" w:eastAsia="Calibri" w:hAnsi="Calibri"/>
                <w:sz w:val="16"/>
                <w:szCs w:val="16"/>
                <w:color w:val="auto"/>
              </w:rPr>
              <w:t>(517)</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380" w:type="dxa"/>
            <w:vAlign w:val="bottom"/>
          </w:tcPr>
          <w:p>
            <w:pPr>
              <w:spacing w:after="0"/>
              <w:rPr>
                <w:sz w:val="16"/>
                <w:szCs w:val="16"/>
                <w:color w:val="auto"/>
              </w:rPr>
            </w:pPr>
          </w:p>
        </w:tc>
        <w:tc>
          <w:tcPr>
            <w:tcW w:w="1080" w:type="dxa"/>
            <w:vAlign w:val="bottom"/>
          </w:tcPr>
          <w:p>
            <w:pPr>
              <w:jc w:val="right"/>
              <w:spacing w:after="0" w:line="193" w:lineRule="exact"/>
              <w:rPr>
                <w:sz w:val="20"/>
                <w:szCs w:val="20"/>
                <w:color w:val="auto"/>
              </w:rPr>
            </w:pPr>
            <w:r>
              <w:rPr>
                <w:rFonts w:ascii="Calibri" w:cs="Calibri" w:eastAsia="Calibri" w:hAnsi="Calibri"/>
                <w:sz w:val="16"/>
                <w:szCs w:val="16"/>
                <w:color w:val="auto"/>
              </w:rPr>
              <w:t>(517)</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2"/>
        </w:trPr>
        <w:tc>
          <w:tcPr>
            <w:tcW w:w="4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Loss on terminaton of lease</w:t>
            </w:r>
          </w:p>
        </w:tc>
        <w:tc>
          <w:tcPr>
            <w:tcW w:w="104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gridSpan w:val="2"/>
            <w:shd w:val="clear" w:color="auto" w:fill="DBDBDB"/>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1020" w:type="dxa"/>
            <w:vAlign w:val="bottom"/>
            <w:tcBorders>
              <w:bottom w:val="single" w:sz="8" w:color="DBDBDB"/>
            </w:tcBorders>
            <w:shd w:val="clear" w:color="auto" w:fill="DBDBDB"/>
          </w:tcPr>
          <w:p>
            <w:pPr>
              <w:spacing w:after="0"/>
              <w:rPr>
                <w:sz w:val="18"/>
                <w:szCs w:val="18"/>
                <w:color w:val="auto"/>
              </w:rPr>
            </w:pPr>
          </w:p>
        </w:tc>
        <w:tc>
          <w:tcPr>
            <w:tcW w:w="6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(524)</w:t>
            </w:r>
          </w:p>
        </w:tc>
        <w:tc>
          <w:tcPr>
            <w:tcW w:w="120" w:type="dxa"/>
            <w:vAlign w:val="bottom"/>
            <w:tcBorders>
              <w:bottom w:val="single" w:sz="8" w:color="DBDBDB"/>
            </w:tcBorders>
            <w:shd w:val="clear" w:color="auto" w:fill="DBDBDB"/>
          </w:tcPr>
          <w:p>
            <w:pPr>
              <w:spacing w:after="0"/>
              <w:rPr>
                <w:sz w:val="18"/>
                <w:szCs w:val="18"/>
                <w:color w:val="auto"/>
              </w:rPr>
            </w:pPr>
          </w:p>
        </w:tc>
        <w:tc>
          <w:tcPr>
            <w:tcW w:w="380" w:type="dxa"/>
            <w:vAlign w:val="bottom"/>
            <w:tcBorders>
              <w:bottom w:val="single" w:sz="8" w:color="DBDBDB"/>
            </w:tcBorders>
            <w:shd w:val="clear" w:color="auto" w:fill="DBDBDB"/>
          </w:tcPr>
          <w:p>
            <w:pPr>
              <w:spacing w:after="0"/>
              <w:rPr>
                <w:sz w:val="18"/>
                <w:szCs w:val="18"/>
                <w:color w:val="auto"/>
              </w:rPr>
            </w:pPr>
          </w:p>
        </w:tc>
        <w:tc>
          <w:tcPr>
            <w:tcW w:w="108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524</w:t>
            </w:r>
          </w:p>
        </w:tc>
        <w:tc>
          <w:tcPr>
            <w:tcW w:w="10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spacing w:after="0"/>
              <w:rPr>
                <w:sz w:val="18"/>
                <w:szCs w:val="18"/>
                <w:color w:val="auto"/>
              </w:rPr>
            </w:pPr>
          </w:p>
        </w:tc>
        <w:tc>
          <w:tcPr>
            <w:tcW w:w="116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187"/>
        </w:trPr>
        <w:tc>
          <w:tcPr>
            <w:tcW w:w="4360" w:type="dxa"/>
            <w:vAlign w:val="bottom"/>
            <w:gridSpan w:val="2"/>
          </w:tcPr>
          <w:p>
            <w:pPr>
              <w:ind w:left="20"/>
              <w:spacing w:after="0" w:line="182" w:lineRule="exact"/>
              <w:rPr>
                <w:sz w:val="20"/>
                <w:szCs w:val="20"/>
                <w:color w:val="auto"/>
              </w:rPr>
            </w:pPr>
            <w:r>
              <w:rPr>
                <w:rFonts w:ascii="Calibri" w:cs="Calibri" w:eastAsia="Calibri" w:hAnsi="Calibri"/>
                <w:sz w:val="16"/>
                <w:szCs w:val="16"/>
                <w:color w:val="auto"/>
              </w:rPr>
              <w:t>Net loss</w:t>
            </w:r>
          </w:p>
        </w:tc>
        <w:tc>
          <w:tcPr>
            <w:tcW w:w="1040" w:type="dxa"/>
            <w:vAlign w:val="bottom"/>
            <w:tcBorders>
              <w:top w:val="single" w:sz="8" w:color="auto"/>
            </w:tcBorders>
          </w:tcPr>
          <w:p>
            <w:pPr>
              <w:jc w:val="right"/>
              <w:ind w:right="859"/>
              <w:spacing w:after="0" w:line="187" w:lineRule="exact"/>
              <w:rPr>
                <w:sz w:val="20"/>
                <w:szCs w:val="20"/>
                <w:color w:val="auto"/>
              </w:rPr>
            </w:pPr>
            <w:r>
              <w:rPr>
                <w:rFonts w:ascii="Calibri" w:cs="Calibri" w:eastAsia="Calibri" w:hAnsi="Calibri"/>
                <w:sz w:val="16"/>
                <w:szCs w:val="16"/>
                <w:color w:val="auto"/>
                <w:w w:val="97"/>
              </w:rPr>
              <w:t>$</w:t>
            </w:r>
          </w:p>
        </w:tc>
        <w:tc>
          <w:tcPr>
            <w:tcW w:w="6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(69,410)</w:t>
            </w:r>
          </w:p>
        </w:tc>
        <w:tc>
          <w:tcPr>
            <w:tcW w:w="120" w:type="dxa"/>
            <w:vAlign w:val="bottom"/>
          </w:tcPr>
          <w:p>
            <w:pPr>
              <w:spacing w:after="0"/>
              <w:rPr>
                <w:sz w:val="16"/>
                <w:szCs w:val="16"/>
                <w:color w:val="auto"/>
              </w:rPr>
            </w:pPr>
          </w:p>
        </w:tc>
        <w:tc>
          <w:tcPr>
            <w:tcW w:w="1020" w:type="dxa"/>
            <w:vAlign w:val="bottom"/>
            <w:tcBorders>
              <w:top w:val="single" w:sz="8" w:color="auto"/>
            </w:tcBorders>
          </w:tcPr>
          <w:p>
            <w:pPr>
              <w:jc w:val="right"/>
              <w:ind w:right="839"/>
              <w:spacing w:after="0" w:line="187" w:lineRule="exact"/>
              <w:rPr>
                <w:sz w:val="20"/>
                <w:szCs w:val="20"/>
                <w:color w:val="auto"/>
              </w:rPr>
            </w:pPr>
            <w:r>
              <w:rPr>
                <w:rFonts w:ascii="Calibri" w:cs="Calibri" w:eastAsia="Calibri" w:hAnsi="Calibri"/>
                <w:sz w:val="16"/>
                <w:szCs w:val="16"/>
                <w:color w:val="auto"/>
                <w:w w:val="97"/>
              </w:rPr>
              <w:t>$</w:t>
            </w:r>
          </w:p>
        </w:tc>
        <w:tc>
          <w:tcPr>
            <w:tcW w:w="6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(51,925)</w:t>
            </w:r>
          </w:p>
        </w:tc>
        <w:tc>
          <w:tcPr>
            <w:tcW w:w="120" w:type="dxa"/>
            <w:vAlign w:val="bottom"/>
          </w:tcPr>
          <w:p>
            <w:pPr>
              <w:spacing w:after="0"/>
              <w:rPr>
                <w:sz w:val="16"/>
                <w:szCs w:val="16"/>
                <w:color w:val="auto"/>
              </w:rPr>
            </w:pPr>
          </w:p>
        </w:tc>
        <w:tc>
          <w:tcPr>
            <w:tcW w:w="380" w:type="dxa"/>
            <w:vAlign w:val="bottom"/>
            <w:tcBorders>
              <w:top w:val="single" w:sz="8" w:color="auto"/>
            </w:tcBorders>
          </w:tcPr>
          <w:p>
            <w:pPr>
              <w:jc w:val="right"/>
              <w:ind w:right="199"/>
              <w:spacing w:after="0" w:line="187" w:lineRule="exact"/>
              <w:rPr>
                <w:sz w:val="20"/>
                <w:szCs w:val="20"/>
                <w:color w:val="auto"/>
              </w:rPr>
            </w:pPr>
            <w:r>
              <w:rPr>
                <w:rFonts w:ascii="Calibri" w:cs="Calibri" w:eastAsia="Calibri" w:hAnsi="Calibri"/>
                <w:sz w:val="16"/>
                <w:szCs w:val="16"/>
                <w:color w:val="auto"/>
                <w:w w:val="97"/>
              </w:rPr>
              <w:t>$</w:t>
            </w:r>
          </w:p>
        </w:tc>
        <w:tc>
          <w:tcPr>
            <w:tcW w:w="10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(17,485)</w:t>
            </w:r>
          </w:p>
        </w:tc>
        <w:tc>
          <w:tcPr>
            <w:tcW w:w="1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34 %</w:t>
            </w:r>
          </w:p>
        </w:tc>
        <w:tc>
          <w:tcPr>
            <w:tcW w:w="0" w:type="dxa"/>
            <w:vAlign w:val="bottom"/>
          </w:tcPr>
          <w:p>
            <w:pPr>
              <w:spacing w:after="0"/>
              <w:rPr>
                <w:sz w:val="1"/>
                <w:szCs w:val="1"/>
                <w:color w:val="auto"/>
              </w:rPr>
            </w:pPr>
          </w:p>
        </w:tc>
      </w:tr>
      <w:tr>
        <w:trPr>
          <w:trHeight w:val="23"/>
        </w:trPr>
        <w:tc>
          <w:tcPr>
            <w:tcW w:w="4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Akebia Therapeutcs, Inc. | Form 10-K | Page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5" w:name="page116"/>
    <w:bookmarkEnd w:id="11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239141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Calibri" w:cs="Calibri" w:eastAsia="Calibri" w:hAnsi="Calibri"/>
          <w:sz w:val="16"/>
          <w:szCs w:val="16"/>
          <w:color w:val="auto"/>
        </w:rPr>
        <w:t>*Percentage change not meaningful.</w:t>
      </w:r>
    </w:p>
    <w:p>
      <w:pPr>
        <w:spacing w:after="0" w:line="20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Product Revenue, Net—</w:t>
      </w:r>
      <w:r>
        <w:rPr>
          <w:rFonts w:ascii="Calibri" w:cs="Calibri" w:eastAsia="Calibri" w:hAnsi="Calibri"/>
          <w:sz w:val="18"/>
          <w:szCs w:val="18"/>
          <w:color w:val="auto"/>
        </w:rPr>
        <w:t>Net product revenue was derived solely from sales of Auryxia in the U.S. untl Vafseo's U.S. market entry in January 2025. We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distribute Auryxia principally through a limited number of dialysis organizatons, wholesale distributors and certain specialty pharmacy providers.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product revenue was $152.2 million for the year ended December 31, 2024, compared to net product revenue of $170.3 million for the year ended December 31, 2023. The decrease was primarily due to a reducton in volume, partally ofset by price increases and executon of our contractng strategy with third party payors.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Auryxia will lose exclusivity in the U.S. in March 2025, which may have a negatve impact on revenue. We believe the dynamics of Auryxia reimbursement being included in the ESRD bundle under Medicare Part B could result in slower revenue decline afer the LoE date than in other LoE scenarios. However, our ability to contnue to generate revenue from sales of Auryxia following LoE will depend on many factors, including our ability to maintain contracts with dialysis organizatons, the tming and number of generics that enter the market and the pricing of generics and other products on the market that compete with Auryxia.</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License, Collaboraton and Other Revenue—</w:t>
      </w:r>
      <w:r>
        <w:rPr>
          <w:rFonts w:ascii="Calibri" w:cs="Calibri" w:eastAsia="Calibri" w:hAnsi="Calibri"/>
          <w:sz w:val="18"/>
          <w:szCs w:val="18"/>
          <w:color w:val="auto"/>
        </w:rPr>
        <w:t>License, collaboraton and other revenue was $8.0 million for the year ended December 31, 2024, compared to</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$24.3 million for the year ended December 31, 2023. The decrease was due primarily to a one-tme $10.0 million upfront payment recognized in connecton with the Medice License Agreement during the year ended December 31, 2023 as well as a reducton in revenue under our supply agreement with MTPC as a result of the assignment of our supply agreement with Esteve Química, S.A. to MTPC in December 2022. We also recognized $2.2 million in revenue in connecton with the Packaging Validaton Transfer Agreement we entered into with Otsuka during the year ended December 31, 2023.</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See Note 12, </w:t>
      </w:r>
      <w:r>
        <w:rPr>
          <w:rFonts w:ascii="Calibri" w:cs="Calibri" w:eastAsia="Calibri" w:hAnsi="Calibri"/>
          <w:sz w:val="18"/>
          <w:szCs w:val="18"/>
          <w:i w:val="1"/>
          <w:iCs w:val="1"/>
          <w:color w:val="auto"/>
        </w:rPr>
        <w:t>License, Collaboraton and Other Revenue</w:t>
      </w:r>
      <w:r>
        <w:rPr>
          <w:rFonts w:ascii="Calibri" w:cs="Calibri" w:eastAsia="Calibri" w:hAnsi="Calibri"/>
          <w:sz w:val="18"/>
          <w:szCs w:val="18"/>
          <w:color w:val="auto"/>
        </w:rPr>
        <w:t>, in the accompanying notes to the consolidated fnancial statements included in Part II, Item 8 of this Form 10-K for further informaton.</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color w:val="auto"/>
        </w:rPr>
        <w:t>A further breakdown of the license, collaboraton and other revenue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4"/>
          </w:tcPr>
          <w:p>
            <w:pPr>
              <w:jc w:val="right"/>
              <w:ind w:right="739"/>
              <w:spacing w:after="0"/>
              <w:rPr>
                <w:sz w:val="20"/>
                <w:szCs w:val="20"/>
                <w:color w:val="auto"/>
              </w:rPr>
            </w:pPr>
            <w:r>
              <w:rPr>
                <w:rFonts w:ascii="Calibri" w:cs="Calibri" w:eastAsia="Calibri" w:hAnsi="Calibri"/>
                <w:sz w:val="16"/>
                <w:szCs w:val="16"/>
                <w:b w:val="1"/>
                <w:bCs w:val="1"/>
                <w:color w:val="auto"/>
              </w:rPr>
              <w:t>Years Ended December 31,</w:t>
            </w:r>
          </w:p>
        </w:tc>
        <w:tc>
          <w:tcPr>
            <w:tcW w:w="0" w:type="dxa"/>
            <w:vAlign w:val="bottom"/>
          </w:tcPr>
          <w:p>
            <w:pPr>
              <w:spacing w:after="0"/>
              <w:rPr>
                <w:sz w:val="1"/>
                <w:szCs w:val="1"/>
                <w:color w:val="auto"/>
              </w:rPr>
            </w:pPr>
          </w:p>
        </w:tc>
      </w:tr>
      <w:tr>
        <w:trPr>
          <w:trHeight w:val="28"/>
        </w:trPr>
        <w:tc>
          <w:tcPr>
            <w:tcW w:w="7840" w:type="dxa"/>
            <w:vAlign w:val="bottom"/>
            <w:gridSpan w:val="2"/>
            <w:vMerge w:val="restart"/>
          </w:tcPr>
          <w:p>
            <w:pPr>
              <w:ind w:left="20"/>
              <w:spacing w:after="0"/>
              <w:rPr>
                <w:sz w:val="20"/>
                <w:szCs w:val="20"/>
                <w:color w:val="auto"/>
              </w:rPr>
            </w:pPr>
            <w:r>
              <w:rPr>
                <w:rFonts w:ascii="Calibri" w:cs="Calibri" w:eastAsia="Calibri" w:hAnsi="Calibri"/>
                <w:sz w:val="16"/>
                <w:szCs w:val="16"/>
                <w:b w:val="1"/>
                <w:bCs w:val="1"/>
                <w:color w:val="auto"/>
              </w:rPr>
              <w:t>License, Collaboraton and Other Revenue (dollars in thousands)</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84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79"/>
              <w:spacing w:after="0" w:line="187" w:lineRule="exact"/>
              <w:rPr>
                <w:sz w:val="20"/>
                <w:szCs w:val="20"/>
                <w:color w:val="auto"/>
              </w:rPr>
            </w:pPr>
            <w:r>
              <w:rPr>
                <w:rFonts w:ascii="Calibri" w:cs="Calibri" w:eastAsia="Calibri" w:hAnsi="Calibri"/>
                <w:sz w:val="16"/>
                <w:szCs w:val="16"/>
                <w:b w:val="1"/>
                <w:bCs w:val="1"/>
                <w:color w:val="auto"/>
              </w:rPr>
              <w:t>2024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79"/>
              <w:spacing w:after="0" w:line="187" w:lineRule="exact"/>
              <w:rPr>
                <w:sz w:val="20"/>
                <w:szCs w:val="20"/>
                <w:color w:val="auto"/>
              </w:rPr>
            </w:pPr>
            <w:r>
              <w:rPr>
                <w:rFonts w:ascii="Calibri" w:cs="Calibri" w:eastAsia="Calibri" w:hAnsi="Calibri"/>
                <w:sz w:val="16"/>
                <w:szCs w:val="16"/>
                <w:b w:val="1"/>
                <w:bCs w:val="1"/>
                <w:color w:val="auto"/>
              </w:rPr>
              <w:t>2023</w:t>
            </w:r>
          </w:p>
        </w:tc>
        <w:tc>
          <w:tcPr>
            <w:tcW w:w="0" w:type="dxa"/>
            <w:vAlign w:val="bottom"/>
          </w:tcPr>
          <w:p>
            <w:pPr>
              <w:spacing w:after="0"/>
              <w:rPr>
                <w:sz w:val="1"/>
                <w:szCs w:val="1"/>
                <w:color w:val="auto"/>
              </w:rPr>
            </w:pPr>
          </w:p>
        </w:tc>
      </w:tr>
      <w:tr>
        <w:trPr>
          <w:trHeight w:val="23"/>
        </w:trPr>
        <w:tc>
          <w:tcPr>
            <w:tcW w:w="7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7740" w:type="dxa"/>
            <w:vAlign w:val="bottom"/>
          </w:tcPr>
          <w:p>
            <w:pPr>
              <w:ind w:left="20"/>
              <w:spacing w:after="0" w:line="187" w:lineRule="exact"/>
              <w:rPr>
                <w:sz w:val="20"/>
                <w:szCs w:val="20"/>
                <w:color w:val="auto"/>
              </w:rPr>
            </w:pPr>
            <w:r>
              <w:rPr>
                <w:rFonts w:ascii="Calibri" w:cs="Calibri" w:eastAsia="Calibri" w:hAnsi="Calibri"/>
                <w:sz w:val="16"/>
                <w:szCs w:val="16"/>
                <w:b w:val="1"/>
                <w:bCs w:val="1"/>
                <w:i w:val="1"/>
                <w:iCs w:val="1"/>
                <w:color w:val="auto"/>
              </w:rPr>
              <w:t>License Fees:</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4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Medice upfront license payment</w:t>
            </w:r>
          </w:p>
        </w:tc>
        <w:tc>
          <w:tcPr>
            <w:tcW w:w="380" w:type="dxa"/>
            <w:vAlign w:val="bottom"/>
            <w:tcBorders>
              <w:bottom w:val="single" w:sz="8" w:color="DBDBDB"/>
            </w:tcBorders>
            <w:shd w:val="clear" w:color="auto" w:fill="DBDBDB"/>
          </w:tcPr>
          <w:p>
            <w:pPr>
              <w:jc w:val="right"/>
              <w:ind w:right="199"/>
              <w:spacing w:after="0" w:line="193" w:lineRule="exact"/>
              <w:rPr>
                <w:sz w:val="20"/>
                <w:szCs w:val="20"/>
                <w:color w:val="auto"/>
              </w:rPr>
            </w:pPr>
            <w:r>
              <w:rPr>
                <w:rFonts w:ascii="Calibri" w:cs="Calibri" w:eastAsia="Calibri" w:hAnsi="Calibri"/>
                <w:sz w:val="16"/>
                <w:szCs w:val="16"/>
                <w:color w:val="auto"/>
                <w:w w:val="97"/>
              </w:rPr>
              <w:t>$</w:t>
            </w:r>
          </w:p>
        </w:tc>
        <w:tc>
          <w:tcPr>
            <w:tcW w:w="1380" w:type="dxa"/>
            <w:vAlign w:val="bottom"/>
            <w:tcBorders>
              <w:bottom w:val="single" w:sz="8" w:color="DBDBDB"/>
            </w:tcBorders>
            <w:gridSpan w:val="2"/>
            <w:shd w:val="clear" w:color="auto" w:fill="DBDBDB"/>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380" w:type="dxa"/>
            <w:vAlign w:val="bottom"/>
            <w:tcBorders>
              <w:bottom w:val="single" w:sz="8" w:color="DBDBDB"/>
            </w:tcBorders>
            <w:shd w:val="clear" w:color="auto" w:fill="DBDBDB"/>
          </w:tcPr>
          <w:p>
            <w:pPr>
              <w:jc w:val="right"/>
              <w:ind w:right="199"/>
              <w:spacing w:after="0" w:line="193" w:lineRule="exact"/>
              <w:rPr>
                <w:sz w:val="20"/>
                <w:szCs w:val="20"/>
                <w:color w:val="auto"/>
              </w:rPr>
            </w:pPr>
            <w:r>
              <w:rPr>
                <w:rFonts w:ascii="Calibri" w:cs="Calibri" w:eastAsia="Calibri" w:hAnsi="Calibri"/>
                <w:sz w:val="16"/>
                <w:szCs w:val="16"/>
                <w:color w:val="auto"/>
                <w:w w:val="97"/>
              </w:rPr>
              <w:t>$</w:t>
            </w:r>
          </w:p>
        </w:tc>
        <w:tc>
          <w:tcPr>
            <w:tcW w:w="126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10,000</w:t>
            </w:r>
          </w:p>
        </w:tc>
        <w:tc>
          <w:tcPr>
            <w:tcW w:w="0" w:type="dxa"/>
            <w:vAlign w:val="bottom"/>
          </w:tcPr>
          <w:p>
            <w:pPr>
              <w:spacing w:after="0"/>
              <w:rPr>
                <w:sz w:val="1"/>
                <w:szCs w:val="1"/>
                <w:color w:val="auto"/>
              </w:rPr>
            </w:pPr>
          </w:p>
        </w:tc>
      </w:tr>
      <w:tr>
        <w:trPr>
          <w:trHeight w:val="194"/>
        </w:trPr>
        <w:tc>
          <w:tcPr>
            <w:tcW w:w="7840" w:type="dxa"/>
            <w:vAlign w:val="bottom"/>
            <w:gridSpan w:val="2"/>
          </w:tcPr>
          <w:p>
            <w:pPr>
              <w:ind w:left="20"/>
              <w:spacing w:after="0" w:line="193" w:lineRule="exact"/>
              <w:rPr>
                <w:sz w:val="20"/>
                <w:szCs w:val="20"/>
                <w:color w:val="auto"/>
              </w:rPr>
            </w:pPr>
            <w:r>
              <w:rPr>
                <w:rFonts w:ascii="Calibri" w:cs="Calibri" w:eastAsia="Calibri" w:hAnsi="Calibri"/>
                <w:sz w:val="16"/>
                <w:szCs w:val="16"/>
                <w:b w:val="1"/>
                <w:bCs w:val="1"/>
                <w:i w:val="1"/>
                <w:iCs w:val="1"/>
                <w:color w:val="auto"/>
              </w:rPr>
              <w:t>Drug Product Supply:</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4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MTPC Vafseo drug product supply</w:t>
            </w:r>
          </w:p>
        </w:tc>
        <w:tc>
          <w:tcPr>
            <w:tcW w:w="380" w:type="dxa"/>
            <w:vAlign w:val="bottom"/>
            <w:tcBorders>
              <w:bottom w:val="single" w:sz="8" w:color="DBDBDB"/>
            </w:tcBorders>
            <w:shd w:val="clear" w:color="auto" w:fill="DBDBDB"/>
          </w:tcPr>
          <w:p>
            <w:pPr>
              <w:spacing w:after="0"/>
              <w:rPr>
                <w:sz w:val="17"/>
                <w:szCs w:val="17"/>
                <w:color w:val="auto"/>
              </w:rPr>
            </w:pPr>
          </w:p>
        </w:tc>
        <w:tc>
          <w:tcPr>
            <w:tcW w:w="126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717</w:t>
            </w:r>
          </w:p>
        </w:tc>
        <w:tc>
          <w:tcPr>
            <w:tcW w:w="120" w:type="dxa"/>
            <w:vAlign w:val="bottom"/>
            <w:tcBorders>
              <w:bottom w:val="single" w:sz="8" w:color="DBDBDB"/>
            </w:tcBorders>
            <w:shd w:val="clear" w:color="auto" w:fill="DBDBDB"/>
          </w:tcPr>
          <w:p>
            <w:pPr>
              <w:spacing w:after="0"/>
              <w:rPr>
                <w:sz w:val="17"/>
                <w:szCs w:val="17"/>
                <w:color w:val="auto"/>
              </w:rPr>
            </w:pPr>
          </w:p>
        </w:tc>
        <w:tc>
          <w:tcPr>
            <w:tcW w:w="380" w:type="dxa"/>
            <w:vAlign w:val="bottom"/>
            <w:tcBorders>
              <w:bottom w:val="single" w:sz="8" w:color="DBDBDB"/>
            </w:tcBorders>
            <w:shd w:val="clear" w:color="auto" w:fill="DBDBDB"/>
          </w:tcPr>
          <w:p>
            <w:pPr>
              <w:spacing w:after="0"/>
              <w:rPr>
                <w:sz w:val="17"/>
                <w:szCs w:val="17"/>
                <w:color w:val="auto"/>
              </w:rPr>
            </w:pPr>
          </w:p>
        </w:tc>
        <w:tc>
          <w:tcPr>
            <w:tcW w:w="126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3,738</w:t>
            </w:r>
          </w:p>
        </w:tc>
        <w:tc>
          <w:tcPr>
            <w:tcW w:w="0" w:type="dxa"/>
            <w:vAlign w:val="bottom"/>
          </w:tcPr>
          <w:p>
            <w:pPr>
              <w:spacing w:after="0"/>
              <w:rPr>
                <w:sz w:val="1"/>
                <w:szCs w:val="1"/>
                <w:color w:val="auto"/>
              </w:rPr>
            </w:pPr>
          </w:p>
        </w:tc>
      </w:tr>
      <w:tr>
        <w:trPr>
          <w:trHeight w:val="193"/>
        </w:trPr>
        <w:tc>
          <w:tcPr>
            <w:tcW w:w="784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Medice Vafseo drug product supply</w:t>
            </w:r>
          </w:p>
        </w:tc>
        <w:tc>
          <w:tcPr>
            <w:tcW w:w="380" w:type="dxa"/>
            <w:vAlign w:val="bottom"/>
          </w:tcPr>
          <w:p>
            <w:pPr>
              <w:spacing w:after="0"/>
              <w:rPr>
                <w:sz w:val="16"/>
                <w:szCs w:val="16"/>
                <w:color w:val="auto"/>
              </w:rPr>
            </w:pPr>
          </w:p>
        </w:tc>
        <w:tc>
          <w:tcPr>
            <w:tcW w:w="138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38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968</w:t>
            </w:r>
          </w:p>
        </w:tc>
        <w:tc>
          <w:tcPr>
            <w:tcW w:w="0" w:type="dxa"/>
            <w:vAlign w:val="bottom"/>
          </w:tcPr>
          <w:p>
            <w:pPr>
              <w:spacing w:after="0"/>
              <w:rPr>
                <w:sz w:val="1"/>
                <w:szCs w:val="1"/>
                <w:color w:val="auto"/>
              </w:rPr>
            </w:pPr>
          </w:p>
        </w:tc>
      </w:tr>
      <w:tr>
        <w:trPr>
          <w:trHeight w:val="23"/>
        </w:trPr>
        <w:tc>
          <w:tcPr>
            <w:tcW w:w="77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7840" w:type="dxa"/>
            <w:vAlign w:val="bottom"/>
            <w:tcBorders>
              <w:bottom w:val="single" w:sz="8" w:color="DBDBDB"/>
            </w:tcBorders>
            <w:gridSpan w:val="2"/>
            <w:shd w:val="clear" w:color="auto" w:fill="DBDBDB"/>
          </w:tcPr>
          <w:p>
            <w:pPr>
              <w:ind w:left="140"/>
              <w:spacing w:after="0" w:line="182" w:lineRule="exact"/>
              <w:rPr>
                <w:sz w:val="20"/>
                <w:szCs w:val="20"/>
                <w:color w:val="auto"/>
              </w:rPr>
            </w:pPr>
            <w:r>
              <w:rPr>
                <w:rFonts w:ascii="Calibri" w:cs="Calibri" w:eastAsia="Calibri" w:hAnsi="Calibri"/>
                <w:sz w:val="16"/>
                <w:szCs w:val="16"/>
                <w:b w:val="1"/>
                <w:bCs w:val="1"/>
                <w:i w:val="1"/>
                <w:iCs w:val="1"/>
                <w:color w:val="auto"/>
              </w:rPr>
              <w:t>Drug Product Supply Subtotal</w:t>
            </w:r>
          </w:p>
        </w:tc>
        <w:tc>
          <w:tcPr>
            <w:tcW w:w="380" w:type="dxa"/>
            <w:vAlign w:val="bottom"/>
            <w:tcBorders>
              <w:bottom w:val="single" w:sz="8" w:color="DBDBDB"/>
            </w:tcBorders>
            <w:shd w:val="clear" w:color="auto" w:fill="DBDBDB"/>
          </w:tcPr>
          <w:p>
            <w:pPr>
              <w:spacing w:after="0"/>
              <w:rPr>
                <w:sz w:val="16"/>
                <w:szCs w:val="16"/>
                <w:color w:val="auto"/>
              </w:rPr>
            </w:pPr>
          </w:p>
        </w:tc>
        <w:tc>
          <w:tcPr>
            <w:tcW w:w="126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717</w:t>
            </w:r>
          </w:p>
        </w:tc>
        <w:tc>
          <w:tcPr>
            <w:tcW w:w="120" w:type="dxa"/>
            <w:vAlign w:val="bottom"/>
            <w:tcBorders>
              <w:bottom w:val="single" w:sz="8" w:color="DBDBDB"/>
            </w:tcBorders>
            <w:shd w:val="clear" w:color="auto" w:fill="DBDBDB"/>
          </w:tcPr>
          <w:p>
            <w:pPr>
              <w:spacing w:after="0"/>
              <w:rPr>
                <w:sz w:val="16"/>
                <w:szCs w:val="16"/>
                <w:color w:val="auto"/>
              </w:rPr>
            </w:pPr>
          </w:p>
        </w:tc>
        <w:tc>
          <w:tcPr>
            <w:tcW w:w="380" w:type="dxa"/>
            <w:vAlign w:val="bottom"/>
            <w:tcBorders>
              <w:bottom w:val="single" w:sz="8" w:color="DBDBDB"/>
            </w:tcBorders>
            <w:shd w:val="clear" w:color="auto" w:fill="DBDBDB"/>
          </w:tcPr>
          <w:p>
            <w:pPr>
              <w:spacing w:after="0"/>
              <w:rPr>
                <w:sz w:val="16"/>
                <w:szCs w:val="16"/>
                <w:color w:val="auto"/>
              </w:rPr>
            </w:pPr>
          </w:p>
        </w:tc>
        <w:tc>
          <w:tcPr>
            <w:tcW w:w="126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4,706</w:t>
            </w:r>
          </w:p>
        </w:tc>
        <w:tc>
          <w:tcPr>
            <w:tcW w:w="0" w:type="dxa"/>
            <w:vAlign w:val="bottom"/>
          </w:tcPr>
          <w:p>
            <w:pPr>
              <w:spacing w:after="0"/>
              <w:rPr>
                <w:sz w:val="1"/>
                <w:szCs w:val="1"/>
                <w:color w:val="auto"/>
              </w:rPr>
            </w:pPr>
          </w:p>
        </w:tc>
      </w:tr>
      <w:tr>
        <w:trPr>
          <w:trHeight w:val="194"/>
        </w:trPr>
        <w:tc>
          <w:tcPr>
            <w:tcW w:w="7840" w:type="dxa"/>
            <w:vAlign w:val="bottom"/>
            <w:gridSpan w:val="2"/>
          </w:tcPr>
          <w:p>
            <w:pPr>
              <w:ind w:left="20"/>
              <w:spacing w:after="0" w:line="193" w:lineRule="exact"/>
              <w:rPr>
                <w:sz w:val="20"/>
                <w:szCs w:val="20"/>
                <w:color w:val="auto"/>
              </w:rPr>
            </w:pPr>
            <w:r>
              <w:rPr>
                <w:rFonts w:ascii="Calibri" w:cs="Calibri" w:eastAsia="Calibri" w:hAnsi="Calibri"/>
                <w:sz w:val="16"/>
                <w:szCs w:val="16"/>
                <w:b w:val="1"/>
                <w:bCs w:val="1"/>
                <w:i w:val="1"/>
                <w:iCs w:val="1"/>
                <w:color w:val="auto"/>
              </w:rPr>
              <w:t>Royaltes: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4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JT and Torii royaltes</w:t>
            </w:r>
          </w:p>
        </w:tc>
        <w:tc>
          <w:tcPr>
            <w:tcW w:w="380" w:type="dxa"/>
            <w:vAlign w:val="bottom"/>
            <w:tcBorders>
              <w:bottom w:val="single" w:sz="8" w:color="DBDBDB"/>
            </w:tcBorders>
            <w:shd w:val="clear" w:color="auto" w:fill="DBDBDB"/>
          </w:tcPr>
          <w:p>
            <w:pPr>
              <w:spacing w:after="0"/>
              <w:rPr>
                <w:sz w:val="17"/>
                <w:szCs w:val="17"/>
                <w:color w:val="auto"/>
              </w:rPr>
            </w:pPr>
          </w:p>
        </w:tc>
        <w:tc>
          <w:tcPr>
            <w:tcW w:w="126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5,366</w:t>
            </w:r>
          </w:p>
        </w:tc>
        <w:tc>
          <w:tcPr>
            <w:tcW w:w="120" w:type="dxa"/>
            <w:vAlign w:val="bottom"/>
            <w:tcBorders>
              <w:bottom w:val="single" w:sz="8" w:color="DBDBDB"/>
            </w:tcBorders>
            <w:shd w:val="clear" w:color="auto" w:fill="DBDBDB"/>
          </w:tcPr>
          <w:p>
            <w:pPr>
              <w:spacing w:after="0"/>
              <w:rPr>
                <w:sz w:val="17"/>
                <w:szCs w:val="17"/>
                <w:color w:val="auto"/>
              </w:rPr>
            </w:pPr>
          </w:p>
        </w:tc>
        <w:tc>
          <w:tcPr>
            <w:tcW w:w="380" w:type="dxa"/>
            <w:vAlign w:val="bottom"/>
            <w:tcBorders>
              <w:bottom w:val="single" w:sz="8" w:color="DBDBDB"/>
            </w:tcBorders>
            <w:shd w:val="clear" w:color="auto" w:fill="DBDBDB"/>
          </w:tcPr>
          <w:p>
            <w:pPr>
              <w:spacing w:after="0"/>
              <w:rPr>
                <w:sz w:val="17"/>
                <w:szCs w:val="17"/>
                <w:color w:val="auto"/>
              </w:rPr>
            </w:pPr>
          </w:p>
        </w:tc>
        <w:tc>
          <w:tcPr>
            <w:tcW w:w="126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5,394</w:t>
            </w:r>
          </w:p>
        </w:tc>
        <w:tc>
          <w:tcPr>
            <w:tcW w:w="0" w:type="dxa"/>
            <w:vAlign w:val="bottom"/>
          </w:tcPr>
          <w:p>
            <w:pPr>
              <w:spacing w:after="0"/>
              <w:rPr>
                <w:sz w:val="1"/>
                <w:szCs w:val="1"/>
                <w:color w:val="auto"/>
              </w:rPr>
            </w:pPr>
          </w:p>
        </w:tc>
      </w:tr>
      <w:tr>
        <w:trPr>
          <w:trHeight w:val="193"/>
        </w:trPr>
        <w:tc>
          <w:tcPr>
            <w:tcW w:w="784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MTPC royaltes</w:t>
            </w:r>
          </w:p>
        </w:tc>
        <w:tc>
          <w:tcPr>
            <w:tcW w:w="38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1,895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line="193" w:lineRule="exact"/>
              <w:rPr>
                <w:sz w:val="20"/>
                <w:szCs w:val="20"/>
                <w:color w:val="auto"/>
              </w:rPr>
            </w:pPr>
            <w:r>
              <w:rPr>
                <w:rFonts w:ascii="Calibri" w:cs="Calibri" w:eastAsia="Calibri" w:hAnsi="Calibri"/>
                <w:sz w:val="16"/>
                <w:szCs w:val="16"/>
                <w:color w:val="auto"/>
              </w:rPr>
              <w:t>1,997</w:t>
            </w:r>
          </w:p>
        </w:tc>
        <w:tc>
          <w:tcPr>
            <w:tcW w:w="0" w:type="dxa"/>
            <w:vAlign w:val="bottom"/>
          </w:tcPr>
          <w:p>
            <w:pPr>
              <w:spacing w:after="0"/>
              <w:rPr>
                <w:sz w:val="1"/>
                <w:szCs w:val="1"/>
                <w:color w:val="auto"/>
              </w:rPr>
            </w:pPr>
          </w:p>
        </w:tc>
      </w:tr>
      <w:tr>
        <w:trPr>
          <w:trHeight w:val="23"/>
        </w:trPr>
        <w:tc>
          <w:tcPr>
            <w:tcW w:w="7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84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Medice royaltes</w:t>
            </w:r>
          </w:p>
        </w:tc>
        <w:tc>
          <w:tcPr>
            <w:tcW w:w="38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22</w:t>
            </w:r>
          </w:p>
        </w:tc>
        <w:tc>
          <w:tcPr>
            <w:tcW w:w="120" w:type="dxa"/>
            <w:vAlign w:val="bottom"/>
            <w:tcBorders>
              <w:bottom w:val="single" w:sz="8" w:color="DBDBDB"/>
            </w:tcBorders>
            <w:shd w:val="clear" w:color="auto" w:fill="DBDBDB"/>
          </w:tcPr>
          <w:p>
            <w:pPr>
              <w:spacing w:after="0"/>
              <w:rPr>
                <w:sz w:val="18"/>
                <w:szCs w:val="18"/>
                <w:color w:val="auto"/>
              </w:rPr>
            </w:pPr>
          </w:p>
        </w:tc>
        <w:tc>
          <w:tcPr>
            <w:tcW w:w="38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187"/>
        </w:trPr>
        <w:tc>
          <w:tcPr>
            <w:tcW w:w="7840" w:type="dxa"/>
            <w:vAlign w:val="bottom"/>
            <w:gridSpan w:val="2"/>
          </w:tcPr>
          <w:p>
            <w:pPr>
              <w:ind w:left="140"/>
              <w:spacing w:after="0" w:line="182" w:lineRule="exact"/>
              <w:rPr>
                <w:sz w:val="20"/>
                <w:szCs w:val="20"/>
                <w:color w:val="auto"/>
              </w:rPr>
            </w:pPr>
            <w:r>
              <w:rPr>
                <w:rFonts w:ascii="Calibri" w:cs="Calibri" w:eastAsia="Calibri" w:hAnsi="Calibri"/>
                <w:sz w:val="16"/>
                <w:szCs w:val="16"/>
                <w:b w:val="1"/>
                <w:bCs w:val="1"/>
                <w:i w:val="1"/>
                <w:iCs w:val="1"/>
                <w:color w:val="auto"/>
              </w:rPr>
              <w:t>Royaltes Subtotal</w:t>
            </w:r>
          </w:p>
        </w:tc>
        <w:tc>
          <w:tcPr>
            <w:tcW w:w="3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7,283</w:t>
            </w: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7,391</w:t>
            </w:r>
          </w:p>
        </w:tc>
        <w:tc>
          <w:tcPr>
            <w:tcW w:w="0" w:type="dxa"/>
            <w:vAlign w:val="bottom"/>
          </w:tcPr>
          <w:p>
            <w:pPr>
              <w:spacing w:after="0"/>
              <w:rPr>
                <w:sz w:val="1"/>
                <w:szCs w:val="1"/>
                <w:color w:val="auto"/>
              </w:rPr>
            </w:pPr>
          </w:p>
        </w:tc>
      </w:tr>
      <w:tr>
        <w:trPr>
          <w:trHeight w:val="23"/>
        </w:trPr>
        <w:tc>
          <w:tcPr>
            <w:tcW w:w="7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84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Otsuka U.S. and Internatonal Agreements (Terminated)</w:t>
            </w:r>
          </w:p>
        </w:tc>
        <w:tc>
          <w:tcPr>
            <w:tcW w:w="380" w:type="dxa"/>
            <w:vAlign w:val="bottom"/>
            <w:tcBorders>
              <w:bottom w:val="single" w:sz="8" w:color="DBDBDB"/>
            </w:tcBorders>
            <w:shd w:val="clear" w:color="auto" w:fill="DBDBDB"/>
          </w:tcPr>
          <w:p>
            <w:pPr>
              <w:spacing w:after="0"/>
              <w:rPr>
                <w:sz w:val="18"/>
                <w:szCs w:val="18"/>
                <w:color w:val="auto"/>
              </w:rPr>
            </w:pPr>
          </w:p>
        </w:tc>
        <w:tc>
          <w:tcPr>
            <w:tcW w:w="1380" w:type="dxa"/>
            <w:vAlign w:val="bottom"/>
            <w:tcBorders>
              <w:bottom w:val="single" w:sz="8" w:color="DBDBDB"/>
            </w:tcBorders>
            <w:gridSpan w:val="2"/>
            <w:shd w:val="clear" w:color="auto" w:fill="DBDBDB"/>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380" w:type="dxa"/>
            <w:vAlign w:val="bottom"/>
            <w:tcBorders>
              <w:bottom w:val="single" w:sz="8" w:color="DBDBDB"/>
            </w:tcBorders>
            <w:shd w:val="clear" w:color="auto" w:fill="DBDBDB"/>
          </w:tcPr>
          <w:p>
            <w:pPr>
              <w:spacing w:after="0"/>
              <w:rPr>
                <w:sz w:val="18"/>
                <w:szCs w:val="18"/>
                <w:color w:val="auto"/>
              </w:rPr>
            </w:pPr>
          </w:p>
        </w:tc>
        <w:tc>
          <w:tcPr>
            <w:tcW w:w="126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2,225</w:t>
            </w:r>
          </w:p>
        </w:tc>
        <w:tc>
          <w:tcPr>
            <w:tcW w:w="0" w:type="dxa"/>
            <w:vAlign w:val="bottom"/>
          </w:tcPr>
          <w:p>
            <w:pPr>
              <w:spacing w:after="0"/>
              <w:rPr>
                <w:sz w:val="1"/>
                <w:szCs w:val="1"/>
                <w:color w:val="auto"/>
              </w:rPr>
            </w:pPr>
          </w:p>
        </w:tc>
      </w:tr>
      <w:tr>
        <w:trPr>
          <w:trHeight w:val="209"/>
        </w:trPr>
        <w:tc>
          <w:tcPr>
            <w:tcW w:w="7840" w:type="dxa"/>
            <w:vAlign w:val="bottom"/>
            <w:gridSpan w:val="2"/>
          </w:tcPr>
          <w:p>
            <w:pPr>
              <w:ind w:left="20"/>
              <w:spacing w:after="0"/>
              <w:rPr>
                <w:sz w:val="20"/>
                <w:szCs w:val="20"/>
                <w:color w:val="auto"/>
              </w:rPr>
            </w:pPr>
            <w:r>
              <w:rPr>
                <w:rFonts w:ascii="Calibri" w:cs="Calibri" w:eastAsia="Calibri" w:hAnsi="Calibri"/>
                <w:sz w:val="16"/>
                <w:szCs w:val="16"/>
                <w:color w:val="auto"/>
              </w:rPr>
              <w:t>Total License, Collaboraton and Other Revenue</w:t>
            </w:r>
          </w:p>
        </w:tc>
        <w:tc>
          <w:tcPr>
            <w:tcW w:w="380" w:type="dxa"/>
            <w:vAlign w:val="bottom"/>
            <w:tcBorders>
              <w:top w:val="single" w:sz="8" w:color="auto"/>
              <w:bottom w:val="single" w:sz="8" w:color="auto"/>
            </w:tcBorders>
          </w:tcPr>
          <w:p>
            <w:pPr>
              <w:jc w:val="right"/>
              <w:ind w:right="199"/>
              <w:spacing w:after="0" w:line="193" w:lineRule="exact"/>
              <w:rPr>
                <w:sz w:val="20"/>
                <w:szCs w:val="20"/>
                <w:color w:val="auto"/>
              </w:rPr>
            </w:pPr>
            <w:r>
              <w:rPr>
                <w:rFonts w:ascii="Calibri" w:cs="Calibri" w:eastAsia="Calibri" w:hAnsi="Calibri"/>
                <w:sz w:val="16"/>
                <w:szCs w:val="16"/>
                <w:color w:val="auto"/>
                <w:w w:val="97"/>
              </w:rPr>
              <w:t>$</w:t>
            </w:r>
          </w:p>
        </w:tc>
        <w:tc>
          <w:tcPr>
            <w:tcW w:w="126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8,000</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line="193" w:lineRule="exact"/>
              <w:rPr>
                <w:sz w:val="20"/>
                <w:szCs w:val="20"/>
                <w:color w:val="auto"/>
              </w:rPr>
            </w:pPr>
            <w:r>
              <w:rPr>
                <w:rFonts w:ascii="Calibri" w:cs="Calibri" w:eastAsia="Calibri" w:hAnsi="Calibri"/>
                <w:sz w:val="16"/>
                <w:szCs w:val="16"/>
                <w:color w:val="auto"/>
                <w:w w:val="97"/>
              </w:rPr>
              <w:t>$</w:t>
            </w:r>
          </w:p>
        </w:tc>
        <w:tc>
          <w:tcPr>
            <w:tcW w:w="126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24,322</w:t>
            </w:r>
          </w:p>
        </w:tc>
        <w:tc>
          <w:tcPr>
            <w:tcW w:w="0" w:type="dxa"/>
            <w:vAlign w:val="bottom"/>
          </w:tcPr>
          <w:p>
            <w:pPr>
              <w:spacing w:after="0"/>
              <w:rPr>
                <w:sz w:val="1"/>
                <w:szCs w:val="1"/>
                <w:color w:val="auto"/>
              </w:rPr>
            </w:pPr>
          </w:p>
        </w:tc>
      </w:tr>
      <w:tr>
        <w:trPr>
          <w:trHeight w:val="21"/>
        </w:trPr>
        <w:tc>
          <w:tcPr>
            <w:tcW w:w="7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Cost of Goods Sold: Cost of Product and Other Revenue—Cost of product and other revenue </w:t>
      </w:r>
      <w:r>
        <w:rPr>
          <w:rFonts w:ascii="Calibri" w:cs="Calibri" w:eastAsia="Calibri" w:hAnsi="Calibri"/>
          <w:sz w:val="18"/>
          <w:szCs w:val="18"/>
          <w:color w:val="auto"/>
        </w:rPr>
        <w:t>was $27.1 million for the year ended December 31, 2024,</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compared to $38.1 million for the year ended December 31, 2023. The decrease was primarily due to a $12.3 million beneft that we recorded during the year ended December 31, 2024 due to our ability to commercially sell inventory previously writen down as excess inventory and lower year-over-year sales volume, which was partally ofset by a $2.1 million charge related to our frm purchase commitment liability.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year ended December 31, 2023, we recorded a $4.3 million beneft due to our ability to commercially sell inventory previously writen down as excess inventory, ofset by a $1.5 million charge related to our frm purchase commitment liability.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6" w:name="page117"/>
    <w:bookmarkEnd w:id="11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Cost of Goods Sold: Amortzaton of Intangible Asset—</w:t>
      </w:r>
      <w:r>
        <w:rPr>
          <w:rFonts w:ascii="Calibri" w:cs="Calibri" w:eastAsia="Calibri" w:hAnsi="Calibri"/>
          <w:sz w:val="18"/>
          <w:szCs w:val="18"/>
          <w:color w:val="auto"/>
        </w:rPr>
        <w:t>Amortzaton of intangible asset relates to the acquired developed product rights for Auryxia, which was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amortzed using a straight-line method over its estmated useful life of approximately six years. Amortzaton of the intangible asset during each of the years ended December 31, 2024 and 2023 was $36.0 million. The intangible asset was fully amortzed as of December 31, 2024.</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R&amp;D Expenses— R&amp;D expenses were $37.7 million for the year ended December 31, 2024, compared to $63.1 million for the year ended December 31, 2023. The decrease was largely due to the completon of actvites related to certain clinical trials, a reducton in consultng expenses associated with pursuing Vafseo regulatory approval in the Medice Territory in 2023, lower headcount related costs, including stock-based compensaton and decreased professional service expenses. Additonally, during the year ended December 31, 2023, prior to receiving regulatory approval in the U.S., we recorded costs incurred to manufacture the U.S. pre-launch inventory as R&amp;D expenses.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780" w:type="dxa"/>
            <w:vAlign w:val="bottom"/>
          </w:tcPr>
          <w:p>
            <w:pPr>
              <w:spacing w:after="0"/>
              <w:rPr>
                <w:sz w:val="20"/>
                <w:szCs w:val="20"/>
                <w:color w:val="auto"/>
              </w:rPr>
            </w:pPr>
            <w:r>
              <w:rPr>
                <w:rFonts w:ascii="Calibri" w:cs="Calibri" w:eastAsia="Calibri" w:hAnsi="Calibri"/>
                <w:sz w:val="18"/>
                <w:szCs w:val="18"/>
                <w:color w:val="auto"/>
              </w:rPr>
              <w:t>The   following   table   summarizes   our   R&amp;D   expenses   for   the   years   ended</w:t>
            </w:r>
          </w:p>
        </w:tc>
        <w:tc>
          <w:tcPr>
            <w:tcW w:w="1040" w:type="dxa"/>
            <w:vAlign w:val="bottom"/>
          </w:tcPr>
          <w:p>
            <w:pPr>
              <w:jc w:val="right"/>
              <w:ind w:right="17"/>
              <w:spacing w:after="0"/>
              <w:rPr>
                <w:sz w:val="20"/>
                <w:szCs w:val="20"/>
                <w:color w:val="auto"/>
              </w:rPr>
            </w:pPr>
            <w:r>
              <w:rPr>
                <w:rFonts w:ascii="Calibri" w:cs="Calibri" w:eastAsia="Calibri" w:hAnsi="Calibri"/>
                <w:sz w:val="18"/>
                <w:szCs w:val="18"/>
                <w:color w:val="auto"/>
              </w:rPr>
              <w:t>December</w:t>
            </w:r>
          </w:p>
        </w:tc>
        <w:tc>
          <w:tcPr>
            <w:tcW w:w="1100" w:type="dxa"/>
            <w:vAlign w:val="bottom"/>
          </w:tcPr>
          <w:p>
            <w:pPr>
              <w:jc w:val="right"/>
              <w:ind w:right="118"/>
              <w:spacing w:after="0"/>
              <w:rPr>
                <w:sz w:val="20"/>
                <w:szCs w:val="20"/>
                <w:color w:val="auto"/>
              </w:rPr>
            </w:pPr>
            <w:r>
              <w:rPr>
                <w:rFonts w:ascii="Calibri" w:cs="Calibri" w:eastAsia="Calibri" w:hAnsi="Calibri"/>
                <w:sz w:val="18"/>
                <w:szCs w:val="18"/>
                <w:color w:val="auto"/>
              </w:rPr>
              <w:t>31,   2024</w:t>
            </w:r>
          </w:p>
        </w:tc>
        <w:tc>
          <w:tcPr>
            <w:tcW w:w="1020" w:type="dxa"/>
            <w:vAlign w:val="bottom"/>
            <w:gridSpan w:val="3"/>
          </w:tcPr>
          <w:p>
            <w:pPr>
              <w:jc w:val="right"/>
              <w:ind w:right="79"/>
              <w:spacing w:after="0"/>
              <w:rPr>
                <w:sz w:val="20"/>
                <w:szCs w:val="20"/>
                <w:color w:val="auto"/>
              </w:rPr>
            </w:pPr>
            <w:r>
              <w:rPr>
                <w:rFonts w:ascii="Calibri" w:cs="Calibri" w:eastAsia="Calibri" w:hAnsi="Calibri"/>
                <w:sz w:val="18"/>
                <w:szCs w:val="18"/>
                <w:color w:val="auto"/>
              </w:rPr>
              <w:t>and   2023</w:t>
            </w:r>
          </w:p>
        </w:tc>
        <w:tc>
          <w:tcPr>
            <w:tcW w:w="1300" w:type="dxa"/>
            <w:vAlign w:val="bottom"/>
          </w:tcPr>
          <w:p>
            <w:pPr>
              <w:ind w:left="40"/>
              <w:spacing w:after="0"/>
              <w:rPr>
                <w:sz w:val="20"/>
                <w:szCs w:val="20"/>
                <w:color w:val="auto"/>
              </w:rPr>
            </w:pPr>
            <w:r>
              <w:rPr>
                <w:rFonts w:ascii="Calibri" w:cs="Calibri" w:eastAsia="Calibri" w:hAnsi="Calibri"/>
                <w:sz w:val="18"/>
                <w:szCs w:val="18"/>
                <w:color w:val="auto"/>
              </w:rPr>
              <w:t>(in   thousands):</w:t>
            </w:r>
          </w:p>
        </w:tc>
      </w:tr>
      <w:tr>
        <w:trPr>
          <w:trHeight w:val="239"/>
        </w:trPr>
        <w:tc>
          <w:tcPr>
            <w:tcW w:w="6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120" w:type="dxa"/>
            <w:vAlign w:val="bottom"/>
            <w:gridSpan w:val="4"/>
          </w:tcPr>
          <w:p>
            <w:pPr>
              <w:jc w:val="right"/>
              <w:spacing w:after="0"/>
              <w:rPr>
                <w:sz w:val="20"/>
                <w:szCs w:val="20"/>
                <w:color w:val="auto"/>
              </w:rPr>
            </w:pPr>
            <w:r>
              <w:rPr>
                <w:rFonts w:ascii="Calibri" w:cs="Calibri" w:eastAsia="Calibri" w:hAnsi="Calibri"/>
                <w:sz w:val="16"/>
                <w:szCs w:val="16"/>
                <w:b w:val="1"/>
                <w:bCs w:val="1"/>
                <w:color w:val="auto"/>
              </w:rPr>
              <w:t>Years ended December 31,</w:t>
            </w:r>
          </w:p>
        </w:tc>
        <w:tc>
          <w:tcPr>
            <w:tcW w:w="1300" w:type="dxa"/>
            <w:vAlign w:val="bottom"/>
          </w:tcPr>
          <w:p>
            <w:pPr>
              <w:spacing w:after="0"/>
              <w:rPr>
                <w:sz w:val="20"/>
                <w:szCs w:val="20"/>
                <w:color w:val="auto"/>
              </w:rPr>
            </w:pPr>
          </w:p>
        </w:tc>
      </w:tr>
      <w:tr>
        <w:trPr>
          <w:trHeight w:val="28"/>
        </w:trPr>
        <w:tc>
          <w:tcPr>
            <w:tcW w:w="6780" w:type="dxa"/>
            <w:vAlign w:val="bottom"/>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7"/>
        </w:trPr>
        <w:tc>
          <w:tcPr>
            <w:tcW w:w="6780" w:type="dxa"/>
            <w:vAlign w:val="bottom"/>
          </w:tcPr>
          <w:p>
            <w:pPr>
              <w:spacing w:after="0"/>
              <w:rPr>
                <w:sz w:val="16"/>
                <w:szCs w:val="16"/>
                <w:color w:val="auto"/>
              </w:rPr>
            </w:pPr>
          </w:p>
        </w:tc>
        <w:tc>
          <w:tcPr>
            <w:tcW w:w="2140" w:type="dxa"/>
            <w:vAlign w:val="bottom"/>
            <w:gridSpan w:val="2"/>
          </w:tcPr>
          <w:p>
            <w:pPr>
              <w:jc w:val="right"/>
              <w:ind w:right="818"/>
              <w:spacing w:after="0" w:line="187" w:lineRule="exact"/>
              <w:rPr>
                <w:sz w:val="20"/>
                <w:szCs w:val="20"/>
                <w:color w:val="auto"/>
              </w:rPr>
            </w:pPr>
            <w:r>
              <w:rPr>
                <w:rFonts w:ascii="Calibri" w:cs="Calibri" w:eastAsia="Calibri" w:hAnsi="Calibri"/>
                <w:sz w:val="16"/>
                <w:szCs w:val="16"/>
                <w:b w:val="1"/>
                <w:bCs w:val="1"/>
                <w:color w:val="auto"/>
              </w:rPr>
              <w:t>2024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ind w:left="40"/>
              <w:spacing w:after="0" w:line="187" w:lineRule="exact"/>
              <w:rPr>
                <w:sz w:val="20"/>
                <w:szCs w:val="20"/>
                <w:color w:val="auto"/>
              </w:rPr>
            </w:pPr>
            <w:r>
              <w:rPr>
                <w:rFonts w:ascii="Calibri" w:cs="Calibri" w:eastAsia="Calibri" w:hAnsi="Calibri"/>
                <w:sz w:val="16"/>
                <w:szCs w:val="16"/>
                <w:b w:val="1"/>
                <w:bCs w:val="1"/>
                <w:color w:val="auto"/>
              </w:rPr>
              <w:t>2023</w:t>
            </w:r>
          </w:p>
        </w:tc>
      </w:tr>
      <w:tr>
        <w:trPr>
          <w:trHeight w:val="23"/>
        </w:trPr>
        <w:tc>
          <w:tcPr>
            <w:tcW w:w="6780" w:type="dxa"/>
            <w:vAlign w:val="bottom"/>
            <w:tcBorders>
              <w:bottom w:val="single" w:sz="8" w:color="DBDBDB"/>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9"/>
        </w:trPr>
        <w:tc>
          <w:tcPr>
            <w:tcW w:w="6780" w:type="dxa"/>
            <w:vAlign w:val="bottom"/>
            <w:tcBorders>
              <w:bottom w:val="single" w:sz="8" w:color="DBDBDB"/>
            </w:tcBorders>
            <w:shd w:val="clear" w:color="auto" w:fill="DBDBDB"/>
          </w:tcPr>
          <w:p>
            <w:pPr>
              <w:ind w:left="20"/>
              <w:spacing w:after="0" w:line="182" w:lineRule="exact"/>
              <w:rPr>
                <w:sz w:val="20"/>
                <w:szCs w:val="20"/>
                <w:color w:val="auto"/>
              </w:rPr>
            </w:pPr>
            <w:r>
              <w:rPr>
                <w:rFonts w:ascii="Calibri" w:cs="Calibri" w:eastAsia="Calibri" w:hAnsi="Calibri"/>
                <w:sz w:val="16"/>
                <w:szCs w:val="16"/>
                <w:color w:val="auto"/>
              </w:rPr>
              <w:t>Vafseo clinical trial and other external costs</w:t>
            </w:r>
          </w:p>
        </w:tc>
        <w:tc>
          <w:tcPr>
            <w:tcW w:w="1040" w:type="dxa"/>
            <w:vAlign w:val="bottom"/>
            <w:tcBorders>
              <w:bottom w:val="single" w:sz="8" w:color="DBDBDB"/>
            </w:tcBorders>
            <w:shd w:val="clear" w:color="auto" w:fill="DBDBDB"/>
          </w:tcPr>
          <w:p>
            <w:pPr>
              <w:jc w:val="right"/>
              <w:ind w:right="857"/>
              <w:spacing w:after="0" w:line="187" w:lineRule="exact"/>
              <w:rPr>
                <w:sz w:val="20"/>
                <w:szCs w:val="20"/>
                <w:color w:val="auto"/>
              </w:rPr>
            </w:pPr>
            <w:r>
              <w:rPr>
                <w:rFonts w:ascii="Calibri" w:cs="Calibri" w:eastAsia="Calibri" w:hAnsi="Calibri"/>
                <w:sz w:val="16"/>
                <w:szCs w:val="16"/>
                <w:color w:val="auto"/>
                <w:w w:val="97"/>
              </w:rPr>
              <w:t>$</w:t>
            </w:r>
          </w:p>
        </w:tc>
        <w:tc>
          <w:tcPr>
            <w:tcW w:w="110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11,837</w:t>
            </w:r>
          </w:p>
        </w:tc>
        <w:tc>
          <w:tcPr>
            <w:tcW w:w="4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ind w:right="699"/>
              <w:spacing w:after="0" w:line="187" w:lineRule="exact"/>
              <w:rPr>
                <w:sz w:val="20"/>
                <w:szCs w:val="20"/>
                <w:color w:val="auto"/>
              </w:rPr>
            </w:pPr>
            <w:r>
              <w:rPr>
                <w:rFonts w:ascii="Calibri" w:cs="Calibri" w:eastAsia="Calibri" w:hAnsi="Calibri"/>
                <w:sz w:val="16"/>
                <w:szCs w:val="16"/>
                <w:color w:val="auto"/>
                <w:w w:val="97"/>
              </w:rPr>
              <w:t>$</w:t>
            </w:r>
          </w:p>
        </w:tc>
        <w:tc>
          <w:tcPr>
            <w:tcW w:w="130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14,792</w:t>
            </w:r>
          </w:p>
        </w:tc>
      </w:tr>
      <w:tr>
        <w:trPr>
          <w:trHeight w:val="193"/>
        </w:trPr>
        <w:tc>
          <w:tcPr>
            <w:tcW w:w="6780" w:type="dxa"/>
            <w:vAlign w:val="bottom"/>
          </w:tcPr>
          <w:p>
            <w:pPr>
              <w:ind w:left="20"/>
              <w:spacing w:after="0" w:line="193" w:lineRule="exact"/>
              <w:rPr>
                <w:sz w:val="20"/>
                <w:szCs w:val="20"/>
                <w:color w:val="auto"/>
              </w:rPr>
            </w:pPr>
            <w:r>
              <w:rPr>
                <w:rFonts w:ascii="Calibri" w:cs="Calibri" w:eastAsia="Calibri" w:hAnsi="Calibri"/>
                <w:sz w:val="16"/>
                <w:szCs w:val="16"/>
                <w:color w:val="auto"/>
              </w:rPr>
              <w:t>Vafseo pre-launch inventory</w:t>
            </w:r>
          </w:p>
        </w:tc>
        <w:tc>
          <w:tcPr>
            <w:tcW w:w="10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Calibri" w:cs="Calibri" w:eastAsia="Calibri" w:hAnsi="Calibri"/>
                <w:sz w:val="16"/>
                <w:szCs w:val="16"/>
                <w:color w:val="auto"/>
              </w:rPr>
              <w:t>6,434</w:t>
            </w:r>
          </w:p>
        </w:tc>
      </w:tr>
      <w:tr>
        <w:trPr>
          <w:trHeight w:val="23"/>
        </w:trPr>
        <w:tc>
          <w:tcPr>
            <w:tcW w:w="6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57"/>
        </w:trPr>
        <w:tc>
          <w:tcPr>
            <w:tcW w:w="6780" w:type="dxa"/>
            <w:vAlign w:val="bottom"/>
            <w:shd w:val="clear" w:color="auto" w:fill="DBDBDB"/>
          </w:tcPr>
          <w:p>
            <w:pPr>
              <w:ind w:left="20"/>
              <w:spacing w:after="0" w:line="157" w:lineRule="exact"/>
              <w:rPr>
                <w:sz w:val="20"/>
                <w:szCs w:val="20"/>
                <w:color w:val="auto"/>
              </w:rPr>
            </w:pPr>
            <w:r>
              <w:rPr>
                <w:rFonts w:ascii="Calibri" w:cs="Calibri" w:eastAsia="Calibri" w:hAnsi="Calibri"/>
                <w:sz w:val="16"/>
                <w:szCs w:val="16"/>
                <w:color w:val="auto"/>
              </w:rPr>
              <w:t>External costs for other programs, including feasibility and new processes and methods associated</w:t>
            </w:r>
          </w:p>
        </w:tc>
        <w:tc>
          <w:tcPr>
            <w:tcW w:w="104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c>
          <w:tcPr>
            <w:tcW w:w="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1300" w:type="dxa"/>
            <w:vAlign w:val="bottom"/>
            <w:shd w:val="clear" w:color="auto" w:fill="DBDBDB"/>
          </w:tcPr>
          <w:p>
            <w:pPr>
              <w:spacing w:after="0"/>
              <w:rPr>
                <w:sz w:val="13"/>
                <w:szCs w:val="13"/>
                <w:color w:val="auto"/>
              </w:rPr>
            </w:pPr>
          </w:p>
        </w:tc>
      </w:tr>
      <w:tr>
        <w:trPr>
          <w:trHeight w:val="221"/>
        </w:trPr>
        <w:tc>
          <w:tcPr>
            <w:tcW w:w="6780" w:type="dxa"/>
            <w:vAlign w:val="bottom"/>
            <w:tcBorders>
              <w:bottom w:val="single" w:sz="8" w:color="DBDBDB"/>
            </w:tcBorders>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with commercial products</w:t>
            </w:r>
          </w:p>
        </w:tc>
        <w:tc>
          <w:tcPr>
            <w:tcW w:w="1040" w:type="dxa"/>
            <w:vAlign w:val="bottom"/>
            <w:tcBorders>
              <w:bottom w:val="single" w:sz="8" w:color="DBDBDB"/>
            </w:tcBorders>
            <w:shd w:val="clear" w:color="auto" w:fill="DBDBDB"/>
          </w:tcPr>
          <w:p>
            <w:pPr>
              <w:spacing w:after="0"/>
              <w:rPr>
                <w:sz w:val="19"/>
                <w:szCs w:val="19"/>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6,311</w:t>
            </w:r>
          </w:p>
        </w:tc>
        <w:tc>
          <w:tcPr>
            <w:tcW w:w="4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880" w:type="dxa"/>
            <w:vAlign w:val="bottom"/>
            <w:tcBorders>
              <w:bottom w:val="single" w:sz="8" w:color="DBDBDB"/>
            </w:tcBorders>
            <w:shd w:val="clear" w:color="auto" w:fill="DBDBDB"/>
          </w:tcPr>
          <w:p>
            <w:pPr>
              <w:spacing w:after="0"/>
              <w:rPr>
                <w:sz w:val="19"/>
                <w:szCs w:val="19"/>
                <w:color w:val="auto"/>
              </w:rPr>
            </w:pPr>
          </w:p>
        </w:tc>
        <w:tc>
          <w:tcPr>
            <w:tcW w:w="13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7,902</w:t>
            </w:r>
          </w:p>
        </w:tc>
      </w:tr>
      <w:tr>
        <w:trPr>
          <w:trHeight w:val="187"/>
        </w:trPr>
        <w:tc>
          <w:tcPr>
            <w:tcW w:w="6780" w:type="dxa"/>
            <w:vAlign w:val="bottom"/>
          </w:tcPr>
          <w:p>
            <w:pPr>
              <w:ind w:left="240"/>
              <w:spacing w:after="0" w:line="182" w:lineRule="exact"/>
              <w:rPr>
                <w:sz w:val="20"/>
                <w:szCs w:val="20"/>
                <w:color w:val="auto"/>
              </w:rPr>
            </w:pPr>
            <w:r>
              <w:rPr>
                <w:rFonts w:ascii="Calibri" w:cs="Calibri" w:eastAsia="Calibri" w:hAnsi="Calibri"/>
                <w:sz w:val="16"/>
                <w:szCs w:val="16"/>
                <w:color w:val="auto"/>
              </w:rPr>
              <w:t>Total external R&amp;D expenses</w:t>
            </w:r>
          </w:p>
        </w:tc>
        <w:tc>
          <w:tcPr>
            <w:tcW w:w="10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18,148</w:t>
            </w:r>
          </w:p>
        </w:tc>
        <w:tc>
          <w:tcPr>
            <w:tcW w:w="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29,128</w:t>
            </w:r>
          </w:p>
        </w:tc>
      </w:tr>
      <w:tr>
        <w:trPr>
          <w:trHeight w:val="23"/>
        </w:trPr>
        <w:tc>
          <w:tcPr>
            <w:tcW w:w="6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6"/>
        </w:trPr>
        <w:tc>
          <w:tcPr>
            <w:tcW w:w="6780" w:type="dxa"/>
            <w:vAlign w:val="bottom"/>
            <w:tcBorders>
              <w:bottom w:val="single" w:sz="8" w:color="DBDBDB"/>
            </w:tcBorders>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Internal personnel, consultng, facilites and other</w:t>
            </w:r>
          </w:p>
        </w:tc>
        <w:tc>
          <w:tcPr>
            <w:tcW w:w="104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19,504</w:t>
            </w:r>
          </w:p>
        </w:tc>
        <w:tc>
          <w:tcPr>
            <w:tcW w:w="4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880" w:type="dxa"/>
            <w:vAlign w:val="bottom"/>
            <w:tcBorders>
              <w:bottom w:val="single" w:sz="8" w:color="DBDBDB"/>
            </w:tcBorders>
            <w:shd w:val="clear" w:color="auto" w:fill="DBDBDB"/>
          </w:tcPr>
          <w:p>
            <w:pPr>
              <w:spacing w:after="0"/>
              <w:rPr>
                <w:sz w:val="18"/>
                <w:szCs w:val="18"/>
                <w:color w:val="auto"/>
              </w:rPr>
            </w:pPr>
          </w:p>
        </w:tc>
        <w:tc>
          <w:tcPr>
            <w:tcW w:w="13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33,951</w:t>
            </w:r>
          </w:p>
        </w:tc>
      </w:tr>
      <w:tr>
        <w:trPr>
          <w:trHeight w:val="209"/>
        </w:trPr>
        <w:tc>
          <w:tcPr>
            <w:tcW w:w="6780" w:type="dxa"/>
            <w:vAlign w:val="bottom"/>
          </w:tcPr>
          <w:p>
            <w:pPr>
              <w:ind w:left="240"/>
              <w:spacing w:after="0"/>
              <w:rPr>
                <w:sz w:val="20"/>
                <w:szCs w:val="20"/>
                <w:color w:val="auto"/>
              </w:rPr>
            </w:pPr>
            <w:r>
              <w:rPr>
                <w:rFonts w:ascii="Calibri" w:cs="Calibri" w:eastAsia="Calibri" w:hAnsi="Calibri"/>
                <w:sz w:val="16"/>
                <w:szCs w:val="16"/>
                <w:color w:val="auto"/>
              </w:rPr>
              <w:t>Total R&amp;D expenses</w:t>
            </w:r>
          </w:p>
        </w:tc>
        <w:tc>
          <w:tcPr>
            <w:tcW w:w="1040" w:type="dxa"/>
            <w:vAlign w:val="bottom"/>
            <w:tcBorders>
              <w:top w:val="single" w:sz="8" w:color="auto"/>
              <w:bottom w:val="single" w:sz="8" w:color="auto"/>
            </w:tcBorders>
          </w:tcPr>
          <w:p>
            <w:pPr>
              <w:jc w:val="right"/>
              <w:ind w:right="857"/>
              <w:spacing w:after="0" w:line="193" w:lineRule="exact"/>
              <w:rPr>
                <w:sz w:val="20"/>
                <w:szCs w:val="20"/>
                <w:color w:val="auto"/>
              </w:rPr>
            </w:pPr>
            <w:r>
              <w:rPr>
                <w:rFonts w:ascii="Calibri" w:cs="Calibri" w:eastAsia="Calibri" w:hAnsi="Calibri"/>
                <w:sz w:val="16"/>
                <w:szCs w:val="16"/>
                <w:color w:val="auto"/>
                <w:w w:val="97"/>
              </w:rPr>
              <w:t>$</w:t>
            </w:r>
          </w:p>
        </w:tc>
        <w:tc>
          <w:tcPr>
            <w:tcW w:w="110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37,652</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99"/>
              <w:spacing w:after="0" w:line="193" w:lineRule="exact"/>
              <w:rPr>
                <w:sz w:val="20"/>
                <w:szCs w:val="20"/>
                <w:color w:val="auto"/>
              </w:rPr>
            </w:pPr>
            <w:r>
              <w:rPr>
                <w:rFonts w:ascii="Calibri" w:cs="Calibri" w:eastAsia="Calibri" w:hAnsi="Calibri"/>
                <w:sz w:val="16"/>
                <w:szCs w:val="16"/>
                <w:color w:val="auto"/>
                <w:w w:val="97"/>
              </w:rPr>
              <w:t>$</w:t>
            </w:r>
          </w:p>
        </w:tc>
        <w:tc>
          <w:tcPr>
            <w:tcW w:w="130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63,079</w:t>
            </w:r>
          </w:p>
        </w:tc>
      </w:tr>
      <w:tr>
        <w:trPr>
          <w:trHeight w:val="21"/>
        </w:trPr>
        <w:tc>
          <w:tcPr>
            <w:tcW w:w="6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expect to incur signifcant R&amp;D expenses in future periods in support of ongoing or planned studies with respect to the development of our product candidates as well as Vafseo.</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Selling, General and Administratve Expenses—</w:t>
      </w:r>
      <w:r>
        <w:rPr>
          <w:rFonts w:ascii="Calibri" w:cs="Calibri" w:eastAsia="Calibri" w:hAnsi="Calibri"/>
          <w:sz w:val="18"/>
          <w:szCs w:val="18"/>
          <w:color w:val="auto"/>
        </w:rPr>
        <w:t>SG&amp;A expenses were $106.5 million for the year ended December 31, 2024, compared to $100.2 million for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the year ended December 31, 2023. The increase was primarily due to higher headcount related costs and marketng costs in connecton with the Vafseo U.S. launch in January 2025, as well as increased promotonal expenses and registraton and fling fees.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License Expenses—</w:t>
      </w:r>
      <w:r>
        <w:rPr>
          <w:rFonts w:ascii="Calibri" w:cs="Calibri" w:eastAsia="Calibri" w:hAnsi="Calibri"/>
          <w:sz w:val="18"/>
          <w:szCs w:val="18"/>
          <w:color w:val="auto"/>
        </w:rPr>
        <w:t>License expenses related to royaltes due to Panion for sales of Riona in Japan were $3.2 million for each of the years ended December 31,</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2024 and 2023.</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Restructuring Expenses—</w:t>
      </w:r>
      <w:r>
        <w:rPr>
          <w:rFonts w:ascii="Calibri" w:cs="Calibri" w:eastAsia="Calibri" w:hAnsi="Calibri"/>
          <w:sz w:val="18"/>
          <w:szCs w:val="18"/>
          <w:color w:val="auto"/>
        </w:rPr>
        <w:t>Restructuring expenses were $0.1 million and $0.2 million for the years ended December 31, 2024 and 2023, respectvely.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Other Expense, Net—</w:t>
      </w:r>
      <w:r>
        <w:rPr>
          <w:rFonts w:ascii="Calibri" w:cs="Calibri" w:eastAsia="Calibri" w:hAnsi="Calibri"/>
          <w:sz w:val="18"/>
          <w:szCs w:val="18"/>
          <w:color w:val="auto"/>
        </w:rPr>
        <w:t>Other expense, net, was $18.1 million for the year ended December 31, 2024, compared to $5.1 million for the year ended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 xml:space="preserve">December 31, 2023. The increase was primarily due to $9.3 million of non-cash interest expense in 2024 related to the setlement royalty liability in connecton with the Vifor Terminaton Agreement. In additon, during the year ended December 31, 2023, we recorded the change in the fair value of the embedded debt derivatve related to the Pharmakon Term Loans (as defned below) as other income. See Note 8, </w:t>
      </w:r>
      <w:r>
        <w:rPr>
          <w:rFonts w:ascii="Calibri" w:cs="Calibri" w:eastAsia="Calibri" w:hAnsi="Calibri"/>
          <w:sz w:val="18"/>
          <w:szCs w:val="18"/>
          <w:i w:val="1"/>
          <w:iCs w:val="1"/>
          <w:color w:val="auto"/>
        </w:rPr>
        <w:t>Liability Related to Setlement Royaltes,</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Working Capital Fund Liability and Liability Related to Sale of Future Royaltes</w:t>
      </w:r>
      <w:r>
        <w:rPr>
          <w:rFonts w:ascii="Calibri" w:cs="Calibri" w:eastAsia="Calibri" w:hAnsi="Calibri"/>
          <w:sz w:val="18"/>
          <w:szCs w:val="18"/>
          <w:color w:val="auto"/>
        </w:rPr>
        <w:t>, in the accompanying notes to the audited consolidated fnancial statements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included in Part II, Item 8 of this Form 10-K for further informaton.</w:t>
      </w:r>
    </w:p>
    <w:p>
      <w:pPr>
        <w:spacing w:after="0" w:line="113" w:lineRule="exact"/>
        <w:rPr>
          <w:sz w:val="20"/>
          <w:szCs w:val="20"/>
          <w:color w:val="auto"/>
        </w:rPr>
      </w:pPr>
    </w:p>
    <w:p>
      <w:pPr>
        <w:ind w:right="440"/>
        <w:spacing w:after="0" w:line="258" w:lineRule="auto"/>
        <w:rPr>
          <w:sz w:val="20"/>
          <w:szCs w:val="20"/>
          <w:color w:val="auto"/>
        </w:rPr>
      </w:pPr>
      <w:r>
        <w:rPr>
          <w:rFonts w:ascii="Calibri" w:cs="Calibri" w:eastAsia="Calibri" w:hAnsi="Calibri"/>
          <w:sz w:val="17"/>
          <w:szCs w:val="17"/>
          <w:i w:val="1"/>
          <w:iCs w:val="1"/>
          <w:color w:val="auto"/>
        </w:rPr>
        <w:t>Change in Fair Value of Warrant Liability</w:t>
      </w:r>
      <w:r>
        <w:rPr>
          <w:rFonts w:ascii="Calibri" w:cs="Calibri" w:eastAsia="Calibri" w:hAnsi="Calibri"/>
          <w:sz w:val="17"/>
          <w:szCs w:val="17"/>
          <w:color w:val="auto"/>
        </w:rPr>
        <w:t>—Change in fair value of warrant liability was $0.3 million for the year ended December 31, 2024. There was no</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change in fair value of warrant liability for the year ended December 31, 2023 since the warrant agreement was entered into in January 2024.</w:t>
      </w:r>
    </w:p>
    <w:p>
      <w:pPr>
        <w:spacing w:after="0" w:line="94" w:lineRule="exact"/>
        <w:rPr>
          <w:sz w:val="20"/>
          <w:szCs w:val="20"/>
          <w:color w:val="auto"/>
        </w:rPr>
      </w:pPr>
    </w:p>
    <w:p>
      <w:pPr>
        <w:ind w:right="320"/>
        <w:spacing w:after="0" w:line="235" w:lineRule="auto"/>
        <w:rPr>
          <w:sz w:val="20"/>
          <w:szCs w:val="20"/>
          <w:color w:val="auto"/>
        </w:rPr>
      </w:pPr>
      <w:r>
        <w:rPr>
          <w:rFonts w:ascii="Calibri" w:cs="Calibri" w:eastAsia="Calibri" w:hAnsi="Calibri"/>
          <w:sz w:val="18"/>
          <w:szCs w:val="18"/>
          <w:i w:val="1"/>
          <w:iCs w:val="1"/>
          <w:color w:val="auto"/>
        </w:rPr>
        <w:t>Loss on Extnguishment of Debt—</w:t>
      </w:r>
      <w:r>
        <w:rPr>
          <w:rFonts w:ascii="Calibri" w:cs="Calibri" w:eastAsia="Calibri" w:hAnsi="Calibri"/>
          <w:sz w:val="18"/>
          <w:szCs w:val="18"/>
          <w:color w:val="auto"/>
        </w:rPr>
        <w:t>During the year ended December 31, 2024, we recorded a $0.5 million loss on the extnguishment of debt in connecton</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with the repayment of the Pharmakon Term Loans.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Loss on Lease Terminaton</w:t>
      </w:r>
      <w:r>
        <w:rPr>
          <w:rFonts w:ascii="Calibri" w:cs="Calibri" w:eastAsia="Calibri" w:hAnsi="Calibri"/>
          <w:sz w:val="18"/>
          <w:szCs w:val="18"/>
          <w:color w:val="auto"/>
        </w:rPr>
        <w:t>—On May 26, 2023 we incurred a loss on lease terminaton of $0.5 million in connecton with the assignment of our Boston Lease.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 xml:space="preserve">In accordance with ASC 842, </w:t>
      </w:r>
      <w:r>
        <w:rPr>
          <w:rFonts w:ascii="Calibri" w:cs="Calibri" w:eastAsia="Calibri" w:hAnsi="Calibri"/>
          <w:sz w:val="18"/>
          <w:szCs w:val="18"/>
          <w:i w:val="1"/>
          <w:iCs w:val="1"/>
          <w:color w:val="auto"/>
        </w:rPr>
        <w:t>Leases</w:t>
      </w:r>
      <w:r>
        <w:rPr>
          <w:rFonts w:ascii="Calibri" w:cs="Calibri" w:eastAsia="Calibri" w:hAnsi="Calibri"/>
          <w:sz w:val="18"/>
          <w:szCs w:val="18"/>
          <w:color w:val="auto"/>
        </w:rPr>
        <w:t>, we wrote of the right-of-use asset and lease liability associated with the Boston Lease, and recognized the diference between the right-of-use asset and the lease liability ofset by the $1.3 million payment we made to LG Chem Life Sciences Innovaton Center, Inc. in connecton with the assignment.</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As of December 31, 2024, we had cash and cash equivalents of approximately $51.9 million and restricted cash of $1.7 million.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To date, we have funded our operatons principally through sales of our common stock, including through our employee stock purchase plan, product sales, payments received from our collaboraton and licensing partners, borrowings under term loans, a working capital payment from CSL Vifor also referred to as a Working Capital Fund liability and a royalty transacton. From</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7" w:name="page118"/>
    <w:bookmarkEnd w:id="11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incepton through December 31, 2024, we raised approximately $862.8 million of net proceeds from the sale of equity, including $519.8 million from various underwriten public oferings, $273.0 million from at-the-market oferings pursuant to our sales agreement with Jeferies LLC and prior sales agreements with Cantor Fitzgerald &amp; Co., and $70.0 million from the sale of 7,571,429 shares of common stock to CSL Vifor. From January 1, 2025 through the date of the fling of this Form 10-K, we sold 9,437,364 shares of our common stock under our current sales agreement with Jeferies LLC, resultng in proceeds to us of $18.4 million, net of ofering expenses, which are not included in the above amounts reported under the ATM sales agreement.</w:t>
      </w:r>
    </w:p>
    <w:p>
      <w:pPr>
        <w:spacing w:after="0" w:line="10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incurred recurring losses and negatve cash fow from operatons in each year since incepton and antcipate net losses for the near future. For the years ended December 31, 2024 and 2023, we incurred net operatng losses of $69.4 million and $51.9 million, respectvely. As of December 31, 2024 and 2023, we had an accumulated defcit of $1.7 billion.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currently have exclusive rights under a series of patents and patent applicatons to commercialize Auryxia in the U.S. that protect us from generic drug competton untl March 2025. Following LoE in the U.S., we may not be able to realize enough product revenue from sales of Auryxia to realize net profts from product sales. While we believe the dynamics of Auryxia reimbursement being included in the ESRD bundle under Medical Part B could result in slower revenue decline afer the LoE date than in other LoE scenarios, the impact of LoE on future Auryxia revenues will depend on many factors, including our ability to maintain contracts with dialysis organizatons, the tming and number of generics and the pricing of generics and other products on the market that compete with Auryxia.</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believe our existng cash resources and the cash we expect to generate from product, royalty, supply and license revenues are sufcient to fund our current operatng plan for at least twenty-four months. However, if our operatng performance deteriorates signifcantly from the levels expected in our operatng plan, it would have an adverse efect on our liquidity and capital resources and could afect our ability to contnue as a going concern in the future. In additon, we may also seek to sell additonal private or public equity, enter into new debt transactons, explore potental strategic transactons or a combinaton of these approaches or other strategic alternatves. If we raise additonal funds by issuing equity securites, our shareholders would experience diluton. Debt fnancing, if available, may involve covenants restrictng our operatons or our ability to incur additonal debt. Any debt fnancing or additonal equity that we raise may contain terms that are not favorable to us or our stockholders. Additonal fnancing may not be available to us in amounts or on terms acceptable to us, if at all. If we are unable to raise additonal capital in sufcient amounts when needed or on atractve terms, we may not be able to pursue development and commercial actvites related to Auryxia and Vafseo, or any additonal products and product candidates, including those that may be in-licensed or acquired. Any of these events could signifcantly harm our business, fnancial conditon and prospects.</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There can be no assurance that the current operatng plan will be achieved in the tme frame antcipated by us, or that our cash resources will fund our operatng plan for the period of tme antcipated by us, or that additonal funding will be available on terms acceptable to us, or at all. Our forecast of the period of tme through which our fnancial resources will be adequate to support our operatons is a forward-looking statement and involves numerous risks and uncertaintes, and actual results could vary as a result of a number of factors, many of which are outside our control. We have based this estmate on assumptons that may be substantally diferent than actual results, and we could utlize our available capital resources sooner than we currently expect. Our future funding requirements, both near- and long-term, will depend on many factors including, but not limited to, those described under Part I, Item 1A. Risk Factors under the heading "Risks Related to our Financial Positon, Need for Additonal Capital and Growth Strategy."</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Contractual Obligatons and Commitments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Debt Agreements and Other Funding Arrangements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BlackRock Term Loans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January 29, 2024, or the </w:t>
      </w:r>
      <w:r>
        <w:rPr>
          <w:rFonts w:ascii="Calibri" w:cs="Calibri" w:eastAsia="Calibri" w:hAnsi="Calibri"/>
          <w:sz w:val="18"/>
          <w:szCs w:val="18"/>
          <w:u w:val="single" w:color="auto"/>
          <w:color w:val="auto"/>
        </w:rPr>
        <w:t>Closing Date</w:t>
      </w:r>
      <w:r>
        <w:rPr>
          <w:rFonts w:ascii="Calibri" w:cs="Calibri" w:eastAsia="Calibri" w:hAnsi="Calibri"/>
          <w:sz w:val="18"/>
          <w:szCs w:val="18"/>
          <w:color w:val="auto"/>
        </w:rPr>
        <w:t xml:space="preserve">, we entered into the BlackRock Credit Agreement, which provides for a senior secured term loan facility, in the aggregate principal amount of up to $55.0 million, or the </w:t>
      </w:r>
      <w:r>
        <w:rPr>
          <w:rFonts w:ascii="Calibri" w:cs="Calibri" w:eastAsia="Calibri" w:hAnsi="Calibri"/>
          <w:sz w:val="18"/>
          <w:szCs w:val="18"/>
          <w:u w:val="single" w:color="auto"/>
          <w:color w:val="auto"/>
        </w:rPr>
        <w:t>Term Loan Facility</w:t>
      </w:r>
      <w:r>
        <w:rPr>
          <w:rFonts w:ascii="Calibri" w:cs="Calibri" w:eastAsia="Calibri" w:hAnsi="Calibri"/>
          <w:sz w:val="18"/>
          <w:szCs w:val="18"/>
          <w:color w:val="auto"/>
        </w:rPr>
        <w:t>. The Term Loan Facility was available in three tranches: (i) Tranche A — $37.0 million was funded on the Closing Date and used to repay the Pharmakon Term Loans; (i) Tranche B — $8.0 million was funded on April 19, 2024, and</w:t>
      </w:r>
    </w:p>
    <w:p>
      <w:pPr>
        <w:spacing w:after="0" w:line="3" w:lineRule="exact"/>
        <w:rPr>
          <w:sz w:val="20"/>
          <w:szCs w:val="20"/>
          <w:color w:val="auto"/>
        </w:rPr>
      </w:pPr>
    </w:p>
    <w:p>
      <w:pPr>
        <w:ind w:firstLine="8"/>
        <w:spacing w:after="0" w:line="235" w:lineRule="auto"/>
        <w:tabs>
          <w:tab w:leader="none" w:pos="246" w:val="left"/>
        </w:tabs>
        <w:numPr>
          <w:ilvl w:val="0"/>
          <w:numId w:val="62"/>
        </w:numPr>
        <w:rPr>
          <w:rFonts w:ascii="Calibri" w:cs="Calibri" w:eastAsia="Calibri" w:hAnsi="Calibri"/>
          <w:sz w:val="18"/>
          <w:szCs w:val="18"/>
          <w:color w:val="auto"/>
        </w:rPr>
      </w:pPr>
      <w:r>
        <w:rPr>
          <w:rFonts w:ascii="Calibri" w:cs="Calibri" w:eastAsia="Calibri" w:hAnsi="Calibri"/>
          <w:sz w:val="18"/>
          <w:szCs w:val="18"/>
          <w:color w:val="auto"/>
        </w:rPr>
        <w:t xml:space="preserve">Tranche C — $10.0 million was funded on February 3, 2025, collectvely, the </w:t>
      </w:r>
      <w:r>
        <w:rPr>
          <w:rFonts w:ascii="Calibri" w:cs="Calibri" w:eastAsia="Calibri" w:hAnsi="Calibri"/>
          <w:sz w:val="18"/>
          <w:szCs w:val="18"/>
          <w:u w:val="single" w:color="auto"/>
          <w:color w:val="auto"/>
        </w:rPr>
        <w:t>Term Loans</w:t>
      </w:r>
      <w:r>
        <w:rPr>
          <w:rFonts w:ascii="Calibri" w:cs="Calibri" w:eastAsia="Calibri" w:hAnsi="Calibri"/>
          <w:sz w:val="18"/>
          <w:szCs w:val="18"/>
          <w:color w:val="auto"/>
        </w:rPr>
        <w:t xml:space="preserve">. The Term Loan Facility matures on January 29, 2028, or the </w:t>
      </w:r>
      <w:r>
        <w:rPr>
          <w:rFonts w:ascii="Calibri" w:cs="Calibri" w:eastAsia="Calibri" w:hAnsi="Calibri"/>
          <w:sz w:val="18"/>
          <w:szCs w:val="18"/>
          <w:u w:val="single" w:color="auto"/>
          <w:color w:val="auto"/>
        </w:rPr>
        <w:t>BlackRock Maturity Date</w:t>
      </w:r>
      <w:r>
        <w:rPr>
          <w:rFonts w:ascii="Calibri" w:cs="Calibri" w:eastAsia="Calibri" w:hAnsi="Calibri"/>
          <w:sz w:val="18"/>
          <w:szCs w:val="18"/>
          <w:color w:val="auto"/>
        </w:rPr>
        <w:t>.</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required to make interest-only payments untl December 31, 2026 afer which, we will begin making equal monthly principal payments. In the event of certain prespecifed events, the repayment schedule will be accelerated.</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Term Loan Facility will accrue interest at a foatng annual rate equal to the sum of (i) term Secured Overnight Financing Rate, or </w:t>
      </w:r>
      <w:r>
        <w:rPr>
          <w:rFonts w:ascii="Calibri" w:cs="Calibri" w:eastAsia="Calibri" w:hAnsi="Calibri"/>
          <w:sz w:val="18"/>
          <w:szCs w:val="18"/>
          <w:u w:val="single" w:color="auto"/>
          <w:color w:val="auto"/>
        </w:rPr>
        <w:t>SOFR</w:t>
      </w:r>
      <w:r>
        <w:rPr>
          <w:rFonts w:ascii="Calibri" w:cs="Calibri" w:eastAsia="Calibri" w:hAnsi="Calibri"/>
          <w:sz w:val="18"/>
          <w:szCs w:val="18"/>
          <w:color w:val="auto"/>
        </w:rPr>
        <w:t>, for a tenor of one month (subject to a foor of 4.25% per annum) plus (ii) a margin of 6.75% per annum (subject to an overall cap of 15.00% per annum on the all-in interest rate). During the contnuance of any payment event of default the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8" w:name="page119"/>
    <w:bookmarkEnd w:id="11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interest rate on such overdue sum will automatcally increase by an additonal 3.0% per annum, and may be subject to an additonal late fee of 2.0% of such overdue sum.</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All obligatons under the Term Loan Facility are secured by substantally all of our existng and afer-acquired assets. The BlackRock Credit Agreement requires us to either (i) maintain cash and cash equivalents, measured as of the last day of each fscal month, greater than or equal to $15.0 million or (ii) earn consolidated revenue, measured as of the last day of each fscal month for the trailing twelve-month period, of $150.0 million. The BlackRock Credit Agreement contains certain representatons and warrantes, afrmatve and negatve covenants that limit our ability to engage in specifed types of transactons and other provisions typical within a credit agreement. If an event of default occurs and is contnuing under the BlackRock Credit Agreement, BlackRock is enttled to take enforcement acton, including acceleraton of amounts due which could limit our ability to make certain payments under the Vifor Terminaton Agreement. If we prepay the Term Loans prior to the BlackRock Maturity Date, we will be required to pay a prepayment fee ranging from 1.0% to 4.0% of the amount prepaid.</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the Closing Date, Kreos Capital VII Aggregator SCSp, an afliate of Kreos, or the </w:t>
      </w:r>
      <w:r>
        <w:rPr>
          <w:rFonts w:ascii="Calibri" w:cs="Calibri" w:eastAsia="Calibri" w:hAnsi="Calibri"/>
          <w:sz w:val="18"/>
          <w:szCs w:val="18"/>
          <w:u w:val="single" w:color="auto"/>
          <w:color w:val="auto"/>
        </w:rPr>
        <w:t>Warrant Holder</w:t>
      </w:r>
      <w:r>
        <w:rPr>
          <w:rFonts w:ascii="Calibri" w:cs="Calibri" w:eastAsia="Calibri" w:hAnsi="Calibri"/>
          <w:sz w:val="18"/>
          <w:szCs w:val="18"/>
          <w:color w:val="auto"/>
        </w:rPr>
        <w:t>, received a warrant to purchase 3,076,923 shares of our common stock, at an exercise price per share of $1.30, and upon the borrowing of Tranche C in February 2025, we issued additonal warrants to purchase 1,153,846 shares of our common stock at an exercise price per share of $1.30. Each warrant is exercisable for eight years from the date of issuance.</w:t>
      </w:r>
    </w:p>
    <w:p>
      <w:pPr>
        <w:spacing w:after="0" w:line="11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 xml:space="preserve">See Note 7, </w:t>
      </w:r>
      <w:r>
        <w:rPr>
          <w:rFonts w:ascii="Calibri" w:cs="Calibri" w:eastAsia="Calibri" w:hAnsi="Calibri"/>
          <w:sz w:val="18"/>
          <w:szCs w:val="18"/>
          <w:i w:val="1"/>
          <w:iCs w:val="1"/>
          <w:color w:val="auto"/>
        </w:rPr>
        <w:t>Indebtedness,</w:t>
      </w:r>
      <w:r>
        <w:rPr>
          <w:rFonts w:ascii="Calibri" w:cs="Calibri" w:eastAsia="Calibri" w:hAnsi="Calibri"/>
          <w:sz w:val="18"/>
          <w:szCs w:val="18"/>
          <w:color w:val="auto"/>
        </w:rPr>
        <w:t xml:space="preserve"> in the accompanying notes to the audited consolidated fnancial statements included in Part II, Item 8 of this Form 10-K for further informaton.</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Liability Related to Setlement Royaltes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Pursuant to the terms of the Vifor Terminaton Agreement, we will pay CSL Vifor decreasing quarterly tered royalty payments ranging from a high single-digit percentage of our net sales of Vafseo up to $450.0 million to mid-single digit percentage of our net sales of Vafseo above $450.0 million, in each case, in the U.S. during a calendar year, or the </w:t>
      </w:r>
      <w:r>
        <w:rPr>
          <w:rFonts w:ascii="Calibri" w:cs="Calibri" w:eastAsia="Calibri" w:hAnsi="Calibri"/>
          <w:sz w:val="18"/>
          <w:szCs w:val="18"/>
          <w:u w:val="single" w:color="auto"/>
          <w:color w:val="auto"/>
        </w:rPr>
        <w:t>Setlement Royalty Payments</w:t>
      </w:r>
      <w:r>
        <w:rPr>
          <w:rFonts w:ascii="Calibri" w:cs="Calibri" w:eastAsia="Calibri" w:hAnsi="Calibri"/>
          <w:sz w:val="18"/>
          <w:szCs w:val="18"/>
          <w:color w:val="auto"/>
        </w:rPr>
        <w:t xml:space="preserve">. The Setlement Royalty Payments will commence upon the frst sale of Vafseo by us, our afliates or third-party licensees to a third party for use in the U.S., and will contnue untl the later of the (i) expiraton of the last-to-expire valid claim listed in the FDA Orange Book that would be infringed by the making, using, selling or importng of Vafseo in the U.S. or (ii) the expiraton of marketng or regulatory exclusivity for Vafseo in the U.S., or the </w:t>
      </w:r>
      <w:r>
        <w:rPr>
          <w:rFonts w:ascii="Calibri" w:cs="Calibri" w:eastAsia="Calibri" w:hAnsi="Calibri"/>
          <w:sz w:val="18"/>
          <w:szCs w:val="18"/>
          <w:u w:val="single" w:color="auto"/>
          <w:color w:val="auto"/>
        </w:rPr>
        <w:t>Setlement Royalty Term</w:t>
      </w:r>
      <w:r>
        <w:rPr>
          <w:rFonts w:ascii="Calibri" w:cs="Calibri" w:eastAsia="Calibri" w:hAnsi="Calibri"/>
          <w:sz w:val="18"/>
          <w:szCs w:val="18"/>
          <w:color w:val="auto"/>
        </w:rPr>
        <w:t xml:space="preserve">. Beginning on July 1, 2027 and throughout the Setlement Royalty Term, we have the opton to make a one-tme payment to CSL Vifor, or the </w:t>
      </w:r>
      <w:r>
        <w:rPr>
          <w:rFonts w:ascii="Calibri" w:cs="Calibri" w:eastAsia="Calibri" w:hAnsi="Calibri"/>
          <w:sz w:val="18"/>
          <w:szCs w:val="18"/>
          <w:u w:val="single" w:color="auto"/>
          <w:color w:val="auto"/>
        </w:rPr>
        <w:t>Royalty Buy-Down Opton,</w:t>
      </w:r>
      <w:r>
        <w:rPr>
          <w:rFonts w:ascii="Calibri" w:cs="Calibri" w:eastAsia="Calibri" w:hAnsi="Calibri"/>
          <w:sz w:val="18"/>
          <w:szCs w:val="18"/>
          <w:color w:val="auto"/>
        </w:rPr>
        <w:t xml:space="preserve"> upon which the Setlement Royalty Payments will be adjusted as of the date of exercise of the Royalty Buy-Down Opton such that we will then only pay CSL Vifor quarterly royalty payments based on a mid-single digit percentage of our net sales of Vafseo up to $450.0 million in the U.S. during a calendar year in lieu of the above Setlement Royalty Payments. If we exercise the Royalty Buy-Down Opton, the WCF Royalty Payments will contnue as described below.</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WCF Royalty Payments, as described below, the Setlement Royalty Payments and the Royalty Buy-Down Opton are in consideraton for the terminaton of the Vifor License Agreement and all obligatons thereunder, and the covenants and agreements set forth in the Vifor Terminaton Agreement, including the setlement and release of all disputes and claims arising from the Vifor License Agreement.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As a result of the Vifor Terminaton Agreement, we concluded that CSL Vifor no longer met the defniton of a customer and, therefore, the arrangement should not be considered a revenue contract with a customer under ASC 606, </w:t>
      </w:r>
      <w:r>
        <w:rPr>
          <w:rFonts w:ascii="Calibri" w:cs="Calibri" w:eastAsia="Calibri" w:hAnsi="Calibri"/>
          <w:sz w:val="18"/>
          <w:szCs w:val="18"/>
          <w:i w:val="1"/>
          <w:iCs w:val="1"/>
          <w:color w:val="auto"/>
        </w:rPr>
        <w:t>Revenue from Contracts with Customers.</w:t>
      </w:r>
      <w:r>
        <w:rPr>
          <w:rFonts w:ascii="Calibri" w:cs="Calibri" w:eastAsia="Calibri" w:hAnsi="Calibri"/>
          <w:sz w:val="18"/>
          <w:szCs w:val="18"/>
          <w:color w:val="auto"/>
        </w:rPr>
        <w:t xml:space="preserve"> We therefore determined that the $43.3 million received from Vifor in connecton with the Vifor License Agreement and related investment agreements should be classifed as debt and we are amortzing such amount using the efectve interest method over the Setlement Royalty Term. The liability related to setlement royaltes and the amortzaton are based on our current estmates of future royaltes expected to be paid over the life of the arrangement. The annual efectve interest rate as of December 31, 2024 was 41% which is refected as interest expense in the consolidated statements of operatons and comprehensive loss. We recognized interest expense of $9.3 million for the year ended December 31, 2024. As of December 31, 2024, $5.9 million and $46.7 million of the setlement royaltes liability is classifed as a current and non-current liability, respectvely.</w:t>
      </w:r>
    </w:p>
    <w:p>
      <w:pPr>
        <w:spacing w:after="0" w:line="115"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 xml:space="preserve">See Note 8, </w:t>
      </w:r>
      <w:r>
        <w:rPr>
          <w:rFonts w:ascii="Calibri" w:cs="Calibri" w:eastAsia="Calibri" w:hAnsi="Calibri"/>
          <w:sz w:val="18"/>
          <w:szCs w:val="18"/>
          <w:i w:val="1"/>
          <w:iCs w:val="1"/>
          <w:color w:val="auto"/>
        </w:rPr>
        <w:t>Liability Related to Setlement Royaltes, Working Capital Fund Liability and Liability Related to Sale of Future Royaltes</w:t>
      </w:r>
      <w:r>
        <w:rPr>
          <w:rFonts w:ascii="Calibri" w:cs="Calibri" w:eastAsia="Calibri" w:hAnsi="Calibri"/>
          <w:sz w:val="18"/>
          <w:szCs w:val="18"/>
          <w:color w:val="auto"/>
        </w:rPr>
        <w:t>, in the accompanying notes to the audited consolidated fnancial statements in Part II, Item 8 of this Form 10-K for further informaton.</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Working Capital Fund Liability (Previously Referred to as Refund Liability to Customer)</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February 2022, we amended our agreement with CSL Vifor and they contributed $40.0 million to a working capital fund, or the </w:t>
      </w:r>
      <w:r>
        <w:rPr>
          <w:rFonts w:ascii="Calibri" w:cs="Calibri" w:eastAsia="Calibri" w:hAnsi="Calibri"/>
          <w:sz w:val="18"/>
          <w:szCs w:val="18"/>
          <w:u w:val="single" w:color="auto"/>
          <w:color w:val="auto"/>
        </w:rPr>
        <w:t>Working Capital Fund</w:t>
      </w:r>
      <w:r>
        <w:rPr>
          <w:rFonts w:ascii="Calibri" w:cs="Calibri" w:eastAsia="Calibri" w:hAnsi="Calibri"/>
          <w:sz w:val="18"/>
          <w:szCs w:val="18"/>
          <w:color w:val="auto"/>
        </w:rPr>
        <w:t>, established to partally fund our costs of purchasing Vafseo from our contract manufacturers.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Pursuant to the terms of the Vifor Terminaton Agreement, and generally consistent with the terms of the Vifor License Agreement, we agreed to repay the Working Capital Fund to CSL Vifor through quarterly tered royalty payments ranging from 8% to 14% of our net sales of Vafseo in the U.S., or the </w:t>
      </w:r>
      <w:r>
        <w:rPr>
          <w:rFonts w:ascii="Calibri" w:cs="Calibri" w:eastAsia="Calibri" w:hAnsi="Calibri"/>
          <w:sz w:val="18"/>
          <w:szCs w:val="18"/>
          <w:u w:val="single" w:color="auto"/>
          <w:color w:val="auto"/>
        </w:rPr>
        <w:t>WCF Royalty</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auto"/>
        </w:rPr>
        <w:t>Payments</w:t>
      </w:r>
      <w:r>
        <w:rPr>
          <w:rFonts w:ascii="Calibri" w:cs="Calibri" w:eastAsia="Calibri" w:hAnsi="Calibri"/>
          <w:sz w:val="18"/>
          <w:szCs w:val="18"/>
          <w:color w:val="auto"/>
        </w:rPr>
        <w:t>. The WCF Royalty Payments will commence 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9" w:name="page120"/>
    <w:bookmarkEnd w:id="11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July 1, 2025, and will contnue untl the earlier of (i) the cumulatve total of the WCF Royalty Payments equals $40.0 million, or (ii) May 31, 2028, or the </w:t>
      </w:r>
      <w:r>
        <w:rPr>
          <w:rFonts w:ascii="Calibri" w:cs="Calibri" w:eastAsia="Calibri" w:hAnsi="Calibri"/>
          <w:sz w:val="18"/>
          <w:szCs w:val="18"/>
          <w:u w:val="single" w:color="auto"/>
          <w:color w:val="auto"/>
        </w:rPr>
        <w:t>WCF</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auto"/>
        </w:rPr>
        <w:t>Royalty Term</w:t>
      </w:r>
      <w:r>
        <w:rPr>
          <w:rFonts w:ascii="Calibri" w:cs="Calibri" w:eastAsia="Calibri" w:hAnsi="Calibri"/>
          <w:sz w:val="18"/>
          <w:szCs w:val="18"/>
          <w:color w:val="auto"/>
        </w:rPr>
        <w:t>. The WCF Royalty Payments are subject to certain minimum true-up milestones.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Working Capital Fund is considered a debt arrangement with zero coupon interest, and we impute interest on the Working Capital Fund liability at a rate of 15.0% per annum. As of December 31, 2024, $2.3 million and $38.0 million of the Working Capital Fund liability is classifed as a current and non-current liability, respectvely, based on management's estmated tming of the repayment of the Working Capital Fund liability to CSL Vifor.</w:t>
      </w:r>
    </w:p>
    <w:p>
      <w:pPr>
        <w:spacing w:after="0" w:line="11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 xml:space="preserve">See Note 8, </w:t>
      </w:r>
      <w:r>
        <w:rPr>
          <w:rFonts w:ascii="Calibri" w:cs="Calibri" w:eastAsia="Calibri" w:hAnsi="Calibri"/>
          <w:sz w:val="18"/>
          <w:szCs w:val="18"/>
          <w:i w:val="1"/>
          <w:iCs w:val="1"/>
          <w:color w:val="auto"/>
        </w:rPr>
        <w:t>Liability Related to Setlement Royaltes, Working Capital Fund Liability and Liability Related to Sale of Future Royaltes</w:t>
      </w:r>
      <w:r>
        <w:rPr>
          <w:rFonts w:ascii="Calibri" w:cs="Calibri" w:eastAsia="Calibri" w:hAnsi="Calibri"/>
          <w:sz w:val="18"/>
          <w:szCs w:val="18"/>
          <w:color w:val="auto"/>
        </w:rPr>
        <w:t>, in the accompanying notes to the consolidated fnancial statements in Part II, Item 8 of this Form 10-K for further informaton.</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Liability Related to Sale of Future Royaltes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February 2021, we sold to HealthCare Royalty Partners IV L.P., or </w:t>
      </w:r>
      <w:r>
        <w:rPr>
          <w:rFonts w:ascii="Calibri" w:cs="Calibri" w:eastAsia="Calibri" w:hAnsi="Calibri"/>
          <w:sz w:val="18"/>
          <w:szCs w:val="18"/>
          <w:u w:val="single" w:color="auto"/>
          <w:color w:val="auto"/>
        </w:rPr>
        <w:t>HCR</w:t>
      </w:r>
      <w:r>
        <w:rPr>
          <w:rFonts w:ascii="Calibri" w:cs="Calibri" w:eastAsia="Calibri" w:hAnsi="Calibri"/>
          <w:sz w:val="18"/>
          <w:szCs w:val="18"/>
          <w:color w:val="auto"/>
        </w:rPr>
        <w:t xml:space="preserve">, our right to receive royaltes and sales milestones for vadadustat in Japan and certain other Asian countries, such countries collectvely, the </w:t>
      </w:r>
      <w:r>
        <w:rPr>
          <w:rFonts w:ascii="Calibri" w:cs="Calibri" w:eastAsia="Calibri" w:hAnsi="Calibri"/>
          <w:sz w:val="18"/>
          <w:szCs w:val="18"/>
          <w:u w:val="single" w:color="auto"/>
          <w:color w:val="auto"/>
        </w:rPr>
        <w:t>MTPC Territory</w:t>
      </w:r>
      <w:r>
        <w:rPr>
          <w:rFonts w:ascii="Calibri" w:cs="Calibri" w:eastAsia="Calibri" w:hAnsi="Calibri"/>
          <w:sz w:val="18"/>
          <w:szCs w:val="18"/>
          <w:color w:val="auto"/>
        </w:rPr>
        <w:t xml:space="preserve">, such payments collectvely the </w:t>
      </w:r>
      <w:r>
        <w:rPr>
          <w:rFonts w:ascii="Calibri" w:cs="Calibri" w:eastAsia="Calibri" w:hAnsi="Calibri"/>
          <w:sz w:val="18"/>
          <w:szCs w:val="18"/>
          <w:u w:val="single" w:color="auto"/>
          <w:color w:val="auto"/>
        </w:rPr>
        <w:t>Royalty Interest Payments</w:t>
      </w:r>
      <w:r>
        <w:rPr>
          <w:rFonts w:ascii="Calibri" w:cs="Calibri" w:eastAsia="Calibri" w:hAnsi="Calibri"/>
          <w:sz w:val="18"/>
          <w:szCs w:val="18"/>
          <w:color w:val="auto"/>
        </w:rPr>
        <w:t>, in each case, payable to us under the MTPC Agreement. The Royalty Interest Payments are subject to an annual maximum “cap” of $13.0 million, afer which we will receive 85% of the Royalty Interest Payments for the remainder of that year. The Royalty Interest Payments are also subject to an aggregate maximum “cap” of $150.0 million, afer which the Royalty Interest Payments will revert back to us.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received $44.8 million from HCR, net of certain transacton expenses, which we recorded as a liability at the transacton date. We amortze the liability related to the sale of future royaltes using the efectve interest method over the life of the arrangement. The annual efectve interest rate as of December 31, 2024 was 0%. We retain the right to receive all potental future regulatory milestones for vadadustat under the MTPC Agreement. During the year ended December 31, 2024 and 2023, we recorded $1.9 million and $2.0 million of non-cash royalty revenue, respectvely. As of December 31, 2024, $2.0 million and $52.1 million of the liability related to the sale of future royaltes is classifed as a current and non-current liability, respectvely.</w:t>
      </w:r>
    </w:p>
    <w:p>
      <w:pPr>
        <w:spacing w:after="0" w:line="112"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 xml:space="preserve">See Note 8, </w:t>
      </w:r>
      <w:r>
        <w:rPr>
          <w:rFonts w:ascii="Calibri" w:cs="Calibri" w:eastAsia="Calibri" w:hAnsi="Calibri"/>
          <w:sz w:val="18"/>
          <w:szCs w:val="18"/>
          <w:i w:val="1"/>
          <w:iCs w:val="1"/>
          <w:color w:val="auto"/>
        </w:rPr>
        <w:t>Liability Related to Setlement Royaltes, Working Capital Fund Liability and Liability Related to Sale of Future Royaltes</w:t>
      </w:r>
      <w:r>
        <w:rPr>
          <w:rFonts w:ascii="Calibri" w:cs="Calibri" w:eastAsia="Calibri" w:hAnsi="Calibri"/>
          <w:sz w:val="18"/>
          <w:szCs w:val="18"/>
          <w:color w:val="auto"/>
        </w:rPr>
        <w:t>, in the accompanying notes to the consolidated fnancial statements in Part II, Item 8 of this Form 10-K for further informaton.</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Of-Balance Sheet Arrangements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Leter of Credit</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As of December 31, 2024, in connecton with the Cambridge Lease (as defned below), we had $1.7 million in a leter of credit outstanding.</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Director and Ofcer Indemnifcaton</w:t>
      </w:r>
    </w:p>
    <w:p>
      <w:pPr>
        <w:spacing w:after="0" w:line="109"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We have entered into indemnifcaton agreements with our directors and certain ofcers that will require us, among other things, to indemnify them against certain liabilites that may arise by reason of their status or service as directors or ofcers. No demands have been made upon us to provide indemnifcaton under such agreements and there are no claims that we are aware of that could have a material efect on our consolidated fnancial statements.</w:t>
      </w:r>
    </w:p>
    <w:p>
      <w:pPr>
        <w:spacing w:after="0" w:line="9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Contractual Obligatons and Commitments Other Than Debt Agreements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are party to contractual obligatons involving commitments to make payments to third partes in the future. Certain contractual obligatons are refected on our consolidated balance sheet as of December 31, 2024, while others are considered future obligatons. Our material cash requirements as of December 31, 2024, include contractual obligatons and commitments arising in the normal course of business, including leases, license agreements, manufacturing agreements and unconditonal purchase commitments which are described in more detail below.</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Cambridge Lease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lease approximately 65,167 square feet of ofce, storage and laboratory space in Cambridge, Massachusets under non-cancelable operatng leases, collectvely the </w:t>
      </w:r>
      <w:r>
        <w:rPr>
          <w:rFonts w:ascii="Calibri" w:cs="Calibri" w:eastAsia="Calibri" w:hAnsi="Calibri"/>
          <w:sz w:val="18"/>
          <w:szCs w:val="18"/>
          <w:u w:val="single" w:color="auto"/>
          <w:color w:val="auto"/>
        </w:rPr>
        <w:t>Cambridge Lease</w:t>
      </w:r>
      <w:r>
        <w:rPr>
          <w:rFonts w:ascii="Calibri" w:cs="Calibri" w:eastAsia="Calibri" w:hAnsi="Calibri"/>
          <w:sz w:val="18"/>
          <w:szCs w:val="18"/>
          <w:color w:val="auto"/>
        </w:rPr>
        <w:t>. The ofce, storage and lab lease expires on September 11, 2026, and we are currently marketng the furnished ofce space for sublease.</w:t>
      </w:r>
    </w:p>
    <w:p>
      <w:pPr>
        <w:spacing w:after="0" w:line="111" w:lineRule="exact"/>
        <w:rPr>
          <w:sz w:val="20"/>
          <w:szCs w:val="20"/>
          <w:color w:val="auto"/>
        </w:rPr>
      </w:pPr>
    </w:p>
    <w:p>
      <w:pPr>
        <w:spacing w:after="0"/>
        <w:rPr>
          <w:sz w:val="20"/>
          <w:szCs w:val="20"/>
          <w:color w:val="auto"/>
        </w:rPr>
      </w:pPr>
      <w:r>
        <w:rPr>
          <w:rFonts w:ascii="Calibri" w:cs="Calibri" w:eastAsia="Calibri" w:hAnsi="Calibri"/>
          <w:sz w:val="17"/>
          <w:szCs w:val="17"/>
          <w:color w:val="auto"/>
        </w:rPr>
        <w:t xml:space="preserve">See Note 9, </w:t>
      </w:r>
      <w:r>
        <w:rPr>
          <w:rFonts w:ascii="Calibri" w:cs="Calibri" w:eastAsia="Calibri" w:hAnsi="Calibri"/>
          <w:sz w:val="17"/>
          <w:szCs w:val="17"/>
          <w:i w:val="1"/>
          <w:iCs w:val="1"/>
          <w:color w:val="auto"/>
        </w:rPr>
        <w:t>Leases</w:t>
      </w:r>
      <w:r>
        <w:rPr>
          <w:rFonts w:ascii="Calibri" w:cs="Calibri" w:eastAsia="Calibri" w:hAnsi="Calibri"/>
          <w:sz w:val="17"/>
          <w:szCs w:val="17"/>
          <w:color w:val="auto"/>
        </w:rPr>
        <w:t>, in the accompanying notes to the consolidated fnancial statements included in Part II, Item 8 of this Form 10-K for further informaton.</w:t>
      </w:r>
    </w:p>
    <w:p>
      <w:pPr>
        <w:spacing w:after="0" w:line="11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License Agreements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Panion License Agreement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0" w:name="page121"/>
    <w:bookmarkEnd w:id="12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We have a license agreement with Panion, under which we are required to pay royaltes related to the sale of Auryxia. The royalty payment obligatons are contngent upon generatng product revenue, and the amount and tming of such payments are not known. See Note 10, </w:t>
      </w:r>
      <w:r>
        <w:rPr>
          <w:rFonts w:ascii="Calibri" w:cs="Calibri" w:eastAsia="Calibri" w:hAnsi="Calibri"/>
          <w:sz w:val="18"/>
          <w:szCs w:val="18"/>
          <w:i w:val="1"/>
          <w:iCs w:val="1"/>
          <w:color w:val="auto"/>
        </w:rPr>
        <w:t>Commitments and Contngencies</w:t>
      </w:r>
      <w:r>
        <w:rPr>
          <w:rFonts w:ascii="Calibri" w:cs="Calibri" w:eastAsia="Calibri" w:hAnsi="Calibri"/>
          <w:sz w:val="18"/>
          <w:szCs w:val="18"/>
          <w:color w:val="auto"/>
        </w:rPr>
        <w:t>, in the accompanying notes to the consolidated fnancial statements included in Part II, Item 8 of this Form 10-K for further informaton.</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Cyclerion Agreement</w:t>
      </w:r>
    </w:p>
    <w:p>
      <w:pPr>
        <w:spacing w:after="0" w:line="109"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auto"/>
        </w:rPr>
        <w:t>In June 2021, we entered into the Cyclerion Agreement with Cyclerion, as amended in December 2024, under which we obtained an exclusive global license under certain intellectual property rights to research, develop and commercialize praliciguat, an investgatonal oral soluble guanylate cyclase stmulator.</w:t>
      </w:r>
    </w:p>
    <w:p>
      <w:pPr>
        <w:spacing w:after="0" w:line="9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Under the Cyclerion Agreement, as amended, Cyclerion is eligible to receive up to an aggregate of $198.5 million from us in specifed development and regulatory milestone payments on a product-by-product basis. Cyclerion will also be eligible to receive specifed commercial milestones as well as tered royaltes ranging from mid-single-digit percentage to twenty percent of net sales, on a product-by-product basis, and subject to reducton upon expiraton of patent rights or the launch of a generic product in the territory.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See Note 10, </w:t>
      </w:r>
      <w:r>
        <w:rPr>
          <w:rFonts w:ascii="Calibri" w:cs="Calibri" w:eastAsia="Calibri" w:hAnsi="Calibri"/>
          <w:sz w:val="18"/>
          <w:szCs w:val="18"/>
          <w:i w:val="1"/>
          <w:iCs w:val="1"/>
          <w:color w:val="auto"/>
        </w:rPr>
        <w:t>Commitments and Contngencies</w:t>
      </w:r>
      <w:r>
        <w:rPr>
          <w:rFonts w:ascii="Calibri" w:cs="Calibri" w:eastAsia="Calibri" w:hAnsi="Calibri"/>
          <w:sz w:val="18"/>
          <w:szCs w:val="18"/>
          <w:color w:val="auto"/>
        </w:rPr>
        <w:t>, in the accompanying notes to the consolidated fnancial statements included in Part II, Item 8 of this Form 10-K for further informaton.</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Manufacturing Agreements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various supply arrangements to which we are a party, and we are obligated to pay for drug substance and drug product for commercial use. Under one of our agreements, we are required to purchase a minimum quantty of Auryxia drug substance at a predetermined price. We are also obligated to purchase a certain percentage of the global demand for Vafseo drug substance and drug product based on certain quarterly and annual forecasts we provide to certain suppliers. Our supply agreements for Vafseo drug substance and drug product provide for a volume-based pricing structure. We may also be required to reimburse certain suppliers for reasonable expenses.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See Note 10, </w:t>
      </w:r>
      <w:r>
        <w:rPr>
          <w:rFonts w:ascii="Calibri" w:cs="Calibri" w:eastAsia="Calibri" w:hAnsi="Calibri"/>
          <w:sz w:val="18"/>
          <w:szCs w:val="18"/>
          <w:i w:val="1"/>
          <w:iCs w:val="1"/>
          <w:color w:val="auto"/>
        </w:rPr>
        <w:t>Commitments and Contngencies</w:t>
      </w:r>
      <w:r>
        <w:rPr>
          <w:rFonts w:ascii="Calibri" w:cs="Calibri" w:eastAsia="Calibri" w:hAnsi="Calibri"/>
          <w:sz w:val="18"/>
          <w:szCs w:val="18"/>
          <w:color w:val="auto"/>
        </w:rPr>
        <w:t>, in the accompanying notes to the consolidated fnancial statements included in Part II, Item 8 of this Form 10-K for further informaton.</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Amounts Due Under Former Manufacturing and Unconditonal Purchase Commitments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December 22, 2022, we terminated any and all existng agreements with BioVectra for the supply of Auryxia drug substance. Under the BioVectra Terminaton Agreement, we agreed to pay BioVectra a total of $32.5 million consistng of (i) an upfront payment of $17.5 million that was paid in December 2022 and (ii) six quarterly payments of $2.5 million which commenced in April 2024. In additon, we and BioVectra have released one another from all existng and future claims and liabilites and agreed to return certain materials and documents.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See Note 10, </w:t>
      </w:r>
      <w:r>
        <w:rPr>
          <w:rFonts w:ascii="Calibri" w:cs="Calibri" w:eastAsia="Calibri" w:hAnsi="Calibri"/>
          <w:sz w:val="18"/>
          <w:szCs w:val="18"/>
          <w:i w:val="1"/>
          <w:iCs w:val="1"/>
          <w:color w:val="auto"/>
        </w:rPr>
        <w:t>Commitments and Contngencies</w:t>
      </w:r>
      <w:r>
        <w:rPr>
          <w:rFonts w:ascii="Calibri" w:cs="Calibri" w:eastAsia="Calibri" w:hAnsi="Calibri"/>
          <w:sz w:val="18"/>
          <w:szCs w:val="18"/>
          <w:color w:val="auto"/>
        </w:rPr>
        <w:t>, in the accompanying notes to the consolidated fnancial statements included in Part II, Item 8 of this Form 10-K for further informaton.</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Other Third Party Contracts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enter into agreements in the normal course of business with various vendors, which are generally cancellable upon notce. Payments due upon cancellaton consist only of payments for services provided or expenses incurred, including non-cancellable obligatons of service providers, up to the date of cancellaton. In additon, we contract with various organizatons to conduct R&amp;D actvites with remaining contract costs to us of approximately $48.0 million as of December 31, 2024. The scope of the services under these R&amp;D contracts can be modifed and the contracts cancelled by us upon writen notce. In some instances, the contracts may be cancelled by the third party upon writen notce.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20"/>
        </w:trPr>
        <w:tc>
          <w:tcPr>
            <w:tcW w:w="5740" w:type="dxa"/>
            <w:vAlign w:val="bottom"/>
            <w:gridSpan w:val="2"/>
          </w:tcPr>
          <w:p>
            <w:pPr>
              <w:spacing w:after="0"/>
              <w:rPr>
                <w:sz w:val="20"/>
                <w:szCs w:val="20"/>
                <w:color w:val="auto"/>
              </w:rPr>
            </w:pPr>
            <w:r>
              <w:rPr>
                <w:rFonts w:ascii="Calibri" w:cs="Calibri" w:eastAsia="Calibri" w:hAnsi="Calibri"/>
                <w:sz w:val="18"/>
                <w:szCs w:val="18"/>
                <w:color w:val="0000FF"/>
              </w:rPr>
              <w:t>Table of Contents</w:t>
            </w: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8"/>
        </w:trPr>
        <w:tc>
          <w:tcPr>
            <w:tcW w:w="1240" w:type="dxa"/>
            <w:vAlign w:val="bottom"/>
            <w:tcBorders>
              <w:top w:val="single" w:sz="8" w:color="0000FF"/>
            </w:tcBorders>
          </w:tcPr>
          <w:p>
            <w:pPr>
              <w:spacing w:after="0"/>
              <w:rPr>
                <w:sz w:val="20"/>
                <w:szCs w:val="20"/>
                <w:color w:val="auto"/>
              </w:rPr>
            </w:pPr>
            <w:r>
              <w:rPr>
                <w:rFonts w:ascii="Calibri" w:cs="Calibri" w:eastAsia="Calibri" w:hAnsi="Calibri"/>
                <w:sz w:val="18"/>
                <w:szCs w:val="18"/>
                <w:b w:val="1"/>
                <w:bCs w:val="1"/>
                <w:i w:val="1"/>
                <w:iCs w:val="1"/>
                <w:color w:val="auto"/>
              </w:rPr>
              <w:t>Cash Flows</w:t>
            </w:r>
          </w:p>
        </w:tc>
        <w:tc>
          <w:tcPr>
            <w:tcW w:w="45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40" w:type="dxa"/>
            <w:vAlign w:val="bottom"/>
            <w:gridSpan w:val="2"/>
          </w:tcPr>
          <w:p>
            <w:pPr>
              <w:spacing w:after="0"/>
              <w:rPr>
                <w:sz w:val="20"/>
                <w:szCs w:val="20"/>
                <w:color w:val="auto"/>
              </w:rPr>
            </w:pPr>
            <w:r>
              <w:rPr>
                <w:rFonts w:ascii="Calibri" w:cs="Calibri" w:eastAsia="Calibri" w:hAnsi="Calibri"/>
                <w:sz w:val="18"/>
                <w:szCs w:val="18"/>
                <w:color w:val="auto"/>
              </w:rPr>
              <w:t>The  following  table  provides  a  summary  of  cash  fow  data  for</w:t>
            </w:r>
          </w:p>
        </w:tc>
        <w:tc>
          <w:tcPr>
            <w:tcW w:w="2860" w:type="dxa"/>
            <w:vAlign w:val="bottom"/>
            <w:gridSpan w:val="3"/>
          </w:tcPr>
          <w:p>
            <w:pPr>
              <w:jc w:val="right"/>
              <w:ind w:right="759"/>
              <w:spacing w:after="0"/>
              <w:rPr>
                <w:sz w:val="20"/>
                <w:szCs w:val="20"/>
                <w:color w:val="auto"/>
              </w:rPr>
            </w:pPr>
            <w:r>
              <w:rPr>
                <w:rFonts w:ascii="Calibri" w:cs="Calibri" w:eastAsia="Calibri" w:hAnsi="Calibri"/>
                <w:sz w:val="18"/>
                <w:szCs w:val="18"/>
                <w:color w:val="auto"/>
              </w:rPr>
              <w:t>each  applicable  period:</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24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40" w:type="dxa"/>
            <w:vAlign w:val="bottom"/>
            <w:gridSpan w:val="4"/>
          </w:tcPr>
          <w:p>
            <w:pPr>
              <w:jc w:val="right"/>
              <w:ind w:right="519"/>
              <w:spacing w:after="0"/>
              <w:rPr>
                <w:sz w:val="20"/>
                <w:szCs w:val="20"/>
                <w:color w:val="auto"/>
              </w:rPr>
            </w:pPr>
            <w:r>
              <w:rPr>
                <w:rFonts w:ascii="Calibri" w:cs="Calibri" w:eastAsia="Calibri" w:hAnsi="Calibri"/>
                <w:sz w:val="16"/>
                <w:szCs w:val="16"/>
                <w:b w:val="1"/>
                <w:bCs w:val="1"/>
                <w:color w:val="auto"/>
              </w:rPr>
              <w:t>Years ended December 31,</w:t>
            </w:r>
          </w:p>
        </w:tc>
        <w:tc>
          <w:tcPr>
            <w:tcW w:w="0" w:type="dxa"/>
            <w:vAlign w:val="bottom"/>
          </w:tcPr>
          <w:p>
            <w:pPr>
              <w:spacing w:after="0"/>
              <w:rPr>
                <w:sz w:val="1"/>
                <w:szCs w:val="1"/>
                <w:color w:val="auto"/>
              </w:rPr>
            </w:pPr>
          </w:p>
        </w:tc>
      </w:tr>
      <w:tr>
        <w:trPr>
          <w:trHeight w:val="28"/>
        </w:trPr>
        <w:tc>
          <w:tcPr>
            <w:tcW w:w="5740" w:type="dxa"/>
            <w:vAlign w:val="bottom"/>
            <w:gridSpan w:val="2"/>
            <w:vMerge w:val="restart"/>
          </w:tcPr>
          <w:p>
            <w:pPr>
              <w:ind w:left="20"/>
              <w:spacing w:after="0"/>
              <w:rPr>
                <w:sz w:val="20"/>
                <w:szCs w:val="20"/>
                <w:color w:val="auto"/>
              </w:rPr>
            </w:pPr>
            <w:r>
              <w:rPr>
                <w:rFonts w:ascii="Calibri" w:cs="Calibri" w:eastAsia="Calibri" w:hAnsi="Calibri"/>
                <w:sz w:val="16"/>
                <w:szCs w:val="16"/>
                <w:b w:val="1"/>
                <w:bCs w:val="1"/>
                <w:color w:val="auto"/>
              </w:rPr>
              <w:t xml:space="preserve">NET CASH PROVIDED BY/(USED IN) </w:t>
            </w:r>
            <w:r>
              <w:rPr>
                <w:rFonts w:ascii="Calibri" w:cs="Calibri" w:eastAsia="Calibri" w:hAnsi="Calibri"/>
                <w:sz w:val="16"/>
                <w:szCs w:val="16"/>
                <w:i w:val="1"/>
                <w:iCs w:val="1"/>
                <w:color w:val="auto"/>
              </w:rPr>
              <w:t>(in thousands)</w:t>
            </w:r>
            <w:r>
              <w:rPr>
                <w:rFonts w:ascii="Calibri" w:cs="Calibri" w:eastAsia="Calibri" w:hAnsi="Calibri"/>
                <w:sz w:val="16"/>
                <w:szCs w:val="16"/>
                <w:b w:val="1"/>
                <w:bCs w:val="1"/>
                <w:color w:val="auto"/>
              </w:rPr>
              <w:t>:</w:t>
            </w:r>
          </w:p>
        </w:tc>
        <w:tc>
          <w:tcPr>
            <w:tcW w:w="2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740" w:type="dxa"/>
            <w:vAlign w:val="bottom"/>
            <w:gridSpan w:val="2"/>
            <w:vMerge w:val="continue"/>
          </w:tcPr>
          <w:p>
            <w:pPr>
              <w:spacing w:after="0"/>
              <w:rPr>
                <w:sz w:val="16"/>
                <w:szCs w:val="16"/>
                <w:color w:val="auto"/>
              </w:rPr>
            </w:pPr>
          </w:p>
        </w:tc>
        <w:tc>
          <w:tcPr>
            <w:tcW w:w="2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9"/>
              <w:spacing w:after="0" w:line="187" w:lineRule="exact"/>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9"/>
              <w:spacing w:after="0" w:line="187" w:lineRule="exact"/>
              <w:rPr>
                <w:sz w:val="20"/>
                <w:szCs w:val="20"/>
                <w:color w:val="auto"/>
              </w:rPr>
            </w:pPr>
            <w:r>
              <w:rPr>
                <w:rFonts w:ascii="Calibri" w:cs="Calibri" w:eastAsia="Calibri" w:hAnsi="Calibri"/>
                <w:sz w:val="16"/>
                <w:szCs w:val="16"/>
                <w:b w:val="1"/>
                <w:bCs w:val="1"/>
                <w:color w:val="auto"/>
              </w:rPr>
              <w:t>2023</w:t>
            </w:r>
          </w:p>
        </w:tc>
        <w:tc>
          <w:tcPr>
            <w:tcW w:w="0" w:type="dxa"/>
            <w:vAlign w:val="bottom"/>
          </w:tcPr>
          <w:p>
            <w:pPr>
              <w:spacing w:after="0"/>
              <w:rPr>
                <w:sz w:val="1"/>
                <w:szCs w:val="1"/>
                <w:color w:val="auto"/>
              </w:rPr>
            </w:pPr>
          </w:p>
        </w:tc>
      </w:tr>
      <w:tr>
        <w:trPr>
          <w:trHeight w:val="23"/>
        </w:trPr>
        <w:tc>
          <w:tcPr>
            <w:tcW w:w="5740" w:type="dxa"/>
            <w:vAlign w:val="bottom"/>
            <w:tcBorders>
              <w:bottom w:val="single" w:sz="8" w:color="auto"/>
            </w:tcBorders>
            <w:gridSpan w:val="2"/>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5740" w:type="dxa"/>
            <w:vAlign w:val="bottom"/>
            <w:tcBorders>
              <w:bottom w:val="single" w:sz="8" w:color="DBDBDB"/>
            </w:tcBorders>
            <w:gridSpan w:val="2"/>
            <w:shd w:val="clear" w:color="auto" w:fill="DBDBDB"/>
          </w:tcPr>
          <w:p>
            <w:pPr>
              <w:ind w:left="140"/>
              <w:spacing w:after="0" w:line="187" w:lineRule="exact"/>
              <w:rPr>
                <w:sz w:val="20"/>
                <w:szCs w:val="20"/>
                <w:color w:val="auto"/>
              </w:rPr>
            </w:pPr>
            <w:r>
              <w:rPr>
                <w:rFonts w:ascii="Calibri" w:cs="Calibri" w:eastAsia="Calibri" w:hAnsi="Calibri"/>
                <w:sz w:val="16"/>
                <w:szCs w:val="16"/>
                <w:color w:val="auto"/>
              </w:rPr>
              <w:t>Operatng actvites</w:t>
            </w:r>
          </w:p>
        </w:tc>
        <w:tc>
          <w:tcPr>
            <w:tcW w:w="244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DBDBDB"/>
            </w:tcBorders>
            <w:shd w:val="clear" w:color="auto" w:fill="DBDBDB"/>
          </w:tcPr>
          <w:p>
            <w:pPr>
              <w:jc w:val="right"/>
              <w:ind w:right="139"/>
              <w:spacing w:after="0" w:line="187" w:lineRule="exact"/>
              <w:rPr>
                <w:sz w:val="20"/>
                <w:szCs w:val="20"/>
                <w:color w:val="auto"/>
              </w:rPr>
            </w:pPr>
            <w:r>
              <w:rPr>
                <w:rFonts w:ascii="Calibri" w:cs="Calibri" w:eastAsia="Calibri" w:hAnsi="Calibri"/>
                <w:sz w:val="16"/>
                <w:szCs w:val="16"/>
                <w:color w:val="auto"/>
              </w:rPr>
              <w:t>$</w:t>
            </w:r>
          </w:p>
        </w:tc>
        <w:tc>
          <w:tcPr>
            <w:tcW w:w="110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(40,659)</w:t>
            </w:r>
          </w:p>
        </w:tc>
        <w:tc>
          <w:tcPr>
            <w:tcW w:w="10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DBDBDB"/>
            </w:tcBorders>
            <w:shd w:val="clear" w:color="auto" w:fill="DBDBDB"/>
          </w:tcPr>
          <w:p>
            <w:pPr>
              <w:jc w:val="right"/>
              <w:ind w:right="159"/>
              <w:spacing w:after="0" w:line="187" w:lineRule="exact"/>
              <w:rPr>
                <w:sz w:val="20"/>
                <w:szCs w:val="20"/>
                <w:color w:val="auto"/>
              </w:rPr>
            </w:pPr>
            <w:r>
              <w:rPr>
                <w:rFonts w:ascii="Calibri" w:cs="Calibri" w:eastAsia="Calibri" w:hAnsi="Calibri"/>
                <w:sz w:val="16"/>
                <w:szCs w:val="16"/>
                <w:color w:val="auto"/>
                <w:w w:val="97"/>
              </w:rPr>
              <w:t>$</w:t>
            </w:r>
          </w:p>
        </w:tc>
        <w:tc>
          <w:tcPr>
            <w:tcW w:w="110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(23,384)</w:t>
            </w:r>
          </w:p>
        </w:tc>
        <w:tc>
          <w:tcPr>
            <w:tcW w:w="0" w:type="dxa"/>
            <w:vAlign w:val="bottom"/>
          </w:tcPr>
          <w:p>
            <w:pPr>
              <w:spacing w:after="0"/>
              <w:rPr>
                <w:sz w:val="1"/>
                <w:szCs w:val="1"/>
                <w:color w:val="auto"/>
              </w:rPr>
            </w:pPr>
          </w:p>
        </w:tc>
      </w:tr>
      <w:tr>
        <w:trPr>
          <w:trHeight w:val="193"/>
        </w:trPr>
        <w:tc>
          <w:tcPr>
            <w:tcW w:w="5740" w:type="dxa"/>
            <w:vAlign w:val="bottom"/>
            <w:gridSpan w:val="2"/>
          </w:tcPr>
          <w:p>
            <w:pPr>
              <w:ind w:left="140"/>
              <w:spacing w:after="0" w:line="193" w:lineRule="exact"/>
              <w:rPr>
                <w:sz w:val="20"/>
                <w:szCs w:val="20"/>
                <w:color w:val="auto"/>
              </w:rPr>
            </w:pPr>
            <w:r>
              <w:rPr>
                <w:rFonts w:ascii="Calibri" w:cs="Calibri" w:eastAsia="Calibri" w:hAnsi="Calibri"/>
                <w:sz w:val="16"/>
                <w:szCs w:val="16"/>
                <w:color w:val="auto"/>
              </w:rPr>
              <w:t>Investng actvites</w:t>
            </w:r>
          </w:p>
        </w:tc>
        <w:tc>
          <w:tcPr>
            <w:tcW w:w="2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(33)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
        </w:trPr>
        <w:tc>
          <w:tcPr>
            <w:tcW w:w="57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tcBorders>
              <w:bottom w:val="single" w:sz="8" w:color="DBDBDB"/>
            </w:tcBorders>
            <w:gridSpan w:val="2"/>
            <w:shd w:val="clear" w:color="auto" w:fill="DBDBDB"/>
          </w:tcPr>
          <w:p>
            <w:pPr>
              <w:ind w:left="140"/>
              <w:spacing w:after="0" w:line="193" w:lineRule="exact"/>
              <w:rPr>
                <w:sz w:val="20"/>
                <w:szCs w:val="20"/>
                <w:color w:val="auto"/>
              </w:rPr>
            </w:pPr>
            <w:r>
              <w:rPr>
                <w:rFonts w:ascii="Calibri" w:cs="Calibri" w:eastAsia="Calibri" w:hAnsi="Calibri"/>
                <w:sz w:val="16"/>
                <w:szCs w:val="16"/>
                <w:color w:val="auto"/>
              </w:rPr>
              <w:t>Financing actvites</w:t>
            </w:r>
          </w:p>
        </w:tc>
        <w:tc>
          <w:tcPr>
            <w:tcW w:w="244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49,663</w:t>
            </w:r>
          </w:p>
        </w:tc>
        <w:tc>
          <w:tcPr>
            <w:tcW w:w="10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(25,206)</w:t>
            </w:r>
          </w:p>
        </w:tc>
        <w:tc>
          <w:tcPr>
            <w:tcW w:w="0" w:type="dxa"/>
            <w:vAlign w:val="bottom"/>
          </w:tcPr>
          <w:p>
            <w:pPr>
              <w:spacing w:after="0"/>
              <w:rPr>
                <w:sz w:val="1"/>
                <w:szCs w:val="1"/>
                <w:color w:val="auto"/>
              </w:rPr>
            </w:pPr>
          </w:p>
        </w:tc>
      </w:tr>
      <w:tr>
        <w:trPr>
          <w:trHeight w:val="187"/>
        </w:trPr>
        <w:tc>
          <w:tcPr>
            <w:tcW w:w="5740" w:type="dxa"/>
            <w:vAlign w:val="bottom"/>
            <w:gridSpan w:val="2"/>
          </w:tcPr>
          <w:p>
            <w:pPr>
              <w:ind w:left="20"/>
              <w:spacing w:after="0" w:line="182" w:lineRule="exact"/>
              <w:rPr>
                <w:sz w:val="20"/>
                <w:szCs w:val="20"/>
                <w:color w:val="auto"/>
              </w:rPr>
            </w:pPr>
            <w:r>
              <w:rPr>
                <w:rFonts w:ascii="Calibri" w:cs="Calibri" w:eastAsia="Calibri" w:hAnsi="Calibri"/>
                <w:sz w:val="16"/>
                <w:szCs w:val="16"/>
                <w:color w:val="auto"/>
              </w:rPr>
              <w:t>Net increase (decrease) in cash, cash equivalents and restricted cash</w:t>
            </w:r>
          </w:p>
        </w:tc>
        <w:tc>
          <w:tcPr>
            <w:tcW w:w="2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jc w:val="right"/>
              <w:ind w:right="139"/>
              <w:spacing w:after="0" w:line="187" w:lineRule="exact"/>
              <w:rPr>
                <w:sz w:val="20"/>
                <w:szCs w:val="20"/>
                <w:color w:val="auto"/>
              </w:rPr>
            </w:pPr>
            <w:r>
              <w:rPr>
                <w:rFonts w:ascii="Calibri" w:cs="Calibri" w:eastAsia="Calibri" w:hAnsi="Calibri"/>
                <w:sz w:val="16"/>
                <w:szCs w:val="16"/>
                <w:b w:val="1"/>
                <w:bCs w:val="1"/>
                <w:color w:val="auto"/>
              </w:rPr>
              <w:t>$</w:t>
            </w:r>
          </w:p>
        </w:tc>
        <w:tc>
          <w:tcPr>
            <w:tcW w:w="1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b w:val="1"/>
                <w:bCs w:val="1"/>
                <w:color w:val="auto"/>
              </w:rPr>
              <w:t>8,971</w:t>
            </w:r>
          </w:p>
        </w:tc>
        <w:tc>
          <w:tcPr>
            <w:tcW w:w="100" w:type="dxa"/>
            <w:vAlign w:val="bottom"/>
          </w:tcPr>
          <w:p>
            <w:pPr>
              <w:spacing w:after="0"/>
              <w:rPr>
                <w:sz w:val="16"/>
                <w:szCs w:val="16"/>
                <w:color w:val="auto"/>
              </w:rPr>
            </w:pPr>
          </w:p>
        </w:tc>
        <w:tc>
          <w:tcPr>
            <w:tcW w:w="340" w:type="dxa"/>
            <w:vAlign w:val="bottom"/>
            <w:tcBorders>
              <w:top w:val="single" w:sz="8" w:color="auto"/>
            </w:tcBorders>
          </w:tcPr>
          <w:p>
            <w:pPr>
              <w:jc w:val="right"/>
              <w:ind w:right="159"/>
              <w:spacing w:after="0" w:line="187" w:lineRule="exact"/>
              <w:rPr>
                <w:sz w:val="20"/>
                <w:szCs w:val="20"/>
                <w:color w:val="auto"/>
              </w:rPr>
            </w:pPr>
            <w:r>
              <w:rPr>
                <w:rFonts w:ascii="Calibri" w:cs="Calibri" w:eastAsia="Calibri" w:hAnsi="Calibri"/>
                <w:sz w:val="16"/>
                <w:szCs w:val="16"/>
                <w:b w:val="1"/>
                <w:bCs w:val="1"/>
                <w:color w:val="auto"/>
                <w:w w:val="97"/>
              </w:rPr>
              <w:t>$</w:t>
            </w:r>
          </w:p>
        </w:tc>
        <w:tc>
          <w:tcPr>
            <w:tcW w:w="1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b w:val="1"/>
                <w:bCs w:val="1"/>
                <w:color w:val="auto"/>
              </w:rPr>
              <w:t>(48,590)</w:t>
            </w:r>
          </w:p>
        </w:tc>
        <w:tc>
          <w:tcPr>
            <w:tcW w:w="0" w:type="dxa"/>
            <w:vAlign w:val="bottom"/>
          </w:tcPr>
          <w:p>
            <w:pPr>
              <w:spacing w:after="0"/>
              <w:rPr>
                <w:sz w:val="1"/>
                <w:szCs w:val="1"/>
                <w:color w:val="auto"/>
              </w:rPr>
            </w:pPr>
          </w:p>
        </w:tc>
      </w:tr>
      <w:tr>
        <w:trPr>
          <w:trHeight w:val="23"/>
        </w:trPr>
        <w:tc>
          <w:tcPr>
            <w:tcW w:w="57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Cash, cash equivalents and restricted cash — beginning of period</w:t>
            </w:r>
          </w:p>
        </w:tc>
        <w:tc>
          <w:tcPr>
            <w:tcW w:w="244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44,579</w:t>
            </w:r>
          </w:p>
        </w:tc>
        <w:tc>
          <w:tcPr>
            <w:tcW w:w="10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93,169</w:t>
            </w:r>
          </w:p>
        </w:tc>
        <w:tc>
          <w:tcPr>
            <w:tcW w:w="0" w:type="dxa"/>
            <w:vAlign w:val="bottom"/>
          </w:tcPr>
          <w:p>
            <w:pPr>
              <w:spacing w:after="0"/>
              <w:rPr>
                <w:sz w:val="1"/>
                <w:szCs w:val="1"/>
                <w:color w:val="auto"/>
              </w:rPr>
            </w:pPr>
          </w:p>
        </w:tc>
      </w:tr>
      <w:tr>
        <w:trPr>
          <w:trHeight w:val="187"/>
        </w:trPr>
        <w:tc>
          <w:tcPr>
            <w:tcW w:w="5740" w:type="dxa"/>
            <w:vAlign w:val="bottom"/>
            <w:gridSpan w:val="2"/>
          </w:tcPr>
          <w:p>
            <w:pPr>
              <w:ind w:left="20"/>
              <w:spacing w:after="0" w:line="174" w:lineRule="exact"/>
              <w:rPr>
                <w:sz w:val="20"/>
                <w:szCs w:val="20"/>
                <w:color w:val="auto"/>
              </w:rPr>
            </w:pPr>
            <w:r>
              <w:rPr>
                <w:rFonts w:ascii="Calibri" w:cs="Calibri" w:eastAsia="Calibri" w:hAnsi="Calibri"/>
                <w:sz w:val="16"/>
                <w:szCs w:val="16"/>
                <w:b w:val="1"/>
                <w:bCs w:val="1"/>
                <w:color w:val="auto"/>
              </w:rPr>
              <w:t>Cash, cash equivalents and restricted cash — end of period</w:t>
            </w:r>
          </w:p>
        </w:tc>
        <w:tc>
          <w:tcPr>
            <w:tcW w:w="2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tcBorders>
          </w:tcPr>
          <w:p>
            <w:pPr>
              <w:jc w:val="right"/>
              <w:ind w:right="139"/>
              <w:spacing w:after="0" w:line="187" w:lineRule="exact"/>
              <w:rPr>
                <w:sz w:val="20"/>
                <w:szCs w:val="20"/>
                <w:color w:val="auto"/>
              </w:rPr>
            </w:pPr>
            <w:r>
              <w:rPr>
                <w:rFonts w:ascii="Calibri" w:cs="Calibri" w:eastAsia="Calibri" w:hAnsi="Calibri"/>
                <w:sz w:val="16"/>
                <w:szCs w:val="16"/>
                <w:b w:val="1"/>
                <w:bCs w:val="1"/>
                <w:color w:val="auto"/>
              </w:rPr>
              <w:t>$</w:t>
            </w:r>
          </w:p>
        </w:tc>
        <w:tc>
          <w:tcPr>
            <w:tcW w:w="1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b w:val="1"/>
                <w:bCs w:val="1"/>
                <w:color w:val="auto"/>
              </w:rPr>
              <w:t>53,550</w:t>
            </w:r>
          </w:p>
        </w:tc>
        <w:tc>
          <w:tcPr>
            <w:tcW w:w="100" w:type="dxa"/>
            <w:vAlign w:val="bottom"/>
          </w:tcPr>
          <w:p>
            <w:pPr>
              <w:spacing w:after="0"/>
              <w:rPr>
                <w:sz w:val="16"/>
                <w:szCs w:val="16"/>
                <w:color w:val="auto"/>
              </w:rPr>
            </w:pPr>
          </w:p>
        </w:tc>
        <w:tc>
          <w:tcPr>
            <w:tcW w:w="340" w:type="dxa"/>
            <w:vAlign w:val="bottom"/>
            <w:tcBorders>
              <w:top w:val="single" w:sz="8" w:color="auto"/>
            </w:tcBorders>
          </w:tcPr>
          <w:p>
            <w:pPr>
              <w:jc w:val="right"/>
              <w:ind w:right="159"/>
              <w:spacing w:after="0" w:line="187" w:lineRule="exact"/>
              <w:rPr>
                <w:sz w:val="20"/>
                <w:szCs w:val="20"/>
                <w:color w:val="auto"/>
              </w:rPr>
            </w:pPr>
            <w:r>
              <w:rPr>
                <w:rFonts w:ascii="Calibri" w:cs="Calibri" w:eastAsia="Calibri" w:hAnsi="Calibri"/>
                <w:sz w:val="16"/>
                <w:szCs w:val="16"/>
                <w:b w:val="1"/>
                <w:bCs w:val="1"/>
                <w:color w:val="auto"/>
                <w:w w:val="97"/>
              </w:rPr>
              <w:t>$</w:t>
            </w:r>
          </w:p>
        </w:tc>
        <w:tc>
          <w:tcPr>
            <w:tcW w:w="1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b w:val="1"/>
                <w:bCs w:val="1"/>
                <w:color w:val="auto"/>
              </w:rPr>
              <w:t>44,579</w:t>
            </w:r>
          </w:p>
        </w:tc>
        <w:tc>
          <w:tcPr>
            <w:tcW w:w="0" w:type="dxa"/>
            <w:vAlign w:val="bottom"/>
          </w:tcPr>
          <w:p>
            <w:pPr>
              <w:spacing w:after="0"/>
              <w:rPr>
                <w:sz w:val="1"/>
                <w:szCs w:val="1"/>
                <w:color w:val="auto"/>
              </w:rPr>
            </w:pPr>
          </w:p>
        </w:tc>
      </w:tr>
      <w:tr>
        <w:trPr>
          <w:trHeight w:val="23"/>
        </w:trPr>
        <w:tc>
          <w:tcPr>
            <w:tcW w:w="12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Operatng Actvites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used in operatng actvites during the year ended December 31, 2024 was $40.7 million. Net cash used in operatng actvites during the year ended December 31, 2024 consisted of a net loss of $69.4 million and net non-cash adjustments of $68.4 million, including amortzaton of our intangible asset of $36.0 million, and a reducton of $39.7 million in working capital.</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used in operatng actvites during the year ended December 31, 2023 was $23.4 million. Net cash used in operatng actvites during the year ended December 31, 2023 consisted of a net loss of $51.9 million and non-cash adjustments of $49.3 million, including amortzaton of our intangible asset of $36.0 million, and a reducton of $20.7 million in working capital.</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Investng Actvites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Net cash used in investng actvites was immaterial during the year ended December 31, 2024.</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 net cash was used in investng actvites during the year ended December 31, 2023.</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Financing Actvites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provided by fnancing actvites for the year ended December 31, 2024 was $49.7 million, which primarily consisted of proceeds of $45.0 million from the issuance of debt under the BlackRock Credit Agreement and net proceeds of $42.5 million from the sale of common stock under our ATM facility partally ofset by principal payments of debt of $37.1 million primarily related to the Pharmakon Term Loans which were repaid in January 2024.</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Net cash used in fnancing actvites for the year ended December 31, 2023 was $25.2 million, which primarily consisted of principal payments of $32.0 million, partally ofset by $6.7 million of net proceeds from the sale of common stock under our ATM facility and from the sale of stock under our employee stock purchase plan.</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Recent Accountng Pronouncements</w:t>
      </w:r>
    </w:p>
    <w:p>
      <w:pPr>
        <w:spacing w:after="0" w:line="109"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 xml:space="preserve">For a discussion of recent accountng pronouncements not yet adopted, see Note 2, </w:t>
      </w:r>
      <w:r>
        <w:rPr>
          <w:rFonts w:ascii="Calibri" w:cs="Calibri" w:eastAsia="Calibri" w:hAnsi="Calibri"/>
          <w:sz w:val="18"/>
          <w:szCs w:val="18"/>
          <w:i w:val="1"/>
          <w:iCs w:val="1"/>
          <w:color w:val="auto"/>
        </w:rPr>
        <w:t>Summary of Signifcant Accountng Policies,</w:t>
      </w:r>
      <w:r>
        <w:rPr>
          <w:rFonts w:ascii="Calibri" w:cs="Calibri" w:eastAsia="Calibri" w:hAnsi="Calibri"/>
          <w:sz w:val="18"/>
          <w:szCs w:val="18"/>
          <w:color w:val="auto"/>
        </w:rPr>
        <w:t xml:space="preserve"> to our consolidated fnancial statements included in Part II, Item 8 of this Form 10-K.</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Critcal Accountng Policies and Signifcant Judgments and Estmates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Our management's discussion and analysis of our fnancial conditon and results of operatons are based upon our consolidated fnancial statements included elsewhere in this Form 10-K, which consolidated fnancial statements have been prepared in accordance with U.S. generally accepted accountng principles, or </w:t>
      </w:r>
      <w:r>
        <w:rPr>
          <w:rFonts w:ascii="Calibri" w:cs="Calibri" w:eastAsia="Calibri" w:hAnsi="Calibri"/>
          <w:sz w:val="18"/>
          <w:szCs w:val="18"/>
          <w:u w:val="single" w:color="auto"/>
          <w:color w:val="auto"/>
        </w:rPr>
        <w:t>U.S. GAAP.</w:t>
      </w:r>
      <w:r>
        <w:rPr>
          <w:rFonts w:ascii="Calibri" w:cs="Calibri" w:eastAsia="Calibri" w:hAnsi="Calibri"/>
          <w:sz w:val="18"/>
          <w:szCs w:val="18"/>
          <w:color w:val="auto"/>
        </w:rPr>
        <w:t xml:space="preserve"> The preparaton of these consolidated fnancial statements requires us to make estmates and judgments that afect the reported amounts of assets, liabilites, revenues and expenses, including the current or long-term classifcaton of such assets, liabilites and expenses, classifcaton of the expenses and the related disclosure of contngent assets and liabilites. We monitor our estmates on an ongoing basis for changes in facts and circumstances, and material changes in these estmates could occur in the future. Changes in estmates are recorded in the period in which they become known. We base our estmates on historical experience and other assumptons that we believe to be reasonable under the circumstances. Actual results may difer from our estmates if past experience or other assumptons do not turn out to be substantally accurate.</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While our signifcant accountng policies are described in more detail in Note 2, </w:t>
      </w:r>
      <w:r>
        <w:rPr>
          <w:rFonts w:ascii="Calibri" w:cs="Calibri" w:eastAsia="Calibri" w:hAnsi="Calibri"/>
          <w:sz w:val="18"/>
          <w:szCs w:val="18"/>
          <w:i w:val="1"/>
          <w:iCs w:val="1"/>
          <w:color w:val="auto"/>
        </w:rPr>
        <w:t>Summary of Signifcant Accountng Policies</w:t>
      </w:r>
      <w:r>
        <w:rPr>
          <w:rFonts w:ascii="Calibri" w:cs="Calibri" w:eastAsia="Calibri" w:hAnsi="Calibri"/>
          <w:sz w:val="18"/>
          <w:szCs w:val="18"/>
          <w:color w:val="auto"/>
        </w:rPr>
        <w:t>, to our consolidated fnancial statements in Part II, Item 8 of this Form 10-K, we believe the following accountng policies are those most critcal to the judgments and estmates used in the preparaton of our consolidated fnancial statements and to understanding of our results of operatons.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Excess Firm Purchase Commitment Liability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8" w:right="339" w:bottom="1440" w:gutter="0" w:footer="0" w:header="0"/>
        </w:sectPr>
      </w:pPr>
    </w:p>
    <w:bookmarkStart w:id="122" w:name="page123"/>
    <w:bookmarkEnd w:id="12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each reportng period, we assess whether there are excess frm non-cancelable purchase commitment liabilites, resultng from supply agreements with third-party CMOs. The determinaton of excess frm purchase commitment liabilites requires judgment, including consideraton of many factors, such as estmates of future product demand, current and future market conditons, impact of our loss of exclusivity, expiraton and utlizaton of drug substance under frm purchase commitments, and contractual minimums. Any changes in the frm purchase commitment liability are recorded in cost of product and other revenue in the consolidated statements of operatons and comprehensive loss.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Product Revenue, Net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recognize revenue on product sales when the customer obtains control of our product, which occurs at a point in tme, typically upon delivery to the customer. We expense incremental costs of obtaining a contract as and when incurred if the expected amortzaton period of the asset that we would have recognized is one year or less.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most signifcant estmate we are required to make is related to government and private payor rebates, chargebacks, discounts and fees, collectvely rebates (collectvely considered variable consideraton). The values of the rebates provided to third-party payors vary signifcantly and are based on government-mandated discounts and our arrangements with other third-party payors. To estmate our total rebates, we estmate the percentage of prescriptons that will be covered by each third-party payor, which is referred to as the payor mix. Thus, revenue from product sales is recorded at the net sales price (transacton price), which includes estmates of variable consideraton, which are described below. We track available informaton regarding changes, if any, to the payor mix for our products, to our contractual terms with third-party payors and to applicable governmental programs and regulatons and levels of our products in the distributon channel. We adjust our estmated rebates based upon new informaton as it becomes available, including informaton regarding actual rebates for our products and forecasted customer buying and payment demands. Claims by third-party payors for rebates are submited to us signifcantly afer the related sales, potentally resultng in adjustments in the period in which the new informaton becomes known. Our adjustments to revenue related to prior period sales have not been signifcant.</w:t>
      </w:r>
    </w:p>
    <w:p>
      <w:pPr>
        <w:spacing w:after="0" w:line="112" w:lineRule="exact"/>
        <w:rPr>
          <w:sz w:val="20"/>
          <w:szCs w:val="20"/>
          <w:color w:val="auto"/>
        </w:rPr>
      </w:pPr>
    </w:p>
    <w:p>
      <w:pPr>
        <w:spacing w:after="0"/>
        <w:rPr>
          <w:sz w:val="20"/>
          <w:szCs w:val="20"/>
          <w:color w:val="auto"/>
        </w:rPr>
      </w:pPr>
      <w:r>
        <w:rPr>
          <w:rFonts w:ascii="Calibri" w:cs="Calibri" w:eastAsia="Calibri" w:hAnsi="Calibri"/>
          <w:sz w:val="18"/>
          <w:szCs w:val="18"/>
          <w:color w:val="auto"/>
        </w:rPr>
        <w:t>Further details on the variable consideraton components or reserves include:</w:t>
      </w:r>
    </w:p>
    <w:p>
      <w:pPr>
        <w:spacing w:after="0" w:line="109" w:lineRule="exact"/>
        <w:rPr>
          <w:sz w:val="20"/>
          <w:szCs w:val="20"/>
          <w:color w:val="auto"/>
        </w:rPr>
      </w:pPr>
    </w:p>
    <w:p>
      <w:pPr>
        <w:ind w:left="660" w:right="580" w:hanging="328"/>
        <w:spacing w:after="0" w:line="235" w:lineRule="auto"/>
        <w:tabs>
          <w:tab w:leader="none" w:pos="653" w:val="left"/>
        </w:tabs>
        <w:numPr>
          <w:ilvl w:val="0"/>
          <w:numId w:val="63"/>
        </w:numPr>
        <w:rPr>
          <w:rFonts w:ascii="Calibri" w:cs="Calibri" w:eastAsia="Calibri" w:hAnsi="Calibri"/>
          <w:sz w:val="18"/>
          <w:szCs w:val="18"/>
          <w:color w:val="auto"/>
        </w:rPr>
      </w:pPr>
      <w:r>
        <w:rPr>
          <w:rFonts w:ascii="Calibri" w:cs="Calibri" w:eastAsia="Calibri" w:hAnsi="Calibri"/>
          <w:sz w:val="18"/>
          <w:szCs w:val="18"/>
          <w:i w:val="1"/>
          <w:iCs w:val="1"/>
          <w:color w:val="auto"/>
        </w:rPr>
        <w:t>Trade Discounts and Allowances—</w:t>
      </w:r>
      <w:r>
        <w:rPr>
          <w:rFonts w:ascii="Calibri" w:cs="Calibri" w:eastAsia="Calibri" w:hAnsi="Calibri"/>
          <w:sz w:val="18"/>
          <w:szCs w:val="18"/>
          <w:color w:val="auto"/>
        </w:rPr>
        <w:t>Discounts that include incentve fees that are explicitly stated in our contracts. In additon, we compensate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(through trade discounts and allowances) our customers for sales order management, data and distributon services.</w:t>
      </w:r>
    </w:p>
    <w:p>
      <w:pPr>
        <w:spacing w:after="0" w:line="55" w:lineRule="exact"/>
        <w:rPr>
          <w:rFonts w:ascii="Calibri" w:cs="Calibri" w:eastAsia="Calibri" w:hAnsi="Calibri"/>
          <w:sz w:val="18"/>
          <w:szCs w:val="18"/>
          <w:color w:val="auto"/>
        </w:rPr>
      </w:pPr>
    </w:p>
    <w:p>
      <w:pPr>
        <w:jc w:val="both"/>
        <w:ind w:left="660" w:hanging="328"/>
        <w:spacing w:after="0" w:line="235" w:lineRule="auto"/>
        <w:tabs>
          <w:tab w:leader="none" w:pos="653" w:val="left"/>
        </w:tabs>
        <w:numPr>
          <w:ilvl w:val="0"/>
          <w:numId w:val="63"/>
        </w:numPr>
        <w:rPr>
          <w:rFonts w:ascii="Calibri" w:cs="Calibri" w:eastAsia="Calibri" w:hAnsi="Calibri"/>
          <w:sz w:val="18"/>
          <w:szCs w:val="18"/>
          <w:color w:val="auto"/>
        </w:rPr>
      </w:pPr>
      <w:r>
        <w:rPr>
          <w:rFonts w:ascii="Calibri" w:cs="Calibri" w:eastAsia="Calibri" w:hAnsi="Calibri"/>
          <w:sz w:val="18"/>
          <w:szCs w:val="18"/>
          <w:i w:val="1"/>
          <w:iCs w:val="1"/>
          <w:color w:val="auto"/>
        </w:rPr>
        <w:t>Product Returns—</w:t>
      </w:r>
      <w:r>
        <w:rPr>
          <w:rFonts w:ascii="Calibri" w:cs="Calibri" w:eastAsia="Calibri" w:hAnsi="Calibri"/>
          <w:sz w:val="18"/>
          <w:szCs w:val="18"/>
          <w:color w:val="auto"/>
        </w:rPr>
        <w:t>Consistent with industry practce, subject to certain caps for certain customers, we generally ofer customers a limited right of</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return which allows for the product to be returned when the product expiry is within an allowable window, when the quantty delivered is diferent than quantty ordered, the product is damaged in transit prior to receipt by the customer, or is subject to a recall. This right of return generally lapses once the product is provided to a patent. We estmate the amount of our product sales that may be returned for credit by our customers. Product return reserves are estmated primarily based on our gross sales multplied by an estmated return rate calculated using our historical actual rate of return for product sales as well as recent trends on lots stll subject to the return window. In additon, certain customers are subject to an annual cap on returns of 2% of gross sales in any given year.</w:t>
      </w:r>
    </w:p>
    <w:p>
      <w:pPr>
        <w:spacing w:after="0" w:line="59" w:lineRule="exact"/>
        <w:rPr>
          <w:rFonts w:ascii="Calibri" w:cs="Calibri" w:eastAsia="Calibri" w:hAnsi="Calibri"/>
          <w:sz w:val="18"/>
          <w:szCs w:val="18"/>
          <w:color w:val="auto"/>
        </w:rPr>
      </w:pPr>
    </w:p>
    <w:p>
      <w:pPr>
        <w:jc w:val="both"/>
        <w:ind w:left="660" w:hanging="328"/>
        <w:spacing w:after="0" w:line="235" w:lineRule="auto"/>
        <w:tabs>
          <w:tab w:leader="none" w:pos="653" w:val="left"/>
        </w:tabs>
        <w:numPr>
          <w:ilvl w:val="0"/>
          <w:numId w:val="63"/>
        </w:numPr>
        <w:rPr>
          <w:rFonts w:ascii="Calibri" w:cs="Calibri" w:eastAsia="Calibri" w:hAnsi="Calibri"/>
          <w:sz w:val="18"/>
          <w:szCs w:val="18"/>
          <w:color w:val="auto"/>
        </w:rPr>
      </w:pPr>
      <w:r>
        <w:rPr>
          <w:rFonts w:ascii="Calibri" w:cs="Calibri" w:eastAsia="Calibri" w:hAnsi="Calibri"/>
          <w:sz w:val="18"/>
          <w:szCs w:val="18"/>
          <w:i w:val="1"/>
          <w:iCs w:val="1"/>
          <w:color w:val="auto"/>
        </w:rPr>
        <w:t>Provider Chargebacks and Discounts—</w:t>
      </w:r>
      <w:r>
        <w:rPr>
          <w:rFonts w:ascii="Calibri" w:cs="Calibri" w:eastAsia="Calibri" w:hAnsi="Calibri"/>
          <w:sz w:val="18"/>
          <w:szCs w:val="18"/>
          <w:color w:val="auto"/>
        </w:rPr>
        <w:t>Chargebacks for fees and discounts to providers represent the estmated obligatons resultng from</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contractual commitments to sell products to qualifed healthcare providers at prices lower than the list prices charged to customers who directly purchase the product from us. Customers charge us for the diference between what they pay for the product and the ultmate selling price to the qualifed healthcare providers. Reserves for chargebacks consist of credits that we expect to issue for units that remain in the distributon channel at each reportng period end that we expect will be sold to qualifed healthcare providers and chargebacks that customers have claimed but for which we have not yet issued a credit.</w:t>
      </w:r>
    </w:p>
    <w:p>
      <w:pPr>
        <w:spacing w:after="0" w:line="59" w:lineRule="exact"/>
        <w:rPr>
          <w:rFonts w:ascii="Calibri" w:cs="Calibri" w:eastAsia="Calibri" w:hAnsi="Calibri"/>
          <w:sz w:val="18"/>
          <w:szCs w:val="18"/>
          <w:color w:val="auto"/>
        </w:rPr>
      </w:pPr>
    </w:p>
    <w:p>
      <w:pPr>
        <w:jc w:val="both"/>
        <w:ind w:left="660" w:hanging="328"/>
        <w:spacing w:after="0" w:line="235" w:lineRule="auto"/>
        <w:tabs>
          <w:tab w:leader="none" w:pos="653" w:val="left"/>
        </w:tabs>
        <w:numPr>
          <w:ilvl w:val="0"/>
          <w:numId w:val="63"/>
        </w:numPr>
        <w:rPr>
          <w:rFonts w:ascii="Calibri" w:cs="Calibri" w:eastAsia="Calibri" w:hAnsi="Calibri"/>
          <w:sz w:val="18"/>
          <w:szCs w:val="18"/>
          <w:color w:val="auto"/>
        </w:rPr>
      </w:pPr>
      <w:r>
        <w:rPr>
          <w:rFonts w:ascii="Calibri" w:cs="Calibri" w:eastAsia="Calibri" w:hAnsi="Calibri"/>
          <w:sz w:val="18"/>
          <w:szCs w:val="18"/>
          <w:i w:val="1"/>
          <w:iCs w:val="1"/>
          <w:color w:val="auto"/>
        </w:rPr>
        <w:t>Commercial and Medicare Part D Rebates—</w:t>
      </w:r>
      <w:r>
        <w:rPr>
          <w:rFonts w:ascii="Calibri" w:cs="Calibri" w:eastAsia="Calibri" w:hAnsi="Calibri"/>
          <w:sz w:val="18"/>
          <w:szCs w:val="18"/>
          <w:color w:val="auto"/>
        </w:rPr>
        <w:t>We contract with various commercial payor organizatons, primarily health insurance companies and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pharmacy beneft managers, for the payment of rebates with respect to utlizaton of our products. We estmate the rebates for commercial and Medicare Part D payors based upon (i) our contracts with the payors and (ii) informaton obtained from our customers and other third partes regarding the payor mix for Auryxia.</w:t>
      </w:r>
    </w:p>
    <w:p>
      <w:pPr>
        <w:spacing w:after="0" w:line="57" w:lineRule="exact"/>
        <w:rPr>
          <w:rFonts w:ascii="Calibri" w:cs="Calibri" w:eastAsia="Calibri" w:hAnsi="Calibri"/>
          <w:sz w:val="18"/>
          <w:szCs w:val="18"/>
          <w:color w:val="auto"/>
        </w:rPr>
      </w:pPr>
    </w:p>
    <w:p>
      <w:pPr>
        <w:jc w:val="both"/>
        <w:ind w:left="660" w:hanging="328"/>
        <w:spacing w:after="0" w:line="251" w:lineRule="auto"/>
        <w:tabs>
          <w:tab w:leader="none" w:pos="653" w:val="left"/>
        </w:tabs>
        <w:numPr>
          <w:ilvl w:val="0"/>
          <w:numId w:val="63"/>
        </w:numPr>
        <w:rPr>
          <w:rFonts w:ascii="Calibri" w:cs="Calibri" w:eastAsia="Calibri" w:hAnsi="Calibri"/>
          <w:sz w:val="17"/>
          <w:szCs w:val="17"/>
          <w:color w:val="auto"/>
        </w:rPr>
      </w:pPr>
      <w:r>
        <w:rPr>
          <w:rFonts w:ascii="Calibri" w:cs="Calibri" w:eastAsia="Calibri" w:hAnsi="Calibri"/>
          <w:sz w:val="17"/>
          <w:szCs w:val="17"/>
          <w:i w:val="1"/>
          <w:iCs w:val="1"/>
          <w:color w:val="auto"/>
        </w:rPr>
        <w:t>Other Government Rebates—</w:t>
      </w:r>
      <w:r>
        <w:rPr>
          <w:rFonts w:ascii="Calibri" w:cs="Calibri" w:eastAsia="Calibri" w:hAnsi="Calibri"/>
          <w:sz w:val="17"/>
          <w:szCs w:val="17"/>
          <w:color w:val="auto"/>
        </w:rPr>
        <w:t>We are subject to discount obligatons under state Medicaid programs and other government programs. We estmate</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Medicaid and other government programs rebates based upon a range of possible outcomes that are probability-weighted for the estmated payor mix. For Medicare, we also estmate the number of patents in the prescripton drug coverage gap for whom we will owe an additonal liability under the Medicare Part D program. Our liability for these rebates consists of invoices received for claims from prior quarters that have not been paid or for which an invoice has not yet been received, estmates of claims for the current quarter, and estmated future claims that will be made for product that has been recognized as revenue, but which remains in the distributon channel at the end of each reportng period.</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Akebia Therapeutcs, Inc. | Form 10-K | Page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3" w:name="page124"/>
    <w:bookmarkEnd w:id="12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660" w:hanging="328"/>
        <w:spacing w:after="0" w:line="235" w:lineRule="auto"/>
        <w:tabs>
          <w:tab w:leader="none" w:pos="653" w:val="left"/>
        </w:tabs>
        <w:numPr>
          <w:ilvl w:val="0"/>
          <w:numId w:val="64"/>
        </w:numPr>
        <w:rPr>
          <w:rFonts w:ascii="Calibri" w:cs="Calibri" w:eastAsia="Calibri" w:hAnsi="Calibri"/>
          <w:sz w:val="18"/>
          <w:szCs w:val="18"/>
          <w:color w:val="auto"/>
        </w:rPr>
      </w:pPr>
      <w:r>
        <w:rPr>
          <w:rFonts w:ascii="Calibri" w:cs="Calibri" w:eastAsia="Calibri" w:hAnsi="Calibri"/>
          <w:sz w:val="18"/>
          <w:szCs w:val="18"/>
          <w:i w:val="1"/>
          <w:iCs w:val="1"/>
          <w:color w:val="auto"/>
        </w:rPr>
        <w:t>Other Incentves—</w:t>
      </w:r>
      <w:r>
        <w:rPr>
          <w:rFonts w:ascii="Calibri" w:cs="Calibri" w:eastAsia="Calibri" w:hAnsi="Calibri"/>
          <w:sz w:val="18"/>
          <w:szCs w:val="18"/>
          <w:color w:val="auto"/>
        </w:rPr>
        <w:t>Other incentves that we ofer include voluntary patent assistance programs such as our co-pay assistance program, which are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intended to provide fnancial assistance to qualifed commercially insured patents with prescripton drug co-payments required by payors. The calculaton of the accrual for co-pay assistance is based on actual claims processed during a given period, as well as historical utlizaton data to estmate the amount we expect to receive associated with product that has been recognized as revenue, but remains in in the distributon channel at the end of each reportng period.</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Overall, these reserves refect our best estmates of the amount of consideraton to which we are enttled based on the terms of the respectve underlying</w:t>
      </w:r>
    </w:p>
    <w:p>
      <w:pPr>
        <w:spacing w:after="0" w:line="235" w:lineRule="auto"/>
        <w:rPr>
          <w:sz w:val="20"/>
          <w:szCs w:val="20"/>
          <w:color w:val="auto"/>
        </w:rPr>
      </w:pPr>
      <w:r>
        <w:rPr>
          <w:rFonts w:ascii="Calibri" w:cs="Calibri" w:eastAsia="Calibri" w:hAnsi="Calibri"/>
          <w:sz w:val="18"/>
          <w:szCs w:val="18"/>
          <w:color w:val="auto"/>
        </w:rPr>
        <w:t>contracts. Our calculaton of the reserves, include estmates and judgments that materially afect our recogniton of net product revenues. Changes in our</w:t>
      </w:r>
    </w:p>
    <w:p>
      <w:pPr>
        <w:spacing w:after="0" w:line="236" w:lineRule="auto"/>
        <w:rPr>
          <w:sz w:val="20"/>
          <w:szCs w:val="20"/>
          <w:color w:val="auto"/>
        </w:rPr>
      </w:pPr>
      <w:r>
        <w:rPr>
          <w:rFonts w:ascii="Calibri" w:cs="Calibri" w:eastAsia="Calibri" w:hAnsi="Calibri"/>
          <w:sz w:val="18"/>
          <w:szCs w:val="18"/>
          <w:color w:val="auto"/>
        </w:rPr>
        <w:t>estmates of net product revenues could have a material efect on net product revenues recorded in the period in which we determine that change occurs.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7A. Quanttatve and Qualitatve Disclosures about Market Risk</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We are a smaller reportng company as defned by Rule 12b-2 of the Exchange Act, and are not required to provide informaton under this item.</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Akebia Therapeutcs, Inc. | Form 10-K | Page 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4" w:name="page125"/>
    <w:bookmarkEnd w:id="12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8. Financial Statements and Supplementary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160" w:type="dxa"/>
            <w:vAlign w:val="bottom"/>
            <w:gridSpan w:val="7"/>
          </w:tcPr>
          <w:p>
            <w:pPr>
              <w:spacing w:after="0"/>
              <w:rPr>
                <w:sz w:val="20"/>
                <w:szCs w:val="20"/>
                <w:color w:val="auto"/>
              </w:rPr>
            </w:pPr>
            <w:r>
              <w:rPr>
                <w:rFonts w:ascii="Calibri" w:cs="Calibri" w:eastAsia="Calibri" w:hAnsi="Calibri"/>
                <w:sz w:val="16"/>
                <w:szCs w:val="16"/>
                <w:b w:val="1"/>
                <w:bCs w:val="1"/>
                <w:color w:val="auto"/>
              </w:rPr>
              <w:t>Index to Consolidated Financial Statements</w:t>
            </w:r>
          </w:p>
        </w:tc>
        <w:tc>
          <w:tcPr>
            <w:tcW w:w="1040" w:type="dxa"/>
            <w:vAlign w:val="bottom"/>
            <w:gridSpan w:val="3"/>
          </w:tcPr>
          <w:p>
            <w:pPr>
              <w:jc w:val="center"/>
              <w:spacing w:after="0"/>
              <w:rPr>
                <w:sz w:val="20"/>
                <w:szCs w:val="20"/>
                <w:color w:val="auto"/>
              </w:rPr>
            </w:pPr>
            <w:r>
              <w:rPr>
                <w:rFonts w:ascii="Calibri" w:cs="Calibri" w:eastAsia="Calibri" w:hAnsi="Calibri"/>
                <w:sz w:val="16"/>
                <w:szCs w:val="16"/>
                <w:b w:val="1"/>
                <w:bCs w:val="1"/>
                <w:color w:val="auto"/>
                <w:w w:val="99"/>
              </w:rPr>
              <w:t>Page</w:t>
            </w:r>
          </w:p>
        </w:tc>
      </w:tr>
      <w:tr>
        <w:trPr>
          <w:trHeight w:val="28"/>
        </w:trPr>
        <w:tc>
          <w:tcPr>
            <w:tcW w:w="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8160" w:type="dxa"/>
            <w:vAlign w:val="bottom"/>
            <w:gridSpan w:val="7"/>
          </w:tcPr>
          <w:p>
            <w:pPr>
              <w:spacing w:after="0"/>
              <w:rPr>
                <w:sz w:val="20"/>
                <w:szCs w:val="20"/>
                <w:color w:val="auto"/>
              </w:rPr>
            </w:pPr>
            <w:r>
              <w:rPr>
                <w:rFonts w:ascii="Calibri" w:cs="Calibri" w:eastAsia="Calibri" w:hAnsi="Calibri"/>
                <w:sz w:val="16"/>
                <w:szCs w:val="16"/>
                <w:color w:val="0000FF"/>
              </w:rPr>
              <w:t xml:space="preserve">Report of Independent Registered Public Accountng Firm </w:t>
            </w:r>
            <w:r>
              <w:rPr>
                <w:rFonts w:ascii="Calibri" w:cs="Calibri" w:eastAsia="Calibri" w:hAnsi="Calibri"/>
                <w:sz w:val="16"/>
                <w:szCs w:val="16"/>
                <w:color w:val="000000"/>
              </w:rPr>
              <w:t>(PCAOB ID: 42)</w:t>
            </w:r>
          </w:p>
        </w:tc>
        <w:tc>
          <w:tcPr>
            <w:tcW w:w="1040" w:type="dxa"/>
            <w:vAlign w:val="bottom"/>
            <w:gridSpan w:val="3"/>
          </w:tcPr>
          <w:p>
            <w:pPr>
              <w:jc w:val="center"/>
              <w:spacing w:after="0"/>
              <w:rPr>
                <w:sz w:val="20"/>
                <w:szCs w:val="20"/>
                <w:color w:val="auto"/>
              </w:rPr>
            </w:pPr>
            <w:r>
              <w:rPr>
                <w:rFonts w:ascii="Calibri" w:cs="Calibri" w:eastAsia="Calibri" w:hAnsi="Calibri"/>
                <w:sz w:val="16"/>
                <w:szCs w:val="16"/>
                <w:color w:val="0000FF"/>
                <w:w w:val="98"/>
              </w:rPr>
              <w:t>124</w:t>
            </w:r>
          </w:p>
        </w:tc>
      </w:tr>
      <w:tr>
        <w:trPr>
          <w:trHeight w:val="20"/>
        </w:trPr>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900" w:type="dxa"/>
            <w:vAlign w:val="bottom"/>
          </w:tcPr>
          <w:p>
            <w:pPr>
              <w:spacing w:after="0"/>
              <w:rPr>
                <w:sz w:val="20"/>
                <w:szCs w:val="20"/>
                <w:color w:val="auto"/>
              </w:rPr>
            </w:pPr>
            <w:r>
              <w:rPr>
                <w:rFonts w:ascii="Calibri" w:cs="Calibri" w:eastAsia="Calibri" w:hAnsi="Calibri"/>
                <w:sz w:val="16"/>
                <w:szCs w:val="16"/>
                <w:color w:val="0000FF"/>
              </w:rPr>
              <w:t>Consolidated Balance Sheets</w:t>
            </w:r>
          </w:p>
        </w:tc>
        <w:tc>
          <w:tcPr>
            <w:tcW w:w="1860" w:type="dxa"/>
            <w:vAlign w:val="bottom"/>
            <w:gridSpan w:val="3"/>
          </w:tcPr>
          <w:p>
            <w:pPr>
              <w:spacing w:after="0"/>
              <w:rPr>
                <w:sz w:val="21"/>
                <w:szCs w:val="21"/>
                <w:color w:val="auto"/>
              </w:rPr>
            </w:pPr>
          </w:p>
        </w:tc>
        <w:tc>
          <w:tcPr>
            <w:tcW w:w="4400" w:type="dxa"/>
            <w:vAlign w:val="bottom"/>
            <w:gridSpan w:val="3"/>
          </w:tcPr>
          <w:p>
            <w:pPr>
              <w:spacing w:after="0"/>
              <w:rPr>
                <w:sz w:val="21"/>
                <w:szCs w:val="21"/>
                <w:color w:val="auto"/>
              </w:rPr>
            </w:pPr>
          </w:p>
        </w:tc>
        <w:tc>
          <w:tcPr>
            <w:tcW w:w="1040" w:type="dxa"/>
            <w:vAlign w:val="bottom"/>
            <w:gridSpan w:val="3"/>
          </w:tcPr>
          <w:p>
            <w:pPr>
              <w:jc w:val="center"/>
              <w:spacing w:after="0"/>
              <w:rPr>
                <w:sz w:val="20"/>
                <w:szCs w:val="20"/>
                <w:color w:val="auto"/>
              </w:rPr>
            </w:pPr>
            <w:r>
              <w:rPr>
                <w:rFonts w:ascii="Calibri" w:cs="Calibri" w:eastAsia="Calibri" w:hAnsi="Calibri"/>
                <w:sz w:val="16"/>
                <w:szCs w:val="16"/>
                <w:color w:val="0000FF"/>
                <w:w w:val="98"/>
              </w:rPr>
              <w:t>126</w:t>
            </w:r>
          </w:p>
        </w:tc>
      </w:tr>
      <w:tr>
        <w:trPr>
          <w:trHeight w:val="20"/>
        </w:trPr>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60" w:type="dxa"/>
            <w:vAlign w:val="bottom"/>
            <w:gridSpan w:val="7"/>
          </w:tcPr>
          <w:p>
            <w:pPr>
              <w:spacing w:after="0"/>
              <w:rPr>
                <w:sz w:val="20"/>
                <w:szCs w:val="20"/>
                <w:color w:val="auto"/>
              </w:rPr>
            </w:pPr>
            <w:r>
              <w:rPr>
                <w:rFonts w:ascii="Calibri" w:cs="Calibri" w:eastAsia="Calibri" w:hAnsi="Calibri"/>
                <w:sz w:val="16"/>
                <w:szCs w:val="16"/>
                <w:color w:val="0000FF"/>
              </w:rPr>
              <w:t>Consolidated Statements of Operatons and Comprehensive Loss</w:t>
            </w:r>
          </w:p>
        </w:tc>
        <w:tc>
          <w:tcPr>
            <w:tcW w:w="1040" w:type="dxa"/>
            <w:vAlign w:val="bottom"/>
            <w:gridSpan w:val="3"/>
          </w:tcPr>
          <w:p>
            <w:pPr>
              <w:jc w:val="center"/>
              <w:spacing w:after="0"/>
              <w:rPr>
                <w:sz w:val="20"/>
                <w:szCs w:val="20"/>
                <w:color w:val="auto"/>
              </w:rPr>
            </w:pPr>
            <w:r>
              <w:rPr>
                <w:rFonts w:ascii="Calibri" w:cs="Calibri" w:eastAsia="Calibri" w:hAnsi="Calibri"/>
                <w:sz w:val="16"/>
                <w:szCs w:val="16"/>
                <w:color w:val="0000FF"/>
                <w:w w:val="98"/>
              </w:rPr>
              <w:t>127</w:t>
            </w:r>
          </w:p>
        </w:tc>
      </w:tr>
      <w:tr>
        <w:trPr>
          <w:trHeight w:val="20"/>
        </w:trPr>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760" w:type="dxa"/>
            <w:vAlign w:val="bottom"/>
            <w:gridSpan w:val="4"/>
          </w:tcPr>
          <w:p>
            <w:pPr>
              <w:spacing w:after="0"/>
              <w:rPr>
                <w:sz w:val="20"/>
                <w:szCs w:val="20"/>
                <w:color w:val="auto"/>
              </w:rPr>
            </w:pPr>
            <w:r>
              <w:rPr>
                <w:rFonts w:ascii="Calibri" w:cs="Calibri" w:eastAsia="Calibri" w:hAnsi="Calibri"/>
                <w:sz w:val="16"/>
                <w:szCs w:val="16"/>
                <w:color w:val="0000FF"/>
              </w:rPr>
              <w:t>Consolidated Statements of Stockholders’ (Defcit) Equity</w:t>
            </w:r>
          </w:p>
        </w:tc>
        <w:tc>
          <w:tcPr>
            <w:tcW w:w="480" w:type="dxa"/>
            <w:vAlign w:val="bottom"/>
          </w:tcPr>
          <w:p>
            <w:pPr>
              <w:spacing w:after="0"/>
              <w:rPr>
                <w:sz w:val="21"/>
                <w:szCs w:val="21"/>
                <w:color w:val="auto"/>
              </w:rPr>
            </w:pPr>
          </w:p>
        </w:tc>
        <w:tc>
          <w:tcPr>
            <w:tcW w:w="3920" w:type="dxa"/>
            <w:vAlign w:val="bottom"/>
            <w:gridSpan w:val="2"/>
          </w:tcPr>
          <w:p>
            <w:pPr>
              <w:spacing w:after="0"/>
              <w:rPr>
                <w:sz w:val="21"/>
                <w:szCs w:val="21"/>
                <w:color w:val="auto"/>
              </w:rPr>
            </w:pPr>
          </w:p>
        </w:tc>
        <w:tc>
          <w:tcPr>
            <w:tcW w:w="1040" w:type="dxa"/>
            <w:vAlign w:val="bottom"/>
            <w:gridSpan w:val="3"/>
          </w:tcPr>
          <w:p>
            <w:pPr>
              <w:jc w:val="center"/>
              <w:spacing w:after="0"/>
              <w:rPr>
                <w:sz w:val="20"/>
                <w:szCs w:val="20"/>
                <w:color w:val="auto"/>
              </w:rPr>
            </w:pPr>
            <w:r>
              <w:rPr>
                <w:rFonts w:ascii="Calibri" w:cs="Calibri" w:eastAsia="Calibri" w:hAnsi="Calibri"/>
                <w:sz w:val="16"/>
                <w:szCs w:val="16"/>
                <w:color w:val="0000FF"/>
                <w:w w:val="98"/>
              </w:rPr>
              <w:t>128</w:t>
            </w:r>
          </w:p>
        </w:tc>
      </w:tr>
      <w:tr>
        <w:trPr>
          <w:trHeight w:val="20"/>
        </w:trPr>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760" w:type="dxa"/>
            <w:vAlign w:val="bottom"/>
            <w:gridSpan w:val="4"/>
          </w:tcPr>
          <w:p>
            <w:pPr>
              <w:spacing w:after="0"/>
              <w:rPr>
                <w:sz w:val="20"/>
                <w:szCs w:val="20"/>
                <w:color w:val="auto"/>
              </w:rPr>
            </w:pPr>
            <w:r>
              <w:rPr>
                <w:rFonts w:ascii="Calibri" w:cs="Calibri" w:eastAsia="Calibri" w:hAnsi="Calibri"/>
                <w:sz w:val="16"/>
                <w:szCs w:val="16"/>
                <w:color w:val="0000FF"/>
              </w:rPr>
              <w:t>Consolidated Statements of Cash Flows</w:t>
            </w:r>
          </w:p>
        </w:tc>
        <w:tc>
          <w:tcPr>
            <w:tcW w:w="4400" w:type="dxa"/>
            <w:vAlign w:val="bottom"/>
            <w:gridSpan w:val="3"/>
          </w:tcPr>
          <w:p>
            <w:pPr>
              <w:spacing w:after="0"/>
              <w:rPr>
                <w:sz w:val="21"/>
                <w:szCs w:val="21"/>
                <w:color w:val="auto"/>
              </w:rPr>
            </w:pPr>
          </w:p>
        </w:tc>
        <w:tc>
          <w:tcPr>
            <w:tcW w:w="1040" w:type="dxa"/>
            <w:vAlign w:val="bottom"/>
            <w:gridSpan w:val="3"/>
          </w:tcPr>
          <w:p>
            <w:pPr>
              <w:jc w:val="center"/>
              <w:spacing w:after="0"/>
              <w:rPr>
                <w:sz w:val="20"/>
                <w:szCs w:val="20"/>
                <w:color w:val="auto"/>
              </w:rPr>
            </w:pPr>
            <w:r>
              <w:rPr>
                <w:rFonts w:ascii="Calibri" w:cs="Calibri" w:eastAsia="Calibri" w:hAnsi="Calibri"/>
                <w:sz w:val="16"/>
                <w:szCs w:val="16"/>
                <w:color w:val="0000FF"/>
                <w:w w:val="98"/>
              </w:rPr>
              <w:t>129</w:t>
            </w:r>
          </w:p>
        </w:tc>
      </w:tr>
      <w:tr>
        <w:trPr>
          <w:trHeight w:val="20"/>
        </w:trPr>
        <w:tc>
          <w:tcPr>
            <w:tcW w:w="20" w:type="dxa"/>
            <w:vAlign w:val="bottom"/>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60" w:type="dxa"/>
            <w:vAlign w:val="bottom"/>
            <w:gridSpan w:val="7"/>
          </w:tcPr>
          <w:p>
            <w:pPr>
              <w:spacing w:after="0"/>
              <w:rPr>
                <w:sz w:val="20"/>
                <w:szCs w:val="20"/>
                <w:color w:val="auto"/>
              </w:rPr>
            </w:pPr>
            <w:r>
              <w:rPr>
                <w:rFonts w:ascii="Calibri" w:cs="Calibri" w:eastAsia="Calibri" w:hAnsi="Calibri"/>
                <w:sz w:val="16"/>
                <w:szCs w:val="16"/>
                <w:color w:val="0000FF"/>
              </w:rPr>
              <w:t>Notes to Consolidated Financial Statements</w:t>
            </w:r>
          </w:p>
        </w:tc>
        <w:tc>
          <w:tcPr>
            <w:tcW w:w="1040" w:type="dxa"/>
            <w:vAlign w:val="bottom"/>
            <w:gridSpan w:val="3"/>
          </w:tcPr>
          <w:p>
            <w:pPr>
              <w:jc w:val="center"/>
              <w:spacing w:after="0"/>
              <w:rPr>
                <w:sz w:val="20"/>
                <w:szCs w:val="20"/>
                <w:color w:val="auto"/>
              </w:rPr>
            </w:pPr>
            <w:r>
              <w:rPr>
                <w:rFonts w:ascii="Calibri" w:cs="Calibri" w:eastAsia="Calibri" w:hAnsi="Calibri"/>
                <w:sz w:val="16"/>
                <w:szCs w:val="16"/>
                <w:color w:val="0000FF"/>
                <w:w w:val="98"/>
              </w:rPr>
              <w:t>130</w:t>
            </w:r>
          </w:p>
        </w:tc>
      </w:tr>
      <w:tr>
        <w:trPr>
          <w:trHeight w:val="20"/>
        </w:trPr>
        <w:tc>
          <w:tcPr>
            <w:tcW w:w="2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All fnancial statement schedules have been omited, since the required informaton is not applicable or is not present in amounts sufcient to require submission of the schedule, or because the informaton required is included in the consolidated fnancial statements and accompanying notes.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Akebia Therapeutcs, Inc. | Form 10-K | Page 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5" w:name="page126"/>
    <w:bookmarkEnd w:id="12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520" w:firstLine="3530"/>
        <w:spacing w:after="0" w:line="351" w:lineRule="auto"/>
        <w:rPr>
          <w:sz w:val="20"/>
          <w:szCs w:val="20"/>
          <w:color w:val="auto"/>
        </w:rPr>
      </w:pPr>
      <w:r>
        <w:rPr>
          <w:rFonts w:ascii="Calibri" w:cs="Calibri" w:eastAsia="Calibri" w:hAnsi="Calibri"/>
          <w:sz w:val="18"/>
          <w:szCs w:val="18"/>
          <w:b w:val="1"/>
          <w:bCs w:val="1"/>
          <w:color w:val="auto"/>
        </w:rPr>
        <w:t xml:space="preserve">Report of Independent Registered Public Accountng Firm </w:t>
      </w:r>
      <w:r>
        <w:rPr>
          <w:rFonts w:ascii="Calibri" w:cs="Calibri" w:eastAsia="Calibri" w:hAnsi="Calibri"/>
          <w:sz w:val="18"/>
          <w:szCs w:val="18"/>
          <w:color w:val="auto"/>
        </w:rPr>
        <w:t xml:space="preserve">To the Stockholders and the Board of Directors of Akebia Therapeutcs, Inc. </w:t>
      </w:r>
      <w:r>
        <w:rPr>
          <w:rFonts w:ascii="Calibri" w:cs="Calibri" w:eastAsia="Calibri" w:hAnsi="Calibri"/>
          <w:sz w:val="18"/>
          <w:szCs w:val="18"/>
          <w:b w:val="1"/>
          <w:bCs w:val="1"/>
          <w:color w:val="auto"/>
        </w:rPr>
        <w:t>Opinion on the Financial Statements</w:t>
      </w:r>
    </w:p>
    <w:p>
      <w:pPr>
        <w:spacing w:after="0" w:line="8"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We have audited the accompanying consolidated balance sheets of Akebia Therapeutcs, Inc. (the Company) as of December 31, 2024 and 2023, the related consolidated statements of operatons and comprehensive loss, stockholders’ (defcit) equity and cash fows for each of the two years in the period ended December 31, 2024, and the related notes (collectvely referred to as the “consolidated fnancial statements”). In our opinion, the consolidated fnancial statements present fairly, in all material respects, the fnancial positon of the Company at December 31, 2024 and 2023, and the results of its operatons and its cash fows for each of the two years in the period ended December 31, 2024, in conformity with U.S. generally accepted accountng principles.</w:t>
      </w:r>
    </w:p>
    <w:p>
      <w:pPr>
        <w:spacing w:after="0" w:line="103"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We also have audited, in accordance with the standards of the Public Company Accountng Oversight Board (United States) (PCAOB), the Company's internal control over fnancial reportng as of December 31, 2024, based on criteria established in Internal Control—Integrated Framework issued by the Commitee of Sponsoring Organizatons of the Treadway Commission (2013 framework) and our report dated March 13, 2025 expressed a qualifed opinion thereon.</w:t>
      </w:r>
    </w:p>
    <w:p>
      <w:pPr>
        <w:spacing w:after="0" w:line="9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Basis for Opinion</w:t>
      </w:r>
    </w:p>
    <w:p>
      <w:pPr>
        <w:spacing w:after="0" w:line="109"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These fnancial statements are the responsibility of the Company's management. Our responsibility is to express an opinion on the Company’s fnancial statements based on our audits. We are a public accountng frm registered with the PCAOB and are required to be independent with respect to the Company in accordance with the U.S. federal securites laws and the applicable rules and regulatons of the Securites and Exchange Commission and the PCAOB.</w:t>
      </w:r>
    </w:p>
    <w:p>
      <w:pPr>
        <w:spacing w:after="0" w:line="9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conducted our audits in accordance with the standards of the PCAOB. Those standards require that we plan and perform the audit to obtain reasonable assurance about whether the fnancial statements are free of material misstatement, whether due to error or fraud. Our audits included performing procedures to assess the risks of material misstatement of the fnancial statements, whether due to error or fraud, and performing procedures that respond to those risks. Such procedures included examining, on a test basis, evidence regarding the amounts and disclosures in the fnancial statements. Our audits also included evaluatng the accountng principles used and signifcant estmates made by management, as well as evaluatng the overall presentaton of the fnancial statements. We believe that our audits provide a reasonable basis for our opinion.</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Critcal Audit Mater</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critcal audit mater communicated below is a mater arising from the current period audit of the fnancial statements that was communicated or required to be communicated to the audit commitee and that: (1) relates to accounts or disclosures that are material to the fnancial statements and (2) involved our especially challenging, subjectve or complex judgments. The communicaton of the critcal audit mater does not alter in any way our opinion on the consolidated fnancial statements, taken as a whole, and we are not, by communicatng the critcal audit mater below, providing a separate opinion on the critcal audit mater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6" w:name="page127"/>
    <w:bookmarkEnd w:id="12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40"/>
        <w:spacing w:after="0"/>
        <w:rPr>
          <w:sz w:val="20"/>
          <w:szCs w:val="20"/>
          <w:color w:val="auto"/>
        </w:rPr>
      </w:pPr>
      <w:r>
        <w:rPr>
          <w:rFonts w:ascii="Calibri" w:cs="Calibri" w:eastAsia="Calibri" w:hAnsi="Calibri"/>
          <w:sz w:val="16"/>
          <w:szCs w:val="16"/>
          <w:b w:val="1"/>
          <w:bCs w:val="1"/>
          <w:i w:val="1"/>
          <w:iCs w:val="1"/>
          <w:color w:val="auto"/>
        </w:rPr>
        <w:t>Valuaton of Excess Firm Purchase Commitment Liability</w:t>
      </w:r>
    </w:p>
    <w:p>
      <w:pPr>
        <w:sectPr>
          <w:pgSz w:w="11900" w:h="16838" w:orient="portrait"/>
          <w:cols w:equalWidth="0" w:num="1">
            <w:col w:w="11040"/>
          </w:cols>
          <w:pgMar w:left="320" w:top="328" w:right="539" w:bottom="1440" w:gutter="0" w:footer="0" w:header="0"/>
        </w:sectPr>
      </w:pPr>
    </w:p>
    <w:p>
      <w:pPr>
        <w:spacing w:after="0" w:line="59" w:lineRule="exact"/>
        <w:rPr>
          <w:sz w:val="20"/>
          <w:szCs w:val="20"/>
          <w:color w:val="auto"/>
        </w:rPr>
      </w:pPr>
    </w:p>
    <w:p>
      <w:pPr>
        <w:ind w:left="20"/>
        <w:spacing w:after="0" w:line="227" w:lineRule="auto"/>
        <w:rPr>
          <w:sz w:val="20"/>
          <w:szCs w:val="20"/>
          <w:color w:val="auto"/>
        </w:rPr>
      </w:pPr>
      <w:r>
        <w:rPr>
          <w:rFonts w:ascii="Calibri" w:cs="Calibri" w:eastAsia="Calibri" w:hAnsi="Calibri"/>
          <w:sz w:val="18"/>
          <w:szCs w:val="18"/>
          <w:i w:val="1"/>
          <w:iCs w:val="1"/>
          <w:color w:val="auto"/>
        </w:rPr>
        <w:t>Descripton of the Mater</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both"/>
        <w:spacing w:after="0" w:line="211" w:lineRule="auto"/>
        <w:rPr>
          <w:sz w:val="20"/>
          <w:szCs w:val="20"/>
          <w:color w:val="auto"/>
        </w:rPr>
      </w:pPr>
      <w:r>
        <w:rPr>
          <w:rFonts w:ascii="Calibri" w:cs="Calibri" w:eastAsia="Calibri" w:hAnsi="Calibri"/>
          <w:sz w:val="20"/>
          <w:szCs w:val="20"/>
          <w:color w:val="333333"/>
        </w:rPr>
        <w:t>As of December 31, 2024, the Company’s liability for excess frm purchase commitments related to its commercial supply agreement with a third-party contract manufacturing organizatons was $3.6 million. As described in Note 2 and Note 10, the Company records a liability for its frm purchase commitment that exceeded the Company’s estmates of future demand and expiry of inventory. The Company re-evaluates its liability for excess frm purchase commitments each reportng period to assess whether any adjustments are necessary. The Company’s evaluatons of purchase commitments for Auryxia resulted in the Company recording charges to cost of product and other revenue sold of $2.1 million during the year ended December 31, 2024.</w:t>
      </w:r>
    </w:p>
    <w:p>
      <w:pPr>
        <w:spacing w:after="0" w:line="200" w:lineRule="exact"/>
        <w:rPr>
          <w:sz w:val="20"/>
          <w:szCs w:val="20"/>
          <w:color w:val="auto"/>
        </w:rPr>
      </w:pPr>
    </w:p>
    <w:p>
      <w:pPr>
        <w:sectPr>
          <w:pgSz w:w="11900" w:h="16838" w:orient="portrait"/>
          <w:cols w:equalWidth="0" w:num="2">
            <w:col w:w="1280" w:space="560"/>
            <w:col w:w="9200"/>
          </w:cols>
          <w:pgMar w:left="320" w:top="328" w:right="539" w:bottom="1440" w:gutter="0" w:footer="0" w:header="0"/>
          <w:type w:val="continuous"/>
        </w:sectPr>
      </w:pPr>
    </w:p>
    <w:p>
      <w:pPr>
        <w:spacing w:after="0" w:line="26" w:lineRule="exact"/>
        <w:rPr>
          <w:sz w:val="20"/>
          <w:szCs w:val="20"/>
          <w:color w:val="auto"/>
        </w:rPr>
      </w:pPr>
    </w:p>
    <w:p>
      <w:pPr>
        <w:jc w:val="both"/>
        <w:ind w:left="1840"/>
        <w:spacing w:after="0" w:line="223" w:lineRule="auto"/>
        <w:rPr>
          <w:sz w:val="20"/>
          <w:szCs w:val="20"/>
          <w:color w:val="auto"/>
        </w:rPr>
      </w:pPr>
      <w:r>
        <w:rPr>
          <w:rFonts w:ascii="Calibri" w:cs="Calibri" w:eastAsia="Calibri" w:hAnsi="Calibri"/>
          <w:sz w:val="20"/>
          <w:szCs w:val="20"/>
          <w:color w:val="333333"/>
        </w:rPr>
        <w:t>Auditng management's estmate for its excess frm purchase commitment liability is especially challenging because the estmate relies on subjectve management assumptons about the estmates of future product demand, which is afected by current and future market conditons and the impact of the Company’s loss of exclusivity that can have a material efect on the liability.</w:t>
      </w:r>
    </w:p>
    <w:p>
      <w:pPr>
        <w:sectPr>
          <w:pgSz w:w="11900" w:h="16838" w:orient="portrait"/>
          <w:cols w:equalWidth="0" w:num="1">
            <w:col w:w="11040"/>
          </w:cols>
          <w:pgMar w:left="320" w:top="328" w:right="539" w:bottom="1440" w:gutter="0" w:footer="0" w:header="0"/>
          <w:type w:val="continuous"/>
        </w:sectPr>
      </w:pPr>
    </w:p>
    <w:p>
      <w:pPr>
        <w:spacing w:after="0" w:line="200" w:lineRule="exact"/>
        <w:rPr>
          <w:sz w:val="20"/>
          <w:szCs w:val="20"/>
          <w:color w:val="auto"/>
        </w:rPr>
      </w:pPr>
    </w:p>
    <w:p>
      <w:pPr>
        <w:spacing w:after="0" w:line="353" w:lineRule="exact"/>
        <w:rPr>
          <w:sz w:val="20"/>
          <w:szCs w:val="20"/>
          <w:color w:val="auto"/>
        </w:rPr>
      </w:pPr>
    </w:p>
    <w:p>
      <w:pPr>
        <w:ind w:left="20"/>
        <w:spacing w:after="0" w:line="230" w:lineRule="auto"/>
        <w:rPr>
          <w:sz w:val="20"/>
          <w:szCs w:val="20"/>
          <w:color w:val="auto"/>
        </w:rPr>
      </w:pPr>
      <w:r>
        <w:rPr>
          <w:rFonts w:ascii="Calibri" w:cs="Calibri" w:eastAsia="Calibri" w:hAnsi="Calibri"/>
          <w:sz w:val="18"/>
          <w:szCs w:val="18"/>
          <w:i w:val="1"/>
          <w:iCs w:val="1"/>
          <w:color w:val="auto"/>
        </w:rPr>
        <w:t>How We Addressed the Mater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333333"/>
        </w:rPr>
        <w:t>To test the Company’s determinaton of its excess frm purchase commitment liability, our audit procedures included, among other procedures, testng the completeness and accuracy of the underlying data used in the evaluaton of the Company’s excess frm purchase commitment liability, including evaluatng the reasonableness of the Company’s estmates of future product demand. We compared the expectatons of demand to contractual arrangements with customers, industry trends, historical fnancial results, and evaluated the consistency of the forecast with those used by management for other purposes. We also performed sensitvity analyses over the signifcant assumptons used to measure the excess frm purchase commitment liability and evaluated any contrary evidence identfed when considering the reasonableness of the signifcant assumptons.</w:t>
      </w:r>
    </w:p>
    <w:p>
      <w:pPr>
        <w:spacing w:after="0" w:line="200" w:lineRule="exact"/>
        <w:rPr>
          <w:sz w:val="20"/>
          <w:szCs w:val="20"/>
          <w:color w:val="auto"/>
        </w:rPr>
      </w:pPr>
    </w:p>
    <w:p>
      <w:pPr>
        <w:sectPr>
          <w:pgSz w:w="11900" w:h="16838" w:orient="portrait"/>
          <w:cols w:equalWidth="0" w:num="2">
            <w:col w:w="1400" w:space="440"/>
            <w:col w:w="9200"/>
          </w:cols>
          <w:pgMar w:left="320" w:top="32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alibri" w:cs="Calibri" w:eastAsia="Calibri" w:hAnsi="Calibri"/>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We have served as the Company’s auditor since 2013.</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Boston, Massachusets</w:t>
      </w:r>
    </w:p>
    <w:p>
      <w:pPr>
        <w:spacing w:after="0" w:line="235" w:lineRule="auto"/>
        <w:rPr>
          <w:sz w:val="20"/>
          <w:szCs w:val="20"/>
          <w:color w:val="auto"/>
        </w:rPr>
      </w:pPr>
      <w:r>
        <w:rPr>
          <w:rFonts w:ascii="Calibri" w:cs="Calibri" w:eastAsia="Calibri" w:hAnsi="Calibri"/>
          <w:sz w:val="18"/>
          <w:szCs w:val="18"/>
          <w:color w:val="auto"/>
        </w:rPr>
        <w:t>March 13, 2025</w:t>
      </w:r>
    </w:p>
    <w:p>
      <w:pPr>
        <w:spacing w:after="0" w:line="200" w:lineRule="exact"/>
        <w:rPr>
          <w:sz w:val="20"/>
          <w:szCs w:val="20"/>
          <w:color w:val="auto"/>
        </w:rPr>
      </w:pPr>
    </w:p>
    <w:p>
      <w:pPr>
        <w:spacing w:after="0" w:line="247" w:lineRule="exact"/>
        <w:rPr>
          <w:sz w:val="20"/>
          <w:szCs w:val="20"/>
          <w:color w:val="auto"/>
        </w:rPr>
      </w:pPr>
    </w:p>
    <w:p>
      <w:pPr>
        <w:jc w:val="center"/>
        <w:ind w:right="-199"/>
        <w:spacing w:after="0"/>
        <w:rPr>
          <w:sz w:val="20"/>
          <w:szCs w:val="20"/>
          <w:color w:val="auto"/>
        </w:rPr>
      </w:pPr>
      <w:r>
        <w:rPr>
          <w:rFonts w:ascii="Calibri" w:cs="Calibri" w:eastAsia="Calibri" w:hAnsi="Calibri"/>
          <w:sz w:val="17"/>
          <w:szCs w:val="17"/>
          <w:color w:val="auto"/>
        </w:rPr>
        <w:t>Akebia Therapeutcs, Inc. | Form 10-K | Page 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28" w:right="539" w:bottom="1440" w:gutter="0" w:footer="0" w:header="0"/>
          <w:type w:val="continuous"/>
        </w:sectPr>
      </w:pPr>
    </w:p>
    <w:bookmarkStart w:id="127" w:name="page128"/>
    <w:bookmarkEnd w:id="12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AKEBIA THERAPEUTICS,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BALANCE SHEETS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tcPr>
          <w:p>
            <w:pPr>
              <w:jc w:val="right"/>
              <w:ind w:right="39"/>
              <w:spacing w:after="0"/>
              <w:rPr>
                <w:sz w:val="20"/>
                <w:szCs w:val="20"/>
                <w:color w:val="auto"/>
              </w:rPr>
            </w:pPr>
            <w:r>
              <w:rPr>
                <w:rFonts w:ascii="Calibri" w:cs="Calibri" w:eastAsia="Calibri" w:hAnsi="Calibri"/>
                <w:sz w:val="16"/>
                <w:szCs w:val="16"/>
                <w:b w:val="1"/>
                <w:bCs w:val="1"/>
                <w:color w:val="auto"/>
              </w:rPr>
              <w:t>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7820" w:type="dxa"/>
            <w:vAlign w:val="bottom"/>
            <w:gridSpan w:val="2"/>
            <w:vMerge w:val="restart"/>
          </w:tcPr>
          <w:p>
            <w:pPr>
              <w:ind w:left="20"/>
              <w:spacing w:after="0"/>
              <w:rPr>
                <w:sz w:val="20"/>
                <w:szCs w:val="20"/>
                <w:color w:val="auto"/>
              </w:rPr>
            </w:pPr>
            <w:r>
              <w:rPr>
                <w:rFonts w:ascii="Calibri" w:cs="Calibri" w:eastAsia="Calibri" w:hAnsi="Calibri"/>
                <w:sz w:val="16"/>
                <w:szCs w:val="16"/>
                <w:b w:val="1"/>
                <w:bCs w:val="1"/>
                <w:i w:val="1"/>
                <w:iCs w:val="1"/>
                <w:color w:val="auto"/>
              </w:rPr>
              <w:t>(dollars in thousands, except per share amounts)</w:t>
            </w: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8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599"/>
              <w:spacing w:after="0" w:line="187" w:lineRule="exact"/>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ind w:right="579"/>
              <w:spacing w:after="0" w:line="187" w:lineRule="exact"/>
              <w:rPr>
                <w:sz w:val="20"/>
                <w:szCs w:val="20"/>
                <w:color w:val="auto"/>
              </w:rPr>
            </w:pPr>
            <w:r>
              <w:rPr>
                <w:rFonts w:ascii="Calibri" w:cs="Calibri" w:eastAsia="Calibri" w:hAnsi="Calibri"/>
                <w:sz w:val="16"/>
                <w:szCs w:val="16"/>
                <w:b w:val="1"/>
                <w:bCs w:val="1"/>
                <w:color w:val="auto"/>
              </w:rPr>
              <w:t>2023</w:t>
            </w:r>
          </w:p>
        </w:tc>
        <w:tc>
          <w:tcPr>
            <w:tcW w:w="0" w:type="dxa"/>
            <w:vAlign w:val="bottom"/>
          </w:tcPr>
          <w:p>
            <w:pPr>
              <w:spacing w:after="0"/>
              <w:rPr>
                <w:sz w:val="1"/>
                <w:szCs w:val="1"/>
                <w:color w:val="auto"/>
              </w:rPr>
            </w:pPr>
          </w:p>
        </w:tc>
      </w:tr>
      <w:tr>
        <w:trPr>
          <w:trHeight w:val="23"/>
        </w:trPr>
        <w:tc>
          <w:tcPr>
            <w:tcW w:w="7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7700" w:type="dxa"/>
            <w:vAlign w:val="bottom"/>
          </w:tcPr>
          <w:p>
            <w:pPr>
              <w:ind w:left="20"/>
              <w:spacing w:after="0" w:line="187" w:lineRule="exact"/>
              <w:rPr>
                <w:sz w:val="20"/>
                <w:szCs w:val="20"/>
                <w:color w:val="auto"/>
              </w:rPr>
            </w:pPr>
            <w:r>
              <w:rPr>
                <w:rFonts w:ascii="Calibri" w:cs="Calibri" w:eastAsia="Calibri" w:hAnsi="Calibri"/>
                <w:sz w:val="16"/>
                <w:szCs w:val="16"/>
                <w:b w:val="1"/>
                <w:bCs w:val="1"/>
                <w:color w:val="auto"/>
              </w:rPr>
              <w:t>Assets</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2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Current assets:</w:t>
            </w:r>
          </w:p>
        </w:tc>
        <w:tc>
          <w:tcPr>
            <w:tcW w:w="380" w:type="dxa"/>
            <w:vAlign w:val="bottom"/>
            <w:tcBorders>
              <w:bottom w:val="single" w:sz="8" w:color="DBDBDB"/>
            </w:tcBorders>
            <w:shd w:val="clear" w:color="auto" w:fill="DBDBDB"/>
          </w:tcPr>
          <w:p>
            <w:pPr>
              <w:spacing w:after="0"/>
              <w:rPr>
                <w:sz w:val="17"/>
                <w:szCs w:val="17"/>
                <w:color w:val="auto"/>
              </w:rPr>
            </w:pPr>
          </w:p>
        </w:tc>
        <w:tc>
          <w:tcPr>
            <w:tcW w:w="128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54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820" w:type="dxa"/>
            <w:vAlign w:val="bottom"/>
            <w:gridSpan w:val="2"/>
          </w:tcPr>
          <w:p>
            <w:pPr>
              <w:ind w:left="260"/>
              <w:spacing w:after="0" w:line="193" w:lineRule="exact"/>
              <w:rPr>
                <w:sz w:val="20"/>
                <w:szCs w:val="20"/>
                <w:color w:val="auto"/>
              </w:rPr>
            </w:pPr>
            <w:r>
              <w:rPr>
                <w:rFonts w:ascii="Calibri" w:cs="Calibri" w:eastAsia="Calibri" w:hAnsi="Calibri"/>
                <w:sz w:val="16"/>
                <w:szCs w:val="16"/>
                <w:color w:val="auto"/>
              </w:rPr>
              <w:t>Cash and cash equivalents</w:t>
            </w:r>
          </w:p>
        </w:tc>
        <w:tc>
          <w:tcPr>
            <w:tcW w:w="380" w:type="dxa"/>
            <w:vAlign w:val="bottom"/>
          </w:tcPr>
          <w:p>
            <w:pPr>
              <w:jc w:val="right"/>
              <w:ind w:right="199"/>
              <w:spacing w:after="0" w:line="193" w:lineRule="exact"/>
              <w:rPr>
                <w:sz w:val="20"/>
                <w:szCs w:val="20"/>
                <w:color w:val="auto"/>
              </w:rPr>
            </w:pPr>
            <w:r>
              <w:rPr>
                <w:rFonts w:ascii="Calibri" w:cs="Calibri" w:eastAsia="Calibri" w:hAnsi="Calibri"/>
                <w:sz w:val="16"/>
                <w:szCs w:val="16"/>
                <w:color w:val="auto"/>
                <w:w w:val="97"/>
              </w:rPr>
              <w:t>$</w:t>
            </w: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51,870</w:t>
            </w:r>
          </w:p>
        </w:tc>
        <w:tc>
          <w:tcPr>
            <w:tcW w:w="100" w:type="dxa"/>
            <w:vAlign w:val="bottom"/>
          </w:tcPr>
          <w:p>
            <w:pPr>
              <w:spacing w:after="0"/>
              <w:rPr>
                <w:sz w:val="16"/>
                <w:szCs w:val="16"/>
                <w:color w:val="auto"/>
              </w:rPr>
            </w:pPr>
          </w:p>
        </w:tc>
        <w:tc>
          <w:tcPr>
            <w:tcW w:w="540" w:type="dxa"/>
            <w:vAlign w:val="bottom"/>
          </w:tcPr>
          <w:p>
            <w:pPr>
              <w:jc w:val="right"/>
              <w:ind w:right="359"/>
              <w:spacing w:after="0" w:line="193" w:lineRule="exact"/>
              <w:rPr>
                <w:sz w:val="20"/>
                <w:szCs w:val="20"/>
                <w:color w:val="auto"/>
              </w:rPr>
            </w:pPr>
            <w:r>
              <w:rPr>
                <w:rFonts w:ascii="Calibri" w:cs="Calibri" w:eastAsia="Calibri" w:hAnsi="Calibri"/>
                <w:sz w:val="16"/>
                <w:szCs w:val="16"/>
                <w:color w:val="auto"/>
                <w:w w:val="97"/>
              </w:rPr>
              <w:t>$</w:t>
            </w: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42,925</w:t>
            </w:r>
          </w:p>
        </w:tc>
        <w:tc>
          <w:tcPr>
            <w:tcW w:w="0" w:type="dxa"/>
            <w:vAlign w:val="bottom"/>
          </w:tcPr>
          <w:p>
            <w:pPr>
              <w:spacing w:after="0"/>
              <w:rPr>
                <w:sz w:val="1"/>
                <w:szCs w:val="1"/>
                <w:color w:val="auto"/>
              </w:rPr>
            </w:pPr>
          </w:p>
        </w:tc>
      </w:tr>
      <w:tr>
        <w:trPr>
          <w:trHeight w:val="23"/>
        </w:trPr>
        <w:tc>
          <w:tcPr>
            <w:tcW w:w="7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20" w:type="dxa"/>
            <w:vAlign w:val="bottom"/>
            <w:tcBorders>
              <w:bottom w:val="single" w:sz="8" w:color="DBDBDB"/>
            </w:tcBorders>
            <w:gridSpan w:val="2"/>
            <w:shd w:val="clear" w:color="auto" w:fill="DBDBDB"/>
          </w:tcPr>
          <w:p>
            <w:pPr>
              <w:ind w:left="260"/>
              <w:spacing w:after="0" w:line="193" w:lineRule="exact"/>
              <w:rPr>
                <w:sz w:val="20"/>
                <w:szCs w:val="20"/>
                <w:color w:val="auto"/>
              </w:rPr>
            </w:pPr>
            <w:r>
              <w:rPr>
                <w:rFonts w:ascii="Calibri" w:cs="Calibri" w:eastAsia="Calibri" w:hAnsi="Calibri"/>
                <w:sz w:val="16"/>
                <w:szCs w:val="16"/>
                <w:color w:val="auto"/>
              </w:rPr>
              <w:t>Inventories</w:t>
            </w:r>
          </w:p>
        </w:tc>
        <w:tc>
          <w:tcPr>
            <w:tcW w:w="380" w:type="dxa"/>
            <w:vAlign w:val="bottom"/>
            <w:tcBorders>
              <w:bottom w:val="single" w:sz="8" w:color="DBDBDB"/>
            </w:tcBorders>
            <w:shd w:val="clear" w:color="auto" w:fill="DBDBDB"/>
          </w:tcPr>
          <w:p>
            <w:pPr>
              <w:spacing w:after="0"/>
              <w:rPr>
                <w:sz w:val="17"/>
                <w:szCs w:val="17"/>
                <w:color w:val="auto"/>
              </w:rPr>
            </w:pPr>
          </w:p>
        </w:tc>
        <w:tc>
          <w:tcPr>
            <w:tcW w:w="128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16,243</w:t>
            </w:r>
          </w:p>
        </w:tc>
        <w:tc>
          <w:tcPr>
            <w:tcW w:w="100" w:type="dxa"/>
            <w:vAlign w:val="bottom"/>
            <w:tcBorders>
              <w:bottom w:val="single" w:sz="8" w:color="DBDBDB"/>
            </w:tcBorders>
            <w:shd w:val="clear" w:color="auto" w:fill="DBDBDB"/>
          </w:tcPr>
          <w:p>
            <w:pPr>
              <w:spacing w:after="0"/>
              <w:rPr>
                <w:sz w:val="17"/>
                <w:szCs w:val="17"/>
                <w:color w:val="auto"/>
              </w:rPr>
            </w:pPr>
          </w:p>
        </w:tc>
        <w:tc>
          <w:tcPr>
            <w:tcW w:w="54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15,691</w:t>
            </w:r>
          </w:p>
        </w:tc>
        <w:tc>
          <w:tcPr>
            <w:tcW w:w="0" w:type="dxa"/>
            <w:vAlign w:val="bottom"/>
          </w:tcPr>
          <w:p>
            <w:pPr>
              <w:spacing w:after="0"/>
              <w:rPr>
                <w:sz w:val="1"/>
                <w:szCs w:val="1"/>
                <w:color w:val="auto"/>
              </w:rPr>
            </w:pPr>
          </w:p>
        </w:tc>
      </w:tr>
      <w:tr>
        <w:trPr>
          <w:trHeight w:val="193"/>
        </w:trPr>
        <w:tc>
          <w:tcPr>
            <w:tcW w:w="7820" w:type="dxa"/>
            <w:vAlign w:val="bottom"/>
            <w:gridSpan w:val="2"/>
          </w:tcPr>
          <w:p>
            <w:pPr>
              <w:ind w:left="260"/>
              <w:spacing w:after="0" w:line="193" w:lineRule="exact"/>
              <w:rPr>
                <w:sz w:val="20"/>
                <w:szCs w:val="20"/>
                <w:color w:val="auto"/>
              </w:rPr>
            </w:pPr>
            <w:r>
              <w:rPr>
                <w:rFonts w:ascii="Calibri" w:cs="Calibri" w:eastAsia="Calibri" w:hAnsi="Calibri"/>
                <w:sz w:val="16"/>
                <w:szCs w:val="16"/>
                <w:color w:val="auto"/>
              </w:rPr>
              <w:t>Accounts receivable, net</w:t>
            </w:r>
          </w:p>
        </w:tc>
        <w:tc>
          <w:tcPr>
            <w:tcW w:w="38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34,368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39,290</w:t>
            </w:r>
          </w:p>
        </w:tc>
        <w:tc>
          <w:tcPr>
            <w:tcW w:w="0" w:type="dxa"/>
            <w:vAlign w:val="bottom"/>
          </w:tcPr>
          <w:p>
            <w:pPr>
              <w:spacing w:after="0"/>
              <w:rPr>
                <w:sz w:val="1"/>
                <w:szCs w:val="1"/>
                <w:color w:val="auto"/>
              </w:rPr>
            </w:pPr>
          </w:p>
        </w:tc>
      </w:tr>
      <w:tr>
        <w:trPr>
          <w:trHeight w:val="23"/>
        </w:trPr>
        <w:tc>
          <w:tcPr>
            <w:tcW w:w="7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820" w:type="dxa"/>
            <w:vAlign w:val="bottom"/>
            <w:tcBorders>
              <w:bottom w:val="single" w:sz="8" w:color="DBDBDB"/>
            </w:tcBorders>
            <w:gridSpan w:val="2"/>
            <w:shd w:val="clear" w:color="auto" w:fill="DBDBDB"/>
          </w:tcPr>
          <w:p>
            <w:pPr>
              <w:ind w:left="260"/>
              <w:spacing w:after="0" w:line="193" w:lineRule="exact"/>
              <w:rPr>
                <w:sz w:val="20"/>
                <w:szCs w:val="20"/>
                <w:color w:val="auto"/>
              </w:rPr>
            </w:pPr>
            <w:r>
              <w:rPr>
                <w:rFonts w:ascii="Calibri" w:cs="Calibri" w:eastAsia="Calibri" w:hAnsi="Calibri"/>
                <w:sz w:val="16"/>
                <w:szCs w:val="16"/>
                <w:color w:val="auto"/>
              </w:rPr>
              <w:t>Prepaid expenses and other current assets</w:t>
            </w:r>
          </w:p>
        </w:tc>
        <w:tc>
          <w:tcPr>
            <w:tcW w:w="38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11,350</w:t>
            </w:r>
          </w:p>
        </w:tc>
        <w:tc>
          <w:tcPr>
            <w:tcW w:w="100" w:type="dxa"/>
            <w:vAlign w:val="bottom"/>
            <w:tcBorders>
              <w:bottom w:val="single" w:sz="8" w:color="DBDBDB"/>
            </w:tcBorders>
            <w:shd w:val="clear" w:color="auto" w:fill="DBDBDB"/>
          </w:tcPr>
          <w:p>
            <w:pPr>
              <w:spacing w:after="0"/>
              <w:rPr>
                <w:sz w:val="18"/>
                <w:szCs w:val="18"/>
                <w:color w:val="auto"/>
              </w:rPr>
            </w:pPr>
          </w:p>
        </w:tc>
        <w:tc>
          <w:tcPr>
            <w:tcW w:w="54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20,243</w:t>
            </w:r>
          </w:p>
        </w:tc>
        <w:tc>
          <w:tcPr>
            <w:tcW w:w="0" w:type="dxa"/>
            <w:vAlign w:val="bottom"/>
          </w:tcPr>
          <w:p>
            <w:pPr>
              <w:spacing w:after="0"/>
              <w:rPr>
                <w:sz w:val="1"/>
                <w:szCs w:val="1"/>
                <w:color w:val="auto"/>
              </w:rPr>
            </w:pPr>
          </w:p>
        </w:tc>
      </w:tr>
      <w:tr>
        <w:trPr>
          <w:trHeight w:val="187"/>
        </w:trPr>
        <w:tc>
          <w:tcPr>
            <w:tcW w:w="7820" w:type="dxa"/>
            <w:vAlign w:val="bottom"/>
            <w:gridSpan w:val="2"/>
          </w:tcPr>
          <w:p>
            <w:pPr>
              <w:ind w:left="20"/>
              <w:spacing w:after="0" w:line="174" w:lineRule="exact"/>
              <w:rPr>
                <w:sz w:val="20"/>
                <w:szCs w:val="20"/>
                <w:color w:val="auto"/>
              </w:rPr>
            </w:pPr>
            <w:r>
              <w:rPr>
                <w:rFonts w:ascii="Calibri" w:cs="Calibri" w:eastAsia="Calibri" w:hAnsi="Calibri"/>
                <w:sz w:val="16"/>
                <w:szCs w:val="16"/>
                <w:b w:val="1"/>
                <w:bCs w:val="1"/>
                <w:color w:val="auto"/>
              </w:rPr>
              <w:t>Total current assets</w:t>
            </w:r>
          </w:p>
        </w:tc>
        <w:tc>
          <w:tcPr>
            <w:tcW w:w="3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113,831</w:t>
            </w:r>
          </w:p>
        </w:tc>
        <w:tc>
          <w:tcPr>
            <w:tcW w:w="1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118,149</w:t>
            </w:r>
          </w:p>
        </w:tc>
        <w:tc>
          <w:tcPr>
            <w:tcW w:w="0" w:type="dxa"/>
            <w:vAlign w:val="bottom"/>
          </w:tcPr>
          <w:p>
            <w:pPr>
              <w:spacing w:after="0"/>
              <w:rPr>
                <w:sz w:val="1"/>
                <w:szCs w:val="1"/>
                <w:color w:val="auto"/>
              </w:rPr>
            </w:pPr>
          </w:p>
        </w:tc>
      </w:tr>
      <w:tr>
        <w:trPr>
          <w:trHeight w:val="23"/>
        </w:trPr>
        <w:tc>
          <w:tcPr>
            <w:tcW w:w="7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2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Property and equipment, net</w:t>
            </w:r>
          </w:p>
        </w:tc>
        <w:tc>
          <w:tcPr>
            <w:tcW w:w="380" w:type="dxa"/>
            <w:vAlign w:val="bottom"/>
            <w:tcBorders>
              <w:bottom w:val="single" w:sz="8" w:color="DBDBDB"/>
            </w:tcBorders>
            <w:shd w:val="clear" w:color="auto" w:fill="DBDBDB"/>
          </w:tcPr>
          <w:p>
            <w:pPr>
              <w:spacing w:after="0"/>
              <w:rPr>
                <w:sz w:val="17"/>
                <w:szCs w:val="17"/>
                <w:color w:val="auto"/>
              </w:rPr>
            </w:pPr>
          </w:p>
        </w:tc>
        <w:tc>
          <w:tcPr>
            <w:tcW w:w="128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2,200</w:t>
            </w:r>
          </w:p>
        </w:tc>
        <w:tc>
          <w:tcPr>
            <w:tcW w:w="100" w:type="dxa"/>
            <w:vAlign w:val="bottom"/>
            <w:tcBorders>
              <w:bottom w:val="single" w:sz="8" w:color="DBDBDB"/>
            </w:tcBorders>
            <w:shd w:val="clear" w:color="auto" w:fill="DBDBDB"/>
          </w:tcPr>
          <w:p>
            <w:pPr>
              <w:spacing w:after="0"/>
              <w:rPr>
                <w:sz w:val="17"/>
                <w:szCs w:val="17"/>
                <w:color w:val="auto"/>
              </w:rPr>
            </w:pPr>
          </w:p>
        </w:tc>
        <w:tc>
          <w:tcPr>
            <w:tcW w:w="54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3,629</w:t>
            </w:r>
          </w:p>
        </w:tc>
        <w:tc>
          <w:tcPr>
            <w:tcW w:w="0" w:type="dxa"/>
            <w:vAlign w:val="bottom"/>
          </w:tcPr>
          <w:p>
            <w:pPr>
              <w:spacing w:after="0"/>
              <w:rPr>
                <w:sz w:val="1"/>
                <w:szCs w:val="1"/>
                <w:color w:val="auto"/>
              </w:rPr>
            </w:pPr>
          </w:p>
        </w:tc>
      </w:tr>
      <w:tr>
        <w:trPr>
          <w:trHeight w:val="193"/>
        </w:trPr>
        <w:tc>
          <w:tcPr>
            <w:tcW w:w="782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Operatng right-of-use assets</w:t>
            </w:r>
          </w:p>
        </w:tc>
        <w:tc>
          <w:tcPr>
            <w:tcW w:w="38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8,218</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12,416</w:t>
            </w:r>
          </w:p>
        </w:tc>
        <w:tc>
          <w:tcPr>
            <w:tcW w:w="0" w:type="dxa"/>
            <w:vAlign w:val="bottom"/>
          </w:tcPr>
          <w:p>
            <w:pPr>
              <w:spacing w:after="0"/>
              <w:rPr>
                <w:sz w:val="1"/>
                <w:szCs w:val="1"/>
                <w:color w:val="auto"/>
              </w:rPr>
            </w:pPr>
          </w:p>
        </w:tc>
      </w:tr>
      <w:tr>
        <w:trPr>
          <w:trHeight w:val="23"/>
        </w:trPr>
        <w:tc>
          <w:tcPr>
            <w:tcW w:w="7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2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Intangible asset, net</w:t>
            </w:r>
          </w:p>
        </w:tc>
        <w:tc>
          <w:tcPr>
            <w:tcW w:w="380" w:type="dxa"/>
            <w:vAlign w:val="bottom"/>
            <w:tcBorders>
              <w:bottom w:val="single" w:sz="8" w:color="DBDBDB"/>
            </w:tcBorders>
            <w:shd w:val="clear" w:color="auto" w:fill="DBDBDB"/>
          </w:tcPr>
          <w:p>
            <w:pPr>
              <w:spacing w:after="0"/>
              <w:rPr>
                <w:sz w:val="17"/>
                <w:szCs w:val="17"/>
                <w:color w:val="auto"/>
              </w:rPr>
            </w:pPr>
          </w:p>
        </w:tc>
        <w:tc>
          <w:tcPr>
            <w:tcW w:w="1380" w:type="dxa"/>
            <w:vAlign w:val="bottom"/>
            <w:tcBorders>
              <w:bottom w:val="single" w:sz="8" w:color="DBDBDB"/>
            </w:tcBorders>
            <w:gridSpan w:val="2"/>
            <w:shd w:val="clear" w:color="auto" w:fill="DBDBDB"/>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54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36,042</w:t>
            </w:r>
          </w:p>
        </w:tc>
        <w:tc>
          <w:tcPr>
            <w:tcW w:w="0" w:type="dxa"/>
            <w:vAlign w:val="bottom"/>
          </w:tcPr>
          <w:p>
            <w:pPr>
              <w:spacing w:after="0"/>
              <w:rPr>
                <w:sz w:val="1"/>
                <w:szCs w:val="1"/>
                <w:color w:val="auto"/>
              </w:rPr>
            </w:pPr>
          </w:p>
        </w:tc>
      </w:tr>
      <w:tr>
        <w:trPr>
          <w:trHeight w:val="193"/>
        </w:trPr>
        <w:tc>
          <w:tcPr>
            <w:tcW w:w="782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Goodwill</w:t>
            </w:r>
          </w:p>
        </w:tc>
        <w:tc>
          <w:tcPr>
            <w:tcW w:w="38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59,044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59,044</w:t>
            </w:r>
          </w:p>
        </w:tc>
        <w:tc>
          <w:tcPr>
            <w:tcW w:w="0" w:type="dxa"/>
            <w:vAlign w:val="bottom"/>
          </w:tcPr>
          <w:p>
            <w:pPr>
              <w:spacing w:after="0"/>
              <w:rPr>
                <w:sz w:val="1"/>
                <w:szCs w:val="1"/>
                <w:color w:val="auto"/>
              </w:rPr>
            </w:pPr>
          </w:p>
        </w:tc>
      </w:tr>
      <w:tr>
        <w:trPr>
          <w:trHeight w:val="23"/>
        </w:trPr>
        <w:tc>
          <w:tcPr>
            <w:tcW w:w="7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82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Other long-term assets</w:t>
            </w:r>
          </w:p>
        </w:tc>
        <w:tc>
          <w:tcPr>
            <w:tcW w:w="38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37,377</w:t>
            </w:r>
          </w:p>
        </w:tc>
        <w:tc>
          <w:tcPr>
            <w:tcW w:w="100" w:type="dxa"/>
            <w:vAlign w:val="bottom"/>
            <w:tcBorders>
              <w:bottom w:val="single" w:sz="8" w:color="DBDBDB"/>
            </w:tcBorders>
            <w:shd w:val="clear" w:color="auto" w:fill="DBDBDB"/>
          </w:tcPr>
          <w:p>
            <w:pPr>
              <w:spacing w:after="0"/>
              <w:rPr>
                <w:sz w:val="18"/>
                <w:szCs w:val="18"/>
                <w:color w:val="auto"/>
              </w:rPr>
            </w:pPr>
          </w:p>
        </w:tc>
        <w:tc>
          <w:tcPr>
            <w:tcW w:w="54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12,423</w:t>
            </w:r>
          </w:p>
        </w:tc>
        <w:tc>
          <w:tcPr>
            <w:tcW w:w="0" w:type="dxa"/>
            <w:vAlign w:val="bottom"/>
          </w:tcPr>
          <w:p>
            <w:pPr>
              <w:spacing w:after="0"/>
              <w:rPr>
                <w:sz w:val="1"/>
                <w:szCs w:val="1"/>
                <w:color w:val="auto"/>
              </w:rPr>
            </w:pPr>
          </w:p>
        </w:tc>
      </w:tr>
      <w:tr>
        <w:trPr>
          <w:trHeight w:val="187"/>
        </w:trPr>
        <w:tc>
          <w:tcPr>
            <w:tcW w:w="7820" w:type="dxa"/>
            <w:vAlign w:val="bottom"/>
            <w:gridSpan w:val="2"/>
          </w:tcPr>
          <w:p>
            <w:pPr>
              <w:ind w:left="20"/>
              <w:spacing w:after="0" w:line="174" w:lineRule="exact"/>
              <w:rPr>
                <w:sz w:val="20"/>
                <w:szCs w:val="20"/>
                <w:color w:val="auto"/>
              </w:rPr>
            </w:pPr>
            <w:r>
              <w:rPr>
                <w:rFonts w:ascii="Calibri" w:cs="Calibri" w:eastAsia="Calibri" w:hAnsi="Calibri"/>
                <w:sz w:val="16"/>
                <w:szCs w:val="16"/>
                <w:b w:val="1"/>
                <w:bCs w:val="1"/>
                <w:color w:val="auto"/>
              </w:rPr>
              <w:t>Total assets</w:t>
            </w:r>
          </w:p>
        </w:tc>
        <w:tc>
          <w:tcPr>
            <w:tcW w:w="380" w:type="dxa"/>
            <w:vAlign w:val="bottom"/>
            <w:tcBorders>
              <w:top w:val="single" w:sz="8" w:color="auto"/>
            </w:tcBorders>
          </w:tcPr>
          <w:p>
            <w:pPr>
              <w:jc w:val="right"/>
              <w:ind w:right="199"/>
              <w:spacing w:after="0" w:line="187" w:lineRule="exact"/>
              <w:rPr>
                <w:sz w:val="20"/>
                <w:szCs w:val="20"/>
                <w:color w:val="auto"/>
              </w:rPr>
            </w:pPr>
            <w:r>
              <w:rPr>
                <w:rFonts w:ascii="Calibri" w:cs="Calibri" w:eastAsia="Calibri" w:hAnsi="Calibri"/>
                <w:sz w:val="16"/>
                <w:szCs w:val="16"/>
                <w:color w:val="auto"/>
                <w:w w:val="97"/>
              </w:rPr>
              <w:t>$</w:t>
            </w:r>
          </w:p>
        </w:tc>
        <w:tc>
          <w:tcPr>
            <w:tcW w:w="12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220,670</w:t>
            </w:r>
          </w:p>
        </w:tc>
        <w:tc>
          <w:tcPr>
            <w:tcW w:w="100" w:type="dxa"/>
            <w:vAlign w:val="bottom"/>
          </w:tcPr>
          <w:p>
            <w:pPr>
              <w:spacing w:after="0"/>
              <w:rPr>
                <w:sz w:val="16"/>
                <w:szCs w:val="16"/>
                <w:color w:val="auto"/>
              </w:rPr>
            </w:pPr>
          </w:p>
        </w:tc>
        <w:tc>
          <w:tcPr>
            <w:tcW w:w="540" w:type="dxa"/>
            <w:vAlign w:val="bottom"/>
            <w:tcBorders>
              <w:top w:val="single" w:sz="8" w:color="auto"/>
            </w:tcBorders>
          </w:tcPr>
          <w:p>
            <w:pPr>
              <w:jc w:val="right"/>
              <w:ind w:right="359"/>
              <w:spacing w:after="0" w:line="187" w:lineRule="exact"/>
              <w:rPr>
                <w:sz w:val="20"/>
                <w:szCs w:val="20"/>
                <w:color w:val="auto"/>
              </w:rPr>
            </w:pPr>
            <w:r>
              <w:rPr>
                <w:rFonts w:ascii="Calibri" w:cs="Calibri" w:eastAsia="Calibri" w:hAnsi="Calibri"/>
                <w:sz w:val="16"/>
                <w:szCs w:val="16"/>
                <w:color w:val="auto"/>
                <w:w w:val="97"/>
              </w:rPr>
              <w:t>$</w:t>
            </w:r>
          </w:p>
        </w:tc>
        <w:tc>
          <w:tcPr>
            <w:tcW w:w="11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241,703</w:t>
            </w:r>
          </w:p>
        </w:tc>
        <w:tc>
          <w:tcPr>
            <w:tcW w:w="0" w:type="dxa"/>
            <w:vAlign w:val="bottom"/>
          </w:tcPr>
          <w:p>
            <w:pPr>
              <w:spacing w:after="0"/>
              <w:rPr>
                <w:sz w:val="1"/>
                <w:szCs w:val="1"/>
                <w:color w:val="auto"/>
              </w:rPr>
            </w:pPr>
          </w:p>
        </w:tc>
      </w:tr>
      <w:tr>
        <w:trPr>
          <w:trHeight w:val="23"/>
        </w:trPr>
        <w:tc>
          <w:tcPr>
            <w:tcW w:w="7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7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20" w:type="dxa"/>
            <w:vAlign w:val="bottom"/>
            <w:tcBorders>
              <w:bottom w:val="single" w:sz="8" w:color="DBDBDB"/>
            </w:tcBorders>
            <w:gridSpan w:val="2"/>
            <w:shd w:val="clear" w:color="auto" w:fill="DBDBDB"/>
          </w:tcPr>
          <w:p>
            <w:pPr>
              <w:ind w:left="20"/>
              <w:spacing w:after="0" w:line="161" w:lineRule="exact"/>
              <w:rPr>
                <w:sz w:val="20"/>
                <w:szCs w:val="20"/>
                <w:color w:val="auto"/>
              </w:rPr>
            </w:pPr>
            <w:r>
              <w:rPr>
                <w:rFonts w:ascii="Calibri" w:cs="Calibri" w:eastAsia="Calibri" w:hAnsi="Calibri"/>
                <w:sz w:val="16"/>
                <w:szCs w:val="16"/>
                <w:b w:val="1"/>
                <w:bCs w:val="1"/>
                <w:color w:val="auto"/>
              </w:rPr>
              <w:t>Liabilites and stockholders' defcit</w:t>
            </w:r>
          </w:p>
        </w:tc>
        <w:tc>
          <w:tcPr>
            <w:tcW w:w="380" w:type="dxa"/>
            <w:vAlign w:val="bottom"/>
            <w:tcBorders>
              <w:bottom w:val="single" w:sz="8" w:color="DBDBDB"/>
            </w:tcBorders>
            <w:shd w:val="clear" w:color="auto" w:fill="DBDBDB"/>
          </w:tcPr>
          <w:p>
            <w:pPr>
              <w:spacing w:after="0"/>
              <w:rPr>
                <w:sz w:val="14"/>
                <w:szCs w:val="14"/>
                <w:color w:val="auto"/>
              </w:rPr>
            </w:pPr>
          </w:p>
        </w:tc>
        <w:tc>
          <w:tcPr>
            <w:tcW w:w="128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540" w:type="dxa"/>
            <w:vAlign w:val="bottom"/>
            <w:tcBorders>
              <w:bottom w:val="single" w:sz="8" w:color="DBDBDB"/>
            </w:tcBorders>
            <w:shd w:val="clear" w:color="auto" w:fill="DBDBDB"/>
          </w:tcPr>
          <w:p>
            <w:pPr>
              <w:spacing w:after="0"/>
              <w:rPr>
                <w:sz w:val="14"/>
                <w:szCs w:val="14"/>
                <w:color w:val="auto"/>
              </w:rPr>
            </w:pPr>
          </w:p>
        </w:tc>
        <w:tc>
          <w:tcPr>
            <w:tcW w:w="1120" w:type="dxa"/>
            <w:vAlign w:val="bottom"/>
            <w:tcBorders>
              <w:bottom w:val="single" w:sz="8" w:color="DBDBDB"/>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782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Current liabilites: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20" w:type="dxa"/>
            <w:vAlign w:val="bottom"/>
            <w:tcBorders>
              <w:bottom w:val="single" w:sz="8" w:color="DBDBDB"/>
            </w:tcBorders>
            <w:gridSpan w:val="2"/>
            <w:shd w:val="clear" w:color="auto" w:fill="DBDBDB"/>
          </w:tcPr>
          <w:p>
            <w:pPr>
              <w:ind w:left="260"/>
              <w:spacing w:after="0" w:line="193" w:lineRule="exact"/>
              <w:rPr>
                <w:sz w:val="20"/>
                <w:szCs w:val="20"/>
                <w:color w:val="auto"/>
              </w:rPr>
            </w:pPr>
            <w:r>
              <w:rPr>
                <w:rFonts w:ascii="Calibri" w:cs="Calibri" w:eastAsia="Calibri" w:hAnsi="Calibri"/>
                <w:sz w:val="16"/>
                <w:szCs w:val="16"/>
                <w:color w:val="auto"/>
              </w:rPr>
              <w:t>Accounts payable</w:t>
            </w:r>
          </w:p>
        </w:tc>
        <w:tc>
          <w:tcPr>
            <w:tcW w:w="380" w:type="dxa"/>
            <w:vAlign w:val="bottom"/>
            <w:tcBorders>
              <w:bottom w:val="single" w:sz="8" w:color="DBDBDB"/>
            </w:tcBorders>
            <w:shd w:val="clear" w:color="auto" w:fill="DBDBDB"/>
          </w:tcPr>
          <w:p>
            <w:pPr>
              <w:jc w:val="right"/>
              <w:ind w:right="199"/>
              <w:spacing w:after="0" w:line="193" w:lineRule="exact"/>
              <w:rPr>
                <w:sz w:val="20"/>
                <w:szCs w:val="20"/>
                <w:color w:val="auto"/>
              </w:rPr>
            </w:pPr>
            <w:r>
              <w:rPr>
                <w:rFonts w:ascii="Calibri" w:cs="Calibri" w:eastAsia="Calibri" w:hAnsi="Calibri"/>
                <w:sz w:val="16"/>
                <w:szCs w:val="16"/>
                <w:color w:val="auto"/>
                <w:w w:val="97"/>
              </w:rPr>
              <w:t>$</w:t>
            </w:r>
          </w:p>
        </w:tc>
        <w:tc>
          <w:tcPr>
            <w:tcW w:w="128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15,180</w:t>
            </w:r>
          </w:p>
        </w:tc>
        <w:tc>
          <w:tcPr>
            <w:tcW w:w="100" w:type="dxa"/>
            <w:vAlign w:val="bottom"/>
            <w:tcBorders>
              <w:bottom w:val="single" w:sz="8" w:color="DBDBDB"/>
            </w:tcBorders>
            <w:shd w:val="clear" w:color="auto" w:fill="DBDBDB"/>
          </w:tcPr>
          <w:p>
            <w:pPr>
              <w:spacing w:after="0"/>
              <w:rPr>
                <w:sz w:val="17"/>
                <w:szCs w:val="17"/>
                <w:color w:val="auto"/>
              </w:rPr>
            </w:pPr>
          </w:p>
        </w:tc>
        <w:tc>
          <w:tcPr>
            <w:tcW w:w="540" w:type="dxa"/>
            <w:vAlign w:val="bottom"/>
            <w:tcBorders>
              <w:bottom w:val="single" w:sz="8" w:color="DBDBDB"/>
            </w:tcBorders>
            <w:shd w:val="clear" w:color="auto" w:fill="DBDBDB"/>
          </w:tcPr>
          <w:p>
            <w:pPr>
              <w:jc w:val="right"/>
              <w:ind w:right="359"/>
              <w:spacing w:after="0" w:line="193" w:lineRule="exact"/>
              <w:rPr>
                <w:sz w:val="20"/>
                <w:szCs w:val="20"/>
                <w:color w:val="auto"/>
              </w:rPr>
            </w:pPr>
            <w:r>
              <w:rPr>
                <w:rFonts w:ascii="Calibri" w:cs="Calibri" w:eastAsia="Calibri" w:hAnsi="Calibri"/>
                <w:sz w:val="16"/>
                <w:szCs w:val="16"/>
                <w:color w:val="auto"/>
                <w:w w:val="97"/>
              </w:rPr>
              <w:t>$</w:t>
            </w:r>
          </w:p>
        </w:tc>
        <w:tc>
          <w:tcPr>
            <w:tcW w:w="112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14,635</w:t>
            </w:r>
          </w:p>
        </w:tc>
        <w:tc>
          <w:tcPr>
            <w:tcW w:w="0" w:type="dxa"/>
            <w:vAlign w:val="bottom"/>
          </w:tcPr>
          <w:p>
            <w:pPr>
              <w:spacing w:after="0"/>
              <w:rPr>
                <w:sz w:val="1"/>
                <w:szCs w:val="1"/>
                <w:color w:val="auto"/>
              </w:rPr>
            </w:pPr>
          </w:p>
        </w:tc>
      </w:tr>
      <w:tr>
        <w:trPr>
          <w:trHeight w:val="193"/>
        </w:trPr>
        <w:tc>
          <w:tcPr>
            <w:tcW w:w="7820" w:type="dxa"/>
            <w:vAlign w:val="bottom"/>
            <w:gridSpan w:val="2"/>
          </w:tcPr>
          <w:p>
            <w:pPr>
              <w:ind w:left="260"/>
              <w:spacing w:after="0" w:line="193" w:lineRule="exact"/>
              <w:rPr>
                <w:sz w:val="20"/>
                <w:szCs w:val="20"/>
                <w:color w:val="auto"/>
              </w:rPr>
            </w:pPr>
            <w:r>
              <w:rPr>
                <w:rFonts w:ascii="Calibri" w:cs="Calibri" w:eastAsia="Calibri" w:hAnsi="Calibri"/>
                <w:sz w:val="16"/>
                <w:szCs w:val="16"/>
                <w:color w:val="auto"/>
              </w:rPr>
              <w:t>Accrued expenses and other current liabilites</w:t>
            </w:r>
          </w:p>
        </w:tc>
        <w:tc>
          <w:tcPr>
            <w:tcW w:w="38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63,460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67,735</w:t>
            </w:r>
          </w:p>
        </w:tc>
        <w:tc>
          <w:tcPr>
            <w:tcW w:w="0" w:type="dxa"/>
            <w:vAlign w:val="bottom"/>
          </w:tcPr>
          <w:p>
            <w:pPr>
              <w:spacing w:after="0"/>
              <w:rPr>
                <w:sz w:val="1"/>
                <w:szCs w:val="1"/>
                <w:color w:val="auto"/>
              </w:rPr>
            </w:pPr>
          </w:p>
        </w:tc>
      </w:tr>
      <w:tr>
        <w:trPr>
          <w:trHeight w:val="23"/>
        </w:trPr>
        <w:tc>
          <w:tcPr>
            <w:tcW w:w="7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20" w:type="dxa"/>
            <w:vAlign w:val="bottom"/>
            <w:tcBorders>
              <w:bottom w:val="single" w:sz="8" w:color="DBDBDB"/>
            </w:tcBorders>
            <w:gridSpan w:val="2"/>
            <w:shd w:val="clear" w:color="auto" w:fill="DBDBDB"/>
          </w:tcPr>
          <w:p>
            <w:pPr>
              <w:ind w:left="260"/>
              <w:spacing w:after="0" w:line="193" w:lineRule="exact"/>
              <w:rPr>
                <w:sz w:val="20"/>
                <w:szCs w:val="20"/>
                <w:color w:val="auto"/>
              </w:rPr>
            </w:pPr>
            <w:r>
              <w:rPr>
                <w:rFonts w:ascii="Calibri" w:cs="Calibri" w:eastAsia="Calibri" w:hAnsi="Calibri"/>
                <w:sz w:val="16"/>
                <w:szCs w:val="16"/>
                <w:color w:val="auto"/>
              </w:rPr>
              <w:t>Current porton of long-term debt</w:t>
            </w:r>
          </w:p>
        </w:tc>
        <w:tc>
          <w:tcPr>
            <w:tcW w:w="380" w:type="dxa"/>
            <w:vAlign w:val="bottom"/>
            <w:tcBorders>
              <w:bottom w:val="single" w:sz="8" w:color="DBDBDB"/>
            </w:tcBorders>
            <w:shd w:val="clear" w:color="auto" w:fill="DBDBDB"/>
          </w:tcPr>
          <w:p>
            <w:pPr>
              <w:spacing w:after="0"/>
              <w:rPr>
                <w:sz w:val="17"/>
                <w:szCs w:val="17"/>
                <w:color w:val="auto"/>
              </w:rPr>
            </w:pPr>
          </w:p>
        </w:tc>
        <w:tc>
          <w:tcPr>
            <w:tcW w:w="1380" w:type="dxa"/>
            <w:vAlign w:val="bottom"/>
            <w:tcBorders>
              <w:bottom w:val="single" w:sz="8" w:color="DBDBDB"/>
            </w:tcBorders>
            <w:gridSpan w:val="2"/>
            <w:shd w:val="clear" w:color="auto" w:fill="DBDBDB"/>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54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17,500</w:t>
            </w:r>
          </w:p>
        </w:tc>
        <w:tc>
          <w:tcPr>
            <w:tcW w:w="0" w:type="dxa"/>
            <w:vAlign w:val="bottom"/>
          </w:tcPr>
          <w:p>
            <w:pPr>
              <w:spacing w:after="0"/>
              <w:rPr>
                <w:sz w:val="1"/>
                <w:szCs w:val="1"/>
                <w:color w:val="auto"/>
              </w:rPr>
            </w:pPr>
          </w:p>
        </w:tc>
      </w:tr>
      <w:tr>
        <w:trPr>
          <w:trHeight w:val="194"/>
        </w:trPr>
        <w:tc>
          <w:tcPr>
            <w:tcW w:w="7820" w:type="dxa"/>
            <w:vAlign w:val="bottom"/>
            <w:gridSpan w:val="2"/>
          </w:tcPr>
          <w:p>
            <w:pPr>
              <w:ind w:left="260"/>
              <w:spacing w:after="0" w:line="193" w:lineRule="exact"/>
              <w:rPr>
                <w:sz w:val="20"/>
                <w:szCs w:val="20"/>
                <w:color w:val="auto"/>
              </w:rPr>
            </w:pPr>
            <w:r>
              <w:rPr>
                <w:rFonts w:ascii="Calibri" w:cs="Calibri" w:eastAsia="Calibri" w:hAnsi="Calibri"/>
                <w:sz w:val="16"/>
                <w:szCs w:val="16"/>
                <w:color w:val="auto"/>
              </w:rPr>
              <w:t>Working Capital Fund liability, current porton</w:t>
            </w:r>
          </w:p>
        </w:tc>
        <w:tc>
          <w:tcPr>
            <w:tcW w:w="38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2,274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
        </w:trPr>
        <w:tc>
          <w:tcPr>
            <w:tcW w:w="77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7820" w:type="dxa"/>
            <w:vAlign w:val="bottom"/>
            <w:tcBorders>
              <w:bottom w:val="single" w:sz="8" w:color="DBDBDB"/>
            </w:tcBorders>
            <w:gridSpan w:val="2"/>
            <w:shd w:val="clear" w:color="auto" w:fill="DBDBDB"/>
          </w:tcPr>
          <w:p>
            <w:pPr>
              <w:ind w:left="20"/>
              <w:spacing w:after="0" w:line="174" w:lineRule="exact"/>
              <w:rPr>
                <w:sz w:val="20"/>
                <w:szCs w:val="20"/>
                <w:color w:val="auto"/>
              </w:rPr>
            </w:pPr>
            <w:r>
              <w:rPr>
                <w:rFonts w:ascii="Calibri" w:cs="Calibri" w:eastAsia="Calibri" w:hAnsi="Calibri"/>
                <w:sz w:val="16"/>
                <w:szCs w:val="16"/>
                <w:b w:val="1"/>
                <w:bCs w:val="1"/>
                <w:color w:val="auto"/>
              </w:rPr>
              <w:t>Total current liabilites</w:t>
            </w:r>
          </w:p>
        </w:tc>
        <w:tc>
          <w:tcPr>
            <w:tcW w:w="380" w:type="dxa"/>
            <w:vAlign w:val="bottom"/>
            <w:tcBorders>
              <w:bottom w:val="single" w:sz="8" w:color="DBDBDB"/>
            </w:tcBorders>
            <w:shd w:val="clear" w:color="auto" w:fill="DBDBDB"/>
          </w:tcPr>
          <w:p>
            <w:pPr>
              <w:spacing w:after="0"/>
              <w:rPr>
                <w:sz w:val="16"/>
                <w:szCs w:val="16"/>
                <w:color w:val="auto"/>
              </w:rPr>
            </w:pPr>
          </w:p>
        </w:tc>
        <w:tc>
          <w:tcPr>
            <w:tcW w:w="128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80,914</w:t>
            </w:r>
          </w:p>
        </w:tc>
        <w:tc>
          <w:tcPr>
            <w:tcW w:w="100" w:type="dxa"/>
            <w:vAlign w:val="bottom"/>
            <w:tcBorders>
              <w:bottom w:val="single" w:sz="8" w:color="DBDBDB"/>
            </w:tcBorders>
            <w:shd w:val="clear" w:color="auto" w:fill="DBDBDB"/>
          </w:tcPr>
          <w:p>
            <w:pPr>
              <w:spacing w:after="0"/>
              <w:rPr>
                <w:sz w:val="16"/>
                <w:szCs w:val="16"/>
                <w:color w:val="auto"/>
              </w:rPr>
            </w:pPr>
          </w:p>
        </w:tc>
        <w:tc>
          <w:tcPr>
            <w:tcW w:w="54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99,870</w:t>
            </w:r>
          </w:p>
        </w:tc>
        <w:tc>
          <w:tcPr>
            <w:tcW w:w="0" w:type="dxa"/>
            <w:vAlign w:val="bottom"/>
          </w:tcPr>
          <w:p>
            <w:pPr>
              <w:spacing w:after="0"/>
              <w:rPr>
                <w:sz w:val="1"/>
                <w:szCs w:val="1"/>
                <w:color w:val="auto"/>
              </w:rPr>
            </w:pPr>
          </w:p>
        </w:tc>
      </w:tr>
      <w:tr>
        <w:trPr>
          <w:trHeight w:val="194"/>
        </w:trPr>
        <w:tc>
          <w:tcPr>
            <w:tcW w:w="782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Long-term deferred revenue</w:t>
            </w:r>
          </w:p>
        </w:tc>
        <w:tc>
          <w:tcPr>
            <w:tcW w:w="380" w:type="dxa"/>
            <w:vAlign w:val="bottom"/>
          </w:tcPr>
          <w:p>
            <w:pPr>
              <w:spacing w:after="0"/>
              <w:rPr>
                <w:sz w:val="16"/>
                <w:szCs w:val="16"/>
                <w:color w:val="auto"/>
              </w:rPr>
            </w:pPr>
          </w:p>
        </w:tc>
        <w:tc>
          <w:tcPr>
            <w:tcW w:w="138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540" w:type="dxa"/>
            <w:vAlign w:val="bottom"/>
          </w:tcPr>
          <w:p>
            <w:pPr>
              <w:spacing w:after="0"/>
              <w:rPr>
                <w:sz w:val="16"/>
                <w:szCs w:val="16"/>
                <w:color w:val="auto"/>
              </w:rPr>
            </w:pP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43,296</w:t>
            </w:r>
          </w:p>
        </w:tc>
        <w:tc>
          <w:tcPr>
            <w:tcW w:w="0" w:type="dxa"/>
            <w:vAlign w:val="bottom"/>
          </w:tcPr>
          <w:p>
            <w:pPr>
              <w:spacing w:after="0"/>
              <w:rPr>
                <w:sz w:val="1"/>
                <w:szCs w:val="1"/>
                <w:color w:val="auto"/>
              </w:rPr>
            </w:pPr>
          </w:p>
        </w:tc>
      </w:tr>
      <w:tr>
        <w:trPr>
          <w:trHeight w:val="22"/>
        </w:trPr>
        <w:tc>
          <w:tcPr>
            <w:tcW w:w="7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2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Long-term operatng lease liabilites</w:t>
            </w:r>
          </w:p>
        </w:tc>
        <w:tc>
          <w:tcPr>
            <w:tcW w:w="380" w:type="dxa"/>
            <w:vAlign w:val="bottom"/>
            <w:tcBorders>
              <w:bottom w:val="single" w:sz="8" w:color="DBDBDB"/>
            </w:tcBorders>
            <w:shd w:val="clear" w:color="auto" w:fill="DBDBDB"/>
          </w:tcPr>
          <w:p>
            <w:pPr>
              <w:spacing w:after="0"/>
              <w:rPr>
                <w:sz w:val="17"/>
                <w:szCs w:val="17"/>
                <w:color w:val="auto"/>
              </w:rPr>
            </w:pPr>
          </w:p>
        </w:tc>
        <w:tc>
          <w:tcPr>
            <w:tcW w:w="128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3,547</w:t>
            </w:r>
          </w:p>
        </w:tc>
        <w:tc>
          <w:tcPr>
            <w:tcW w:w="100" w:type="dxa"/>
            <w:vAlign w:val="bottom"/>
            <w:tcBorders>
              <w:bottom w:val="single" w:sz="8" w:color="DBDBDB"/>
            </w:tcBorders>
            <w:shd w:val="clear" w:color="auto" w:fill="DBDBDB"/>
          </w:tcPr>
          <w:p>
            <w:pPr>
              <w:spacing w:after="0"/>
              <w:rPr>
                <w:sz w:val="17"/>
                <w:szCs w:val="17"/>
                <w:color w:val="auto"/>
              </w:rPr>
            </w:pPr>
          </w:p>
        </w:tc>
        <w:tc>
          <w:tcPr>
            <w:tcW w:w="54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8,947</w:t>
            </w:r>
          </w:p>
        </w:tc>
        <w:tc>
          <w:tcPr>
            <w:tcW w:w="0" w:type="dxa"/>
            <w:vAlign w:val="bottom"/>
          </w:tcPr>
          <w:p>
            <w:pPr>
              <w:spacing w:after="0"/>
              <w:rPr>
                <w:sz w:val="1"/>
                <w:szCs w:val="1"/>
                <w:color w:val="auto"/>
              </w:rPr>
            </w:pPr>
          </w:p>
        </w:tc>
      </w:tr>
      <w:tr>
        <w:trPr>
          <w:trHeight w:val="194"/>
        </w:trPr>
        <w:tc>
          <w:tcPr>
            <w:tcW w:w="782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Long-term debt, net</w:t>
            </w:r>
          </w:p>
        </w:tc>
        <w:tc>
          <w:tcPr>
            <w:tcW w:w="38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38,693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17,183</w:t>
            </w:r>
          </w:p>
        </w:tc>
        <w:tc>
          <w:tcPr>
            <w:tcW w:w="0" w:type="dxa"/>
            <w:vAlign w:val="bottom"/>
          </w:tcPr>
          <w:p>
            <w:pPr>
              <w:spacing w:after="0"/>
              <w:rPr>
                <w:sz w:val="1"/>
                <w:szCs w:val="1"/>
                <w:color w:val="auto"/>
              </w:rPr>
            </w:pPr>
          </w:p>
        </w:tc>
      </w:tr>
      <w:tr>
        <w:trPr>
          <w:trHeight w:val="23"/>
        </w:trPr>
        <w:tc>
          <w:tcPr>
            <w:tcW w:w="7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2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Liability related to setlement royaltes, net of current porton</w:t>
            </w:r>
          </w:p>
        </w:tc>
        <w:tc>
          <w:tcPr>
            <w:tcW w:w="380" w:type="dxa"/>
            <w:vAlign w:val="bottom"/>
            <w:tcBorders>
              <w:bottom w:val="single" w:sz="8" w:color="DBDBDB"/>
            </w:tcBorders>
            <w:shd w:val="clear" w:color="auto" w:fill="DBDBDB"/>
          </w:tcPr>
          <w:p>
            <w:pPr>
              <w:spacing w:after="0"/>
              <w:rPr>
                <w:sz w:val="17"/>
                <w:szCs w:val="17"/>
                <w:color w:val="auto"/>
              </w:rPr>
            </w:pPr>
          </w:p>
        </w:tc>
        <w:tc>
          <w:tcPr>
            <w:tcW w:w="128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46,697</w:t>
            </w:r>
          </w:p>
        </w:tc>
        <w:tc>
          <w:tcPr>
            <w:tcW w:w="100" w:type="dxa"/>
            <w:vAlign w:val="bottom"/>
            <w:tcBorders>
              <w:bottom w:val="single" w:sz="8" w:color="DBDBDB"/>
            </w:tcBorders>
            <w:shd w:val="clear" w:color="auto" w:fill="DBDBDB"/>
          </w:tcPr>
          <w:p>
            <w:pPr>
              <w:spacing w:after="0"/>
              <w:rPr>
                <w:sz w:val="17"/>
                <w:szCs w:val="17"/>
                <w:color w:val="auto"/>
              </w:rPr>
            </w:pPr>
          </w:p>
        </w:tc>
        <w:tc>
          <w:tcPr>
            <w:tcW w:w="54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193"/>
        </w:trPr>
        <w:tc>
          <w:tcPr>
            <w:tcW w:w="782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Liability related to sale of future royaltes, net of current porton</w:t>
            </w:r>
          </w:p>
        </w:tc>
        <w:tc>
          <w:tcPr>
            <w:tcW w:w="38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52,066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54,013</w:t>
            </w:r>
          </w:p>
        </w:tc>
        <w:tc>
          <w:tcPr>
            <w:tcW w:w="0" w:type="dxa"/>
            <w:vAlign w:val="bottom"/>
          </w:tcPr>
          <w:p>
            <w:pPr>
              <w:spacing w:after="0"/>
              <w:rPr>
                <w:sz w:val="1"/>
                <w:szCs w:val="1"/>
                <w:color w:val="auto"/>
              </w:rPr>
            </w:pPr>
          </w:p>
        </w:tc>
      </w:tr>
      <w:tr>
        <w:trPr>
          <w:trHeight w:val="23"/>
        </w:trPr>
        <w:tc>
          <w:tcPr>
            <w:tcW w:w="7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2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Working Capital Fund liability, net of current porton</w:t>
            </w:r>
          </w:p>
        </w:tc>
        <w:tc>
          <w:tcPr>
            <w:tcW w:w="380" w:type="dxa"/>
            <w:vAlign w:val="bottom"/>
            <w:tcBorders>
              <w:bottom w:val="single" w:sz="8" w:color="DBDBDB"/>
            </w:tcBorders>
            <w:shd w:val="clear" w:color="auto" w:fill="DBDBDB"/>
          </w:tcPr>
          <w:p>
            <w:pPr>
              <w:spacing w:after="0"/>
              <w:rPr>
                <w:sz w:val="17"/>
                <w:szCs w:val="17"/>
                <w:color w:val="auto"/>
              </w:rPr>
            </w:pPr>
          </w:p>
        </w:tc>
        <w:tc>
          <w:tcPr>
            <w:tcW w:w="128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38,013</w:t>
            </w:r>
          </w:p>
        </w:tc>
        <w:tc>
          <w:tcPr>
            <w:tcW w:w="100" w:type="dxa"/>
            <w:vAlign w:val="bottom"/>
            <w:tcBorders>
              <w:bottom w:val="single" w:sz="8" w:color="DBDBDB"/>
            </w:tcBorders>
            <w:shd w:val="clear" w:color="auto" w:fill="DBDBDB"/>
          </w:tcPr>
          <w:p>
            <w:pPr>
              <w:spacing w:after="0"/>
              <w:rPr>
                <w:sz w:val="17"/>
                <w:szCs w:val="17"/>
                <w:color w:val="auto"/>
              </w:rPr>
            </w:pPr>
          </w:p>
        </w:tc>
        <w:tc>
          <w:tcPr>
            <w:tcW w:w="54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40,093</w:t>
            </w:r>
          </w:p>
        </w:tc>
        <w:tc>
          <w:tcPr>
            <w:tcW w:w="0" w:type="dxa"/>
            <w:vAlign w:val="bottom"/>
          </w:tcPr>
          <w:p>
            <w:pPr>
              <w:spacing w:after="0"/>
              <w:rPr>
                <w:sz w:val="1"/>
                <w:szCs w:val="1"/>
                <w:color w:val="auto"/>
              </w:rPr>
            </w:pPr>
          </w:p>
        </w:tc>
      </w:tr>
      <w:tr>
        <w:trPr>
          <w:trHeight w:val="193"/>
        </w:trPr>
        <w:tc>
          <w:tcPr>
            <w:tcW w:w="782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Warrant liability</w:t>
            </w:r>
          </w:p>
        </w:tc>
        <w:tc>
          <w:tcPr>
            <w:tcW w:w="38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5,176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
        </w:trPr>
        <w:tc>
          <w:tcPr>
            <w:tcW w:w="7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82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Other long-term liabilites</w:t>
            </w:r>
          </w:p>
        </w:tc>
        <w:tc>
          <w:tcPr>
            <w:tcW w:w="38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4,749</w:t>
            </w:r>
          </w:p>
        </w:tc>
        <w:tc>
          <w:tcPr>
            <w:tcW w:w="100" w:type="dxa"/>
            <w:vAlign w:val="bottom"/>
            <w:tcBorders>
              <w:bottom w:val="single" w:sz="8" w:color="DBDBDB"/>
            </w:tcBorders>
            <w:shd w:val="clear" w:color="auto" w:fill="DBDBDB"/>
          </w:tcPr>
          <w:p>
            <w:pPr>
              <w:spacing w:after="0"/>
              <w:rPr>
                <w:sz w:val="18"/>
                <w:szCs w:val="18"/>
                <w:color w:val="auto"/>
              </w:rPr>
            </w:pPr>
          </w:p>
        </w:tc>
        <w:tc>
          <w:tcPr>
            <w:tcW w:w="54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8,885</w:t>
            </w:r>
          </w:p>
        </w:tc>
        <w:tc>
          <w:tcPr>
            <w:tcW w:w="0" w:type="dxa"/>
            <w:vAlign w:val="bottom"/>
          </w:tcPr>
          <w:p>
            <w:pPr>
              <w:spacing w:after="0"/>
              <w:rPr>
                <w:sz w:val="1"/>
                <w:szCs w:val="1"/>
                <w:color w:val="auto"/>
              </w:rPr>
            </w:pPr>
          </w:p>
        </w:tc>
      </w:tr>
      <w:tr>
        <w:trPr>
          <w:trHeight w:val="187"/>
        </w:trPr>
        <w:tc>
          <w:tcPr>
            <w:tcW w:w="7820" w:type="dxa"/>
            <w:vAlign w:val="bottom"/>
            <w:gridSpan w:val="2"/>
          </w:tcPr>
          <w:p>
            <w:pPr>
              <w:ind w:left="20"/>
              <w:spacing w:after="0" w:line="174" w:lineRule="exact"/>
              <w:rPr>
                <w:sz w:val="20"/>
                <w:szCs w:val="20"/>
                <w:color w:val="auto"/>
              </w:rPr>
            </w:pPr>
            <w:r>
              <w:rPr>
                <w:rFonts w:ascii="Calibri" w:cs="Calibri" w:eastAsia="Calibri" w:hAnsi="Calibri"/>
                <w:sz w:val="16"/>
                <w:szCs w:val="16"/>
                <w:b w:val="1"/>
                <w:bCs w:val="1"/>
                <w:color w:val="auto"/>
              </w:rPr>
              <w:t>Total liabilites</w:t>
            </w:r>
          </w:p>
        </w:tc>
        <w:tc>
          <w:tcPr>
            <w:tcW w:w="3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269,855</w:t>
            </w:r>
          </w:p>
        </w:tc>
        <w:tc>
          <w:tcPr>
            <w:tcW w:w="1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272,287</w:t>
            </w:r>
          </w:p>
        </w:tc>
        <w:tc>
          <w:tcPr>
            <w:tcW w:w="0" w:type="dxa"/>
            <w:vAlign w:val="bottom"/>
          </w:tcPr>
          <w:p>
            <w:pPr>
              <w:spacing w:after="0"/>
              <w:rPr>
                <w:sz w:val="1"/>
                <w:szCs w:val="1"/>
                <w:color w:val="auto"/>
              </w:rPr>
            </w:pPr>
          </w:p>
        </w:tc>
      </w:tr>
      <w:tr>
        <w:trPr>
          <w:trHeight w:val="23"/>
        </w:trPr>
        <w:tc>
          <w:tcPr>
            <w:tcW w:w="77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7820" w:type="dxa"/>
            <w:vAlign w:val="bottom"/>
            <w:tcBorders>
              <w:bottom w:val="single" w:sz="8" w:color="DBDBDB"/>
            </w:tcBorders>
            <w:gridSpan w:val="2"/>
            <w:shd w:val="clear" w:color="auto" w:fill="DBDBDB"/>
          </w:tcPr>
          <w:p>
            <w:pPr>
              <w:ind w:left="20"/>
              <w:spacing w:after="0" w:line="174" w:lineRule="exact"/>
              <w:rPr>
                <w:sz w:val="20"/>
                <w:szCs w:val="20"/>
                <w:color w:val="auto"/>
              </w:rPr>
            </w:pPr>
            <w:r>
              <w:rPr>
                <w:rFonts w:ascii="Calibri" w:cs="Calibri" w:eastAsia="Calibri" w:hAnsi="Calibri"/>
                <w:sz w:val="16"/>
                <w:szCs w:val="16"/>
                <w:b w:val="1"/>
                <w:bCs w:val="1"/>
                <w:color w:val="auto"/>
              </w:rPr>
              <w:t>Commitments and contngencies (Note 10)</w:t>
            </w:r>
          </w:p>
        </w:tc>
        <w:tc>
          <w:tcPr>
            <w:tcW w:w="38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spacing w:after="0"/>
              <w:rPr>
                <w:sz w:val="15"/>
                <w:szCs w:val="15"/>
                <w:color w:val="auto"/>
              </w:rPr>
            </w:pPr>
          </w:p>
        </w:tc>
        <w:tc>
          <w:tcPr>
            <w:tcW w:w="100" w:type="dxa"/>
            <w:vAlign w:val="bottom"/>
            <w:tcBorders>
              <w:bottom w:val="single" w:sz="8" w:color="DBDBDB"/>
            </w:tcBorders>
            <w:shd w:val="clear" w:color="auto" w:fill="DBDBDB"/>
          </w:tcPr>
          <w:p>
            <w:pPr>
              <w:spacing w:after="0"/>
              <w:rPr>
                <w:sz w:val="15"/>
                <w:szCs w:val="15"/>
                <w:color w:val="auto"/>
              </w:rPr>
            </w:pPr>
          </w:p>
        </w:tc>
        <w:tc>
          <w:tcPr>
            <w:tcW w:w="540" w:type="dxa"/>
            <w:vAlign w:val="bottom"/>
            <w:tcBorders>
              <w:bottom w:val="single" w:sz="8" w:color="DBDBDB"/>
            </w:tcBorders>
            <w:shd w:val="clear" w:color="auto" w:fill="DBDBDB"/>
          </w:tcPr>
          <w:p>
            <w:pPr>
              <w:spacing w:after="0"/>
              <w:rPr>
                <w:sz w:val="15"/>
                <w:szCs w:val="15"/>
                <w:color w:val="auto"/>
              </w:rPr>
            </w:pPr>
          </w:p>
        </w:tc>
        <w:tc>
          <w:tcPr>
            <w:tcW w:w="1120" w:type="dxa"/>
            <w:vAlign w:val="bottom"/>
            <w:tcBorders>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820" w:type="dxa"/>
            <w:vAlign w:val="bottom"/>
            <w:gridSpan w:val="2"/>
          </w:tcPr>
          <w:p>
            <w:pPr>
              <w:ind w:left="20"/>
              <w:spacing w:after="0" w:line="193" w:lineRule="exact"/>
              <w:rPr>
                <w:sz w:val="20"/>
                <w:szCs w:val="20"/>
                <w:color w:val="auto"/>
              </w:rPr>
            </w:pPr>
            <w:r>
              <w:rPr>
                <w:rFonts w:ascii="Calibri" w:cs="Calibri" w:eastAsia="Calibri" w:hAnsi="Calibri"/>
                <w:sz w:val="16"/>
                <w:szCs w:val="16"/>
                <w:b w:val="1"/>
                <w:bCs w:val="1"/>
                <w:color w:val="auto"/>
              </w:rPr>
              <w:t>Stockholders' defcit:</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20" w:type="dxa"/>
            <w:vAlign w:val="bottom"/>
            <w:gridSpan w:val="2"/>
            <w:shd w:val="clear" w:color="auto" w:fill="DBDBDB"/>
          </w:tcPr>
          <w:p>
            <w:pPr>
              <w:ind w:left="20"/>
              <w:spacing w:after="0" w:line="157" w:lineRule="exact"/>
              <w:rPr>
                <w:sz w:val="20"/>
                <w:szCs w:val="20"/>
                <w:color w:val="auto"/>
              </w:rPr>
            </w:pPr>
            <w:r>
              <w:rPr>
                <w:rFonts w:ascii="Calibri" w:cs="Calibri" w:eastAsia="Calibri" w:hAnsi="Calibri"/>
                <w:sz w:val="16"/>
                <w:szCs w:val="16"/>
                <w:color w:val="auto"/>
              </w:rPr>
              <w:t>Preferred stock $0.00001 par value, 25,000,000 shares authorized; no shares issued and outstanding at</w:t>
            </w:r>
          </w:p>
        </w:tc>
        <w:tc>
          <w:tcPr>
            <w:tcW w:w="380" w:type="dxa"/>
            <w:vAlign w:val="bottom"/>
            <w:shd w:val="clear" w:color="auto" w:fill="DBDBDB"/>
          </w:tcPr>
          <w:p>
            <w:pPr>
              <w:spacing w:after="0"/>
              <w:rPr>
                <w:sz w:val="13"/>
                <w:szCs w:val="13"/>
                <w:color w:val="auto"/>
              </w:rPr>
            </w:pPr>
          </w:p>
        </w:tc>
        <w:tc>
          <w:tcPr>
            <w:tcW w:w="12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54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782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December 31, 2024 and 2023</w:t>
            </w:r>
          </w:p>
        </w:tc>
        <w:tc>
          <w:tcPr>
            <w:tcW w:w="380" w:type="dxa"/>
            <w:vAlign w:val="bottom"/>
            <w:tcBorders>
              <w:bottom w:val="single" w:sz="8" w:color="DBDBDB"/>
            </w:tcBorders>
            <w:shd w:val="clear" w:color="auto" w:fill="DBDBDB"/>
          </w:tcPr>
          <w:p>
            <w:pPr>
              <w:spacing w:after="0"/>
              <w:rPr>
                <w:sz w:val="17"/>
                <w:szCs w:val="17"/>
                <w:color w:val="auto"/>
              </w:rPr>
            </w:pPr>
          </w:p>
        </w:tc>
        <w:tc>
          <w:tcPr>
            <w:tcW w:w="1380" w:type="dxa"/>
            <w:vAlign w:val="bottom"/>
            <w:tcBorders>
              <w:bottom w:val="single" w:sz="8" w:color="DBDBDB"/>
            </w:tcBorders>
            <w:gridSpan w:val="2"/>
            <w:shd w:val="clear" w:color="auto" w:fill="DBDBDB"/>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54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157"/>
        </w:trPr>
        <w:tc>
          <w:tcPr>
            <w:tcW w:w="7820" w:type="dxa"/>
            <w:vAlign w:val="bottom"/>
            <w:gridSpan w:val="2"/>
          </w:tcPr>
          <w:p>
            <w:pPr>
              <w:ind w:left="20"/>
              <w:spacing w:after="0" w:line="157" w:lineRule="exact"/>
              <w:rPr>
                <w:sz w:val="20"/>
                <w:szCs w:val="20"/>
                <w:color w:val="auto"/>
              </w:rPr>
            </w:pPr>
            <w:r>
              <w:rPr>
                <w:rFonts w:ascii="Calibri" w:cs="Calibri" w:eastAsia="Calibri" w:hAnsi="Calibri"/>
                <w:sz w:val="16"/>
                <w:szCs w:val="16"/>
                <w:color w:val="auto"/>
              </w:rPr>
              <w:t>Common stock: $0.00001 par value; 350,000,000 shares authorized at December 31, 2024 and 2023; 224,848,992</w:t>
            </w: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782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and 194,582,539 shares issued and outstanding at December 31, 2024 and 2023, respectvely</w:t>
            </w:r>
          </w:p>
        </w:tc>
        <w:tc>
          <w:tcPr>
            <w:tcW w:w="38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2</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2</w:t>
            </w:r>
          </w:p>
        </w:tc>
        <w:tc>
          <w:tcPr>
            <w:tcW w:w="0" w:type="dxa"/>
            <w:vAlign w:val="bottom"/>
          </w:tcPr>
          <w:p>
            <w:pPr>
              <w:spacing w:after="0"/>
              <w:rPr>
                <w:sz w:val="1"/>
                <w:szCs w:val="1"/>
                <w:color w:val="auto"/>
              </w:rPr>
            </w:pPr>
          </w:p>
        </w:tc>
      </w:tr>
      <w:tr>
        <w:trPr>
          <w:trHeight w:val="28"/>
        </w:trPr>
        <w:tc>
          <w:tcPr>
            <w:tcW w:w="7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82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Additonal paid-in capital</w:t>
            </w:r>
          </w:p>
        </w:tc>
        <w:tc>
          <w:tcPr>
            <w:tcW w:w="380" w:type="dxa"/>
            <w:vAlign w:val="bottom"/>
            <w:tcBorders>
              <w:bottom w:val="single" w:sz="8" w:color="DBDBDB"/>
            </w:tcBorders>
            <w:shd w:val="clear" w:color="auto" w:fill="DBDBDB"/>
          </w:tcPr>
          <w:p>
            <w:pPr>
              <w:spacing w:after="0"/>
              <w:rPr>
                <w:sz w:val="17"/>
                <w:szCs w:val="17"/>
                <w:color w:val="auto"/>
              </w:rPr>
            </w:pPr>
          </w:p>
        </w:tc>
        <w:tc>
          <w:tcPr>
            <w:tcW w:w="128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1,629,167</w:t>
            </w:r>
          </w:p>
        </w:tc>
        <w:tc>
          <w:tcPr>
            <w:tcW w:w="100" w:type="dxa"/>
            <w:vAlign w:val="bottom"/>
            <w:tcBorders>
              <w:bottom w:val="single" w:sz="8" w:color="DBDBDB"/>
            </w:tcBorders>
            <w:shd w:val="clear" w:color="auto" w:fill="DBDBDB"/>
          </w:tcPr>
          <w:p>
            <w:pPr>
              <w:spacing w:after="0"/>
              <w:rPr>
                <w:sz w:val="17"/>
                <w:szCs w:val="17"/>
                <w:color w:val="auto"/>
              </w:rPr>
            </w:pPr>
          </w:p>
        </w:tc>
        <w:tc>
          <w:tcPr>
            <w:tcW w:w="54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1,578,358</w:t>
            </w:r>
          </w:p>
        </w:tc>
        <w:tc>
          <w:tcPr>
            <w:tcW w:w="0" w:type="dxa"/>
            <w:vAlign w:val="bottom"/>
          </w:tcPr>
          <w:p>
            <w:pPr>
              <w:spacing w:after="0"/>
              <w:rPr>
                <w:sz w:val="1"/>
                <w:szCs w:val="1"/>
                <w:color w:val="auto"/>
              </w:rPr>
            </w:pPr>
          </w:p>
        </w:tc>
      </w:tr>
      <w:tr>
        <w:trPr>
          <w:trHeight w:val="194"/>
        </w:trPr>
        <w:tc>
          <w:tcPr>
            <w:tcW w:w="782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Accumulated other comprehensive income</w:t>
            </w:r>
          </w:p>
        </w:tc>
        <w:tc>
          <w:tcPr>
            <w:tcW w:w="380" w:type="dxa"/>
            <w:vAlign w:val="bottom"/>
          </w:tcPr>
          <w:p>
            <w:pPr>
              <w:spacing w:after="0"/>
              <w:rPr>
                <w:sz w:val="16"/>
                <w:szCs w:val="16"/>
                <w:color w:val="auto"/>
              </w:rPr>
            </w:pP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6</w:t>
            </w:r>
          </w:p>
        </w:tc>
        <w:tc>
          <w:tcPr>
            <w:tcW w:w="0" w:type="dxa"/>
            <w:vAlign w:val="bottom"/>
          </w:tcPr>
          <w:p>
            <w:pPr>
              <w:spacing w:after="0"/>
              <w:rPr>
                <w:sz w:val="1"/>
                <w:szCs w:val="1"/>
                <w:color w:val="auto"/>
              </w:rPr>
            </w:pPr>
          </w:p>
        </w:tc>
      </w:tr>
      <w:tr>
        <w:trPr>
          <w:trHeight w:val="22"/>
        </w:trPr>
        <w:tc>
          <w:tcPr>
            <w:tcW w:w="7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82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Accumulated defcit</w:t>
            </w:r>
          </w:p>
        </w:tc>
        <w:tc>
          <w:tcPr>
            <w:tcW w:w="38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(1,678,360)</w:t>
            </w:r>
          </w:p>
        </w:tc>
        <w:tc>
          <w:tcPr>
            <w:tcW w:w="100" w:type="dxa"/>
            <w:vAlign w:val="bottom"/>
            <w:tcBorders>
              <w:bottom w:val="single" w:sz="8" w:color="DBDBDB"/>
            </w:tcBorders>
            <w:shd w:val="clear" w:color="auto" w:fill="DBDBDB"/>
          </w:tcPr>
          <w:p>
            <w:pPr>
              <w:spacing w:after="0"/>
              <w:rPr>
                <w:sz w:val="18"/>
                <w:szCs w:val="18"/>
                <w:color w:val="auto"/>
              </w:rPr>
            </w:pPr>
          </w:p>
        </w:tc>
        <w:tc>
          <w:tcPr>
            <w:tcW w:w="54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(1,608,950)</w:t>
            </w:r>
          </w:p>
        </w:tc>
        <w:tc>
          <w:tcPr>
            <w:tcW w:w="0" w:type="dxa"/>
            <w:vAlign w:val="bottom"/>
          </w:tcPr>
          <w:p>
            <w:pPr>
              <w:spacing w:after="0"/>
              <w:rPr>
                <w:sz w:val="1"/>
                <w:szCs w:val="1"/>
                <w:color w:val="auto"/>
              </w:rPr>
            </w:pPr>
          </w:p>
        </w:tc>
      </w:tr>
      <w:tr>
        <w:trPr>
          <w:trHeight w:val="187"/>
        </w:trPr>
        <w:tc>
          <w:tcPr>
            <w:tcW w:w="7820" w:type="dxa"/>
            <w:vAlign w:val="bottom"/>
            <w:gridSpan w:val="2"/>
          </w:tcPr>
          <w:p>
            <w:pPr>
              <w:ind w:left="20"/>
              <w:spacing w:after="0" w:line="174" w:lineRule="exact"/>
              <w:rPr>
                <w:sz w:val="20"/>
                <w:szCs w:val="20"/>
                <w:color w:val="auto"/>
              </w:rPr>
            </w:pPr>
            <w:r>
              <w:rPr>
                <w:rFonts w:ascii="Calibri" w:cs="Calibri" w:eastAsia="Calibri" w:hAnsi="Calibri"/>
                <w:sz w:val="16"/>
                <w:szCs w:val="16"/>
                <w:b w:val="1"/>
                <w:bCs w:val="1"/>
                <w:color w:val="auto"/>
              </w:rPr>
              <w:t>Total stockholders' defcit</w:t>
            </w:r>
          </w:p>
        </w:tc>
        <w:tc>
          <w:tcPr>
            <w:tcW w:w="3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(49,185)</w:t>
            </w:r>
          </w:p>
        </w:tc>
        <w:tc>
          <w:tcPr>
            <w:tcW w:w="1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(30,584)</w:t>
            </w:r>
          </w:p>
        </w:tc>
        <w:tc>
          <w:tcPr>
            <w:tcW w:w="0" w:type="dxa"/>
            <w:vAlign w:val="bottom"/>
          </w:tcPr>
          <w:p>
            <w:pPr>
              <w:spacing w:after="0"/>
              <w:rPr>
                <w:sz w:val="1"/>
                <w:szCs w:val="1"/>
                <w:color w:val="auto"/>
              </w:rPr>
            </w:pPr>
          </w:p>
        </w:tc>
      </w:tr>
      <w:tr>
        <w:trPr>
          <w:trHeight w:val="22"/>
        </w:trPr>
        <w:tc>
          <w:tcPr>
            <w:tcW w:w="77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7820" w:type="dxa"/>
            <w:vAlign w:val="bottom"/>
            <w:tcBorders>
              <w:bottom w:val="single" w:sz="8" w:color="DBDBDB"/>
            </w:tcBorders>
            <w:gridSpan w:val="2"/>
            <w:shd w:val="clear" w:color="auto" w:fill="DBDBDB"/>
          </w:tcPr>
          <w:p>
            <w:pPr>
              <w:ind w:left="20"/>
              <w:spacing w:after="0" w:line="174" w:lineRule="exact"/>
              <w:rPr>
                <w:sz w:val="20"/>
                <w:szCs w:val="20"/>
                <w:color w:val="auto"/>
              </w:rPr>
            </w:pPr>
            <w:r>
              <w:rPr>
                <w:rFonts w:ascii="Calibri" w:cs="Calibri" w:eastAsia="Calibri" w:hAnsi="Calibri"/>
                <w:sz w:val="16"/>
                <w:szCs w:val="16"/>
                <w:b w:val="1"/>
                <w:bCs w:val="1"/>
                <w:color w:val="auto"/>
              </w:rPr>
              <w:t>Total liabilites and stockholders' defcit</w:t>
            </w:r>
          </w:p>
        </w:tc>
        <w:tc>
          <w:tcPr>
            <w:tcW w:w="380" w:type="dxa"/>
            <w:vAlign w:val="bottom"/>
            <w:tcBorders>
              <w:bottom w:val="single" w:sz="8" w:color="DBDBDB"/>
            </w:tcBorders>
            <w:shd w:val="clear" w:color="auto" w:fill="DBDBDB"/>
          </w:tcPr>
          <w:p>
            <w:pPr>
              <w:jc w:val="right"/>
              <w:ind w:right="199"/>
              <w:spacing w:after="0" w:line="187" w:lineRule="exact"/>
              <w:rPr>
                <w:sz w:val="20"/>
                <w:szCs w:val="20"/>
                <w:color w:val="auto"/>
              </w:rPr>
            </w:pPr>
            <w:r>
              <w:rPr>
                <w:rFonts w:ascii="Calibri" w:cs="Calibri" w:eastAsia="Calibri" w:hAnsi="Calibri"/>
                <w:sz w:val="16"/>
                <w:szCs w:val="16"/>
                <w:color w:val="auto"/>
                <w:w w:val="97"/>
              </w:rPr>
              <w:t>$</w:t>
            </w:r>
          </w:p>
        </w:tc>
        <w:tc>
          <w:tcPr>
            <w:tcW w:w="128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220,670</w:t>
            </w:r>
          </w:p>
        </w:tc>
        <w:tc>
          <w:tcPr>
            <w:tcW w:w="100" w:type="dxa"/>
            <w:vAlign w:val="bottom"/>
            <w:tcBorders>
              <w:bottom w:val="single" w:sz="8" w:color="DBDBDB"/>
            </w:tcBorders>
            <w:shd w:val="clear" w:color="auto" w:fill="DBDBDB"/>
          </w:tcPr>
          <w:p>
            <w:pPr>
              <w:spacing w:after="0"/>
              <w:rPr>
                <w:sz w:val="19"/>
                <w:szCs w:val="19"/>
                <w:color w:val="auto"/>
              </w:rPr>
            </w:pPr>
          </w:p>
        </w:tc>
        <w:tc>
          <w:tcPr>
            <w:tcW w:w="540" w:type="dxa"/>
            <w:vAlign w:val="bottom"/>
            <w:tcBorders>
              <w:bottom w:val="single" w:sz="8" w:color="DBDBDB"/>
            </w:tcBorders>
            <w:shd w:val="clear" w:color="auto" w:fill="DBDBDB"/>
          </w:tcPr>
          <w:p>
            <w:pPr>
              <w:jc w:val="right"/>
              <w:ind w:right="359"/>
              <w:spacing w:after="0" w:line="187" w:lineRule="exact"/>
              <w:rPr>
                <w:sz w:val="20"/>
                <w:szCs w:val="20"/>
                <w:color w:val="auto"/>
              </w:rPr>
            </w:pPr>
            <w:r>
              <w:rPr>
                <w:rFonts w:ascii="Calibri" w:cs="Calibri" w:eastAsia="Calibri" w:hAnsi="Calibri"/>
                <w:sz w:val="16"/>
                <w:szCs w:val="16"/>
                <w:color w:val="auto"/>
                <w:w w:val="97"/>
              </w:rPr>
              <w:t>$</w:t>
            </w:r>
          </w:p>
        </w:tc>
        <w:tc>
          <w:tcPr>
            <w:tcW w:w="112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241,703</w:t>
            </w:r>
          </w:p>
        </w:tc>
        <w:tc>
          <w:tcPr>
            <w:tcW w:w="0" w:type="dxa"/>
            <w:vAlign w:val="bottom"/>
          </w:tcPr>
          <w:p>
            <w:pPr>
              <w:spacing w:after="0"/>
              <w:rPr>
                <w:sz w:val="1"/>
                <w:szCs w:val="1"/>
                <w:color w:val="auto"/>
              </w:rPr>
            </w:pPr>
          </w:p>
        </w:tc>
      </w:tr>
      <w:tr>
        <w:trPr>
          <w:trHeight w:val="20"/>
        </w:trPr>
        <w:tc>
          <w:tcPr>
            <w:tcW w:w="77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Akebia Therapeutcs, Inc. | Form 10-K | Page 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8" w:name="page129"/>
    <w:bookmarkEnd w:id="12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AKEBIA THERAPEUTICS, INC.</w:t>
      </w:r>
    </w:p>
    <w:p>
      <w:pPr>
        <w:jc w:val="center"/>
        <w:ind w:right="-19"/>
        <w:spacing w:after="0" w:line="235" w:lineRule="auto"/>
        <w:rPr>
          <w:sz w:val="20"/>
          <w:szCs w:val="20"/>
          <w:color w:val="auto"/>
        </w:rPr>
      </w:pPr>
      <w:r>
        <w:rPr>
          <w:rFonts w:ascii="Calibri" w:cs="Calibri" w:eastAsia="Calibri" w:hAnsi="Calibri"/>
          <w:sz w:val="18"/>
          <w:szCs w:val="18"/>
          <w:b w:val="1"/>
          <w:bCs w:val="1"/>
          <w:color w:val="auto"/>
        </w:rPr>
        <w:t>CONSOLIDATED STATEMENTS OF OPERATIONS AND COMPREHENSIVE LOSS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519"/>
              <w:spacing w:after="0"/>
              <w:rPr>
                <w:sz w:val="20"/>
                <w:szCs w:val="20"/>
                <w:color w:val="auto"/>
              </w:rPr>
            </w:pPr>
            <w:r>
              <w:rPr>
                <w:rFonts w:ascii="Calibri" w:cs="Calibri" w:eastAsia="Calibri" w:hAnsi="Calibri"/>
                <w:sz w:val="16"/>
                <w:szCs w:val="16"/>
                <w:b w:val="1"/>
                <w:bCs w:val="1"/>
                <w:color w:val="auto"/>
              </w:rPr>
              <w:t>Years Ended December 31,</w:t>
            </w:r>
          </w:p>
        </w:tc>
        <w:tc>
          <w:tcPr>
            <w:tcW w:w="0" w:type="dxa"/>
            <w:vAlign w:val="bottom"/>
          </w:tcPr>
          <w:p>
            <w:pPr>
              <w:spacing w:after="0"/>
              <w:rPr>
                <w:sz w:val="1"/>
                <w:szCs w:val="1"/>
                <w:color w:val="auto"/>
              </w:rPr>
            </w:pPr>
          </w:p>
        </w:tc>
      </w:tr>
      <w:tr>
        <w:trPr>
          <w:trHeight w:val="28"/>
        </w:trPr>
        <w:tc>
          <w:tcPr>
            <w:tcW w:w="8260" w:type="dxa"/>
            <w:vAlign w:val="bottom"/>
            <w:gridSpan w:val="2"/>
            <w:vMerge w:val="restart"/>
          </w:tcPr>
          <w:p>
            <w:pPr>
              <w:ind w:left="20"/>
              <w:spacing w:after="0"/>
              <w:rPr>
                <w:sz w:val="20"/>
                <w:szCs w:val="20"/>
                <w:color w:val="auto"/>
              </w:rPr>
            </w:pPr>
            <w:r>
              <w:rPr>
                <w:rFonts w:ascii="Calibri" w:cs="Calibri" w:eastAsia="Calibri" w:hAnsi="Calibri"/>
                <w:sz w:val="16"/>
                <w:szCs w:val="16"/>
                <w:b w:val="1"/>
                <w:bCs w:val="1"/>
                <w:i w:val="1"/>
                <w:iCs w:val="1"/>
                <w:color w:val="auto"/>
              </w:rPr>
              <w:t>(dollars in thousands, except per share amounts)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2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9"/>
              <w:spacing w:after="0" w:line="187" w:lineRule="exact"/>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9"/>
              <w:spacing w:after="0" w:line="187" w:lineRule="exact"/>
              <w:rPr>
                <w:sz w:val="20"/>
                <w:szCs w:val="20"/>
                <w:color w:val="auto"/>
              </w:rPr>
            </w:pPr>
            <w:r>
              <w:rPr>
                <w:rFonts w:ascii="Calibri" w:cs="Calibri" w:eastAsia="Calibri" w:hAnsi="Calibri"/>
                <w:sz w:val="16"/>
                <w:szCs w:val="16"/>
                <w:b w:val="1"/>
                <w:bCs w:val="1"/>
                <w:color w:val="auto"/>
              </w:rPr>
              <w:t>2023</w:t>
            </w:r>
          </w:p>
        </w:tc>
        <w:tc>
          <w:tcPr>
            <w:tcW w:w="0" w:type="dxa"/>
            <w:vAlign w:val="bottom"/>
          </w:tcPr>
          <w:p>
            <w:pPr>
              <w:spacing w:after="0"/>
              <w:rPr>
                <w:sz w:val="1"/>
                <w:szCs w:val="1"/>
                <w:color w:val="auto"/>
              </w:rPr>
            </w:pPr>
          </w:p>
        </w:tc>
      </w:tr>
      <w:tr>
        <w:trPr>
          <w:trHeight w:val="23"/>
        </w:trPr>
        <w:tc>
          <w:tcPr>
            <w:tcW w:w="8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8160" w:type="dxa"/>
            <w:vAlign w:val="bottom"/>
            <w:tcBorders>
              <w:bottom w:val="single" w:sz="8" w:color="DBDBDB"/>
            </w:tcBorders>
            <w:shd w:val="clear" w:color="auto" w:fill="DBDBDB"/>
          </w:tcPr>
          <w:p>
            <w:pPr>
              <w:ind w:left="20"/>
              <w:spacing w:after="0" w:line="187" w:lineRule="exact"/>
              <w:rPr>
                <w:sz w:val="20"/>
                <w:szCs w:val="20"/>
                <w:color w:val="auto"/>
              </w:rPr>
            </w:pPr>
            <w:r>
              <w:rPr>
                <w:rFonts w:ascii="Calibri" w:cs="Calibri" w:eastAsia="Calibri" w:hAnsi="Calibri"/>
                <w:sz w:val="16"/>
                <w:szCs w:val="16"/>
                <w:b w:val="1"/>
                <w:bCs w:val="1"/>
                <w:color w:val="auto"/>
              </w:rPr>
              <w:t>Revenues:</w:t>
            </w:r>
          </w:p>
        </w:tc>
        <w:tc>
          <w:tcPr>
            <w:tcW w:w="10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260" w:type="dxa"/>
            <w:vAlign w:val="bottom"/>
            <w:gridSpan w:val="2"/>
          </w:tcPr>
          <w:p>
            <w:pPr>
              <w:ind w:left="260"/>
              <w:spacing w:after="0" w:line="193" w:lineRule="exact"/>
              <w:rPr>
                <w:sz w:val="20"/>
                <w:szCs w:val="20"/>
                <w:color w:val="auto"/>
              </w:rPr>
            </w:pPr>
            <w:r>
              <w:rPr>
                <w:rFonts w:ascii="Calibri" w:cs="Calibri" w:eastAsia="Calibri" w:hAnsi="Calibri"/>
                <w:sz w:val="16"/>
                <w:szCs w:val="16"/>
                <w:color w:val="auto"/>
              </w:rPr>
              <w:t>Product revenue, net</w:t>
            </w:r>
          </w:p>
        </w:tc>
        <w:tc>
          <w:tcPr>
            <w:tcW w:w="340" w:type="dxa"/>
            <w:vAlign w:val="bottom"/>
          </w:tcPr>
          <w:p>
            <w:pPr>
              <w:jc w:val="right"/>
              <w:ind w:right="139"/>
              <w:spacing w:after="0" w:line="193" w:lineRule="exact"/>
              <w:rPr>
                <w:sz w:val="20"/>
                <w:szCs w:val="20"/>
                <w:color w:val="auto"/>
              </w:rPr>
            </w:pPr>
            <w:r>
              <w:rPr>
                <w:rFonts w:ascii="Calibri" w:cs="Calibri" w:eastAsia="Calibri" w:hAnsi="Calibri"/>
                <w:sz w:val="16"/>
                <w:szCs w:val="16"/>
                <w:color w:val="auto"/>
              </w:rPr>
              <w:t>$</w:t>
            </w: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152,180</w:t>
            </w:r>
          </w:p>
        </w:tc>
        <w:tc>
          <w:tcPr>
            <w:tcW w:w="100" w:type="dxa"/>
            <w:vAlign w:val="bottom"/>
          </w:tcPr>
          <w:p>
            <w:pPr>
              <w:spacing w:after="0"/>
              <w:rPr>
                <w:sz w:val="16"/>
                <w:szCs w:val="16"/>
                <w:color w:val="auto"/>
              </w:rPr>
            </w:pPr>
          </w:p>
        </w:tc>
        <w:tc>
          <w:tcPr>
            <w:tcW w:w="340" w:type="dxa"/>
            <w:vAlign w:val="bottom"/>
          </w:tcPr>
          <w:p>
            <w:pPr>
              <w:jc w:val="right"/>
              <w:ind w:right="159"/>
              <w:spacing w:after="0" w:line="193" w:lineRule="exact"/>
              <w:rPr>
                <w:sz w:val="20"/>
                <w:szCs w:val="20"/>
                <w:color w:val="auto"/>
              </w:rPr>
            </w:pPr>
            <w:r>
              <w:rPr>
                <w:rFonts w:ascii="Calibri" w:cs="Calibri" w:eastAsia="Calibri" w:hAnsi="Calibri"/>
                <w:sz w:val="16"/>
                <w:szCs w:val="16"/>
                <w:color w:val="auto"/>
                <w:w w:val="97"/>
              </w:rPr>
              <w:t>$</w:t>
            </w: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170,301</w:t>
            </w:r>
          </w:p>
        </w:tc>
        <w:tc>
          <w:tcPr>
            <w:tcW w:w="0" w:type="dxa"/>
            <w:vAlign w:val="bottom"/>
          </w:tcPr>
          <w:p>
            <w:pPr>
              <w:spacing w:after="0"/>
              <w:rPr>
                <w:sz w:val="1"/>
                <w:szCs w:val="1"/>
                <w:color w:val="auto"/>
              </w:rPr>
            </w:pPr>
          </w:p>
        </w:tc>
      </w:tr>
      <w:tr>
        <w:trPr>
          <w:trHeight w:val="23"/>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tcBorders>
              <w:bottom w:val="single" w:sz="8" w:color="DBDBDB"/>
            </w:tcBorders>
            <w:gridSpan w:val="2"/>
            <w:shd w:val="clear" w:color="auto" w:fill="DBDBDB"/>
          </w:tcPr>
          <w:p>
            <w:pPr>
              <w:ind w:left="260"/>
              <w:spacing w:after="0" w:line="193" w:lineRule="exact"/>
              <w:rPr>
                <w:sz w:val="20"/>
                <w:szCs w:val="20"/>
                <w:color w:val="auto"/>
              </w:rPr>
            </w:pPr>
            <w:r>
              <w:rPr>
                <w:rFonts w:ascii="Calibri" w:cs="Calibri" w:eastAsia="Calibri" w:hAnsi="Calibri"/>
                <w:sz w:val="16"/>
                <w:szCs w:val="16"/>
                <w:color w:val="auto"/>
              </w:rPr>
              <w:t>License, collaboraton and other revenue</w:t>
            </w:r>
          </w:p>
        </w:tc>
        <w:tc>
          <w:tcPr>
            <w:tcW w:w="34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8,000</w:t>
            </w:r>
          </w:p>
        </w:tc>
        <w:tc>
          <w:tcPr>
            <w:tcW w:w="10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24,322</w:t>
            </w:r>
          </w:p>
        </w:tc>
        <w:tc>
          <w:tcPr>
            <w:tcW w:w="0" w:type="dxa"/>
            <w:vAlign w:val="bottom"/>
          </w:tcPr>
          <w:p>
            <w:pPr>
              <w:spacing w:after="0"/>
              <w:rPr>
                <w:sz w:val="1"/>
                <w:szCs w:val="1"/>
                <w:color w:val="auto"/>
              </w:rPr>
            </w:pPr>
          </w:p>
        </w:tc>
      </w:tr>
      <w:tr>
        <w:trPr>
          <w:trHeight w:val="187"/>
        </w:trPr>
        <w:tc>
          <w:tcPr>
            <w:tcW w:w="8260" w:type="dxa"/>
            <w:vAlign w:val="bottom"/>
            <w:gridSpan w:val="2"/>
          </w:tcPr>
          <w:p>
            <w:pPr>
              <w:ind w:left="440"/>
              <w:spacing w:after="0" w:line="174" w:lineRule="exact"/>
              <w:rPr>
                <w:sz w:val="20"/>
                <w:szCs w:val="20"/>
                <w:color w:val="auto"/>
              </w:rPr>
            </w:pPr>
            <w:r>
              <w:rPr>
                <w:rFonts w:ascii="Calibri" w:cs="Calibri" w:eastAsia="Calibri" w:hAnsi="Calibri"/>
                <w:sz w:val="16"/>
                <w:szCs w:val="16"/>
                <w:color w:val="auto"/>
              </w:rPr>
              <w:t>Total revenues</w:t>
            </w: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160,180</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194,623</w:t>
            </w:r>
          </w:p>
        </w:tc>
        <w:tc>
          <w:tcPr>
            <w:tcW w:w="0" w:type="dxa"/>
            <w:vAlign w:val="bottom"/>
          </w:tcPr>
          <w:p>
            <w:pPr>
              <w:spacing w:after="0"/>
              <w:rPr>
                <w:sz w:val="1"/>
                <w:szCs w:val="1"/>
                <w:color w:val="auto"/>
              </w:rPr>
            </w:pPr>
          </w:p>
        </w:tc>
      </w:tr>
      <w:tr>
        <w:trPr>
          <w:trHeight w:val="23"/>
        </w:trPr>
        <w:tc>
          <w:tcPr>
            <w:tcW w:w="81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8260" w:type="dxa"/>
            <w:vAlign w:val="bottom"/>
            <w:tcBorders>
              <w:bottom w:val="single" w:sz="8" w:color="DBDBDB"/>
            </w:tcBorders>
            <w:gridSpan w:val="2"/>
            <w:shd w:val="clear" w:color="auto" w:fill="DBDBDB"/>
          </w:tcPr>
          <w:p>
            <w:pPr>
              <w:ind w:left="20"/>
              <w:spacing w:after="0" w:line="174" w:lineRule="exact"/>
              <w:rPr>
                <w:sz w:val="20"/>
                <w:szCs w:val="20"/>
                <w:color w:val="auto"/>
              </w:rPr>
            </w:pPr>
            <w:r>
              <w:rPr>
                <w:rFonts w:ascii="Calibri" w:cs="Calibri" w:eastAsia="Calibri" w:hAnsi="Calibri"/>
                <w:sz w:val="16"/>
                <w:szCs w:val="16"/>
                <w:b w:val="1"/>
                <w:bCs w:val="1"/>
                <w:color w:val="auto"/>
              </w:rPr>
              <w:t>Cost of goods sold:</w:t>
            </w:r>
          </w:p>
        </w:tc>
        <w:tc>
          <w:tcPr>
            <w:tcW w:w="34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spacing w:after="0"/>
              <w:rPr>
                <w:sz w:val="15"/>
                <w:szCs w:val="15"/>
                <w:color w:val="auto"/>
              </w:rPr>
            </w:pPr>
          </w:p>
        </w:tc>
        <w:tc>
          <w:tcPr>
            <w:tcW w:w="100" w:type="dxa"/>
            <w:vAlign w:val="bottom"/>
            <w:tcBorders>
              <w:bottom w:val="single" w:sz="8" w:color="DBDBDB"/>
            </w:tcBorders>
            <w:shd w:val="clear" w:color="auto" w:fill="DBDBDB"/>
          </w:tcPr>
          <w:p>
            <w:pPr>
              <w:spacing w:after="0"/>
              <w:rPr>
                <w:sz w:val="15"/>
                <w:szCs w:val="15"/>
                <w:color w:val="auto"/>
              </w:rPr>
            </w:pPr>
          </w:p>
        </w:tc>
        <w:tc>
          <w:tcPr>
            <w:tcW w:w="34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260" w:type="dxa"/>
            <w:vAlign w:val="bottom"/>
            <w:gridSpan w:val="2"/>
          </w:tcPr>
          <w:p>
            <w:pPr>
              <w:ind w:left="260"/>
              <w:spacing w:after="0" w:line="193" w:lineRule="exact"/>
              <w:rPr>
                <w:sz w:val="20"/>
                <w:szCs w:val="20"/>
                <w:color w:val="auto"/>
              </w:rPr>
            </w:pPr>
            <w:r>
              <w:rPr>
                <w:rFonts w:ascii="Calibri" w:cs="Calibri" w:eastAsia="Calibri" w:hAnsi="Calibri"/>
                <w:sz w:val="16"/>
                <w:szCs w:val="16"/>
                <w:color w:val="auto"/>
              </w:rPr>
              <w:t>Cost of product and other revenue</w:t>
            </w: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27,135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38,107</w:t>
            </w:r>
          </w:p>
        </w:tc>
        <w:tc>
          <w:tcPr>
            <w:tcW w:w="0" w:type="dxa"/>
            <w:vAlign w:val="bottom"/>
          </w:tcPr>
          <w:p>
            <w:pPr>
              <w:spacing w:after="0"/>
              <w:rPr>
                <w:sz w:val="1"/>
                <w:szCs w:val="1"/>
                <w:color w:val="auto"/>
              </w:rPr>
            </w:pPr>
          </w:p>
        </w:tc>
      </w:tr>
      <w:tr>
        <w:trPr>
          <w:trHeight w:val="23"/>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tcBorders>
              <w:bottom w:val="single" w:sz="8" w:color="DBDBDB"/>
            </w:tcBorders>
            <w:gridSpan w:val="2"/>
            <w:shd w:val="clear" w:color="auto" w:fill="DBDBDB"/>
          </w:tcPr>
          <w:p>
            <w:pPr>
              <w:ind w:left="260"/>
              <w:spacing w:after="0" w:line="193" w:lineRule="exact"/>
              <w:rPr>
                <w:sz w:val="20"/>
                <w:szCs w:val="20"/>
                <w:color w:val="auto"/>
              </w:rPr>
            </w:pPr>
            <w:r>
              <w:rPr>
                <w:rFonts w:ascii="Calibri" w:cs="Calibri" w:eastAsia="Calibri" w:hAnsi="Calibri"/>
                <w:sz w:val="16"/>
                <w:szCs w:val="16"/>
                <w:color w:val="auto"/>
              </w:rPr>
              <w:t>Amortzaton of intangible asset</w:t>
            </w:r>
          </w:p>
        </w:tc>
        <w:tc>
          <w:tcPr>
            <w:tcW w:w="34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36,042</w:t>
            </w:r>
          </w:p>
        </w:tc>
        <w:tc>
          <w:tcPr>
            <w:tcW w:w="10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36,042</w:t>
            </w:r>
          </w:p>
        </w:tc>
        <w:tc>
          <w:tcPr>
            <w:tcW w:w="0" w:type="dxa"/>
            <w:vAlign w:val="bottom"/>
          </w:tcPr>
          <w:p>
            <w:pPr>
              <w:spacing w:after="0"/>
              <w:rPr>
                <w:sz w:val="1"/>
                <w:szCs w:val="1"/>
                <w:color w:val="auto"/>
              </w:rPr>
            </w:pPr>
          </w:p>
        </w:tc>
      </w:tr>
      <w:tr>
        <w:trPr>
          <w:trHeight w:val="187"/>
        </w:trPr>
        <w:tc>
          <w:tcPr>
            <w:tcW w:w="8260" w:type="dxa"/>
            <w:vAlign w:val="bottom"/>
            <w:gridSpan w:val="2"/>
          </w:tcPr>
          <w:p>
            <w:pPr>
              <w:ind w:left="440"/>
              <w:spacing w:after="0" w:line="174" w:lineRule="exact"/>
              <w:rPr>
                <w:sz w:val="20"/>
                <w:szCs w:val="20"/>
                <w:color w:val="auto"/>
              </w:rPr>
            </w:pPr>
            <w:r>
              <w:rPr>
                <w:rFonts w:ascii="Calibri" w:cs="Calibri" w:eastAsia="Calibri" w:hAnsi="Calibri"/>
                <w:sz w:val="16"/>
                <w:szCs w:val="16"/>
                <w:color w:val="auto"/>
              </w:rPr>
              <w:t>Total cost of goods sold</w:t>
            </w: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63,177</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74,149</w:t>
            </w:r>
          </w:p>
        </w:tc>
        <w:tc>
          <w:tcPr>
            <w:tcW w:w="0" w:type="dxa"/>
            <w:vAlign w:val="bottom"/>
          </w:tcPr>
          <w:p>
            <w:pPr>
              <w:spacing w:after="0"/>
              <w:rPr>
                <w:sz w:val="1"/>
                <w:szCs w:val="1"/>
                <w:color w:val="auto"/>
              </w:rPr>
            </w:pPr>
          </w:p>
        </w:tc>
      </w:tr>
      <w:tr>
        <w:trPr>
          <w:trHeight w:val="23"/>
        </w:trPr>
        <w:tc>
          <w:tcPr>
            <w:tcW w:w="81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8260" w:type="dxa"/>
            <w:vAlign w:val="bottom"/>
            <w:tcBorders>
              <w:bottom w:val="single" w:sz="8" w:color="DBDBDB"/>
            </w:tcBorders>
            <w:gridSpan w:val="2"/>
            <w:shd w:val="clear" w:color="auto" w:fill="DBDBDB"/>
          </w:tcPr>
          <w:p>
            <w:pPr>
              <w:ind w:left="20"/>
              <w:spacing w:after="0" w:line="174" w:lineRule="exact"/>
              <w:rPr>
                <w:sz w:val="20"/>
                <w:szCs w:val="20"/>
                <w:color w:val="auto"/>
              </w:rPr>
            </w:pPr>
            <w:r>
              <w:rPr>
                <w:rFonts w:ascii="Calibri" w:cs="Calibri" w:eastAsia="Calibri" w:hAnsi="Calibri"/>
                <w:sz w:val="16"/>
                <w:szCs w:val="16"/>
                <w:b w:val="1"/>
                <w:bCs w:val="1"/>
                <w:color w:val="auto"/>
              </w:rPr>
              <w:t>Operatng expenses:</w:t>
            </w:r>
          </w:p>
        </w:tc>
        <w:tc>
          <w:tcPr>
            <w:tcW w:w="34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spacing w:after="0"/>
              <w:rPr>
                <w:sz w:val="15"/>
                <w:szCs w:val="15"/>
                <w:color w:val="auto"/>
              </w:rPr>
            </w:pPr>
          </w:p>
        </w:tc>
        <w:tc>
          <w:tcPr>
            <w:tcW w:w="100" w:type="dxa"/>
            <w:vAlign w:val="bottom"/>
            <w:tcBorders>
              <w:bottom w:val="single" w:sz="8" w:color="DBDBDB"/>
            </w:tcBorders>
            <w:shd w:val="clear" w:color="auto" w:fill="DBDBDB"/>
          </w:tcPr>
          <w:p>
            <w:pPr>
              <w:spacing w:after="0"/>
              <w:rPr>
                <w:sz w:val="15"/>
                <w:szCs w:val="15"/>
                <w:color w:val="auto"/>
              </w:rPr>
            </w:pPr>
          </w:p>
        </w:tc>
        <w:tc>
          <w:tcPr>
            <w:tcW w:w="34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260" w:type="dxa"/>
            <w:vAlign w:val="bottom"/>
            <w:gridSpan w:val="2"/>
          </w:tcPr>
          <w:p>
            <w:pPr>
              <w:ind w:left="260"/>
              <w:spacing w:after="0" w:line="193" w:lineRule="exact"/>
              <w:rPr>
                <w:sz w:val="20"/>
                <w:szCs w:val="20"/>
                <w:color w:val="auto"/>
              </w:rPr>
            </w:pPr>
            <w:r>
              <w:rPr>
                <w:rFonts w:ascii="Calibri" w:cs="Calibri" w:eastAsia="Calibri" w:hAnsi="Calibri"/>
                <w:sz w:val="16"/>
                <w:szCs w:val="16"/>
                <w:color w:val="auto"/>
              </w:rPr>
              <w:t>Research and development</w:t>
            </w: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37,652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63,079</w:t>
            </w:r>
          </w:p>
        </w:tc>
        <w:tc>
          <w:tcPr>
            <w:tcW w:w="0" w:type="dxa"/>
            <w:vAlign w:val="bottom"/>
          </w:tcPr>
          <w:p>
            <w:pPr>
              <w:spacing w:after="0"/>
              <w:rPr>
                <w:sz w:val="1"/>
                <w:szCs w:val="1"/>
                <w:color w:val="auto"/>
              </w:rPr>
            </w:pPr>
          </w:p>
        </w:tc>
      </w:tr>
      <w:tr>
        <w:trPr>
          <w:trHeight w:val="23"/>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DBDBDB"/>
            </w:tcBorders>
            <w:gridSpan w:val="2"/>
            <w:shd w:val="clear" w:color="auto" w:fill="DBDBDB"/>
          </w:tcPr>
          <w:p>
            <w:pPr>
              <w:ind w:left="260"/>
              <w:spacing w:after="0" w:line="193" w:lineRule="exact"/>
              <w:rPr>
                <w:sz w:val="20"/>
                <w:szCs w:val="20"/>
                <w:color w:val="auto"/>
              </w:rPr>
            </w:pPr>
            <w:r>
              <w:rPr>
                <w:rFonts w:ascii="Calibri" w:cs="Calibri" w:eastAsia="Calibri" w:hAnsi="Calibri"/>
                <w:sz w:val="16"/>
                <w:szCs w:val="16"/>
                <w:color w:val="auto"/>
              </w:rPr>
              <w:t>Selling, general and administratve</w:t>
            </w: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106,545</w:t>
            </w:r>
          </w:p>
        </w:tc>
        <w:tc>
          <w:tcPr>
            <w:tcW w:w="10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100,233</w:t>
            </w:r>
          </w:p>
        </w:tc>
        <w:tc>
          <w:tcPr>
            <w:tcW w:w="0" w:type="dxa"/>
            <w:vAlign w:val="bottom"/>
          </w:tcPr>
          <w:p>
            <w:pPr>
              <w:spacing w:after="0"/>
              <w:rPr>
                <w:sz w:val="1"/>
                <w:szCs w:val="1"/>
                <w:color w:val="auto"/>
              </w:rPr>
            </w:pPr>
          </w:p>
        </w:tc>
      </w:tr>
      <w:tr>
        <w:trPr>
          <w:trHeight w:val="193"/>
        </w:trPr>
        <w:tc>
          <w:tcPr>
            <w:tcW w:w="8260" w:type="dxa"/>
            <w:vAlign w:val="bottom"/>
            <w:gridSpan w:val="2"/>
          </w:tcPr>
          <w:p>
            <w:pPr>
              <w:ind w:left="260"/>
              <w:spacing w:after="0" w:line="193" w:lineRule="exact"/>
              <w:rPr>
                <w:sz w:val="20"/>
                <w:szCs w:val="20"/>
                <w:color w:val="auto"/>
              </w:rPr>
            </w:pPr>
            <w:r>
              <w:rPr>
                <w:rFonts w:ascii="Calibri" w:cs="Calibri" w:eastAsia="Calibri" w:hAnsi="Calibri"/>
                <w:sz w:val="16"/>
                <w:szCs w:val="16"/>
                <w:color w:val="auto"/>
              </w:rPr>
              <w:t>License</w:t>
            </w: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3,220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3,237</w:t>
            </w:r>
          </w:p>
        </w:tc>
        <w:tc>
          <w:tcPr>
            <w:tcW w:w="0" w:type="dxa"/>
            <w:vAlign w:val="bottom"/>
          </w:tcPr>
          <w:p>
            <w:pPr>
              <w:spacing w:after="0"/>
              <w:rPr>
                <w:sz w:val="1"/>
                <w:szCs w:val="1"/>
                <w:color w:val="auto"/>
              </w:rPr>
            </w:pPr>
          </w:p>
        </w:tc>
      </w:tr>
      <w:tr>
        <w:trPr>
          <w:trHeight w:val="23"/>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tcBorders>
              <w:bottom w:val="single" w:sz="8" w:color="DBDBDB"/>
            </w:tcBorders>
            <w:gridSpan w:val="2"/>
            <w:shd w:val="clear" w:color="auto" w:fill="DBDBDB"/>
          </w:tcPr>
          <w:p>
            <w:pPr>
              <w:ind w:left="260"/>
              <w:spacing w:after="0" w:line="193" w:lineRule="exact"/>
              <w:rPr>
                <w:sz w:val="20"/>
                <w:szCs w:val="20"/>
                <w:color w:val="auto"/>
              </w:rPr>
            </w:pPr>
            <w:r>
              <w:rPr>
                <w:rFonts w:ascii="Calibri" w:cs="Calibri" w:eastAsia="Calibri" w:hAnsi="Calibri"/>
                <w:sz w:val="16"/>
                <w:szCs w:val="16"/>
                <w:color w:val="auto"/>
              </w:rPr>
              <w:t>Restructuring</w:t>
            </w:r>
          </w:p>
        </w:tc>
        <w:tc>
          <w:tcPr>
            <w:tcW w:w="34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58</w:t>
            </w:r>
          </w:p>
        </w:tc>
        <w:tc>
          <w:tcPr>
            <w:tcW w:w="10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181</w:t>
            </w:r>
          </w:p>
        </w:tc>
        <w:tc>
          <w:tcPr>
            <w:tcW w:w="0" w:type="dxa"/>
            <w:vAlign w:val="bottom"/>
          </w:tcPr>
          <w:p>
            <w:pPr>
              <w:spacing w:after="0"/>
              <w:rPr>
                <w:sz w:val="1"/>
                <w:szCs w:val="1"/>
                <w:color w:val="auto"/>
              </w:rPr>
            </w:pPr>
          </w:p>
        </w:tc>
      </w:tr>
      <w:tr>
        <w:trPr>
          <w:trHeight w:val="187"/>
        </w:trPr>
        <w:tc>
          <w:tcPr>
            <w:tcW w:w="8260" w:type="dxa"/>
            <w:vAlign w:val="bottom"/>
            <w:gridSpan w:val="2"/>
          </w:tcPr>
          <w:p>
            <w:pPr>
              <w:ind w:left="440"/>
              <w:spacing w:after="0" w:line="174" w:lineRule="exact"/>
              <w:rPr>
                <w:sz w:val="20"/>
                <w:szCs w:val="20"/>
                <w:color w:val="auto"/>
              </w:rPr>
            </w:pPr>
            <w:r>
              <w:rPr>
                <w:rFonts w:ascii="Calibri" w:cs="Calibri" w:eastAsia="Calibri" w:hAnsi="Calibri"/>
                <w:sz w:val="16"/>
                <w:szCs w:val="16"/>
                <w:color w:val="auto"/>
              </w:rPr>
              <w:t>Total operatng expenses</w:t>
            </w: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147,475</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166,730</w:t>
            </w:r>
          </w:p>
        </w:tc>
        <w:tc>
          <w:tcPr>
            <w:tcW w:w="0" w:type="dxa"/>
            <w:vAlign w:val="bottom"/>
          </w:tcPr>
          <w:p>
            <w:pPr>
              <w:spacing w:after="0"/>
              <w:rPr>
                <w:sz w:val="1"/>
                <w:szCs w:val="1"/>
                <w:color w:val="auto"/>
              </w:rPr>
            </w:pPr>
          </w:p>
        </w:tc>
      </w:tr>
      <w:tr>
        <w:trPr>
          <w:trHeight w:val="23"/>
        </w:trPr>
        <w:tc>
          <w:tcPr>
            <w:tcW w:w="81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DBDBDB"/>
            </w:tcBorders>
            <w:gridSpan w:val="2"/>
            <w:shd w:val="clear" w:color="auto" w:fill="DBDBDB"/>
          </w:tcPr>
          <w:p>
            <w:pPr>
              <w:ind w:left="20"/>
              <w:spacing w:after="0" w:line="174" w:lineRule="exact"/>
              <w:rPr>
                <w:sz w:val="20"/>
                <w:szCs w:val="20"/>
                <w:color w:val="auto"/>
              </w:rPr>
            </w:pPr>
            <w:r>
              <w:rPr>
                <w:rFonts w:ascii="Calibri" w:cs="Calibri" w:eastAsia="Calibri" w:hAnsi="Calibri"/>
                <w:sz w:val="16"/>
                <w:szCs w:val="16"/>
                <w:b w:val="1"/>
                <w:bCs w:val="1"/>
                <w:color w:val="auto"/>
              </w:rPr>
              <w:t>Loss from operatons</w:t>
            </w:r>
          </w:p>
        </w:tc>
        <w:tc>
          <w:tcPr>
            <w:tcW w:w="34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(50,472)</w:t>
            </w:r>
          </w:p>
        </w:tc>
        <w:tc>
          <w:tcPr>
            <w:tcW w:w="10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(46,256)</w:t>
            </w:r>
          </w:p>
        </w:tc>
        <w:tc>
          <w:tcPr>
            <w:tcW w:w="0" w:type="dxa"/>
            <w:vAlign w:val="bottom"/>
          </w:tcPr>
          <w:p>
            <w:pPr>
              <w:spacing w:after="0"/>
              <w:rPr>
                <w:sz w:val="1"/>
                <w:szCs w:val="1"/>
                <w:color w:val="auto"/>
              </w:rPr>
            </w:pPr>
          </w:p>
        </w:tc>
      </w:tr>
      <w:tr>
        <w:trPr>
          <w:trHeight w:val="193"/>
        </w:trPr>
        <w:tc>
          <w:tcPr>
            <w:tcW w:w="8260" w:type="dxa"/>
            <w:vAlign w:val="bottom"/>
            <w:gridSpan w:val="2"/>
          </w:tcPr>
          <w:p>
            <w:pPr>
              <w:ind w:left="20"/>
              <w:spacing w:after="0" w:line="193" w:lineRule="exact"/>
              <w:rPr>
                <w:sz w:val="20"/>
                <w:szCs w:val="20"/>
                <w:color w:val="auto"/>
              </w:rPr>
            </w:pPr>
            <w:r>
              <w:rPr>
                <w:rFonts w:ascii="Calibri" w:cs="Calibri" w:eastAsia="Calibri" w:hAnsi="Calibri"/>
                <w:sz w:val="16"/>
                <w:szCs w:val="16"/>
                <w:b w:val="1"/>
                <w:bCs w:val="1"/>
                <w:color w:val="auto"/>
              </w:rPr>
              <w:t>Other income (expense):</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DBDBDB"/>
            </w:tcBorders>
            <w:gridSpan w:val="2"/>
            <w:shd w:val="clear" w:color="auto" w:fill="DBDBDB"/>
          </w:tcPr>
          <w:p>
            <w:pPr>
              <w:ind w:left="260"/>
              <w:spacing w:after="0" w:line="193" w:lineRule="exact"/>
              <w:rPr>
                <w:sz w:val="20"/>
                <w:szCs w:val="20"/>
                <w:color w:val="auto"/>
              </w:rPr>
            </w:pPr>
            <w:r>
              <w:rPr>
                <w:rFonts w:ascii="Calibri" w:cs="Calibri" w:eastAsia="Calibri" w:hAnsi="Calibri"/>
                <w:sz w:val="16"/>
                <w:szCs w:val="16"/>
                <w:color w:val="auto"/>
              </w:rPr>
              <w:t>Interest expense</w:t>
            </w: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(18,185)</w:t>
            </w:r>
          </w:p>
        </w:tc>
        <w:tc>
          <w:tcPr>
            <w:tcW w:w="10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(6,032)</w:t>
            </w:r>
          </w:p>
        </w:tc>
        <w:tc>
          <w:tcPr>
            <w:tcW w:w="0" w:type="dxa"/>
            <w:vAlign w:val="bottom"/>
          </w:tcPr>
          <w:p>
            <w:pPr>
              <w:spacing w:after="0"/>
              <w:rPr>
                <w:sz w:val="1"/>
                <w:szCs w:val="1"/>
                <w:color w:val="auto"/>
              </w:rPr>
            </w:pPr>
          </w:p>
        </w:tc>
      </w:tr>
      <w:tr>
        <w:trPr>
          <w:trHeight w:val="193"/>
        </w:trPr>
        <w:tc>
          <w:tcPr>
            <w:tcW w:w="8260" w:type="dxa"/>
            <w:vAlign w:val="bottom"/>
            <w:gridSpan w:val="2"/>
          </w:tcPr>
          <w:p>
            <w:pPr>
              <w:ind w:left="260"/>
              <w:spacing w:after="0" w:line="193" w:lineRule="exact"/>
              <w:rPr>
                <w:sz w:val="20"/>
                <w:szCs w:val="20"/>
                <w:color w:val="auto"/>
              </w:rPr>
            </w:pPr>
            <w:r>
              <w:rPr>
                <w:rFonts w:ascii="Calibri" w:cs="Calibri" w:eastAsia="Calibri" w:hAnsi="Calibri"/>
                <w:sz w:val="16"/>
                <w:szCs w:val="16"/>
                <w:color w:val="auto"/>
              </w:rPr>
              <w:t>Other income</w:t>
            </w: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94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887</w:t>
            </w:r>
          </w:p>
        </w:tc>
        <w:tc>
          <w:tcPr>
            <w:tcW w:w="0" w:type="dxa"/>
            <w:vAlign w:val="bottom"/>
          </w:tcPr>
          <w:p>
            <w:pPr>
              <w:spacing w:after="0"/>
              <w:rPr>
                <w:sz w:val="1"/>
                <w:szCs w:val="1"/>
                <w:color w:val="auto"/>
              </w:rPr>
            </w:pPr>
          </w:p>
        </w:tc>
      </w:tr>
      <w:tr>
        <w:trPr>
          <w:trHeight w:val="23"/>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DBDBDB"/>
            </w:tcBorders>
            <w:gridSpan w:val="2"/>
            <w:shd w:val="clear" w:color="auto" w:fill="DBDBDB"/>
          </w:tcPr>
          <w:p>
            <w:pPr>
              <w:ind w:left="260"/>
              <w:spacing w:after="0" w:line="193" w:lineRule="exact"/>
              <w:rPr>
                <w:sz w:val="20"/>
                <w:szCs w:val="20"/>
                <w:color w:val="auto"/>
              </w:rPr>
            </w:pPr>
            <w:r>
              <w:rPr>
                <w:rFonts w:ascii="Calibri" w:cs="Calibri" w:eastAsia="Calibri" w:hAnsi="Calibri"/>
                <w:sz w:val="16"/>
                <w:szCs w:val="16"/>
                <w:color w:val="auto"/>
              </w:rPr>
              <w:t>Change in fair value of warrant liability</w:t>
            </w: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(330)</w:t>
            </w:r>
          </w:p>
        </w:tc>
        <w:tc>
          <w:tcPr>
            <w:tcW w:w="10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193"/>
        </w:trPr>
        <w:tc>
          <w:tcPr>
            <w:tcW w:w="8260" w:type="dxa"/>
            <w:vAlign w:val="bottom"/>
            <w:gridSpan w:val="2"/>
          </w:tcPr>
          <w:p>
            <w:pPr>
              <w:ind w:left="260"/>
              <w:spacing w:after="0" w:line="193" w:lineRule="exact"/>
              <w:rPr>
                <w:sz w:val="20"/>
                <w:szCs w:val="20"/>
                <w:color w:val="auto"/>
              </w:rPr>
            </w:pPr>
            <w:r>
              <w:rPr>
                <w:rFonts w:ascii="Calibri" w:cs="Calibri" w:eastAsia="Calibri" w:hAnsi="Calibri"/>
                <w:sz w:val="16"/>
                <w:szCs w:val="16"/>
                <w:color w:val="auto"/>
              </w:rPr>
              <w:t>Loss on extnguishment of debt</w:t>
            </w: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(517)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
        </w:trPr>
        <w:tc>
          <w:tcPr>
            <w:tcW w:w="8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tcBorders>
              <w:bottom w:val="single" w:sz="8" w:color="DBDBDB"/>
            </w:tcBorders>
            <w:gridSpan w:val="2"/>
            <w:shd w:val="clear" w:color="auto" w:fill="DBDBDB"/>
          </w:tcPr>
          <w:p>
            <w:pPr>
              <w:ind w:left="260"/>
              <w:spacing w:after="0" w:line="193" w:lineRule="exact"/>
              <w:rPr>
                <w:sz w:val="20"/>
                <w:szCs w:val="20"/>
                <w:color w:val="auto"/>
              </w:rPr>
            </w:pPr>
            <w:r>
              <w:rPr>
                <w:rFonts w:ascii="Calibri" w:cs="Calibri" w:eastAsia="Calibri" w:hAnsi="Calibri"/>
                <w:sz w:val="16"/>
                <w:szCs w:val="16"/>
                <w:color w:val="auto"/>
              </w:rPr>
              <w:t>Loss on terminaton of lease</w:t>
            </w:r>
          </w:p>
        </w:tc>
        <w:tc>
          <w:tcPr>
            <w:tcW w:w="34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DBDBDB"/>
            </w:tcBorders>
            <w:gridSpan w:val="2"/>
            <w:shd w:val="clear" w:color="auto" w:fill="DBDBDB"/>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34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(524)</w:t>
            </w:r>
          </w:p>
        </w:tc>
        <w:tc>
          <w:tcPr>
            <w:tcW w:w="0" w:type="dxa"/>
            <w:vAlign w:val="bottom"/>
          </w:tcPr>
          <w:p>
            <w:pPr>
              <w:spacing w:after="0"/>
              <w:rPr>
                <w:sz w:val="1"/>
                <w:szCs w:val="1"/>
                <w:color w:val="auto"/>
              </w:rPr>
            </w:pPr>
          </w:p>
        </w:tc>
      </w:tr>
      <w:tr>
        <w:trPr>
          <w:trHeight w:val="187"/>
        </w:trPr>
        <w:tc>
          <w:tcPr>
            <w:tcW w:w="8260" w:type="dxa"/>
            <w:vAlign w:val="bottom"/>
            <w:gridSpan w:val="2"/>
          </w:tcPr>
          <w:p>
            <w:pPr>
              <w:ind w:left="20"/>
              <w:spacing w:after="0" w:line="182" w:lineRule="exact"/>
              <w:rPr>
                <w:sz w:val="20"/>
                <w:szCs w:val="20"/>
                <w:color w:val="auto"/>
              </w:rPr>
            </w:pPr>
            <w:r>
              <w:rPr>
                <w:rFonts w:ascii="Calibri" w:cs="Calibri" w:eastAsia="Calibri" w:hAnsi="Calibri"/>
                <w:sz w:val="16"/>
                <w:szCs w:val="16"/>
                <w:b w:val="1"/>
                <w:bCs w:val="1"/>
                <w:color w:val="auto"/>
              </w:rPr>
              <w:t>Net loss before income taxes</w:t>
            </w: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(69,410)</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(51,925)</w:t>
            </w:r>
          </w:p>
        </w:tc>
        <w:tc>
          <w:tcPr>
            <w:tcW w:w="0" w:type="dxa"/>
            <w:vAlign w:val="bottom"/>
          </w:tcPr>
          <w:p>
            <w:pPr>
              <w:spacing w:after="0"/>
              <w:rPr>
                <w:sz w:val="1"/>
                <w:szCs w:val="1"/>
                <w:color w:val="auto"/>
              </w:rPr>
            </w:pPr>
          </w:p>
        </w:tc>
      </w:tr>
      <w:tr>
        <w:trPr>
          <w:trHeight w:val="23"/>
        </w:trPr>
        <w:tc>
          <w:tcPr>
            <w:tcW w:w="81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260" w:type="dxa"/>
            <w:vAlign w:val="bottom"/>
            <w:tcBorders>
              <w:bottom w:val="single" w:sz="8" w:color="DBDBDB"/>
            </w:tcBorders>
            <w:gridSpan w:val="2"/>
            <w:shd w:val="clear" w:color="auto" w:fill="DBDBDB"/>
          </w:tcPr>
          <w:p>
            <w:pPr>
              <w:ind w:left="20"/>
              <w:spacing w:after="0" w:line="182" w:lineRule="exact"/>
              <w:rPr>
                <w:sz w:val="20"/>
                <w:szCs w:val="20"/>
                <w:color w:val="auto"/>
              </w:rPr>
            </w:pPr>
            <w:r>
              <w:rPr>
                <w:rFonts w:ascii="Calibri" w:cs="Calibri" w:eastAsia="Calibri" w:hAnsi="Calibri"/>
                <w:sz w:val="16"/>
                <w:szCs w:val="16"/>
                <w:b w:val="1"/>
                <w:bCs w:val="1"/>
                <w:color w:val="auto"/>
              </w:rPr>
              <w:t>Net loss</w:t>
            </w:r>
          </w:p>
        </w:tc>
        <w:tc>
          <w:tcPr>
            <w:tcW w:w="340" w:type="dxa"/>
            <w:vAlign w:val="bottom"/>
            <w:tcBorders>
              <w:bottom w:val="single" w:sz="8" w:color="DBDBDB"/>
            </w:tcBorders>
            <w:shd w:val="clear" w:color="auto" w:fill="DBDBDB"/>
          </w:tcPr>
          <w:p>
            <w:pPr>
              <w:jc w:val="right"/>
              <w:ind w:right="139"/>
              <w:spacing w:after="0" w:line="187" w:lineRule="exact"/>
              <w:rPr>
                <w:sz w:val="20"/>
                <w:szCs w:val="20"/>
                <w:color w:val="auto"/>
              </w:rPr>
            </w:pPr>
            <w:r>
              <w:rPr>
                <w:rFonts w:ascii="Calibri" w:cs="Calibri" w:eastAsia="Calibri" w:hAnsi="Calibri"/>
                <w:sz w:val="16"/>
                <w:szCs w:val="16"/>
                <w:color w:val="auto"/>
              </w:rPr>
              <w:t>$</w:t>
            </w:r>
          </w:p>
        </w:tc>
        <w:tc>
          <w:tcPr>
            <w:tcW w:w="110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(69,410)</w:t>
            </w:r>
          </w:p>
        </w:tc>
        <w:tc>
          <w:tcPr>
            <w:tcW w:w="10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DBDBDB"/>
            </w:tcBorders>
            <w:shd w:val="clear" w:color="auto" w:fill="DBDBDB"/>
          </w:tcPr>
          <w:p>
            <w:pPr>
              <w:jc w:val="right"/>
              <w:ind w:right="159"/>
              <w:spacing w:after="0" w:line="187" w:lineRule="exact"/>
              <w:rPr>
                <w:sz w:val="20"/>
                <w:szCs w:val="20"/>
                <w:color w:val="auto"/>
              </w:rPr>
            </w:pPr>
            <w:r>
              <w:rPr>
                <w:rFonts w:ascii="Calibri" w:cs="Calibri" w:eastAsia="Calibri" w:hAnsi="Calibri"/>
                <w:sz w:val="16"/>
                <w:szCs w:val="16"/>
                <w:color w:val="auto"/>
                <w:w w:val="97"/>
              </w:rPr>
              <w:t>$</w:t>
            </w:r>
          </w:p>
        </w:tc>
        <w:tc>
          <w:tcPr>
            <w:tcW w:w="110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(51,925)</w:t>
            </w:r>
          </w:p>
        </w:tc>
        <w:tc>
          <w:tcPr>
            <w:tcW w:w="0" w:type="dxa"/>
            <w:vAlign w:val="bottom"/>
          </w:tcPr>
          <w:p>
            <w:pPr>
              <w:spacing w:after="0"/>
              <w:rPr>
                <w:sz w:val="1"/>
                <w:szCs w:val="1"/>
                <w:color w:val="auto"/>
              </w:rPr>
            </w:pPr>
          </w:p>
        </w:tc>
      </w:tr>
      <w:tr>
        <w:trPr>
          <w:trHeight w:val="209"/>
        </w:trPr>
        <w:tc>
          <w:tcPr>
            <w:tcW w:w="8260" w:type="dxa"/>
            <w:vAlign w:val="bottom"/>
            <w:gridSpan w:val="2"/>
          </w:tcPr>
          <w:p>
            <w:pPr>
              <w:ind w:left="20"/>
              <w:spacing w:after="0"/>
              <w:rPr>
                <w:sz w:val="20"/>
                <w:szCs w:val="20"/>
                <w:color w:val="auto"/>
              </w:rPr>
            </w:pPr>
            <w:r>
              <w:rPr>
                <w:rFonts w:ascii="Calibri" w:cs="Calibri" w:eastAsia="Calibri" w:hAnsi="Calibri"/>
                <w:sz w:val="16"/>
                <w:szCs w:val="16"/>
                <w:b w:val="1"/>
                <w:bCs w:val="1"/>
                <w:color w:val="auto"/>
              </w:rPr>
              <w:t>Comprehensive loss</w:t>
            </w:r>
          </w:p>
        </w:tc>
        <w:tc>
          <w:tcPr>
            <w:tcW w:w="340" w:type="dxa"/>
            <w:vAlign w:val="bottom"/>
            <w:tcBorders>
              <w:top w:val="single" w:sz="8" w:color="auto"/>
              <w:bottom w:val="single" w:sz="8" w:color="auto"/>
            </w:tcBorders>
          </w:tcPr>
          <w:p>
            <w:pPr>
              <w:jc w:val="right"/>
              <w:ind w:right="139"/>
              <w:spacing w:after="0" w:line="193" w:lineRule="exact"/>
              <w:rPr>
                <w:sz w:val="20"/>
                <w:szCs w:val="20"/>
                <w:color w:val="auto"/>
              </w:rPr>
            </w:pPr>
            <w:r>
              <w:rPr>
                <w:rFonts w:ascii="Calibri" w:cs="Calibri" w:eastAsia="Calibri" w:hAnsi="Calibri"/>
                <w:sz w:val="16"/>
                <w:szCs w:val="16"/>
                <w:color w:val="auto"/>
              </w:rPr>
              <w:t>$</w:t>
            </w:r>
          </w:p>
        </w:tc>
        <w:tc>
          <w:tcPr>
            <w:tcW w:w="110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(69,410)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line="193" w:lineRule="exact"/>
              <w:rPr>
                <w:sz w:val="20"/>
                <w:szCs w:val="20"/>
                <w:color w:val="auto"/>
              </w:rPr>
            </w:pPr>
            <w:r>
              <w:rPr>
                <w:rFonts w:ascii="Calibri" w:cs="Calibri" w:eastAsia="Calibri" w:hAnsi="Calibri"/>
                <w:sz w:val="16"/>
                <w:szCs w:val="16"/>
                <w:color w:val="auto"/>
                <w:w w:val="97"/>
              </w:rPr>
              <w:t>$</w:t>
            </w:r>
          </w:p>
        </w:tc>
        <w:tc>
          <w:tcPr>
            <w:tcW w:w="110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(51,925)</w:t>
            </w:r>
          </w:p>
        </w:tc>
        <w:tc>
          <w:tcPr>
            <w:tcW w:w="0" w:type="dxa"/>
            <w:vAlign w:val="bottom"/>
          </w:tcPr>
          <w:p>
            <w:pPr>
              <w:spacing w:after="0"/>
              <w:rPr>
                <w:sz w:val="1"/>
                <w:szCs w:val="1"/>
                <w:color w:val="auto"/>
              </w:rPr>
            </w:pPr>
          </w:p>
        </w:tc>
      </w:tr>
      <w:tr>
        <w:trPr>
          <w:trHeight w:val="20"/>
        </w:trPr>
        <w:tc>
          <w:tcPr>
            <w:tcW w:w="81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6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4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26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Net loss per share:</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8260" w:type="dxa"/>
            <w:vAlign w:val="bottom"/>
            <w:tcBorders>
              <w:bottom w:val="single" w:sz="8" w:color="DBDBDB"/>
            </w:tcBorders>
            <w:gridSpan w:val="2"/>
            <w:shd w:val="clear" w:color="auto" w:fill="DBDBDB"/>
          </w:tcPr>
          <w:p>
            <w:pPr>
              <w:ind w:left="260"/>
              <w:spacing w:after="0"/>
              <w:rPr>
                <w:sz w:val="20"/>
                <w:szCs w:val="20"/>
                <w:color w:val="auto"/>
              </w:rPr>
            </w:pPr>
            <w:r>
              <w:rPr>
                <w:rFonts w:ascii="Calibri" w:cs="Calibri" w:eastAsia="Calibri" w:hAnsi="Calibri"/>
                <w:sz w:val="16"/>
                <w:szCs w:val="16"/>
                <w:color w:val="auto"/>
              </w:rPr>
              <w:t>Basic and diluted</w:t>
            </w:r>
          </w:p>
        </w:tc>
        <w:tc>
          <w:tcPr>
            <w:tcW w:w="34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$(0.33)</w:t>
            </w:r>
          </w:p>
        </w:tc>
        <w:tc>
          <w:tcPr>
            <w:tcW w:w="100" w:type="dxa"/>
            <w:vAlign w:val="bottom"/>
            <w:tcBorders>
              <w:bottom w:val="single" w:sz="8" w:color="DBDBDB"/>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$(0.28)</w:t>
            </w:r>
          </w:p>
        </w:tc>
        <w:tc>
          <w:tcPr>
            <w:tcW w:w="0" w:type="dxa"/>
            <w:vAlign w:val="bottom"/>
          </w:tcPr>
          <w:p>
            <w:pPr>
              <w:spacing w:after="0"/>
              <w:rPr>
                <w:sz w:val="1"/>
                <w:szCs w:val="1"/>
                <w:color w:val="auto"/>
              </w:rPr>
            </w:pPr>
          </w:p>
        </w:tc>
      </w:tr>
      <w:tr>
        <w:trPr>
          <w:trHeight w:val="20"/>
        </w:trPr>
        <w:tc>
          <w:tcPr>
            <w:tcW w:w="81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6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Weighted average number of common shares outstanding:</w:t>
            </w: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260" w:type="dxa"/>
            <w:vAlign w:val="bottom"/>
            <w:gridSpan w:val="2"/>
          </w:tcPr>
          <w:p>
            <w:pPr>
              <w:ind w:left="260"/>
              <w:spacing w:after="0" w:line="193" w:lineRule="exact"/>
              <w:rPr>
                <w:sz w:val="20"/>
                <w:szCs w:val="20"/>
                <w:color w:val="auto"/>
              </w:rPr>
            </w:pPr>
            <w:r>
              <w:rPr>
                <w:rFonts w:ascii="Calibri" w:cs="Calibri" w:eastAsia="Calibri" w:hAnsi="Calibri"/>
                <w:sz w:val="16"/>
                <w:szCs w:val="16"/>
                <w:color w:val="auto"/>
              </w:rPr>
              <w:t>Basic and diluted</w:t>
            </w: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210,946,658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187,465,448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Akebia Therapeutcs, Inc. | Form 10-K | Page 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9" w:name="page130"/>
    <w:bookmarkEnd w:id="12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Akebia Therapeutcs, Inc.</w:t>
      </w:r>
    </w:p>
    <w:p>
      <w:pPr>
        <w:jc w:val="center"/>
        <w:ind w:right="20"/>
        <w:spacing w:after="0" w:line="235" w:lineRule="auto"/>
        <w:rPr>
          <w:sz w:val="20"/>
          <w:szCs w:val="20"/>
          <w:color w:val="auto"/>
        </w:rPr>
      </w:pPr>
      <w:r>
        <w:rPr>
          <w:rFonts w:ascii="Calibri" w:cs="Calibri" w:eastAsia="Calibri" w:hAnsi="Calibri"/>
          <w:sz w:val="18"/>
          <w:szCs w:val="18"/>
          <w:b w:val="1"/>
          <w:bCs w:val="1"/>
          <w:color w:val="auto"/>
        </w:rPr>
        <w:t>CONSOLIDATED STATEMENTS OF STOCKHOLDERS' (DEFICIT) EQUITY</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80"/>
              <w:spacing w:after="0"/>
              <w:rPr>
                <w:sz w:val="20"/>
                <w:szCs w:val="20"/>
                <w:color w:val="auto"/>
              </w:rPr>
            </w:pPr>
            <w:r>
              <w:rPr>
                <w:rFonts w:ascii="Calibri" w:cs="Calibri" w:eastAsia="Calibri" w:hAnsi="Calibri"/>
                <w:sz w:val="16"/>
                <w:szCs w:val="16"/>
                <w:b w:val="1"/>
                <w:bCs w:val="1"/>
                <w:color w:val="auto"/>
              </w:rPr>
              <w:t>Accumulated</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3"/>
            <w:vMerge w:val="restart"/>
          </w:tcPr>
          <w:p>
            <w:pPr>
              <w:jc w:val="right"/>
              <w:ind w:right="299"/>
              <w:spacing w:after="0"/>
              <w:rPr>
                <w:sz w:val="20"/>
                <w:szCs w:val="20"/>
                <w:color w:val="auto"/>
              </w:rPr>
            </w:pPr>
            <w:r>
              <w:rPr>
                <w:rFonts w:ascii="Calibri" w:cs="Calibri" w:eastAsia="Calibri" w:hAnsi="Calibri"/>
                <w:sz w:val="16"/>
                <w:szCs w:val="16"/>
                <w:b w:val="1"/>
                <w:bCs w:val="1"/>
                <w:color w:val="auto"/>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80"/>
              <w:spacing w:after="0" w:line="162" w:lineRule="exact"/>
              <w:rPr>
                <w:sz w:val="20"/>
                <w:szCs w:val="20"/>
                <w:color w:val="auto"/>
              </w:rPr>
            </w:pPr>
            <w:r>
              <w:rPr>
                <w:rFonts w:ascii="Calibri" w:cs="Calibri" w:eastAsia="Calibri" w:hAnsi="Calibri"/>
                <w:sz w:val="16"/>
                <w:szCs w:val="16"/>
                <w:b w:val="1"/>
                <w:bCs w:val="1"/>
                <w:color w:val="auto"/>
              </w:rPr>
              <w:t>Other</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79"/>
              <w:spacing w:after="0" w:line="162" w:lineRule="exact"/>
              <w:rPr>
                <w:sz w:val="20"/>
                <w:szCs w:val="20"/>
                <w:color w:val="auto"/>
              </w:rPr>
            </w:pPr>
            <w:r>
              <w:rPr>
                <w:rFonts w:ascii="Calibri" w:cs="Calibri" w:eastAsia="Calibri" w:hAnsi="Calibri"/>
                <w:sz w:val="16"/>
                <w:szCs w:val="16"/>
                <w:b w:val="1"/>
                <w:bCs w:val="1"/>
                <w:color w:val="auto"/>
              </w:rPr>
              <w:t>Total</w:t>
            </w:r>
          </w:p>
        </w:tc>
        <w:tc>
          <w:tcPr>
            <w:tcW w:w="0" w:type="dxa"/>
            <w:vAlign w:val="bottom"/>
          </w:tcPr>
          <w:p>
            <w:pPr>
              <w:spacing w:after="0"/>
              <w:rPr>
                <w:sz w:val="1"/>
                <w:szCs w:val="1"/>
                <w:color w:val="auto"/>
              </w:rPr>
            </w:pPr>
          </w:p>
        </w:tc>
      </w:tr>
      <w:tr>
        <w:trPr>
          <w:trHeight w:val="99"/>
        </w:trPr>
        <w:tc>
          <w:tcPr>
            <w:tcW w:w="4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98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20" w:type="dxa"/>
            <w:vAlign w:val="bottom"/>
            <w:gridSpan w:val="2"/>
            <w:vMerge w:val="restart"/>
          </w:tcPr>
          <w:p>
            <w:pPr>
              <w:jc w:val="center"/>
              <w:ind w:right="280"/>
              <w:spacing w:after="0" w:line="142" w:lineRule="exact"/>
              <w:rPr>
                <w:sz w:val="20"/>
                <w:szCs w:val="20"/>
                <w:color w:val="auto"/>
              </w:rPr>
            </w:pPr>
            <w:r>
              <w:rPr>
                <w:rFonts w:ascii="Calibri" w:cs="Calibri" w:eastAsia="Calibri" w:hAnsi="Calibri"/>
                <w:sz w:val="15"/>
                <w:szCs w:val="15"/>
                <w:b w:val="1"/>
                <w:bCs w:val="1"/>
                <w:color w:val="auto"/>
              </w:rPr>
              <w:t>Additonal</w:t>
            </w:r>
          </w:p>
        </w:tc>
        <w:tc>
          <w:tcPr>
            <w:tcW w:w="1160" w:type="dxa"/>
            <w:vAlign w:val="bottom"/>
            <w:gridSpan w:val="3"/>
            <w:vMerge w:val="restart"/>
          </w:tcPr>
          <w:p>
            <w:pPr>
              <w:ind w:left="20"/>
              <w:spacing w:after="0" w:line="142" w:lineRule="exact"/>
              <w:rPr>
                <w:sz w:val="20"/>
                <w:szCs w:val="20"/>
                <w:color w:val="auto"/>
              </w:rPr>
            </w:pPr>
            <w:r>
              <w:rPr>
                <w:rFonts w:ascii="Calibri" w:cs="Calibri" w:eastAsia="Calibri" w:hAnsi="Calibri"/>
                <w:sz w:val="15"/>
                <w:szCs w:val="15"/>
                <w:b w:val="1"/>
                <w:bCs w:val="1"/>
                <w:color w:val="auto"/>
              </w:rPr>
              <w:t>Comprehensive</w:t>
            </w:r>
          </w:p>
        </w:tc>
        <w:tc>
          <w:tcPr>
            <w:tcW w:w="1160" w:type="dxa"/>
            <w:vAlign w:val="bottom"/>
            <w:gridSpan w:val="3"/>
            <w:vMerge w:val="restart"/>
          </w:tcPr>
          <w:p>
            <w:pPr>
              <w:jc w:val="center"/>
              <w:ind w:right="80"/>
              <w:spacing w:after="0" w:line="142" w:lineRule="exact"/>
              <w:rPr>
                <w:sz w:val="20"/>
                <w:szCs w:val="20"/>
                <w:color w:val="auto"/>
              </w:rPr>
            </w:pPr>
            <w:r>
              <w:rPr>
                <w:rFonts w:ascii="Calibri" w:cs="Calibri" w:eastAsia="Calibri" w:hAnsi="Calibri"/>
                <w:sz w:val="15"/>
                <w:szCs w:val="15"/>
                <w:b w:val="1"/>
                <w:bCs w:val="1"/>
                <w:color w:val="auto"/>
              </w:rPr>
              <w:t>Accumulated</w:t>
            </w:r>
          </w:p>
        </w:tc>
        <w:tc>
          <w:tcPr>
            <w:tcW w:w="1060" w:type="dxa"/>
            <w:vAlign w:val="bottom"/>
            <w:gridSpan w:val="2"/>
            <w:vMerge w:val="restart"/>
          </w:tcPr>
          <w:p>
            <w:pPr>
              <w:jc w:val="right"/>
              <w:spacing w:after="0" w:line="142" w:lineRule="exact"/>
              <w:rPr>
                <w:sz w:val="20"/>
                <w:szCs w:val="20"/>
                <w:color w:val="auto"/>
              </w:rPr>
            </w:pPr>
            <w:r>
              <w:rPr>
                <w:rFonts w:ascii="Calibri" w:cs="Calibri" w:eastAsia="Calibri" w:hAnsi="Calibri"/>
                <w:sz w:val="15"/>
                <w:szCs w:val="15"/>
                <w:b w:val="1"/>
                <w:bCs w:val="1"/>
                <w:color w:val="auto"/>
              </w:rPr>
              <w:t>Stockholders'</w:t>
            </w:r>
          </w:p>
        </w:tc>
        <w:tc>
          <w:tcPr>
            <w:tcW w:w="0" w:type="dxa"/>
            <w:vAlign w:val="bottom"/>
          </w:tcPr>
          <w:p>
            <w:pPr>
              <w:spacing w:after="0"/>
              <w:rPr>
                <w:sz w:val="1"/>
                <w:szCs w:val="1"/>
                <w:color w:val="auto"/>
              </w:rPr>
            </w:pPr>
          </w:p>
        </w:tc>
      </w:tr>
      <w:tr>
        <w:trPr>
          <w:trHeight w:val="43"/>
        </w:trPr>
        <w:tc>
          <w:tcPr>
            <w:tcW w:w="4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4420" w:type="dxa"/>
            <w:vAlign w:val="bottom"/>
            <w:gridSpan w:val="2"/>
          </w:tcPr>
          <w:p>
            <w:pPr>
              <w:ind w:left="20"/>
              <w:spacing w:after="0" w:line="193" w:lineRule="exact"/>
              <w:rPr>
                <w:sz w:val="20"/>
                <w:szCs w:val="20"/>
                <w:color w:val="auto"/>
              </w:rPr>
            </w:pPr>
            <w:r>
              <w:rPr>
                <w:rFonts w:ascii="Calibri" w:cs="Calibri" w:eastAsia="Calibri" w:hAnsi="Calibri"/>
                <w:sz w:val="16"/>
                <w:szCs w:val="16"/>
                <w:b w:val="1"/>
                <w:bCs w:val="1"/>
                <w:i w:val="1"/>
                <w:iCs w:val="1"/>
                <w:color w:val="auto"/>
              </w:rPr>
              <w:t>(dollars in thousands)</w:t>
            </w:r>
          </w:p>
        </w:tc>
        <w:tc>
          <w:tcPr>
            <w:tcW w:w="1140" w:type="dxa"/>
            <w:vAlign w:val="bottom"/>
            <w:gridSpan w:val="2"/>
          </w:tcPr>
          <w:p>
            <w:pPr>
              <w:ind w:left="320"/>
              <w:spacing w:after="0" w:line="193" w:lineRule="exact"/>
              <w:rPr>
                <w:sz w:val="20"/>
                <w:szCs w:val="20"/>
                <w:color w:val="auto"/>
              </w:rPr>
            </w:pPr>
            <w:r>
              <w:rPr>
                <w:rFonts w:ascii="Calibri" w:cs="Calibri" w:eastAsia="Calibri" w:hAnsi="Calibri"/>
                <w:sz w:val="16"/>
                <w:szCs w:val="16"/>
                <w:b w:val="1"/>
                <w:bCs w:val="1"/>
                <w:color w:val="auto"/>
              </w:rPr>
              <w:t>Shares</w:t>
            </w:r>
          </w:p>
        </w:tc>
        <w:tc>
          <w:tcPr>
            <w:tcW w:w="84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Amount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tcPr>
          <w:p>
            <w:pPr>
              <w:jc w:val="center"/>
              <w:ind w:right="80"/>
              <w:spacing w:after="0" w:line="193" w:lineRule="exact"/>
              <w:rPr>
                <w:sz w:val="20"/>
                <w:szCs w:val="20"/>
                <w:color w:val="auto"/>
              </w:rPr>
            </w:pPr>
            <w:r>
              <w:rPr>
                <w:rFonts w:ascii="Calibri" w:cs="Calibri" w:eastAsia="Calibri" w:hAnsi="Calibri"/>
                <w:sz w:val="16"/>
                <w:szCs w:val="16"/>
                <w:b w:val="1"/>
                <w:bCs w:val="1"/>
                <w:color w:val="auto"/>
                <w:w w:val="99"/>
              </w:rPr>
              <w:t>Paid-In Capital</w:t>
            </w:r>
          </w:p>
        </w:tc>
        <w:tc>
          <w:tcPr>
            <w:tcW w:w="1160" w:type="dxa"/>
            <w:vAlign w:val="bottom"/>
            <w:gridSpan w:val="3"/>
          </w:tcPr>
          <w:p>
            <w:pPr>
              <w:jc w:val="center"/>
              <w:ind w:right="80"/>
              <w:spacing w:after="0" w:line="193" w:lineRule="exact"/>
              <w:rPr>
                <w:sz w:val="20"/>
                <w:szCs w:val="20"/>
                <w:color w:val="auto"/>
              </w:rPr>
            </w:pPr>
            <w:r>
              <w:rPr>
                <w:rFonts w:ascii="Calibri" w:cs="Calibri" w:eastAsia="Calibri" w:hAnsi="Calibri"/>
                <w:sz w:val="16"/>
                <w:szCs w:val="16"/>
                <w:b w:val="1"/>
                <w:bCs w:val="1"/>
                <w:color w:val="auto"/>
              </w:rPr>
              <w:t>Income (Loss)</w:t>
            </w:r>
          </w:p>
        </w:tc>
        <w:tc>
          <w:tcPr>
            <w:tcW w:w="200" w:type="dxa"/>
            <w:vAlign w:val="bottom"/>
          </w:tcPr>
          <w:p>
            <w:pPr>
              <w:spacing w:after="0"/>
              <w:rPr>
                <w:sz w:val="16"/>
                <w:szCs w:val="16"/>
                <w:color w:val="auto"/>
              </w:rPr>
            </w:pPr>
          </w:p>
        </w:tc>
        <w:tc>
          <w:tcPr>
            <w:tcW w:w="960" w:type="dxa"/>
            <w:vAlign w:val="bottom"/>
            <w:gridSpan w:val="2"/>
          </w:tcPr>
          <w:p>
            <w:pPr>
              <w:jc w:val="center"/>
              <w:ind w:right="320"/>
              <w:spacing w:after="0" w:line="193" w:lineRule="exact"/>
              <w:rPr>
                <w:sz w:val="20"/>
                <w:szCs w:val="20"/>
                <w:color w:val="auto"/>
              </w:rPr>
            </w:pPr>
            <w:r>
              <w:rPr>
                <w:rFonts w:ascii="Calibri" w:cs="Calibri" w:eastAsia="Calibri" w:hAnsi="Calibri"/>
                <w:sz w:val="16"/>
                <w:szCs w:val="16"/>
                <w:b w:val="1"/>
                <w:bCs w:val="1"/>
                <w:color w:val="auto"/>
              </w:rPr>
              <w:t>Defcit</w:t>
            </w:r>
          </w:p>
        </w:tc>
        <w:tc>
          <w:tcPr>
            <w:tcW w:w="1060" w:type="dxa"/>
            <w:vAlign w:val="bottom"/>
            <w:gridSpan w:val="2"/>
          </w:tcPr>
          <w:p>
            <w:pPr>
              <w:ind w:left="20"/>
              <w:spacing w:after="0" w:line="193" w:lineRule="exact"/>
              <w:rPr>
                <w:sz w:val="20"/>
                <w:szCs w:val="20"/>
                <w:color w:val="auto"/>
              </w:rPr>
            </w:pPr>
            <w:r>
              <w:rPr>
                <w:rFonts w:ascii="Calibri" w:cs="Calibri" w:eastAsia="Calibri" w:hAnsi="Calibri"/>
                <w:sz w:val="16"/>
                <w:szCs w:val="16"/>
                <w:b w:val="1"/>
                <w:bCs w:val="1"/>
                <w:color w:val="auto"/>
              </w:rPr>
              <w:t>(Defcit) Equity</w:t>
            </w:r>
          </w:p>
        </w:tc>
        <w:tc>
          <w:tcPr>
            <w:tcW w:w="0" w:type="dxa"/>
            <w:vAlign w:val="bottom"/>
          </w:tcPr>
          <w:p>
            <w:pPr>
              <w:spacing w:after="0"/>
              <w:rPr>
                <w:sz w:val="1"/>
                <w:szCs w:val="1"/>
                <w:color w:val="auto"/>
              </w:rPr>
            </w:pPr>
          </w:p>
        </w:tc>
      </w:tr>
      <w:tr>
        <w:trPr>
          <w:trHeight w:val="28"/>
        </w:trPr>
        <w:tc>
          <w:tcPr>
            <w:tcW w:w="434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4420" w:type="dxa"/>
            <w:vAlign w:val="bottom"/>
            <w:tcBorders>
              <w:bottom w:val="single" w:sz="8" w:color="DBDBDB"/>
            </w:tcBorders>
            <w:gridSpan w:val="2"/>
            <w:shd w:val="clear" w:color="auto" w:fill="DBDBDB"/>
          </w:tcPr>
          <w:p>
            <w:pPr>
              <w:ind w:left="20"/>
              <w:spacing w:after="0"/>
              <w:rPr>
                <w:sz w:val="20"/>
                <w:szCs w:val="20"/>
                <w:color w:val="auto"/>
              </w:rPr>
            </w:pPr>
            <w:r>
              <w:rPr>
                <w:rFonts w:ascii="Calibri" w:cs="Calibri" w:eastAsia="Calibri" w:hAnsi="Calibri"/>
                <w:sz w:val="16"/>
                <w:szCs w:val="16"/>
                <w:b w:val="1"/>
                <w:bCs w:val="1"/>
                <w:color w:val="auto"/>
              </w:rPr>
              <w:t>Balance at December 31, 2022</w:t>
            </w:r>
          </w:p>
        </w:tc>
        <w:tc>
          <w:tcPr>
            <w:tcW w:w="1060" w:type="dxa"/>
            <w:vAlign w:val="bottom"/>
            <w:tcBorders>
              <w:bottom w:val="single" w:sz="8" w:color="auto"/>
            </w:tcBorders>
            <w:shd w:val="clear" w:color="auto" w:fill="DBDBDB"/>
          </w:tcPr>
          <w:p>
            <w:pPr>
              <w:jc w:val="right"/>
              <w:spacing w:after="0" w:line="193" w:lineRule="exact"/>
              <w:rPr>
                <w:sz w:val="20"/>
                <w:szCs w:val="20"/>
                <w:color w:val="auto"/>
              </w:rPr>
            </w:pPr>
            <w:r>
              <w:rPr>
                <w:rFonts w:ascii="Calibri" w:cs="Calibri" w:eastAsia="Calibri" w:hAnsi="Calibri"/>
                <w:sz w:val="16"/>
                <w:szCs w:val="16"/>
                <w:b w:val="1"/>
                <w:bCs w:val="1"/>
                <w:color w:val="auto"/>
              </w:rPr>
              <w:t>184,135,714</w:t>
            </w:r>
          </w:p>
        </w:tc>
        <w:tc>
          <w:tcPr>
            <w:tcW w:w="80" w:type="dxa"/>
            <w:vAlign w:val="bottom"/>
            <w:tcBorders>
              <w:bottom w:val="single" w:sz="8" w:color="DBDBDB"/>
            </w:tcBorders>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jc w:val="right"/>
              <w:ind w:right="639"/>
              <w:spacing w:after="0" w:line="193" w:lineRule="exact"/>
              <w:rPr>
                <w:sz w:val="20"/>
                <w:szCs w:val="20"/>
                <w:color w:val="auto"/>
              </w:rPr>
            </w:pPr>
            <w:r>
              <w:rPr>
                <w:rFonts w:ascii="Calibri" w:cs="Calibri" w:eastAsia="Calibri" w:hAnsi="Calibri"/>
                <w:sz w:val="16"/>
                <w:szCs w:val="16"/>
                <w:b w:val="1"/>
                <w:bCs w:val="1"/>
                <w:color w:val="auto"/>
              </w:rPr>
              <w:t>$</w:t>
            </w:r>
          </w:p>
        </w:tc>
        <w:tc>
          <w:tcPr>
            <w:tcW w:w="220" w:type="dxa"/>
            <w:vAlign w:val="bottom"/>
            <w:tcBorders>
              <w:bottom w:val="single" w:sz="8" w:color="auto"/>
            </w:tcBorders>
            <w:shd w:val="clear" w:color="auto" w:fill="DBDBDB"/>
          </w:tcPr>
          <w:p>
            <w:pPr>
              <w:jc w:val="right"/>
              <w:spacing w:after="0" w:line="193" w:lineRule="exact"/>
              <w:rPr>
                <w:sz w:val="20"/>
                <w:szCs w:val="20"/>
                <w:color w:val="auto"/>
              </w:rPr>
            </w:pPr>
            <w:r>
              <w:rPr>
                <w:rFonts w:ascii="Calibri" w:cs="Calibri" w:eastAsia="Calibri" w:hAnsi="Calibri"/>
                <w:sz w:val="16"/>
                <w:szCs w:val="16"/>
                <w:b w:val="1"/>
                <w:bCs w:val="1"/>
                <w:color w:val="auto"/>
              </w:rPr>
              <w:t>2</w:t>
            </w:r>
          </w:p>
        </w:tc>
        <w:tc>
          <w:tcPr>
            <w:tcW w:w="8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jc w:val="right"/>
              <w:spacing w:after="0" w:line="193" w:lineRule="exact"/>
              <w:rPr>
                <w:sz w:val="20"/>
                <w:szCs w:val="20"/>
                <w:color w:val="auto"/>
              </w:rPr>
            </w:pPr>
            <w:r>
              <w:rPr>
                <w:rFonts w:ascii="Calibri" w:cs="Calibri" w:eastAsia="Calibri" w:hAnsi="Calibri"/>
                <w:sz w:val="16"/>
                <w:szCs w:val="16"/>
                <w:b w:val="1"/>
                <w:bCs w:val="1"/>
                <w:color w:val="auto"/>
                <w:w w:val="97"/>
              </w:rPr>
              <w:t>$</w:t>
            </w:r>
          </w:p>
        </w:tc>
        <w:tc>
          <w:tcPr>
            <w:tcW w:w="940" w:type="dxa"/>
            <w:vAlign w:val="bottom"/>
            <w:tcBorders>
              <w:bottom w:val="single" w:sz="8" w:color="auto"/>
            </w:tcBorders>
            <w:shd w:val="clear" w:color="auto" w:fill="DBDBDB"/>
          </w:tcPr>
          <w:p>
            <w:pPr>
              <w:jc w:val="right"/>
              <w:spacing w:after="0" w:line="193" w:lineRule="exact"/>
              <w:rPr>
                <w:sz w:val="20"/>
                <w:szCs w:val="20"/>
                <w:color w:val="auto"/>
              </w:rPr>
            </w:pPr>
            <w:r>
              <w:rPr>
                <w:rFonts w:ascii="Calibri" w:cs="Calibri" w:eastAsia="Calibri" w:hAnsi="Calibri"/>
                <w:sz w:val="16"/>
                <w:szCs w:val="16"/>
                <w:b w:val="1"/>
                <w:bCs w:val="1"/>
                <w:color w:val="auto"/>
              </w:rPr>
              <w:t>1,562,247</w:t>
            </w:r>
          </w:p>
        </w:tc>
        <w:tc>
          <w:tcPr>
            <w:tcW w:w="8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spacing w:after="0" w:line="193" w:lineRule="exact"/>
              <w:rPr>
                <w:sz w:val="20"/>
                <w:szCs w:val="20"/>
                <w:color w:val="auto"/>
              </w:rPr>
            </w:pPr>
            <w:r>
              <w:rPr>
                <w:rFonts w:ascii="Calibri" w:cs="Calibri" w:eastAsia="Calibri" w:hAnsi="Calibri"/>
                <w:sz w:val="16"/>
                <w:szCs w:val="16"/>
                <w:b w:val="1"/>
                <w:bCs w:val="1"/>
                <w:color w:val="auto"/>
                <w:w w:val="97"/>
              </w:rPr>
              <w:t>$</w:t>
            </w:r>
          </w:p>
        </w:tc>
        <w:tc>
          <w:tcPr>
            <w:tcW w:w="980" w:type="dxa"/>
            <w:vAlign w:val="bottom"/>
            <w:tcBorders>
              <w:bottom w:val="single" w:sz="8" w:color="auto"/>
            </w:tcBorders>
            <w:shd w:val="clear" w:color="auto" w:fill="DBDBDB"/>
          </w:tcPr>
          <w:p>
            <w:pPr>
              <w:jc w:val="right"/>
              <w:spacing w:after="0" w:line="193" w:lineRule="exact"/>
              <w:rPr>
                <w:sz w:val="20"/>
                <w:szCs w:val="20"/>
                <w:color w:val="auto"/>
              </w:rPr>
            </w:pPr>
            <w:r>
              <w:rPr>
                <w:rFonts w:ascii="Calibri" w:cs="Calibri" w:eastAsia="Calibri" w:hAnsi="Calibri"/>
                <w:sz w:val="16"/>
                <w:szCs w:val="16"/>
                <w:b w:val="1"/>
                <w:bCs w:val="1"/>
                <w:color w:val="auto"/>
              </w:rPr>
              <w:t>6</w:t>
            </w:r>
          </w:p>
        </w:tc>
        <w:tc>
          <w:tcPr>
            <w:tcW w:w="80" w:type="dxa"/>
            <w:vAlign w:val="bottom"/>
            <w:tcBorders>
              <w:bottom w:val="single" w:sz="8" w:color="DBDBDB"/>
            </w:tcBorders>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jc w:val="right"/>
              <w:ind w:right="20"/>
              <w:spacing w:after="0" w:line="193" w:lineRule="exact"/>
              <w:rPr>
                <w:sz w:val="20"/>
                <w:szCs w:val="20"/>
                <w:color w:val="auto"/>
              </w:rPr>
            </w:pPr>
            <w:r>
              <w:rPr>
                <w:rFonts w:ascii="Calibri" w:cs="Calibri" w:eastAsia="Calibri" w:hAnsi="Calibri"/>
                <w:sz w:val="16"/>
                <w:szCs w:val="16"/>
                <w:b w:val="1"/>
                <w:bCs w:val="1"/>
                <w:color w:val="auto"/>
                <w:w w:val="97"/>
              </w:rPr>
              <w:t>$</w:t>
            </w:r>
          </w:p>
        </w:tc>
        <w:tc>
          <w:tcPr>
            <w:tcW w:w="880" w:type="dxa"/>
            <w:vAlign w:val="bottom"/>
            <w:tcBorders>
              <w:bottom w:val="single" w:sz="8" w:color="auto"/>
            </w:tcBorders>
            <w:shd w:val="clear" w:color="auto" w:fill="DBDBDB"/>
          </w:tcPr>
          <w:p>
            <w:pPr>
              <w:jc w:val="right"/>
              <w:spacing w:after="0" w:line="193" w:lineRule="exact"/>
              <w:rPr>
                <w:sz w:val="20"/>
                <w:szCs w:val="20"/>
                <w:color w:val="auto"/>
              </w:rPr>
            </w:pPr>
            <w:r>
              <w:rPr>
                <w:rFonts w:ascii="Calibri" w:cs="Calibri" w:eastAsia="Calibri" w:hAnsi="Calibri"/>
                <w:sz w:val="16"/>
                <w:szCs w:val="16"/>
                <w:b w:val="1"/>
                <w:bCs w:val="1"/>
                <w:color w:val="auto"/>
              </w:rPr>
              <w:t>(1,557,025)</w:t>
            </w:r>
          </w:p>
        </w:tc>
        <w:tc>
          <w:tcPr>
            <w:tcW w:w="8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ind w:left="20"/>
              <w:spacing w:after="0" w:line="193" w:lineRule="exact"/>
              <w:rPr>
                <w:sz w:val="20"/>
                <w:szCs w:val="20"/>
                <w:color w:val="auto"/>
              </w:rPr>
            </w:pPr>
            <w:r>
              <w:rPr>
                <w:rFonts w:ascii="Calibri" w:cs="Calibri" w:eastAsia="Calibri" w:hAnsi="Calibri"/>
                <w:sz w:val="16"/>
                <w:szCs w:val="16"/>
                <w:b w:val="1"/>
                <w:bCs w:val="1"/>
                <w:color w:val="auto"/>
              </w:rPr>
              <w:t>$</w:t>
            </w:r>
          </w:p>
        </w:tc>
        <w:tc>
          <w:tcPr>
            <w:tcW w:w="840" w:type="dxa"/>
            <w:vAlign w:val="bottom"/>
            <w:tcBorders>
              <w:bottom w:val="single" w:sz="8" w:color="auto"/>
            </w:tcBorders>
            <w:shd w:val="clear" w:color="auto" w:fill="DBDBDB"/>
          </w:tcPr>
          <w:p>
            <w:pPr>
              <w:jc w:val="right"/>
              <w:spacing w:after="0" w:line="193" w:lineRule="exact"/>
              <w:rPr>
                <w:sz w:val="20"/>
                <w:szCs w:val="20"/>
                <w:color w:val="auto"/>
              </w:rPr>
            </w:pPr>
            <w:r>
              <w:rPr>
                <w:rFonts w:ascii="Calibri" w:cs="Calibri" w:eastAsia="Calibri" w:hAnsi="Calibri"/>
                <w:sz w:val="16"/>
                <w:szCs w:val="16"/>
                <w:b w:val="1"/>
                <w:bCs w:val="1"/>
                <w:color w:val="auto"/>
              </w:rPr>
              <w:t>5,230</w:t>
            </w:r>
          </w:p>
        </w:tc>
        <w:tc>
          <w:tcPr>
            <w:tcW w:w="0" w:type="dxa"/>
            <w:vAlign w:val="bottom"/>
          </w:tcPr>
          <w:p>
            <w:pPr>
              <w:spacing w:after="0"/>
              <w:rPr>
                <w:sz w:val="1"/>
                <w:szCs w:val="1"/>
                <w:color w:val="auto"/>
              </w:rPr>
            </w:pPr>
          </w:p>
        </w:tc>
      </w:tr>
      <w:tr>
        <w:trPr>
          <w:trHeight w:val="20"/>
        </w:trPr>
        <w:tc>
          <w:tcPr>
            <w:tcW w:w="4420" w:type="dxa"/>
            <w:vAlign w:val="bottom"/>
            <w:tcBorders>
              <w:top w:val="single" w:sz="8" w:color="DBDBDB"/>
            </w:tcBorders>
            <w:gridSpan w:val="2"/>
            <w:vMerge w:val="restart"/>
          </w:tcPr>
          <w:p>
            <w:pPr>
              <w:ind w:left="20"/>
              <w:spacing w:after="0"/>
              <w:rPr>
                <w:sz w:val="20"/>
                <w:szCs w:val="20"/>
                <w:color w:val="auto"/>
              </w:rPr>
            </w:pPr>
            <w:r>
              <w:rPr>
                <w:rFonts w:ascii="Calibri" w:cs="Calibri" w:eastAsia="Calibri" w:hAnsi="Calibri"/>
                <w:sz w:val="16"/>
                <w:szCs w:val="16"/>
                <w:color w:val="auto"/>
              </w:rPr>
              <w:t>Issuance of common stock, net of issuance costs</w:t>
            </w:r>
          </w:p>
        </w:tc>
        <w:tc>
          <w:tcPr>
            <w:tcW w:w="106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tcBorders>
            <w:gridSpan w:val="2"/>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94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DBDBDB"/>
            </w:tcBorders>
            <w:gridSpan w:val="2"/>
          </w:tcPr>
          <w:p>
            <w:pPr>
              <w:spacing w:after="0" w:line="20" w:lineRule="exact"/>
              <w:rPr>
                <w:sz w:val="1"/>
                <w:szCs w:val="1"/>
                <w:color w:val="auto"/>
              </w:rPr>
            </w:pPr>
          </w:p>
        </w:tc>
        <w:tc>
          <w:tcPr>
            <w:tcW w:w="200" w:type="dxa"/>
            <w:vAlign w:val="bottom"/>
            <w:tcBorders>
              <w:top w:val="single" w:sz="8" w:color="DBDBDB"/>
            </w:tcBorders>
          </w:tcPr>
          <w:p>
            <w:pPr>
              <w:spacing w:after="0" w:line="20" w:lineRule="exact"/>
              <w:rPr>
                <w:sz w:val="1"/>
                <w:szCs w:val="1"/>
                <w:color w:val="auto"/>
              </w:rPr>
            </w:pPr>
          </w:p>
        </w:tc>
        <w:tc>
          <w:tcPr>
            <w:tcW w:w="960" w:type="dxa"/>
            <w:vAlign w:val="bottom"/>
            <w:tcBorders>
              <w:top w:val="single" w:sz="8" w:color="DBDBDB"/>
            </w:tcBorders>
            <w:gridSpan w:val="2"/>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420" w:type="dxa"/>
            <w:vAlign w:val="bottom"/>
            <w:tcBorders>
              <w:top w:val="single" w:sz="8" w:color="DBDBDB"/>
            </w:tcBorders>
            <w:gridSpan w:val="2"/>
            <w:vMerge w:val="continue"/>
          </w:tcPr>
          <w:p>
            <w:pPr>
              <w:spacing w:after="0"/>
              <w:rPr>
                <w:sz w:val="14"/>
                <w:szCs w:val="14"/>
                <w:color w:val="auto"/>
              </w:rPr>
            </w:pPr>
          </w:p>
        </w:tc>
        <w:tc>
          <w:tcPr>
            <w:tcW w:w="1060" w:type="dxa"/>
            <w:vAlign w:val="bottom"/>
            <w:tcBorders>
              <w:top w:val="single" w:sz="8" w:color="auto"/>
            </w:tcBorders>
          </w:tcPr>
          <w:p>
            <w:pPr>
              <w:jc w:val="right"/>
              <w:spacing w:after="0" w:line="168" w:lineRule="exact"/>
              <w:rPr>
                <w:sz w:val="20"/>
                <w:szCs w:val="20"/>
                <w:color w:val="auto"/>
              </w:rPr>
            </w:pPr>
            <w:r>
              <w:rPr>
                <w:rFonts w:ascii="Calibri" w:cs="Calibri" w:eastAsia="Calibri" w:hAnsi="Calibri"/>
                <w:sz w:val="16"/>
                <w:szCs w:val="16"/>
                <w:color w:val="auto"/>
              </w:rPr>
              <w:t>6,189,974</w:t>
            </w:r>
          </w:p>
        </w:tc>
        <w:tc>
          <w:tcPr>
            <w:tcW w:w="8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jc w:val="right"/>
              <w:spacing w:after="0" w:line="168" w:lineRule="exact"/>
              <w:rPr>
                <w:sz w:val="20"/>
                <w:szCs w:val="20"/>
                <w:color w:val="auto"/>
              </w:rPr>
            </w:pPr>
            <w:r>
              <w:rPr>
                <w:rFonts w:ascii="Calibri" w:cs="Calibri" w:eastAsia="Calibri" w:hAnsi="Calibri"/>
                <w:sz w:val="16"/>
                <w:szCs w:val="16"/>
                <w:color w:val="auto"/>
                <w:w w:val="96"/>
              </w:rPr>
              <w:t>—</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line="168" w:lineRule="exact"/>
              <w:rPr>
                <w:sz w:val="20"/>
                <w:szCs w:val="20"/>
                <w:color w:val="auto"/>
              </w:rPr>
            </w:pPr>
            <w:r>
              <w:rPr>
                <w:rFonts w:ascii="Calibri" w:cs="Calibri" w:eastAsia="Calibri" w:hAnsi="Calibri"/>
                <w:sz w:val="16"/>
                <w:szCs w:val="16"/>
                <w:color w:val="auto"/>
              </w:rPr>
              <w:t>6,708</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line="168" w:lineRule="exact"/>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line="168" w:lineRule="exact"/>
              <w:rPr>
                <w:sz w:val="20"/>
                <w:szCs w:val="20"/>
                <w:color w:val="auto"/>
              </w:rPr>
            </w:pPr>
            <w:r>
              <w:rPr>
                <w:rFonts w:ascii="Calibri" w:cs="Calibri" w:eastAsia="Calibri" w:hAnsi="Calibri"/>
                <w:sz w:val="16"/>
                <w:szCs w:val="16"/>
                <w:color w:val="auto"/>
              </w:rPr>
              <w:t>—</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line="168" w:lineRule="exact"/>
              <w:rPr>
                <w:sz w:val="20"/>
                <w:szCs w:val="20"/>
                <w:color w:val="auto"/>
              </w:rPr>
            </w:pPr>
            <w:r>
              <w:rPr>
                <w:rFonts w:ascii="Calibri" w:cs="Calibri" w:eastAsia="Calibri" w:hAnsi="Calibri"/>
                <w:sz w:val="16"/>
                <w:szCs w:val="16"/>
                <w:color w:val="auto"/>
              </w:rPr>
              <w:t>6,708</w:t>
            </w:r>
          </w:p>
        </w:tc>
        <w:tc>
          <w:tcPr>
            <w:tcW w:w="0" w:type="dxa"/>
            <w:vAlign w:val="bottom"/>
          </w:tcPr>
          <w:p>
            <w:pPr>
              <w:spacing w:after="0"/>
              <w:rPr>
                <w:sz w:val="1"/>
                <w:szCs w:val="1"/>
                <w:color w:val="auto"/>
              </w:rPr>
            </w:pPr>
          </w:p>
        </w:tc>
      </w:tr>
      <w:tr>
        <w:trPr>
          <w:trHeight w:val="23"/>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Proceeds from sale of stock under employee stock purchase plan</w:t>
            </w:r>
          </w:p>
        </w:tc>
        <w:tc>
          <w:tcPr>
            <w:tcW w:w="106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200,194</w:t>
            </w:r>
          </w:p>
        </w:tc>
        <w:tc>
          <w:tcPr>
            <w:tcW w:w="8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spacing w:after="0"/>
              <w:rPr>
                <w:sz w:val="17"/>
                <w:szCs w:val="17"/>
                <w:color w:val="auto"/>
              </w:rPr>
            </w:pPr>
          </w:p>
        </w:tc>
        <w:tc>
          <w:tcPr>
            <w:tcW w:w="300" w:type="dxa"/>
            <w:vAlign w:val="bottom"/>
            <w:tcBorders>
              <w:bottom w:val="single" w:sz="8" w:color="DBDBDB"/>
            </w:tcBorders>
            <w:gridSpan w:val="2"/>
            <w:shd w:val="clear" w:color="auto" w:fill="DBDBDB"/>
          </w:tcPr>
          <w:p>
            <w:pPr>
              <w:jc w:val="right"/>
              <w:ind w:right="140"/>
              <w:spacing w:after="0" w:line="193" w:lineRule="exact"/>
              <w:rPr>
                <w:sz w:val="20"/>
                <w:szCs w:val="20"/>
                <w:color w:val="auto"/>
              </w:rPr>
            </w:pPr>
            <w:r>
              <w:rPr>
                <w:rFonts w:ascii="Calibri" w:cs="Calibri" w:eastAsia="Calibri" w:hAnsi="Calibri"/>
                <w:sz w:val="16"/>
                <w:szCs w:val="16"/>
                <w:color w:val="auto"/>
                <w:w w:val="96"/>
              </w:rPr>
              <w:t>—</w:t>
            </w:r>
          </w:p>
        </w:tc>
        <w:tc>
          <w:tcPr>
            <w:tcW w:w="140" w:type="dxa"/>
            <w:vAlign w:val="bottom"/>
            <w:tcBorders>
              <w:bottom w:val="single" w:sz="8" w:color="DBDBDB"/>
            </w:tcBorders>
            <w:shd w:val="clear" w:color="auto" w:fill="DBDBDB"/>
          </w:tcPr>
          <w:p>
            <w:pPr>
              <w:spacing w:after="0"/>
              <w:rPr>
                <w:sz w:val="17"/>
                <w:szCs w:val="17"/>
                <w:color w:val="auto"/>
              </w:rPr>
            </w:pPr>
          </w:p>
        </w:tc>
        <w:tc>
          <w:tcPr>
            <w:tcW w:w="9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85</w:t>
            </w:r>
          </w:p>
        </w:tc>
        <w:tc>
          <w:tcPr>
            <w:tcW w:w="8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060" w:type="dxa"/>
            <w:vAlign w:val="bottom"/>
            <w:tcBorders>
              <w:bottom w:val="single" w:sz="8" w:color="DBDBDB"/>
            </w:tcBorders>
            <w:gridSpan w:val="2"/>
            <w:shd w:val="clear" w:color="auto" w:fill="DBDBDB"/>
          </w:tcPr>
          <w:p>
            <w:pPr>
              <w:jc w:val="right"/>
              <w:ind w:right="14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DBDBDB"/>
            </w:tcBorders>
            <w:shd w:val="clear" w:color="auto" w:fill="DBDBDB"/>
          </w:tcPr>
          <w:p>
            <w:pPr>
              <w:spacing w:after="0"/>
              <w:rPr>
                <w:sz w:val="17"/>
                <w:szCs w:val="17"/>
                <w:color w:val="auto"/>
              </w:rPr>
            </w:pPr>
          </w:p>
        </w:tc>
        <w:tc>
          <w:tcPr>
            <w:tcW w:w="960" w:type="dxa"/>
            <w:vAlign w:val="bottom"/>
            <w:tcBorders>
              <w:bottom w:val="single" w:sz="8" w:color="DBDBDB"/>
            </w:tcBorders>
            <w:gridSpan w:val="2"/>
            <w:shd w:val="clear" w:color="auto" w:fill="DBDBDB"/>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85</w:t>
            </w:r>
          </w:p>
        </w:tc>
        <w:tc>
          <w:tcPr>
            <w:tcW w:w="0" w:type="dxa"/>
            <w:vAlign w:val="bottom"/>
          </w:tcPr>
          <w:p>
            <w:pPr>
              <w:spacing w:after="0"/>
              <w:rPr>
                <w:sz w:val="1"/>
                <w:szCs w:val="1"/>
                <w:color w:val="auto"/>
              </w:rPr>
            </w:pPr>
          </w:p>
        </w:tc>
      </w:tr>
      <w:tr>
        <w:trPr>
          <w:trHeight w:val="193"/>
        </w:trPr>
        <w:tc>
          <w:tcPr>
            <w:tcW w:w="442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Stock-based compensaton expense</w:t>
            </w:r>
          </w:p>
        </w:tc>
        <w:tc>
          <w:tcPr>
            <w:tcW w:w="1140" w:type="dxa"/>
            <w:vAlign w:val="bottom"/>
            <w:gridSpan w:val="2"/>
          </w:tcPr>
          <w:p>
            <w:pPr>
              <w:jc w:val="right"/>
              <w:ind w:right="80"/>
              <w:spacing w:after="0" w:line="193" w:lineRule="exact"/>
              <w:rPr>
                <w:sz w:val="20"/>
                <w:szCs w:val="20"/>
                <w:color w:val="auto"/>
              </w:rPr>
            </w:pPr>
            <w:r>
              <w:rPr>
                <w:rFonts w:ascii="Calibri" w:cs="Calibri" w:eastAsia="Calibri" w:hAnsi="Calibri"/>
                <w:sz w:val="16"/>
                <w:szCs w:val="16"/>
                <w:color w:val="auto"/>
              </w:rPr>
              <w:t>—</w:t>
            </w:r>
          </w:p>
        </w:tc>
        <w:tc>
          <w:tcPr>
            <w:tcW w:w="840" w:type="dxa"/>
            <w:vAlign w:val="bottom"/>
          </w:tcPr>
          <w:p>
            <w:pPr>
              <w:spacing w:after="0"/>
              <w:rPr>
                <w:sz w:val="16"/>
                <w:szCs w:val="16"/>
                <w:color w:val="auto"/>
              </w:rPr>
            </w:pPr>
          </w:p>
        </w:tc>
        <w:tc>
          <w:tcPr>
            <w:tcW w:w="300" w:type="dxa"/>
            <w:vAlign w:val="bottom"/>
            <w:gridSpan w:val="2"/>
          </w:tcPr>
          <w:p>
            <w:pPr>
              <w:jc w:val="right"/>
              <w:ind w:right="140"/>
              <w:spacing w:after="0" w:line="193" w:lineRule="exact"/>
              <w:rPr>
                <w:sz w:val="20"/>
                <w:szCs w:val="20"/>
                <w:color w:val="auto"/>
              </w:rPr>
            </w:pPr>
            <w:r>
              <w:rPr>
                <w:rFonts w:ascii="Calibri" w:cs="Calibri" w:eastAsia="Calibri" w:hAnsi="Calibri"/>
                <w:sz w:val="16"/>
                <w:szCs w:val="16"/>
                <w:color w:val="auto"/>
                <w:w w:val="96"/>
              </w:rPr>
              <w:t>—</w:t>
            </w:r>
          </w:p>
        </w:tc>
        <w:tc>
          <w:tcPr>
            <w:tcW w:w="14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9,317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4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96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Calibri" w:cs="Calibri" w:eastAsia="Calibri" w:hAnsi="Calibri"/>
                <w:sz w:val="16"/>
                <w:szCs w:val="16"/>
                <w:color w:val="auto"/>
              </w:rPr>
              <w:t>9,317</w:t>
            </w:r>
          </w:p>
        </w:tc>
        <w:tc>
          <w:tcPr>
            <w:tcW w:w="0" w:type="dxa"/>
            <w:vAlign w:val="bottom"/>
          </w:tcPr>
          <w:p>
            <w:pPr>
              <w:spacing w:after="0"/>
              <w:rPr>
                <w:sz w:val="1"/>
                <w:szCs w:val="1"/>
                <w:color w:val="auto"/>
              </w:rPr>
            </w:pPr>
          </w:p>
        </w:tc>
      </w:tr>
      <w:tr>
        <w:trPr>
          <w:trHeight w:val="23"/>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Restricted stock unit vestng</w:t>
            </w:r>
          </w:p>
        </w:tc>
        <w:tc>
          <w:tcPr>
            <w:tcW w:w="106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4,054,407</w:t>
            </w:r>
          </w:p>
        </w:tc>
        <w:tc>
          <w:tcPr>
            <w:tcW w:w="8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spacing w:after="0"/>
              <w:rPr>
                <w:sz w:val="17"/>
                <w:szCs w:val="17"/>
                <w:color w:val="auto"/>
              </w:rPr>
            </w:pPr>
          </w:p>
        </w:tc>
        <w:tc>
          <w:tcPr>
            <w:tcW w:w="300" w:type="dxa"/>
            <w:vAlign w:val="bottom"/>
            <w:tcBorders>
              <w:bottom w:val="single" w:sz="8" w:color="DBDBDB"/>
            </w:tcBorders>
            <w:gridSpan w:val="2"/>
            <w:shd w:val="clear" w:color="auto" w:fill="DBDBDB"/>
          </w:tcPr>
          <w:p>
            <w:pPr>
              <w:jc w:val="right"/>
              <w:ind w:right="140"/>
              <w:spacing w:after="0" w:line="193" w:lineRule="exact"/>
              <w:rPr>
                <w:sz w:val="20"/>
                <w:szCs w:val="20"/>
                <w:color w:val="auto"/>
              </w:rPr>
            </w:pPr>
            <w:r>
              <w:rPr>
                <w:rFonts w:ascii="Calibri" w:cs="Calibri" w:eastAsia="Calibri" w:hAnsi="Calibri"/>
                <w:sz w:val="16"/>
                <w:szCs w:val="16"/>
                <w:color w:val="auto"/>
                <w:w w:val="96"/>
              </w:rPr>
              <w:t>—</w:t>
            </w:r>
          </w:p>
        </w:tc>
        <w:tc>
          <w:tcPr>
            <w:tcW w:w="140" w:type="dxa"/>
            <w:vAlign w:val="bottom"/>
            <w:tcBorders>
              <w:bottom w:val="single" w:sz="8" w:color="DBDBDB"/>
            </w:tcBorders>
            <w:shd w:val="clear" w:color="auto" w:fill="DBDBDB"/>
          </w:tcPr>
          <w:p>
            <w:pPr>
              <w:spacing w:after="0"/>
              <w:rPr>
                <w:sz w:val="17"/>
                <w:szCs w:val="17"/>
                <w:color w:val="auto"/>
              </w:rPr>
            </w:pPr>
          </w:p>
        </w:tc>
        <w:tc>
          <w:tcPr>
            <w:tcW w:w="1020" w:type="dxa"/>
            <w:vAlign w:val="bottom"/>
            <w:tcBorders>
              <w:bottom w:val="single" w:sz="8" w:color="DBDBDB"/>
            </w:tcBorders>
            <w:gridSpan w:val="2"/>
            <w:shd w:val="clear" w:color="auto" w:fill="DBDBDB"/>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DBDBDB"/>
            </w:tcBorders>
            <w:shd w:val="clear" w:color="auto" w:fill="DBDBDB"/>
          </w:tcPr>
          <w:p>
            <w:pPr>
              <w:spacing w:after="0"/>
              <w:rPr>
                <w:sz w:val="17"/>
                <w:szCs w:val="17"/>
                <w:color w:val="auto"/>
              </w:rPr>
            </w:pPr>
          </w:p>
        </w:tc>
        <w:tc>
          <w:tcPr>
            <w:tcW w:w="1060" w:type="dxa"/>
            <w:vAlign w:val="bottom"/>
            <w:tcBorders>
              <w:bottom w:val="single" w:sz="8" w:color="DBDBDB"/>
            </w:tcBorders>
            <w:gridSpan w:val="2"/>
            <w:shd w:val="clear" w:color="auto" w:fill="DBDBDB"/>
          </w:tcPr>
          <w:p>
            <w:pPr>
              <w:jc w:val="right"/>
              <w:ind w:right="14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DBDBDB"/>
            </w:tcBorders>
            <w:shd w:val="clear" w:color="auto" w:fill="DBDBDB"/>
          </w:tcPr>
          <w:p>
            <w:pPr>
              <w:spacing w:after="0"/>
              <w:rPr>
                <w:sz w:val="17"/>
                <w:szCs w:val="17"/>
                <w:color w:val="auto"/>
              </w:rPr>
            </w:pPr>
          </w:p>
        </w:tc>
        <w:tc>
          <w:tcPr>
            <w:tcW w:w="960" w:type="dxa"/>
            <w:vAlign w:val="bottom"/>
            <w:tcBorders>
              <w:bottom w:val="single" w:sz="8" w:color="DBDBDB"/>
            </w:tcBorders>
            <w:gridSpan w:val="2"/>
            <w:shd w:val="clear" w:color="auto" w:fill="DBDBDB"/>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193"/>
        </w:trPr>
        <w:tc>
          <w:tcPr>
            <w:tcW w:w="442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Exercise of optons</w:t>
            </w: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2,250</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gridSpan w:val="2"/>
          </w:tcPr>
          <w:p>
            <w:pPr>
              <w:jc w:val="right"/>
              <w:ind w:right="140"/>
              <w:spacing w:after="0" w:line="193" w:lineRule="exact"/>
              <w:rPr>
                <w:sz w:val="20"/>
                <w:szCs w:val="20"/>
                <w:color w:val="auto"/>
              </w:rPr>
            </w:pPr>
            <w:r>
              <w:rPr>
                <w:rFonts w:ascii="Calibri" w:cs="Calibri" w:eastAsia="Calibri" w:hAnsi="Calibri"/>
                <w:sz w:val="16"/>
                <w:szCs w:val="16"/>
                <w:color w:val="auto"/>
                <w:w w:val="96"/>
              </w:rPr>
              <w:t>—</w:t>
            </w:r>
          </w:p>
        </w:tc>
        <w:tc>
          <w:tcPr>
            <w:tcW w:w="14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4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96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Calibri" w:cs="Calibri" w:eastAsia="Calibri" w:hAnsi="Calibri"/>
                <w:sz w:val="16"/>
                <w:szCs w:val="16"/>
                <w:color w:val="auto"/>
              </w:rPr>
              <w:t>1</w:t>
            </w:r>
          </w:p>
        </w:tc>
        <w:tc>
          <w:tcPr>
            <w:tcW w:w="0" w:type="dxa"/>
            <w:vAlign w:val="bottom"/>
          </w:tcPr>
          <w:p>
            <w:pPr>
              <w:spacing w:after="0"/>
              <w:rPr>
                <w:sz w:val="1"/>
                <w:szCs w:val="1"/>
                <w:color w:val="auto"/>
              </w:rPr>
            </w:pPr>
          </w:p>
        </w:tc>
      </w:tr>
      <w:tr>
        <w:trPr>
          <w:trHeight w:val="23"/>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Net loss</w:t>
            </w:r>
          </w:p>
        </w:tc>
        <w:tc>
          <w:tcPr>
            <w:tcW w:w="1140" w:type="dxa"/>
            <w:vAlign w:val="bottom"/>
            <w:tcBorders>
              <w:bottom w:val="single" w:sz="8" w:color="DBDBDB"/>
            </w:tcBorders>
            <w:gridSpan w:val="2"/>
            <w:shd w:val="clear" w:color="auto" w:fill="DBDBDB"/>
          </w:tcPr>
          <w:p>
            <w:pPr>
              <w:jc w:val="right"/>
              <w:ind w:right="80"/>
              <w:spacing w:after="0" w:line="193" w:lineRule="exact"/>
              <w:rPr>
                <w:sz w:val="20"/>
                <w:szCs w:val="20"/>
                <w:color w:val="auto"/>
              </w:rPr>
            </w:pPr>
            <w:r>
              <w:rPr>
                <w:rFonts w:ascii="Calibri" w:cs="Calibri" w:eastAsia="Calibri" w:hAnsi="Calibri"/>
                <w:sz w:val="16"/>
                <w:szCs w:val="16"/>
                <w:color w:val="auto"/>
              </w:rPr>
              <w:t>—</w:t>
            </w:r>
          </w:p>
        </w:tc>
        <w:tc>
          <w:tcPr>
            <w:tcW w:w="840" w:type="dxa"/>
            <w:vAlign w:val="bottom"/>
            <w:tcBorders>
              <w:bottom w:val="single" w:sz="8" w:color="DBDBDB"/>
            </w:tcBorders>
            <w:shd w:val="clear" w:color="auto" w:fill="DBDBDB"/>
          </w:tcPr>
          <w:p>
            <w:pPr>
              <w:spacing w:after="0"/>
              <w:rPr>
                <w:sz w:val="18"/>
                <w:szCs w:val="18"/>
                <w:color w:val="auto"/>
              </w:rPr>
            </w:pPr>
          </w:p>
        </w:tc>
        <w:tc>
          <w:tcPr>
            <w:tcW w:w="300" w:type="dxa"/>
            <w:vAlign w:val="bottom"/>
            <w:tcBorders>
              <w:bottom w:val="single" w:sz="8" w:color="DBDBDB"/>
            </w:tcBorders>
            <w:gridSpan w:val="2"/>
            <w:shd w:val="clear" w:color="auto" w:fill="DBDBDB"/>
          </w:tcPr>
          <w:p>
            <w:pPr>
              <w:jc w:val="right"/>
              <w:ind w:right="140"/>
              <w:spacing w:after="0" w:line="193" w:lineRule="exact"/>
              <w:rPr>
                <w:sz w:val="20"/>
                <w:szCs w:val="20"/>
                <w:color w:val="auto"/>
              </w:rPr>
            </w:pPr>
            <w:r>
              <w:rPr>
                <w:rFonts w:ascii="Calibri" w:cs="Calibri" w:eastAsia="Calibri" w:hAnsi="Calibri"/>
                <w:sz w:val="16"/>
                <w:szCs w:val="16"/>
                <w:color w:val="auto"/>
                <w:w w:val="96"/>
              </w:rPr>
              <w:t>—</w:t>
            </w:r>
          </w:p>
        </w:tc>
        <w:tc>
          <w:tcPr>
            <w:tcW w:w="14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gridSpan w:val="2"/>
            <w:shd w:val="clear" w:color="auto" w:fill="DBDBDB"/>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gridSpan w:val="2"/>
            <w:shd w:val="clear" w:color="auto" w:fill="DBDBDB"/>
          </w:tcPr>
          <w:p>
            <w:pPr>
              <w:jc w:val="right"/>
              <w:ind w:right="14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DBDBDB"/>
            </w:tcBorders>
            <w:shd w:val="clear" w:color="auto" w:fill="DBDBDB"/>
          </w:tcPr>
          <w:p>
            <w:pPr>
              <w:spacing w:after="0"/>
              <w:rPr>
                <w:sz w:val="18"/>
                <w:szCs w:val="18"/>
                <w:color w:val="auto"/>
              </w:rPr>
            </w:pPr>
          </w:p>
        </w:tc>
        <w:tc>
          <w:tcPr>
            <w:tcW w:w="88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(51,925)</w:t>
            </w:r>
          </w:p>
        </w:tc>
        <w:tc>
          <w:tcPr>
            <w:tcW w:w="8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DBDBDB"/>
            </w:tcBorders>
            <w:shd w:val="clear" w:color="auto" w:fill="DBDBDB"/>
          </w:tcPr>
          <w:p>
            <w:pPr>
              <w:spacing w:after="0"/>
              <w:rPr>
                <w:sz w:val="18"/>
                <w:szCs w:val="18"/>
                <w:color w:val="auto"/>
              </w:rPr>
            </w:pPr>
          </w:p>
        </w:tc>
        <w:tc>
          <w:tcPr>
            <w:tcW w:w="8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(51,925)</w:t>
            </w:r>
          </w:p>
        </w:tc>
        <w:tc>
          <w:tcPr>
            <w:tcW w:w="0" w:type="dxa"/>
            <w:vAlign w:val="bottom"/>
          </w:tcPr>
          <w:p>
            <w:pPr>
              <w:spacing w:after="0"/>
              <w:rPr>
                <w:sz w:val="1"/>
                <w:szCs w:val="1"/>
                <w:color w:val="auto"/>
              </w:rPr>
            </w:pPr>
          </w:p>
        </w:tc>
      </w:tr>
      <w:tr>
        <w:trPr>
          <w:trHeight w:val="209"/>
        </w:trPr>
        <w:tc>
          <w:tcPr>
            <w:tcW w:w="4420" w:type="dxa"/>
            <w:vAlign w:val="bottom"/>
            <w:gridSpan w:val="2"/>
          </w:tcPr>
          <w:p>
            <w:pPr>
              <w:ind w:left="20"/>
              <w:spacing w:after="0"/>
              <w:rPr>
                <w:sz w:val="20"/>
                <w:szCs w:val="20"/>
                <w:color w:val="auto"/>
              </w:rPr>
            </w:pPr>
            <w:r>
              <w:rPr>
                <w:rFonts w:ascii="Calibri" w:cs="Calibri" w:eastAsia="Calibri" w:hAnsi="Calibri"/>
                <w:sz w:val="16"/>
                <w:szCs w:val="16"/>
                <w:b w:val="1"/>
                <w:bCs w:val="1"/>
                <w:color w:val="auto"/>
              </w:rPr>
              <w:t>Balance at December 31, 2023</w:t>
            </w:r>
          </w:p>
        </w:tc>
        <w:tc>
          <w:tcPr>
            <w:tcW w:w="106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194,582,539</w:t>
            </w: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39"/>
              <w:spacing w:after="0" w:line="193" w:lineRule="exact"/>
              <w:rPr>
                <w:sz w:val="20"/>
                <w:szCs w:val="20"/>
                <w:color w:val="auto"/>
              </w:rPr>
            </w:pPr>
            <w:r>
              <w:rPr>
                <w:rFonts w:ascii="Calibri" w:cs="Calibri" w:eastAsia="Calibri" w:hAnsi="Calibri"/>
                <w:sz w:val="16"/>
                <w:szCs w:val="16"/>
                <w:b w:val="1"/>
                <w:bCs w:val="1"/>
                <w:color w:val="auto"/>
              </w:rPr>
              <w:t>$</w:t>
            </w:r>
          </w:p>
        </w:tc>
        <w:tc>
          <w:tcPr>
            <w:tcW w:w="22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2</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w w:val="97"/>
              </w:rPr>
              <w:t>$</w:t>
            </w:r>
          </w:p>
        </w:tc>
        <w:tc>
          <w:tcPr>
            <w:tcW w:w="94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1,578,358</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line="193" w:lineRule="exact"/>
              <w:rPr>
                <w:sz w:val="20"/>
                <w:szCs w:val="20"/>
                <w:color w:val="auto"/>
              </w:rPr>
            </w:pPr>
            <w:r>
              <w:rPr>
                <w:rFonts w:ascii="Calibri" w:cs="Calibri" w:eastAsia="Calibri" w:hAnsi="Calibri"/>
                <w:sz w:val="16"/>
                <w:szCs w:val="16"/>
                <w:b w:val="1"/>
                <w:bCs w:val="1"/>
                <w:color w:val="auto"/>
                <w:w w:val="97"/>
              </w:rPr>
              <w:t>$</w:t>
            </w:r>
          </w:p>
        </w:tc>
        <w:tc>
          <w:tcPr>
            <w:tcW w:w="98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6</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0"/>
              <w:spacing w:after="0" w:line="193" w:lineRule="exact"/>
              <w:rPr>
                <w:sz w:val="20"/>
                <w:szCs w:val="20"/>
                <w:color w:val="auto"/>
              </w:rPr>
            </w:pPr>
            <w:r>
              <w:rPr>
                <w:rFonts w:ascii="Calibri" w:cs="Calibri" w:eastAsia="Calibri" w:hAnsi="Calibri"/>
                <w:sz w:val="16"/>
                <w:szCs w:val="16"/>
                <w:b w:val="1"/>
                <w:bCs w:val="1"/>
                <w:color w:val="auto"/>
                <w:w w:val="97"/>
              </w:rPr>
              <w:t>$</w:t>
            </w:r>
          </w:p>
        </w:tc>
        <w:tc>
          <w:tcPr>
            <w:tcW w:w="88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(1,608,950)</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line="193" w:lineRule="exact"/>
              <w:rPr>
                <w:sz w:val="20"/>
                <w:szCs w:val="20"/>
                <w:color w:val="auto"/>
              </w:rPr>
            </w:pPr>
            <w:r>
              <w:rPr>
                <w:rFonts w:ascii="Calibri" w:cs="Calibri" w:eastAsia="Calibri" w:hAnsi="Calibri"/>
                <w:sz w:val="16"/>
                <w:szCs w:val="16"/>
                <w:b w:val="1"/>
                <w:bCs w:val="1"/>
                <w:color w:val="auto"/>
              </w:rPr>
              <w:t>$</w:t>
            </w:r>
          </w:p>
        </w:tc>
        <w:tc>
          <w:tcPr>
            <w:tcW w:w="84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(30,584)</w:t>
            </w:r>
          </w:p>
        </w:tc>
        <w:tc>
          <w:tcPr>
            <w:tcW w:w="0" w:type="dxa"/>
            <w:vAlign w:val="bottom"/>
          </w:tcPr>
          <w:p>
            <w:pPr>
              <w:spacing w:after="0"/>
              <w:rPr>
                <w:sz w:val="1"/>
                <w:szCs w:val="1"/>
                <w:color w:val="auto"/>
              </w:rPr>
            </w:pPr>
          </w:p>
        </w:tc>
      </w:tr>
      <w:tr>
        <w:trPr>
          <w:trHeight w:val="20"/>
        </w:trPr>
        <w:tc>
          <w:tcPr>
            <w:tcW w:w="4340" w:type="dxa"/>
            <w:vAlign w:val="bottom"/>
            <w:tcBorders>
              <w:bottom w:val="single" w:sz="8" w:color="DBDBDB"/>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420" w:type="dxa"/>
            <w:vAlign w:val="bottom"/>
            <w:tcBorders>
              <w:bottom w:val="single" w:sz="8" w:color="DBDBDB"/>
            </w:tcBorders>
            <w:gridSpan w:val="2"/>
            <w:shd w:val="clear" w:color="auto" w:fill="DBDBDB"/>
          </w:tcPr>
          <w:p>
            <w:pPr>
              <w:ind w:left="20"/>
              <w:spacing w:after="0" w:line="183" w:lineRule="exact"/>
              <w:rPr>
                <w:sz w:val="20"/>
                <w:szCs w:val="20"/>
                <w:color w:val="auto"/>
              </w:rPr>
            </w:pPr>
            <w:r>
              <w:rPr>
                <w:rFonts w:ascii="Calibri" w:cs="Calibri" w:eastAsia="Calibri" w:hAnsi="Calibri"/>
                <w:sz w:val="16"/>
                <w:szCs w:val="16"/>
                <w:color w:val="auto"/>
              </w:rPr>
              <w:t>Issuance of common stock, net of issuance costs</w:t>
            </w:r>
          </w:p>
        </w:tc>
        <w:tc>
          <w:tcPr>
            <w:tcW w:w="1060" w:type="dxa"/>
            <w:vAlign w:val="bottom"/>
            <w:tcBorders>
              <w:bottom w:val="single" w:sz="8" w:color="DBDBDB"/>
            </w:tcBorders>
            <w:shd w:val="clear" w:color="auto" w:fill="DBDBDB"/>
          </w:tcPr>
          <w:p>
            <w:pPr>
              <w:jc w:val="right"/>
              <w:spacing w:after="0" w:line="188" w:lineRule="exact"/>
              <w:rPr>
                <w:sz w:val="20"/>
                <w:szCs w:val="20"/>
                <w:color w:val="auto"/>
              </w:rPr>
            </w:pPr>
            <w:r>
              <w:rPr>
                <w:rFonts w:ascii="Calibri" w:cs="Calibri" w:eastAsia="Calibri" w:hAnsi="Calibri"/>
                <w:sz w:val="16"/>
                <w:szCs w:val="16"/>
                <w:color w:val="auto"/>
              </w:rPr>
              <w:t>27,532,942</w:t>
            </w:r>
          </w:p>
        </w:tc>
        <w:tc>
          <w:tcPr>
            <w:tcW w:w="80" w:type="dxa"/>
            <w:vAlign w:val="bottom"/>
            <w:tcBorders>
              <w:bottom w:val="single" w:sz="8" w:color="DBDBDB"/>
            </w:tcBorders>
            <w:shd w:val="clear" w:color="auto" w:fill="DBDBDB"/>
          </w:tcPr>
          <w:p>
            <w:pPr>
              <w:spacing w:after="0"/>
              <w:rPr>
                <w:sz w:val="16"/>
                <w:szCs w:val="16"/>
                <w:color w:val="auto"/>
              </w:rPr>
            </w:pPr>
          </w:p>
        </w:tc>
        <w:tc>
          <w:tcPr>
            <w:tcW w:w="84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DBDBDB"/>
            </w:tcBorders>
            <w:shd w:val="clear" w:color="auto" w:fill="DBDBDB"/>
          </w:tcPr>
          <w:p>
            <w:pPr>
              <w:jc w:val="right"/>
              <w:spacing w:after="0" w:line="188" w:lineRule="exact"/>
              <w:rPr>
                <w:sz w:val="20"/>
                <w:szCs w:val="20"/>
                <w:color w:val="auto"/>
              </w:rPr>
            </w:pPr>
            <w:r>
              <w:rPr>
                <w:rFonts w:ascii="Calibri" w:cs="Calibri" w:eastAsia="Calibri" w:hAnsi="Calibri"/>
                <w:sz w:val="16"/>
                <w:szCs w:val="16"/>
                <w:color w:val="auto"/>
                <w:w w:val="96"/>
              </w:rPr>
              <w:t>—</w:t>
            </w:r>
          </w:p>
        </w:tc>
        <w:tc>
          <w:tcPr>
            <w:tcW w:w="80" w:type="dxa"/>
            <w:vAlign w:val="bottom"/>
            <w:tcBorders>
              <w:bottom w:val="single" w:sz="8" w:color="DBDBDB"/>
            </w:tcBorders>
            <w:shd w:val="clear" w:color="auto" w:fill="DBDBDB"/>
          </w:tcPr>
          <w:p>
            <w:pPr>
              <w:spacing w:after="0"/>
              <w:rPr>
                <w:sz w:val="16"/>
                <w:szCs w:val="16"/>
                <w:color w:val="auto"/>
              </w:rPr>
            </w:pPr>
          </w:p>
        </w:tc>
        <w:tc>
          <w:tcPr>
            <w:tcW w:w="140" w:type="dxa"/>
            <w:vAlign w:val="bottom"/>
            <w:tcBorders>
              <w:bottom w:val="single" w:sz="8" w:color="DBDBDB"/>
            </w:tcBorders>
            <w:shd w:val="clear" w:color="auto" w:fill="DBDBDB"/>
          </w:tcPr>
          <w:p>
            <w:pPr>
              <w:spacing w:after="0"/>
              <w:rPr>
                <w:sz w:val="16"/>
                <w:szCs w:val="16"/>
                <w:color w:val="auto"/>
              </w:rPr>
            </w:pPr>
          </w:p>
        </w:tc>
        <w:tc>
          <w:tcPr>
            <w:tcW w:w="940" w:type="dxa"/>
            <w:vAlign w:val="bottom"/>
            <w:tcBorders>
              <w:bottom w:val="single" w:sz="8" w:color="DBDBDB"/>
            </w:tcBorders>
            <w:shd w:val="clear" w:color="auto" w:fill="DBDBDB"/>
          </w:tcPr>
          <w:p>
            <w:pPr>
              <w:jc w:val="right"/>
              <w:spacing w:after="0" w:line="188" w:lineRule="exact"/>
              <w:rPr>
                <w:sz w:val="20"/>
                <w:szCs w:val="20"/>
                <w:color w:val="auto"/>
              </w:rPr>
            </w:pPr>
            <w:r>
              <w:rPr>
                <w:rFonts w:ascii="Calibri" w:cs="Calibri" w:eastAsia="Calibri" w:hAnsi="Calibri"/>
                <w:sz w:val="16"/>
                <w:szCs w:val="16"/>
                <w:color w:val="auto"/>
              </w:rPr>
              <w:t>42,495</w:t>
            </w:r>
          </w:p>
        </w:tc>
        <w:tc>
          <w:tcPr>
            <w:tcW w:w="8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line="188" w:lineRule="exact"/>
              <w:rPr>
                <w:sz w:val="20"/>
                <w:szCs w:val="20"/>
                <w:color w:val="auto"/>
              </w:rPr>
            </w:pPr>
            <w:r>
              <w:rPr>
                <w:rFonts w:ascii="Calibri" w:cs="Calibri" w:eastAsia="Calibri" w:hAnsi="Calibri"/>
                <w:sz w:val="16"/>
                <w:szCs w:val="16"/>
                <w:color w:val="auto"/>
              </w:rPr>
              <w:t>—</w:t>
            </w:r>
          </w:p>
        </w:tc>
        <w:tc>
          <w:tcPr>
            <w:tcW w:w="8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spacing w:after="0" w:line="188" w:lineRule="exact"/>
              <w:rPr>
                <w:sz w:val="20"/>
                <w:szCs w:val="20"/>
                <w:color w:val="auto"/>
              </w:rPr>
            </w:pPr>
            <w:r>
              <w:rPr>
                <w:rFonts w:ascii="Calibri" w:cs="Calibri" w:eastAsia="Calibri" w:hAnsi="Calibri"/>
                <w:sz w:val="16"/>
                <w:szCs w:val="16"/>
                <w:color w:val="auto"/>
              </w:rPr>
              <w:t>—</w:t>
            </w:r>
          </w:p>
        </w:tc>
        <w:tc>
          <w:tcPr>
            <w:tcW w:w="8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DBDBDB"/>
            </w:tcBorders>
            <w:shd w:val="clear" w:color="auto" w:fill="DBDBDB"/>
          </w:tcPr>
          <w:p>
            <w:pPr>
              <w:spacing w:after="0"/>
              <w:rPr>
                <w:sz w:val="16"/>
                <w:szCs w:val="16"/>
                <w:color w:val="auto"/>
              </w:rPr>
            </w:pPr>
          </w:p>
        </w:tc>
        <w:tc>
          <w:tcPr>
            <w:tcW w:w="840" w:type="dxa"/>
            <w:vAlign w:val="bottom"/>
            <w:tcBorders>
              <w:bottom w:val="single" w:sz="8" w:color="DBDBDB"/>
            </w:tcBorders>
            <w:shd w:val="clear" w:color="auto" w:fill="DBDBDB"/>
          </w:tcPr>
          <w:p>
            <w:pPr>
              <w:jc w:val="right"/>
              <w:spacing w:after="0" w:line="188" w:lineRule="exact"/>
              <w:rPr>
                <w:sz w:val="20"/>
                <w:szCs w:val="20"/>
                <w:color w:val="auto"/>
              </w:rPr>
            </w:pPr>
            <w:r>
              <w:rPr>
                <w:rFonts w:ascii="Calibri" w:cs="Calibri" w:eastAsia="Calibri" w:hAnsi="Calibri"/>
                <w:sz w:val="16"/>
                <w:szCs w:val="16"/>
                <w:color w:val="auto"/>
              </w:rPr>
              <w:t>42,495</w:t>
            </w:r>
          </w:p>
        </w:tc>
        <w:tc>
          <w:tcPr>
            <w:tcW w:w="0" w:type="dxa"/>
            <w:vAlign w:val="bottom"/>
          </w:tcPr>
          <w:p>
            <w:pPr>
              <w:spacing w:after="0"/>
              <w:rPr>
                <w:sz w:val="1"/>
                <w:szCs w:val="1"/>
                <w:color w:val="auto"/>
              </w:rPr>
            </w:pPr>
          </w:p>
        </w:tc>
      </w:tr>
      <w:tr>
        <w:trPr>
          <w:trHeight w:val="193"/>
        </w:trPr>
        <w:tc>
          <w:tcPr>
            <w:tcW w:w="442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Proceeds from sale of stock under employee stock purchase plan</w:t>
            </w: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189,732</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gridSpan w:val="2"/>
          </w:tcPr>
          <w:p>
            <w:pPr>
              <w:jc w:val="right"/>
              <w:ind w:right="140"/>
              <w:spacing w:after="0" w:line="193" w:lineRule="exact"/>
              <w:rPr>
                <w:sz w:val="20"/>
                <w:szCs w:val="20"/>
                <w:color w:val="auto"/>
              </w:rPr>
            </w:pPr>
            <w:r>
              <w:rPr>
                <w:rFonts w:ascii="Calibri" w:cs="Calibri" w:eastAsia="Calibri" w:hAnsi="Calibri"/>
                <w:sz w:val="16"/>
                <w:szCs w:val="16"/>
                <w:color w:val="auto"/>
                <w:w w:val="96"/>
              </w:rPr>
              <w:t>—</w:t>
            </w:r>
          </w:p>
        </w:tc>
        <w:tc>
          <w:tcPr>
            <w:tcW w:w="14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153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4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96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Calibri" w:cs="Calibri" w:eastAsia="Calibri" w:hAnsi="Calibri"/>
                <w:sz w:val="16"/>
                <w:szCs w:val="16"/>
                <w:color w:val="auto"/>
              </w:rPr>
              <w:t>153</w:t>
            </w:r>
          </w:p>
        </w:tc>
        <w:tc>
          <w:tcPr>
            <w:tcW w:w="0" w:type="dxa"/>
            <w:vAlign w:val="bottom"/>
          </w:tcPr>
          <w:p>
            <w:pPr>
              <w:spacing w:after="0"/>
              <w:rPr>
                <w:sz w:val="1"/>
                <w:szCs w:val="1"/>
                <w:color w:val="auto"/>
              </w:rPr>
            </w:pPr>
          </w:p>
        </w:tc>
      </w:tr>
      <w:tr>
        <w:trPr>
          <w:trHeight w:val="23"/>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Stock-based compensaton expense</w:t>
            </w:r>
          </w:p>
        </w:tc>
        <w:tc>
          <w:tcPr>
            <w:tcW w:w="1140" w:type="dxa"/>
            <w:vAlign w:val="bottom"/>
            <w:tcBorders>
              <w:bottom w:val="single" w:sz="8" w:color="DBDBDB"/>
            </w:tcBorders>
            <w:gridSpan w:val="2"/>
            <w:shd w:val="clear" w:color="auto" w:fill="DBDBDB"/>
          </w:tcPr>
          <w:p>
            <w:pPr>
              <w:jc w:val="right"/>
              <w:ind w:right="80"/>
              <w:spacing w:after="0" w:line="193" w:lineRule="exact"/>
              <w:rPr>
                <w:sz w:val="20"/>
                <w:szCs w:val="20"/>
                <w:color w:val="auto"/>
              </w:rPr>
            </w:pPr>
            <w:r>
              <w:rPr>
                <w:rFonts w:ascii="Calibri" w:cs="Calibri" w:eastAsia="Calibri" w:hAnsi="Calibri"/>
                <w:sz w:val="16"/>
                <w:szCs w:val="16"/>
                <w:color w:val="auto"/>
              </w:rPr>
              <w:t>—</w:t>
            </w:r>
          </w:p>
        </w:tc>
        <w:tc>
          <w:tcPr>
            <w:tcW w:w="840" w:type="dxa"/>
            <w:vAlign w:val="bottom"/>
            <w:tcBorders>
              <w:bottom w:val="single" w:sz="8" w:color="DBDBDB"/>
            </w:tcBorders>
            <w:shd w:val="clear" w:color="auto" w:fill="DBDBDB"/>
          </w:tcPr>
          <w:p>
            <w:pPr>
              <w:spacing w:after="0"/>
              <w:rPr>
                <w:sz w:val="17"/>
                <w:szCs w:val="17"/>
                <w:color w:val="auto"/>
              </w:rPr>
            </w:pPr>
          </w:p>
        </w:tc>
        <w:tc>
          <w:tcPr>
            <w:tcW w:w="300" w:type="dxa"/>
            <w:vAlign w:val="bottom"/>
            <w:tcBorders>
              <w:bottom w:val="single" w:sz="8" w:color="DBDBDB"/>
            </w:tcBorders>
            <w:gridSpan w:val="2"/>
            <w:shd w:val="clear" w:color="auto" w:fill="DBDBDB"/>
          </w:tcPr>
          <w:p>
            <w:pPr>
              <w:jc w:val="right"/>
              <w:ind w:right="140"/>
              <w:spacing w:after="0" w:line="193" w:lineRule="exact"/>
              <w:rPr>
                <w:sz w:val="20"/>
                <w:szCs w:val="20"/>
                <w:color w:val="auto"/>
              </w:rPr>
            </w:pPr>
            <w:r>
              <w:rPr>
                <w:rFonts w:ascii="Calibri" w:cs="Calibri" w:eastAsia="Calibri" w:hAnsi="Calibri"/>
                <w:sz w:val="16"/>
                <w:szCs w:val="16"/>
                <w:color w:val="auto"/>
                <w:w w:val="96"/>
              </w:rPr>
              <w:t>—</w:t>
            </w:r>
          </w:p>
        </w:tc>
        <w:tc>
          <w:tcPr>
            <w:tcW w:w="140" w:type="dxa"/>
            <w:vAlign w:val="bottom"/>
            <w:tcBorders>
              <w:bottom w:val="single" w:sz="8" w:color="DBDBDB"/>
            </w:tcBorders>
            <w:shd w:val="clear" w:color="auto" w:fill="DBDBDB"/>
          </w:tcPr>
          <w:p>
            <w:pPr>
              <w:spacing w:after="0"/>
              <w:rPr>
                <w:sz w:val="17"/>
                <w:szCs w:val="17"/>
                <w:color w:val="auto"/>
              </w:rPr>
            </w:pPr>
          </w:p>
        </w:tc>
        <w:tc>
          <w:tcPr>
            <w:tcW w:w="9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7,775</w:t>
            </w:r>
          </w:p>
        </w:tc>
        <w:tc>
          <w:tcPr>
            <w:tcW w:w="8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060" w:type="dxa"/>
            <w:vAlign w:val="bottom"/>
            <w:tcBorders>
              <w:bottom w:val="single" w:sz="8" w:color="DBDBDB"/>
            </w:tcBorders>
            <w:gridSpan w:val="2"/>
            <w:shd w:val="clear" w:color="auto" w:fill="DBDBDB"/>
          </w:tcPr>
          <w:p>
            <w:pPr>
              <w:jc w:val="right"/>
              <w:ind w:right="14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DBDBDB"/>
            </w:tcBorders>
            <w:shd w:val="clear" w:color="auto" w:fill="DBDBDB"/>
          </w:tcPr>
          <w:p>
            <w:pPr>
              <w:spacing w:after="0"/>
              <w:rPr>
                <w:sz w:val="17"/>
                <w:szCs w:val="17"/>
                <w:color w:val="auto"/>
              </w:rPr>
            </w:pPr>
          </w:p>
        </w:tc>
        <w:tc>
          <w:tcPr>
            <w:tcW w:w="960" w:type="dxa"/>
            <w:vAlign w:val="bottom"/>
            <w:tcBorders>
              <w:bottom w:val="single" w:sz="8" w:color="DBDBDB"/>
            </w:tcBorders>
            <w:gridSpan w:val="2"/>
            <w:shd w:val="clear" w:color="auto" w:fill="DBDBDB"/>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7,775</w:t>
            </w:r>
          </w:p>
        </w:tc>
        <w:tc>
          <w:tcPr>
            <w:tcW w:w="0" w:type="dxa"/>
            <w:vAlign w:val="bottom"/>
          </w:tcPr>
          <w:p>
            <w:pPr>
              <w:spacing w:after="0"/>
              <w:rPr>
                <w:sz w:val="1"/>
                <w:szCs w:val="1"/>
                <w:color w:val="auto"/>
              </w:rPr>
            </w:pPr>
          </w:p>
        </w:tc>
      </w:tr>
      <w:tr>
        <w:trPr>
          <w:trHeight w:val="193"/>
        </w:trPr>
        <w:tc>
          <w:tcPr>
            <w:tcW w:w="442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Restricted stock unit vestng</w:t>
            </w: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2,099,540</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gridSpan w:val="2"/>
          </w:tcPr>
          <w:p>
            <w:pPr>
              <w:jc w:val="right"/>
              <w:ind w:right="140"/>
              <w:spacing w:after="0" w:line="193" w:lineRule="exact"/>
              <w:rPr>
                <w:sz w:val="20"/>
                <w:szCs w:val="20"/>
                <w:color w:val="auto"/>
              </w:rPr>
            </w:pPr>
            <w:r>
              <w:rPr>
                <w:rFonts w:ascii="Calibri" w:cs="Calibri" w:eastAsia="Calibri" w:hAnsi="Calibri"/>
                <w:sz w:val="16"/>
                <w:szCs w:val="16"/>
                <w:color w:val="auto"/>
                <w:w w:val="96"/>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4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96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
        </w:trPr>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Exercise of optons</w:t>
            </w:r>
          </w:p>
        </w:tc>
        <w:tc>
          <w:tcPr>
            <w:tcW w:w="106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444,239</w:t>
            </w:r>
          </w:p>
        </w:tc>
        <w:tc>
          <w:tcPr>
            <w:tcW w:w="8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spacing w:after="0"/>
              <w:rPr>
                <w:sz w:val="17"/>
                <w:szCs w:val="17"/>
                <w:color w:val="auto"/>
              </w:rPr>
            </w:pPr>
          </w:p>
        </w:tc>
        <w:tc>
          <w:tcPr>
            <w:tcW w:w="300" w:type="dxa"/>
            <w:vAlign w:val="bottom"/>
            <w:tcBorders>
              <w:bottom w:val="single" w:sz="8" w:color="DBDBDB"/>
            </w:tcBorders>
            <w:gridSpan w:val="2"/>
            <w:shd w:val="clear" w:color="auto" w:fill="DBDBDB"/>
          </w:tcPr>
          <w:p>
            <w:pPr>
              <w:jc w:val="right"/>
              <w:ind w:right="140"/>
              <w:spacing w:after="0" w:line="193" w:lineRule="exact"/>
              <w:rPr>
                <w:sz w:val="20"/>
                <w:szCs w:val="20"/>
                <w:color w:val="auto"/>
              </w:rPr>
            </w:pPr>
            <w:r>
              <w:rPr>
                <w:rFonts w:ascii="Calibri" w:cs="Calibri" w:eastAsia="Calibri" w:hAnsi="Calibri"/>
                <w:sz w:val="16"/>
                <w:szCs w:val="16"/>
                <w:color w:val="auto"/>
                <w:w w:val="96"/>
              </w:rPr>
              <w:t>—</w:t>
            </w:r>
          </w:p>
        </w:tc>
        <w:tc>
          <w:tcPr>
            <w:tcW w:w="140" w:type="dxa"/>
            <w:vAlign w:val="bottom"/>
            <w:tcBorders>
              <w:bottom w:val="single" w:sz="8" w:color="DBDBDB"/>
            </w:tcBorders>
            <w:shd w:val="clear" w:color="auto" w:fill="DBDBDB"/>
          </w:tcPr>
          <w:p>
            <w:pPr>
              <w:spacing w:after="0"/>
              <w:rPr>
                <w:sz w:val="17"/>
                <w:szCs w:val="17"/>
                <w:color w:val="auto"/>
              </w:rPr>
            </w:pPr>
          </w:p>
        </w:tc>
        <w:tc>
          <w:tcPr>
            <w:tcW w:w="9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386</w:t>
            </w:r>
          </w:p>
        </w:tc>
        <w:tc>
          <w:tcPr>
            <w:tcW w:w="8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060" w:type="dxa"/>
            <w:vAlign w:val="bottom"/>
            <w:tcBorders>
              <w:bottom w:val="single" w:sz="8" w:color="DBDBDB"/>
            </w:tcBorders>
            <w:gridSpan w:val="2"/>
            <w:shd w:val="clear" w:color="auto" w:fill="DBDBDB"/>
          </w:tcPr>
          <w:p>
            <w:pPr>
              <w:jc w:val="right"/>
              <w:ind w:right="14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Borders>
              <w:bottom w:val="single" w:sz="8" w:color="DBDBDB"/>
            </w:tcBorders>
            <w:shd w:val="clear" w:color="auto" w:fill="DBDBDB"/>
          </w:tcPr>
          <w:p>
            <w:pPr>
              <w:spacing w:after="0"/>
              <w:rPr>
                <w:sz w:val="17"/>
                <w:szCs w:val="17"/>
                <w:color w:val="auto"/>
              </w:rPr>
            </w:pPr>
          </w:p>
        </w:tc>
        <w:tc>
          <w:tcPr>
            <w:tcW w:w="960" w:type="dxa"/>
            <w:vAlign w:val="bottom"/>
            <w:tcBorders>
              <w:bottom w:val="single" w:sz="8" w:color="DBDBDB"/>
            </w:tcBorders>
            <w:gridSpan w:val="2"/>
            <w:shd w:val="clear" w:color="auto" w:fill="DBDBDB"/>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386</w:t>
            </w:r>
          </w:p>
        </w:tc>
        <w:tc>
          <w:tcPr>
            <w:tcW w:w="0" w:type="dxa"/>
            <w:vAlign w:val="bottom"/>
          </w:tcPr>
          <w:p>
            <w:pPr>
              <w:spacing w:after="0"/>
              <w:rPr>
                <w:sz w:val="1"/>
                <w:szCs w:val="1"/>
                <w:color w:val="auto"/>
              </w:rPr>
            </w:pPr>
          </w:p>
        </w:tc>
      </w:tr>
      <w:tr>
        <w:trPr>
          <w:trHeight w:val="193"/>
        </w:trPr>
        <w:tc>
          <w:tcPr>
            <w:tcW w:w="442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Net loss</w:t>
            </w:r>
          </w:p>
        </w:tc>
        <w:tc>
          <w:tcPr>
            <w:tcW w:w="1140" w:type="dxa"/>
            <w:vAlign w:val="bottom"/>
            <w:gridSpan w:val="2"/>
          </w:tcPr>
          <w:p>
            <w:pPr>
              <w:jc w:val="right"/>
              <w:ind w:right="80"/>
              <w:spacing w:after="0" w:line="193" w:lineRule="exact"/>
              <w:rPr>
                <w:sz w:val="20"/>
                <w:szCs w:val="20"/>
                <w:color w:val="auto"/>
              </w:rPr>
            </w:pPr>
            <w:r>
              <w:rPr>
                <w:rFonts w:ascii="Calibri" w:cs="Calibri" w:eastAsia="Calibri" w:hAnsi="Calibri"/>
                <w:sz w:val="16"/>
                <w:szCs w:val="16"/>
                <w:color w:val="auto"/>
              </w:rPr>
              <w:t>—</w:t>
            </w:r>
          </w:p>
        </w:tc>
        <w:tc>
          <w:tcPr>
            <w:tcW w:w="840" w:type="dxa"/>
            <w:vAlign w:val="bottom"/>
          </w:tcPr>
          <w:p>
            <w:pPr>
              <w:spacing w:after="0"/>
              <w:rPr>
                <w:sz w:val="16"/>
                <w:szCs w:val="16"/>
                <w:color w:val="auto"/>
              </w:rPr>
            </w:pPr>
          </w:p>
        </w:tc>
        <w:tc>
          <w:tcPr>
            <w:tcW w:w="300" w:type="dxa"/>
            <w:vAlign w:val="bottom"/>
            <w:gridSpan w:val="2"/>
          </w:tcPr>
          <w:p>
            <w:pPr>
              <w:jc w:val="right"/>
              <w:ind w:right="140"/>
              <w:spacing w:after="0" w:line="193" w:lineRule="exact"/>
              <w:rPr>
                <w:sz w:val="20"/>
                <w:szCs w:val="20"/>
                <w:color w:val="auto"/>
              </w:rPr>
            </w:pPr>
            <w:r>
              <w:rPr>
                <w:rFonts w:ascii="Calibri" w:cs="Calibri" w:eastAsia="Calibri" w:hAnsi="Calibri"/>
                <w:sz w:val="16"/>
                <w:szCs w:val="16"/>
                <w:color w:val="auto"/>
                <w:w w:val="96"/>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40"/>
              <w:spacing w:after="0" w:line="193" w:lineRule="exact"/>
              <w:rPr>
                <w:sz w:val="20"/>
                <w:szCs w:val="20"/>
                <w:color w:val="auto"/>
              </w:rPr>
            </w:pPr>
            <w:r>
              <w:rPr>
                <w:rFonts w:ascii="Calibri" w:cs="Calibri" w:eastAsia="Calibri" w:hAnsi="Calibri"/>
                <w:sz w:val="16"/>
                <w:szCs w:val="16"/>
                <w:color w:val="auto"/>
              </w:rPr>
              <w:t>—</w:t>
            </w:r>
          </w:p>
        </w:tc>
        <w:tc>
          <w:tcPr>
            <w:tcW w:w="200" w:type="dxa"/>
            <w:vAlign w:val="bottom"/>
          </w:tcPr>
          <w:p>
            <w:pPr>
              <w:spacing w:after="0"/>
              <w:rPr>
                <w:sz w:val="16"/>
                <w:szCs w:val="16"/>
                <w:color w:val="auto"/>
              </w:rPr>
            </w:pPr>
          </w:p>
        </w:tc>
        <w:tc>
          <w:tcPr>
            <w:tcW w:w="880" w:type="dxa"/>
            <w:vAlign w:val="bottom"/>
          </w:tcPr>
          <w:p>
            <w:pPr>
              <w:jc w:val="right"/>
              <w:spacing w:after="0" w:line="193" w:lineRule="exact"/>
              <w:rPr>
                <w:sz w:val="20"/>
                <w:szCs w:val="20"/>
                <w:color w:val="auto"/>
              </w:rPr>
            </w:pPr>
            <w:r>
              <w:rPr>
                <w:rFonts w:ascii="Calibri" w:cs="Calibri" w:eastAsia="Calibri" w:hAnsi="Calibri"/>
                <w:sz w:val="16"/>
                <w:szCs w:val="16"/>
                <w:color w:val="auto"/>
              </w:rPr>
              <w:t>(69,410)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line="193" w:lineRule="exact"/>
              <w:rPr>
                <w:sz w:val="20"/>
                <w:szCs w:val="20"/>
                <w:color w:val="auto"/>
              </w:rPr>
            </w:pPr>
            <w:r>
              <w:rPr>
                <w:rFonts w:ascii="Calibri" w:cs="Calibri" w:eastAsia="Calibri" w:hAnsi="Calibri"/>
                <w:sz w:val="16"/>
                <w:szCs w:val="16"/>
                <w:color w:val="auto"/>
              </w:rPr>
              <w:t>(69,410)</w:t>
            </w:r>
          </w:p>
        </w:tc>
        <w:tc>
          <w:tcPr>
            <w:tcW w:w="0" w:type="dxa"/>
            <w:vAlign w:val="bottom"/>
          </w:tcPr>
          <w:p>
            <w:pPr>
              <w:spacing w:after="0"/>
              <w:rPr>
                <w:sz w:val="1"/>
                <w:szCs w:val="1"/>
                <w:color w:val="auto"/>
              </w:rPr>
            </w:pPr>
          </w:p>
        </w:tc>
      </w:tr>
      <w:tr>
        <w:trPr>
          <w:trHeight w:val="23"/>
        </w:trPr>
        <w:tc>
          <w:tcPr>
            <w:tcW w:w="4340" w:type="dxa"/>
            <w:vAlign w:val="bottom"/>
            <w:tcBorders>
              <w:bottom w:val="single" w:sz="8" w:color="DBDBDB"/>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420" w:type="dxa"/>
            <w:vAlign w:val="bottom"/>
            <w:tcBorders>
              <w:bottom w:val="single" w:sz="8" w:color="DBDBDB"/>
            </w:tcBorders>
            <w:gridSpan w:val="2"/>
            <w:shd w:val="clear" w:color="auto" w:fill="DBDBDB"/>
          </w:tcPr>
          <w:p>
            <w:pPr>
              <w:ind w:left="20"/>
              <w:spacing w:after="0"/>
              <w:rPr>
                <w:sz w:val="20"/>
                <w:szCs w:val="20"/>
                <w:color w:val="auto"/>
              </w:rPr>
            </w:pPr>
            <w:r>
              <w:rPr>
                <w:rFonts w:ascii="Calibri" w:cs="Calibri" w:eastAsia="Calibri" w:hAnsi="Calibri"/>
                <w:sz w:val="16"/>
                <w:szCs w:val="16"/>
                <w:b w:val="1"/>
                <w:bCs w:val="1"/>
                <w:color w:val="auto"/>
              </w:rPr>
              <w:t>Balance at December 31, 2024</w:t>
            </w:r>
          </w:p>
        </w:tc>
        <w:tc>
          <w:tcPr>
            <w:tcW w:w="1060" w:type="dxa"/>
            <w:vAlign w:val="bottom"/>
            <w:tcBorders>
              <w:bottom w:val="single" w:sz="8" w:color="auto"/>
            </w:tcBorders>
            <w:shd w:val="clear" w:color="auto" w:fill="DBDBDB"/>
          </w:tcPr>
          <w:p>
            <w:pPr>
              <w:jc w:val="right"/>
              <w:spacing w:after="0" w:line="193" w:lineRule="exact"/>
              <w:rPr>
                <w:sz w:val="20"/>
                <w:szCs w:val="20"/>
                <w:color w:val="auto"/>
              </w:rPr>
            </w:pPr>
            <w:r>
              <w:rPr>
                <w:rFonts w:ascii="Calibri" w:cs="Calibri" w:eastAsia="Calibri" w:hAnsi="Calibri"/>
                <w:sz w:val="16"/>
                <w:szCs w:val="16"/>
                <w:b w:val="1"/>
                <w:bCs w:val="1"/>
                <w:color w:val="auto"/>
              </w:rPr>
              <w:t>224,848,992</w:t>
            </w:r>
          </w:p>
        </w:tc>
        <w:tc>
          <w:tcPr>
            <w:tcW w:w="80" w:type="dxa"/>
            <w:vAlign w:val="bottom"/>
            <w:tcBorders>
              <w:bottom w:val="single" w:sz="8" w:color="DBDBDB"/>
            </w:tcBorders>
            <w:shd w:val="clear" w:color="auto" w:fill="DBDBDB"/>
          </w:tcPr>
          <w:p>
            <w:pPr>
              <w:spacing w:after="0"/>
              <w:rPr>
                <w:sz w:val="19"/>
                <w:szCs w:val="19"/>
                <w:color w:val="auto"/>
              </w:rPr>
            </w:pPr>
          </w:p>
        </w:tc>
        <w:tc>
          <w:tcPr>
            <w:tcW w:w="840" w:type="dxa"/>
            <w:vAlign w:val="bottom"/>
            <w:tcBorders>
              <w:bottom w:val="single" w:sz="8" w:color="auto"/>
            </w:tcBorders>
            <w:shd w:val="clear" w:color="auto" w:fill="DBDBDB"/>
          </w:tcPr>
          <w:p>
            <w:pPr>
              <w:jc w:val="right"/>
              <w:ind w:right="639"/>
              <w:spacing w:after="0" w:line="193" w:lineRule="exact"/>
              <w:rPr>
                <w:sz w:val="20"/>
                <w:szCs w:val="20"/>
                <w:color w:val="auto"/>
              </w:rPr>
            </w:pPr>
            <w:r>
              <w:rPr>
                <w:rFonts w:ascii="Calibri" w:cs="Calibri" w:eastAsia="Calibri" w:hAnsi="Calibri"/>
                <w:sz w:val="16"/>
                <w:szCs w:val="16"/>
                <w:b w:val="1"/>
                <w:bCs w:val="1"/>
                <w:color w:val="auto"/>
              </w:rPr>
              <w:t>$</w:t>
            </w:r>
          </w:p>
        </w:tc>
        <w:tc>
          <w:tcPr>
            <w:tcW w:w="220" w:type="dxa"/>
            <w:vAlign w:val="bottom"/>
            <w:tcBorders>
              <w:bottom w:val="single" w:sz="8" w:color="auto"/>
            </w:tcBorders>
            <w:shd w:val="clear" w:color="auto" w:fill="DBDBDB"/>
          </w:tcPr>
          <w:p>
            <w:pPr>
              <w:jc w:val="right"/>
              <w:spacing w:after="0" w:line="193" w:lineRule="exact"/>
              <w:rPr>
                <w:sz w:val="20"/>
                <w:szCs w:val="20"/>
                <w:color w:val="auto"/>
              </w:rPr>
            </w:pPr>
            <w:r>
              <w:rPr>
                <w:rFonts w:ascii="Calibri" w:cs="Calibri" w:eastAsia="Calibri" w:hAnsi="Calibri"/>
                <w:sz w:val="16"/>
                <w:szCs w:val="16"/>
                <w:b w:val="1"/>
                <w:bCs w:val="1"/>
                <w:color w:val="auto"/>
              </w:rPr>
              <w:t>2</w:t>
            </w:r>
          </w:p>
        </w:tc>
        <w:tc>
          <w:tcPr>
            <w:tcW w:w="8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jc w:val="right"/>
              <w:spacing w:after="0" w:line="193" w:lineRule="exact"/>
              <w:rPr>
                <w:sz w:val="20"/>
                <w:szCs w:val="20"/>
                <w:color w:val="auto"/>
              </w:rPr>
            </w:pPr>
            <w:r>
              <w:rPr>
                <w:rFonts w:ascii="Calibri" w:cs="Calibri" w:eastAsia="Calibri" w:hAnsi="Calibri"/>
                <w:sz w:val="16"/>
                <w:szCs w:val="16"/>
                <w:b w:val="1"/>
                <w:bCs w:val="1"/>
                <w:color w:val="auto"/>
                <w:w w:val="97"/>
              </w:rPr>
              <w:t>$</w:t>
            </w:r>
          </w:p>
        </w:tc>
        <w:tc>
          <w:tcPr>
            <w:tcW w:w="940" w:type="dxa"/>
            <w:vAlign w:val="bottom"/>
            <w:tcBorders>
              <w:bottom w:val="single" w:sz="8" w:color="auto"/>
            </w:tcBorders>
            <w:shd w:val="clear" w:color="auto" w:fill="DBDBDB"/>
          </w:tcPr>
          <w:p>
            <w:pPr>
              <w:jc w:val="right"/>
              <w:spacing w:after="0" w:line="193" w:lineRule="exact"/>
              <w:rPr>
                <w:sz w:val="20"/>
                <w:szCs w:val="20"/>
                <w:color w:val="auto"/>
              </w:rPr>
            </w:pPr>
            <w:r>
              <w:rPr>
                <w:rFonts w:ascii="Calibri" w:cs="Calibri" w:eastAsia="Calibri" w:hAnsi="Calibri"/>
                <w:sz w:val="16"/>
                <w:szCs w:val="16"/>
                <w:b w:val="1"/>
                <w:bCs w:val="1"/>
                <w:color w:val="auto"/>
              </w:rPr>
              <w:t>1,629,167</w:t>
            </w:r>
          </w:p>
        </w:tc>
        <w:tc>
          <w:tcPr>
            <w:tcW w:w="8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auto"/>
            </w:tcBorders>
            <w:shd w:val="clear" w:color="auto" w:fill="DBDBDB"/>
          </w:tcPr>
          <w:p>
            <w:pPr>
              <w:spacing w:after="0" w:line="193" w:lineRule="exact"/>
              <w:rPr>
                <w:sz w:val="20"/>
                <w:szCs w:val="20"/>
                <w:color w:val="auto"/>
              </w:rPr>
            </w:pPr>
            <w:r>
              <w:rPr>
                <w:rFonts w:ascii="Calibri" w:cs="Calibri" w:eastAsia="Calibri" w:hAnsi="Calibri"/>
                <w:sz w:val="16"/>
                <w:szCs w:val="16"/>
                <w:b w:val="1"/>
                <w:bCs w:val="1"/>
                <w:color w:val="auto"/>
                <w:w w:val="97"/>
              </w:rPr>
              <w:t>$</w:t>
            </w:r>
          </w:p>
        </w:tc>
        <w:tc>
          <w:tcPr>
            <w:tcW w:w="980" w:type="dxa"/>
            <w:vAlign w:val="bottom"/>
            <w:tcBorders>
              <w:bottom w:val="single" w:sz="8" w:color="auto"/>
            </w:tcBorders>
            <w:shd w:val="clear" w:color="auto" w:fill="DBDBDB"/>
          </w:tcPr>
          <w:p>
            <w:pPr>
              <w:jc w:val="right"/>
              <w:spacing w:after="0" w:line="193" w:lineRule="exact"/>
              <w:rPr>
                <w:sz w:val="20"/>
                <w:szCs w:val="20"/>
                <w:color w:val="auto"/>
              </w:rPr>
            </w:pPr>
            <w:r>
              <w:rPr>
                <w:rFonts w:ascii="Calibri" w:cs="Calibri" w:eastAsia="Calibri" w:hAnsi="Calibri"/>
                <w:sz w:val="16"/>
                <w:szCs w:val="16"/>
                <w:b w:val="1"/>
                <w:bCs w:val="1"/>
                <w:color w:val="auto"/>
              </w:rPr>
              <w:t>6</w:t>
            </w:r>
          </w:p>
        </w:tc>
        <w:tc>
          <w:tcPr>
            <w:tcW w:w="80" w:type="dxa"/>
            <w:vAlign w:val="bottom"/>
            <w:tcBorders>
              <w:bottom w:val="single" w:sz="8" w:color="DBDBDB"/>
            </w:tcBorders>
            <w:shd w:val="clear" w:color="auto" w:fill="DBDBDB"/>
          </w:tcPr>
          <w:p>
            <w:pPr>
              <w:spacing w:after="0"/>
              <w:rPr>
                <w:sz w:val="19"/>
                <w:szCs w:val="19"/>
                <w:color w:val="auto"/>
              </w:rPr>
            </w:pPr>
          </w:p>
        </w:tc>
        <w:tc>
          <w:tcPr>
            <w:tcW w:w="200" w:type="dxa"/>
            <w:vAlign w:val="bottom"/>
            <w:tcBorders>
              <w:bottom w:val="single" w:sz="8" w:color="auto"/>
            </w:tcBorders>
            <w:shd w:val="clear" w:color="auto" w:fill="DBDBDB"/>
          </w:tcPr>
          <w:p>
            <w:pPr>
              <w:jc w:val="right"/>
              <w:ind w:right="20"/>
              <w:spacing w:after="0" w:line="193" w:lineRule="exact"/>
              <w:rPr>
                <w:sz w:val="20"/>
                <w:szCs w:val="20"/>
                <w:color w:val="auto"/>
              </w:rPr>
            </w:pPr>
            <w:r>
              <w:rPr>
                <w:rFonts w:ascii="Calibri" w:cs="Calibri" w:eastAsia="Calibri" w:hAnsi="Calibri"/>
                <w:sz w:val="16"/>
                <w:szCs w:val="16"/>
                <w:b w:val="1"/>
                <w:bCs w:val="1"/>
                <w:color w:val="auto"/>
                <w:w w:val="97"/>
              </w:rPr>
              <w:t>$</w:t>
            </w:r>
          </w:p>
        </w:tc>
        <w:tc>
          <w:tcPr>
            <w:tcW w:w="880" w:type="dxa"/>
            <w:vAlign w:val="bottom"/>
            <w:tcBorders>
              <w:bottom w:val="single" w:sz="8" w:color="auto"/>
            </w:tcBorders>
            <w:shd w:val="clear" w:color="auto" w:fill="DBDBDB"/>
          </w:tcPr>
          <w:p>
            <w:pPr>
              <w:jc w:val="right"/>
              <w:spacing w:after="0" w:line="193" w:lineRule="exact"/>
              <w:rPr>
                <w:sz w:val="20"/>
                <w:szCs w:val="20"/>
                <w:color w:val="auto"/>
              </w:rPr>
            </w:pPr>
            <w:r>
              <w:rPr>
                <w:rFonts w:ascii="Calibri" w:cs="Calibri" w:eastAsia="Calibri" w:hAnsi="Calibri"/>
                <w:sz w:val="16"/>
                <w:szCs w:val="16"/>
                <w:b w:val="1"/>
                <w:bCs w:val="1"/>
                <w:color w:val="auto"/>
              </w:rPr>
              <w:t>(1,678,360)</w:t>
            </w:r>
          </w:p>
        </w:tc>
        <w:tc>
          <w:tcPr>
            <w:tcW w:w="8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ind w:left="20"/>
              <w:spacing w:after="0" w:line="193" w:lineRule="exact"/>
              <w:rPr>
                <w:sz w:val="20"/>
                <w:szCs w:val="20"/>
                <w:color w:val="auto"/>
              </w:rPr>
            </w:pPr>
            <w:r>
              <w:rPr>
                <w:rFonts w:ascii="Calibri" w:cs="Calibri" w:eastAsia="Calibri" w:hAnsi="Calibri"/>
                <w:sz w:val="16"/>
                <w:szCs w:val="16"/>
                <w:b w:val="1"/>
                <w:bCs w:val="1"/>
                <w:color w:val="auto"/>
              </w:rPr>
              <w:t>$</w:t>
            </w:r>
          </w:p>
        </w:tc>
        <w:tc>
          <w:tcPr>
            <w:tcW w:w="840" w:type="dxa"/>
            <w:vAlign w:val="bottom"/>
            <w:tcBorders>
              <w:bottom w:val="single" w:sz="8" w:color="auto"/>
            </w:tcBorders>
            <w:shd w:val="clear" w:color="auto" w:fill="DBDBDB"/>
          </w:tcPr>
          <w:p>
            <w:pPr>
              <w:jc w:val="right"/>
              <w:spacing w:after="0" w:line="193" w:lineRule="exact"/>
              <w:rPr>
                <w:sz w:val="20"/>
                <w:szCs w:val="20"/>
                <w:color w:val="auto"/>
              </w:rPr>
            </w:pPr>
            <w:r>
              <w:rPr>
                <w:rFonts w:ascii="Calibri" w:cs="Calibri" w:eastAsia="Calibri" w:hAnsi="Calibri"/>
                <w:sz w:val="16"/>
                <w:szCs w:val="16"/>
                <w:b w:val="1"/>
                <w:bCs w:val="1"/>
                <w:color w:val="auto"/>
              </w:rPr>
              <w:t>(49,185)</w:t>
            </w:r>
          </w:p>
        </w:tc>
        <w:tc>
          <w:tcPr>
            <w:tcW w:w="0" w:type="dxa"/>
            <w:vAlign w:val="bottom"/>
          </w:tcPr>
          <w:p>
            <w:pPr>
              <w:spacing w:after="0"/>
              <w:rPr>
                <w:sz w:val="1"/>
                <w:szCs w:val="1"/>
                <w:color w:val="auto"/>
              </w:rPr>
            </w:pPr>
          </w:p>
        </w:tc>
      </w:tr>
      <w:tr>
        <w:trPr>
          <w:trHeight w:val="20"/>
        </w:trPr>
        <w:tc>
          <w:tcPr>
            <w:tcW w:w="434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8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8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Akebia Therapeutcs, Inc. | Form 10-K | Page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0" w:name="page131"/>
    <w:bookmarkEnd w:id="13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Akebia Therapeutcs, Inc.</w:t>
      </w:r>
    </w:p>
    <w:p>
      <w:pPr>
        <w:jc w:val="center"/>
        <w:ind w:right="-39"/>
        <w:spacing w:after="0" w:line="235" w:lineRule="auto"/>
        <w:rPr>
          <w:sz w:val="20"/>
          <w:szCs w:val="20"/>
          <w:color w:val="auto"/>
        </w:rPr>
      </w:pPr>
      <w:r>
        <w:rPr>
          <w:rFonts w:ascii="Calibri" w:cs="Calibri" w:eastAsia="Calibri" w:hAnsi="Calibri"/>
          <w:sz w:val="18"/>
          <w:szCs w:val="18"/>
          <w:b w:val="1"/>
          <w:bCs w:val="1"/>
          <w:color w:val="auto"/>
        </w:rPr>
        <w:t>CONSOLIDATED STATEMENT OF CASH FLOWS</w:t>
      </w: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4"/>
          </w:tcPr>
          <w:p>
            <w:pPr>
              <w:jc w:val="right"/>
              <w:ind w:right="499"/>
              <w:spacing w:after="0"/>
              <w:rPr>
                <w:sz w:val="20"/>
                <w:szCs w:val="20"/>
                <w:color w:val="auto"/>
              </w:rPr>
            </w:pPr>
            <w:r>
              <w:rPr>
                <w:rFonts w:ascii="Calibri" w:cs="Calibri" w:eastAsia="Calibri" w:hAnsi="Calibri"/>
                <w:sz w:val="16"/>
                <w:szCs w:val="16"/>
                <w:b w:val="1"/>
                <w:bCs w:val="1"/>
                <w:color w:val="auto"/>
              </w:rPr>
              <w:t>Years Ended December 31,</w:t>
            </w:r>
          </w:p>
        </w:tc>
        <w:tc>
          <w:tcPr>
            <w:tcW w:w="0" w:type="dxa"/>
            <w:vAlign w:val="bottom"/>
          </w:tcPr>
          <w:p>
            <w:pPr>
              <w:spacing w:after="0"/>
              <w:rPr>
                <w:sz w:val="1"/>
                <w:szCs w:val="1"/>
                <w:color w:val="auto"/>
              </w:rPr>
            </w:pPr>
          </w:p>
        </w:tc>
      </w:tr>
      <w:tr>
        <w:trPr>
          <w:trHeight w:val="28"/>
        </w:trPr>
        <w:tc>
          <w:tcPr>
            <w:tcW w:w="8240" w:type="dxa"/>
            <w:vAlign w:val="bottom"/>
            <w:gridSpan w:val="2"/>
            <w:vMerge w:val="restart"/>
          </w:tcPr>
          <w:p>
            <w:pPr>
              <w:ind w:left="20"/>
              <w:spacing w:after="0"/>
              <w:rPr>
                <w:sz w:val="20"/>
                <w:szCs w:val="20"/>
                <w:color w:val="auto"/>
              </w:rPr>
            </w:pPr>
            <w:r>
              <w:rPr>
                <w:rFonts w:ascii="Calibri" w:cs="Calibri" w:eastAsia="Calibri" w:hAnsi="Calibri"/>
                <w:sz w:val="16"/>
                <w:szCs w:val="16"/>
                <w:b w:val="1"/>
                <w:bCs w:val="1"/>
                <w:i w:val="1"/>
                <w:iCs w:val="1"/>
                <w:color w:val="auto"/>
              </w:rPr>
              <w:t>(dollars 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2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59"/>
              <w:spacing w:after="0" w:line="187" w:lineRule="exact"/>
              <w:rPr>
                <w:sz w:val="20"/>
                <w:szCs w:val="20"/>
                <w:color w:val="auto"/>
              </w:rPr>
            </w:pPr>
            <w:r>
              <w:rPr>
                <w:rFonts w:ascii="Calibri" w:cs="Calibri" w:eastAsia="Calibri" w:hAnsi="Calibri"/>
                <w:sz w:val="16"/>
                <w:szCs w:val="16"/>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59"/>
              <w:spacing w:after="0" w:line="187" w:lineRule="exact"/>
              <w:rPr>
                <w:sz w:val="20"/>
                <w:szCs w:val="20"/>
                <w:color w:val="auto"/>
              </w:rPr>
            </w:pPr>
            <w:r>
              <w:rPr>
                <w:rFonts w:ascii="Calibri" w:cs="Calibri" w:eastAsia="Calibri" w:hAnsi="Calibri"/>
                <w:sz w:val="16"/>
                <w:szCs w:val="16"/>
                <w:b w:val="1"/>
                <w:bCs w:val="1"/>
                <w:color w:val="auto"/>
              </w:rPr>
              <w:t>2023</w:t>
            </w:r>
          </w:p>
        </w:tc>
        <w:tc>
          <w:tcPr>
            <w:tcW w:w="0" w:type="dxa"/>
            <w:vAlign w:val="bottom"/>
          </w:tcPr>
          <w:p>
            <w:pPr>
              <w:spacing w:after="0"/>
              <w:rPr>
                <w:sz w:val="1"/>
                <w:szCs w:val="1"/>
                <w:color w:val="auto"/>
              </w:rPr>
            </w:pPr>
          </w:p>
        </w:tc>
      </w:tr>
      <w:tr>
        <w:trPr>
          <w:trHeight w:val="23"/>
        </w:trPr>
        <w:tc>
          <w:tcPr>
            <w:tcW w:w="8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8140" w:type="dxa"/>
            <w:vAlign w:val="bottom"/>
            <w:tcBorders>
              <w:bottom w:val="single" w:sz="8" w:color="DBDBDB"/>
            </w:tcBorders>
            <w:shd w:val="clear" w:color="auto" w:fill="DBDBDB"/>
          </w:tcPr>
          <w:p>
            <w:pPr>
              <w:ind w:left="20"/>
              <w:spacing w:after="0" w:line="187" w:lineRule="exact"/>
              <w:rPr>
                <w:sz w:val="20"/>
                <w:szCs w:val="20"/>
                <w:color w:val="auto"/>
              </w:rPr>
            </w:pPr>
            <w:r>
              <w:rPr>
                <w:rFonts w:ascii="Calibri" w:cs="Calibri" w:eastAsia="Calibri" w:hAnsi="Calibri"/>
                <w:sz w:val="16"/>
                <w:szCs w:val="16"/>
                <w:b w:val="1"/>
                <w:bCs w:val="1"/>
                <w:color w:val="auto"/>
              </w:rPr>
              <w:t>Operatng Actvites:</w:t>
            </w:r>
          </w:p>
        </w:tc>
        <w:tc>
          <w:tcPr>
            <w:tcW w:w="100" w:type="dxa"/>
            <w:vAlign w:val="bottom"/>
            <w:tcBorders>
              <w:bottom w:val="single" w:sz="8" w:color="DBDBDB"/>
            </w:tcBorders>
            <w:shd w:val="clear" w:color="auto" w:fill="DBDBDB"/>
          </w:tcPr>
          <w:p>
            <w:pPr>
              <w:spacing w:after="0"/>
              <w:rPr>
                <w:sz w:val="16"/>
                <w:szCs w:val="16"/>
                <w:color w:val="auto"/>
              </w:rPr>
            </w:pPr>
          </w:p>
        </w:tc>
        <w:tc>
          <w:tcPr>
            <w:tcW w:w="32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32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240" w:type="dxa"/>
            <w:vAlign w:val="bottom"/>
            <w:gridSpan w:val="2"/>
          </w:tcPr>
          <w:p>
            <w:pPr>
              <w:ind w:left="120"/>
              <w:spacing w:after="0" w:line="193" w:lineRule="exact"/>
              <w:rPr>
                <w:sz w:val="20"/>
                <w:szCs w:val="20"/>
                <w:color w:val="auto"/>
              </w:rPr>
            </w:pPr>
            <w:r>
              <w:rPr>
                <w:rFonts w:ascii="Calibri" w:cs="Calibri" w:eastAsia="Calibri" w:hAnsi="Calibri"/>
                <w:sz w:val="16"/>
                <w:szCs w:val="16"/>
                <w:color w:val="auto"/>
              </w:rPr>
              <w:t>Net loss</w:t>
            </w:r>
          </w:p>
        </w:tc>
        <w:tc>
          <w:tcPr>
            <w:tcW w:w="320" w:type="dxa"/>
            <w:vAlign w:val="bottom"/>
          </w:tcPr>
          <w:p>
            <w:pPr>
              <w:jc w:val="right"/>
              <w:ind w:right="139"/>
              <w:spacing w:after="0" w:line="193" w:lineRule="exact"/>
              <w:rPr>
                <w:sz w:val="20"/>
                <w:szCs w:val="20"/>
                <w:color w:val="auto"/>
              </w:rPr>
            </w:pPr>
            <w:r>
              <w:rPr>
                <w:rFonts w:ascii="Calibri" w:cs="Calibri" w:eastAsia="Calibri" w:hAnsi="Calibri"/>
                <w:sz w:val="16"/>
                <w:szCs w:val="16"/>
                <w:color w:val="auto"/>
                <w:w w:val="97"/>
              </w:rPr>
              <w:t>$</w:t>
            </w: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(69,410)</w:t>
            </w:r>
          </w:p>
        </w:tc>
        <w:tc>
          <w:tcPr>
            <w:tcW w:w="120" w:type="dxa"/>
            <w:vAlign w:val="bottom"/>
          </w:tcPr>
          <w:p>
            <w:pPr>
              <w:spacing w:after="0"/>
              <w:rPr>
                <w:sz w:val="16"/>
                <w:szCs w:val="16"/>
                <w:color w:val="auto"/>
              </w:rPr>
            </w:pPr>
          </w:p>
        </w:tc>
        <w:tc>
          <w:tcPr>
            <w:tcW w:w="320" w:type="dxa"/>
            <w:vAlign w:val="bottom"/>
          </w:tcPr>
          <w:p>
            <w:pPr>
              <w:jc w:val="right"/>
              <w:ind w:right="139"/>
              <w:spacing w:after="0" w:line="193" w:lineRule="exact"/>
              <w:rPr>
                <w:sz w:val="20"/>
                <w:szCs w:val="20"/>
                <w:color w:val="auto"/>
              </w:rPr>
            </w:pPr>
            <w:r>
              <w:rPr>
                <w:rFonts w:ascii="Calibri" w:cs="Calibri" w:eastAsia="Calibri" w:hAnsi="Calibri"/>
                <w:sz w:val="16"/>
                <w:szCs w:val="16"/>
                <w:color w:val="auto"/>
                <w:w w:val="97"/>
              </w:rPr>
              <w:t>$</w:t>
            </w: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(51,925)</w:t>
            </w:r>
          </w:p>
        </w:tc>
        <w:tc>
          <w:tcPr>
            <w:tcW w:w="0" w:type="dxa"/>
            <w:vAlign w:val="bottom"/>
          </w:tcPr>
          <w:p>
            <w:pPr>
              <w:spacing w:after="0"/>
              <w:rPr>
                <w:sz w:val="1"/>
                <w:szCs w:val="1"/>
                <w:color w:val="auto"/>
              </w:rPr>
            </w:pPr>
          </w:p>
        </w:tc>
      </w:tr>
      <w:tr>
        <w:trPr>
          <w:trHeight w:val="23"/>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tcBorders>
              <w:bottom w:val="single" w:sz="8" w:color="DBDBDB"/>
            </w:tcBorders>
            <w:gridSpan w:val="2"/>
            <w:shd w:val="clear" w:color="auto" w:fill="DBDBDB"/>
          </w:tcPr>
          <w:p>
            <w:pPr>
              <w:ind w:left="120"/>
              <w:spacing w:after="0" w:line="193" w:lineRule="exact"/>
              <w:rPr>
                <w:sz w:val="20"/>
                <w:szCs w:val="20"/>
                <w:color w:val="auto"/>
              </w:rPr>
            </w:pPr>
            <w:r>
              <w:rPr>
                <w:rFonts w:ascii="Calibri" w:cs="Calibri" w:eastAsia="Calibri" w:hAnsi="Calibri"/>
                <w:sz w:val="16"/>
                <w:szCs w:val="16"/>
                <w:color w:val="auto"/>
              </w:rPr>
              <w:t>Adjustments to reconcile net loss to net cash used in operatng actvites:</w:t>
            </w:r>
          </w:p>
        </w:tc>
        <w:tc>
          <w:tcPr>
            <w:tcW w:w="3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3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240" w:type="dxa"/>
            <w:vAlign w:val="bottom"/>
            <w:gridSpan w:val="2"/>
          </w:tcPr>
          <w:p>
            <w:pPr>
              <w:ind w:left="380"/>
              <w:spacing w:after="0" w:line="193" w:lineRule="exact"/>
              <w:rPr>
                <w:sz w:val="20"/>
                <w:szCs w:val="20"/>
                <w:color w:val="auto"/>
              </w:rPr>
            </w:pPr>
            <w:r>
              <w:rPr>
                <w:rFonts w:ascii="Calibri" w:cs="Calibri" w:eastAsia="Calibri" w:hAnsi="Calibri"/>
                <w:sz w:val="16"/>
                <w:szCs w:val="16"/>
                <w:color w:val="auto"/>
              </w:rPr>
              <w:t>Depreciaton</w:t>
            </w:r>
          </w:p>
        </w:tc>
        <w:tc>
          <w:tcPr>
            <w:tcW w:w="32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1,462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1,585</w:t>
            </w:r>
          </w:p>
        </w:tc>
        <w:tc>
          <w:tcPr>
            <w:tcW w:w="0" w:type="dxa"/>
            <w:vAlign w:val="bottom"/>
          </w:tcPr>
          <w:p>
            <w:pPr>
              <w:spacing w:after="0"/>
              <w:rPr>
                <w:sz w:val="1"/>
                <w:szCs w:val="1"/>
                <w:color w:val="auto"/>
              </w:rPr>
            </w:pPr>
          </w:p>
        </w:tc>
      </w:tr>
      <w:tr>
        <w:trPr>
          <w:trHeight w:val="23"/>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tcBorders>
              <w:bottom w:val="single" w:sz="8" w:color="DBDBDB"/>
            </w:tcBorders>
            <w:gridSpan w:val="2"/>
            <w:shd w:val="clear" w:color="auto" w:fill="DBDBDB"/>
          </w:tcPr>
          <w:p>
            <w:pPr>
              <w:ind w:left="380"/>
              <w:spacing w:after="0" w:line="193" w:lineRule="exact"/>
              <w:rPr>
                <w:sz w:val="20"/>
                <w:szCs w:val="20"/>
                <w:color w:val="auto"/>
              </w:rPr>
            </w:pPr>
            <w:r>
              <w:rPr>
                <w:rFonts w:ascii="Calibri" w:cs="Calibri" w:eastAsia="Calibri" w:hAnsi="Calibri"/>
                <w:sz w:val="16"/>
                <w:szCs w:val="16"/>
                <w:color w:val="auto"/>
              </w:rPr>
              <w:t>Amortzaton of intangible asset</w:t>
            </w:r>
          </w:p>
        </w:tc>
        <w:tc>
          <w:tcPr>
            <w:tcW w:w="3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36,042</w:t>
            </w:r>
          </w:p>
        </w:tc>
        <w:tc>
          <w:tcPr>
            <w:tcW w:w="120" w:type="dxa"/>
            <w:vAlign w:val="bottom"/>
            <w:tcBorders>
              <w:bottom w:val="single" w:sz="8" w:color="DBDBDB"/>
            </w:tcBorders>
            <w:shd w:val="clear" w:color="auto" w:fill="DBDBDB"/>
          </w:tcPr>
          <w:p>
            <w:pPr>
              <w:spacing w:after="0"/>
              <w:rPr>
                <w:sz w:val="17"/>
                <w:szCs w:val="17"/>
                <w:color w:val="auto"/>
              </w:rPr>
            </w:pPr>
          </w:p>
        </w:tc>
        <w:tc>
          <w:tcPr>
            <w:tcW w:w="3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36,042</w:t>
            </w:r>
          </w:p>
        </w:tc>
        <w:tc>
          <w:tcPr>
            <w:tcW w:w="0" w:type="dxa"/>
            <w:vAlign w:val="bottom"/>
          </w:tcPr>
          <w:p>
            <w:pPr>
              <w:spacing w:after="0"/>
              <w:rPr>
                <w:sz w:val="1"/>
                <w:szCs w:val="1"/>
                <w:color w:val="auto"/>
              </w:rPr>
            </w:pPr>
          </w:p>
        </w:tc>
      </w:tr>
      <w:tr>
        <w:trPr>
          <w:trHeight w:val="193"/>
        </w:trPr>
        <w:tc>
          <w:tcPr>
            <w:tcW w:w="8240" w:type="dxa"/>
            <w:vAlign w:val="bottom"/>
            <w:gridSpan w:val="2"/>
          </w:tcPr>
          <w:p>
            <w:pPr>
              <w:ind w:left="380"/>
              <w:spacing w:after="0" w:line="193" w:lineRule="exact"/>
              <w:rPr>
                <w:sz w:val="20"/>
                <w:szCs w:val="20"/>
                <w:color w:val="auto"/>
              </w:rPr>
            </w:pPr>
            <w:r>
              <w:rPr>
                <w:rFonts w:ascii="Calibri" w:cs="Calibri" w:eastAsia="Calibri" w:hAnsi="Calibri"/>
                <w:sz w:val="16"/>
                <w:szCs w:val="16"/>
                <w:color w:val="auto"/>
              </w:rPr>
              <w:t>Bad debt expense</w:t>
            </w:r>
          </w:p>
        </w:tc>
        <w:tc>
          <w:tcPr>
            <w:tcW w:w="32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876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tcBorders>
              <w:bottom w:val="single" w:sz="8" w:color="DBDBDB"/>
            </w:tcBorders>
            <w:gridSpan w:val="2"/>
            <w:shd w:val="clear" w:color="auto" w:fill="DBDBDB"/>
          </w:tcPr>
          <w:p>
            <w:pPr>
              <w:ind w:left="380"/>
              <w:spacing w:after="0" w:line="193" w:lineRule="exact"/>
              <w:rPr>
                <w:sz w:val="20"/>
                <w:szCs w:val="20"/>
                <w:color w:val="auto"/>
              </w:rPr>
            </w:pPr>
            <w:r>
              <w:rPr>
                <w:rFonts w:ascii="Calibri" w:cs="Calibri" w:eastAsia="Calibri" w:hAnsi="Calibri"/>
                <w:sz w:val="16"/>
                <w:szCs w:val="16"/>
                <w:color w:val="auto"/>
              </w:rPr>
              <w:t>Change in fair value of warrant liability</w:t>
            </w:r>
          </w:p>
        </w:tc>
        <w:tc>
          <w:tcPr>
            <w:tcW w:w="3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330</w:t>
            </w:r>
          </w:p>
        </w:tc>
        <w:tc>
          <w:tcPr>
            <w:tcW w:w="120" w:type="dxa"/>
            <w:vAlign w:val="bottom"/>
            <w:tcBorders>
              <w:bottom w:val="single" w:sz="8" w:color="DBDBDB"/>
            </w:tcBorders>
            <w:shd w:val="clear" w:color="auto" w:fill="DBDBDB"/>
          </w:tcPr>
          <w:p>
            <w:pPr>
              <w:spacing w:after="0"/>
              <w:rPr>
                <w:sz w:val="17"/>
                <w:szCs w:val="17"/>
                <w:color w:val="auto"/>
              </w:rPr>
            </w:pPr>
          </w:p>
        </w:tc>
        <w:tc>
          <w:tcPr>
            <w:tcW w:w="3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193"/>
        </w:trPr>
        <w:tc>
          <w:tcPr>
            <w:tcW w:w="8240" w:type="dxa"/>
            <w:vAlign w:val="bottom"/>
            <w:gridSpan w:val="2"/>
          </w:tcPr>
          <w:p>
            <w:pPr>
              <w:ind w:left="380"/>
              <w:spacing w:after="0" w:line="193" w:lineRule="exact"/>
              <w:rPr>
                <w:sz w:val="20"/>
                <w:szCs w:val="20"/>
                <w:color w:val="auto"/>
              </w:rPr>
            </w:pPr>
            <w:r>
              <w:rPr>
                <w:rFonts w:ascii="Calibri" w:cs="Calibri" w:eastAsia="Calibri" w:hAnsi="Calibri"/>
                <w:sz w:val="16"/>
                <w:szCs w:val="16"/>
                <w:color w:val="auto"/>
              </w:rPr>
              <w:t>Non-cash interest expense</w:t>
            </w:r>
          </w:p>
        </w:tc>
        <w:tc>
          <w:tcPr>
            <w:tcW w:w="32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13,069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(2,228)</w:t>
            </w:r>
          </w:p>
        </w:tc>
        <w:tc>
          <w:tcPr>
            <w:tcW w:w="0" w:type="dxa"/>
            <w:vAlign w:val="bottom"/>
          </w:tcPr>
          <w:p>
            <w:pPr>
              <w:spacing w:after="0"/>
              <w:rPr>
                <w:sz w:val="1"/>
                <w:szCs w:val="1"/>
                <w:color w:val="auto"/>
              </w:rPr>
            </w:pPr>
          </w:p>
        </w:tc>
      </w:tr>
      <w:tr>
        <w:trPr>
          <w:trHeight w:val="23"/>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tcBorders>
              <w:bottom w:val="single" w:sz="8" w:color="DBDBDB"/>
            </w:tcBorders>
            <w:gridSpan w:val="2"/>
            <w:shd w:val="clear" w:color="auto" w:fill="DBDBDB"/>
          </w:tcPr>
          <w:p>
            <w:pPr>
              <w:ind w:left="380"/>
              <w:spacing w:after="0" w:line="193" w:lineRule="exact"/>
              <w:rPr>
                <w:sz w:val="20"/>
                <w:szCs w:val="20"/>
                <w:color w:val="auto"/>
              </w:rPr>
            </w:pPr>
            <w:r>
              <w:rPr>
                <w:rFonts w:ascii="Calibri" w:cs="Calibri" w:eastAsia="Calibri" w:hAnsi="Calibri"/>
                <w:sz w:val="16"/>
                <w:szCs w:val="16"/>
                <w:color w:val="auto"/>
              </w:rPr>
              <w:t>Non-cash royalty revenue related to sale of future royaltes</w:t>
            </w:r>
          </w:p>
        </w:tc>
        <w:tc>
          <w:tcPr>
            <w:tcW w:w="3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(1,895)</w:t>
            </w:r>
          </w:p>
        </w:tc>
        <w:tc>
          <w:tcPr>
            <w:tcW w:w="120" w:type="dxa"/>
            <w:vAlign w:val="bottom"/>
            <w:tcBorders>
              <w:bottom w:val="single" w:sz="8" w:color="DBDBDB"/>
            </w:tcBorders>
            <w:shd w:val="clear" w:color="auto" w:fill="DBDBDB"/>
          </w:tcPr>
          <w:p>
            <w:pPr>
              <w:spacing w:after="0"/>
              <w:rPr>
                <w:sz w:val="17"/>
                <w:szCs w:val="17"/>
                <w:color w:val="auto"/>
              </w:rPr>
            </w:pPr>
          </w:p>
        </w:tc>
        <w:tc>
          <w:tcPr>
            <w:tcW w:w="3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(1,977)</w:t>
            </w:r>
          </w:p>
        </w:tc>
        <w:tc>
          <w:tcPr>
            <w:tcW w:w="0" w:type="dxa"/>
            <w:vAlign w:val="bottom"/>
          </w:tcPr>
          <w:p>
            <w:pPr>
              <w:spacing w:after="0"/>
              <w:rPr>
                <w:sz w:val="1"/>
                <w:szCs w:val="1"/>
                <w:color w:val="auto"/>
              </w:rPr>
            </w:pPr>
          </w:p>
        </w:tc>
      </w:tr>
      <w:tr>
        <w:trPr>
          <w:trHeight w:val="193"/>
        </w:trPr>
        <w:tc>
          <w:tcPr>
            <w:tcW w:w="8240" w:type="dxa"/>
            <w:vAlign w:val="bottom"/>
            <w:gridSpan w:val="2"/>
          </w:tcPr>
          <w:p>
            <w:pPr>
              <w:ind w:left="380"/>
              <w:spacing w:after="0" w:line="193" w:lineRule="exact"/>
              <w:rPr>
                <w:sz w:val="20"/>
                <w:szCs w:val="20"/>
                <w:color w:val="auto"/>
              </w:rPr>
            </w:pPr>
            <w:r>
              <w:rPr>
                <w:rFonts w:ascii="Calibri" w:cs="Calibri" w:eastAsia="Calibri" w:hAnsi="Calibri"/>
                <w:sz w:val="16"/>
                <w:szCs w:val="16"/>
                <w:color w:val="auto"/>
              </w:rPr>
              <w:t>Non-cash research and development expense</w:t>
            </w:r>
          </w:p>
        </w:tc>
        <w:tc>
          <w:tcPr>
            <w:tcW w:w="320" w:type="dxa"/>
            <w:vAlign w:val="bottom"/>
          </w:tcPr>
          <w:p>
            <w:pPr>
              <w:spacing w:after="0"/>
              <w:rPr>
                <w:sz w:val="16"/>
                <w:szCs w:val="16"/>
                <w:color w:val="auto"/>
              </w:rPr>
            </w:pPr>
          </w:p>
        </w:tc>
        <w:tc>
          <w:tcPr>
            <w:tcW w:w="12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32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782</w:t>
            </w:r>
          </w:p>
        </w:tc>
        <w:tc>
          <w:tcPr>
            <w:tcW w:w="0" w:type="dxa"/>
            <w:vAlign w:val="bottom"/>
          </w:tcPr>
          <w:p>
            <w:pPr>
              <w:spacing w:after="0"/>
              <w:rPr>
                <w:sz w:val="1"/>
                <w:szCs w:val="1"/>
                <w:color w:val="auto"/>
              </w:rPr>
            </w:pPr>
          </w:p>
        </w:tc>
      </w:tr>
      <w:tr>
        <w:trPr>
          <w:trHeight w:val="23"/>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tcBorders>
              <w:bottom w:val="single" w:sz="8" w:color="DBDBDB"/>
            </w:tcBorders>
            <w:gridSpan w:val="2"/>
            <w:shd w:val="clear" w:color="auto" w:fill="DBDBDB"/>
          </w:tcPr>
          <w:p>
            <w:pPr>
              <w:ind w:left="380"/>
              <w:spacing w:after="0" w:line="193" w:lineRule="exact"/>
              <w:rPr>
                <w:sz w:val="20"/>
                <w:szCs w:val="20"/>
                <w:color w:val="auto"/>
              </w:rPr>
            </w:pPr>
            <w:r>
              <w:rPr>
                <w:rFonts w:ascii="Calibri" w:cs="Calibri" w:eastAsia="Calibri" w:hAnsi="Calibri"/>
                <w:sz w:val="16"/>
                <w:szCs w:val="16"/>
                <w:color w:val="auto"/>
              </w:rPr>
              <w:t>Amortzaton of right-of-use assets</w:t>
            </w:r>
          </w:p>
        </w:tc>
        <w:tc>
          <w:tcPr>
            <w:tcW w:w="3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4,198</w:t>
            </w:r>
          </w:p>
        </w:tc>
        <w:tc>
          <w:tcPr>
            <w:tcW w:w="120" w:type="dxa"/>
            <w:vAlign w:val="bottom"/>
            <w:tcBorders>
              <w:bottom w:val="single" w:sz="8" w:color="DBDBDB"/>
            </w:tcBorders>
            <w:shd w:val="clear" w:color="auto" w:fill="DBDBDB"/>
          </w:tcPr>
          <w:p>
            <w:pPr>
              <w:spacing w:after="0"/>
              <w:rPr>
                <w:sz w:val="17"/>
                <w:szCs w:val="17"/>
                <w:color w:val="auto"/>
              </w:rPr>
            </w:pPr>
          </w:p>
        </w:tc>
        <w:tc>
          <w:tcPr>
            <w:tcW w:w="3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4,219</w:t>
            </w:r>
          </w:p>
        </w:tc>
        <w:tc>
          <w:tcPr>
            <w:tcW w:w="0" w:type="dxa"/>
            <w:vAlign w:val="bottom"/>
          </w:tcPr>
          <w:p>
            <w:pPr>
              <w:spacing w:after="0"/>
              <w:rPr>
                <w:sz w:val="1"/>
                <w:szCs w:val="1"/>
                <w:color w:val="auto"/>
              </w:rPr>
            </w:pPr>
          </w:p>
        </w:tc>
      </w:tr>
      <w:tr>
        <w:trPr>
          <w:trHeight w:val="193"/>
        </w:trPr>
        <w:tc>
          <w:tcPr>
            <w:tcW w:w="8240" w:type="dxa"/>
            <w:vAlign w:val="bottom"/>
            <w:gridSpan w:val="2"/>
          </w:tcPr>
          <w:p>
            <w:pPr>
              <w:ind w:left="380"/>
              <w:spacing w:after="0" w:line="193" w:lineRule="exact"/>
              <w:rPr>
                <w:sz w:val="20"/>
                <w:szCs w:val="20"/>
                <w:color w:val="auto"/>
              </w:rPr>
            </w:pPr>
            <w:r>
              <w:rPr>
                <w:rFonts w:ascii="Calibri" w:cs="Calibri" w:eastAsia="Calibri" w:hAnsi="Calibri"/>
                <w:sz w:val="16"/>
                <w:szCs w:val="16"/>
                <w:color w:val="auto"/>
              </w:rPr>
              <w:t>Non-cash write-of on terminaton of lease</w:t>
            </w:r>
          </w:p>
        </w:tc>
        <w:tc>
          <w:tcPr>
            <w:tcW w:w="320" w:type="dxa"/>
            <w:vAlign w:val="bottom"/>
          </w:tcPr>
          <w:p>
            <w:pPr>
              <w:spacing w:after="0"/>
              <w:rPr>
                <w:sz w:val="16"/>
                <w:szCs w:val="16"/>
                <w:color w:val="auto"/>
              </w:rPr>
            </w:pPr>
          </w:p>
        </w:tc>
        <w:tc>
          <w:tcPr>
            <w:tcW w:w="12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32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(825)</w:t>
            </w:r>
          </w:p>
        </w:tc>
        <w:tc>
          <w:tcPr>
            <w:tcW w:w="0" w:type="dxa"/>
            <w:vAlign w:val="bottom"/>
          </w:tcPr>
          <w:p>
            <w:pPr>
              <w:spacing w:after="0"/>
              <w:rPr>
                <w:sz w:val="1"/>
                <w:szCs w:val="1"/>
                <w:color w:val="auto"/>
              </w:rPr>
            </w:pPr>
          </w:p>
        </w:tc>
      </w:tr>
      <w:tr>
        <w:trPr>
          <w:trHeight w:val="23"/>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tcBorders>
              <w:bottom w:val="single" w:sz="8" w:color="DBDBDB"/>
            </w:tcBorders>
            <w:gridSpan w:val="2"/>
            <w:shd w:val="clear" w:color="auto" w:fill="DBDBDB"/>
          </w:tcPr>
          <w:p>
            <w:pPr>
              <w:ind w:left="380"/>
              <w:spacing w:after="0" w:line="193" w:lineRule="exact"/>
              <w:rPr>
                <w:sz w:val="20"/>
                <w:szCs w:val="20"/>
                <w:color w:val="auto"/>
              </w:rPr>
            </w:pPr>
            <w:r>
              <w:rPr>
                <w:rFonts w:ascii="Calibri" w:cs="Calibri" w:eastAsia="Calibri" w:hAnsi="Calibri"/>
                <w:sz w:val="16"/>
                <w:szCs w:val="16"/>
                <w:color w:val="auto"/>
              </w:rPr>
              <w:t>Loss on extnguishment of debt</w:t>
            </w:r>
          </w:p>
        </w:tc>
        <w:tc>
          <w:tcPr>
            <w:tcW w:w="3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294</w:t>
            </w:r>
          </w:p>
        </w:tc>
        <w:tc>
          <w:tcPr>
            <w:tcW w:w="120" w:type="dxa"/>
            <w:vAlign w:val="bottom"/>
            <w:tcBorders>
              <w:bottom w:val="single" w:sz="8" w:color="DBDBDB"/>
            </w:tcBorders>
            <w:shd w:val="clear" w:color="auto" w:fill="DBDBDB"/>
          </w:tcPr>
          <w:p>
            <w:pPr>
              <w:spacing w:after="0"/>
              <w:rPr>
                <w:sz w:val="17"/>
                <w:szCs w:val="17"/>
                <w:color w:val="auto"/>
              </w:rPr>
            </w:pPr>
          </w:p>
        </w:tc>
        <w:tc>
          <w:tcPr>
            <w:tcW w:w="3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193"/>
        </w:trPr>
        <w:tc>
          <w:tcPr>
            <w:tcW w:w="8240" w:type="dxa"/>
            <w:vAlign w:val="bottom"/>
            <w:gridSpan w:val="2"/>
          </w:tcPr>
          <w:p>
            <w:pPr>
              <w:ind w:left="380"/>
              <w:spacing w:after="0" w:line="193" w:lineRule="exact"/>
              <w:rPr>
                <w:sz w:val="20"/>
                <w:szCs w:val="20"/>
                <w:color w:val="auto"/>
              </w:rPr>
            </w:pPr>
            <w:r>
              <w:rPr>
                <w:rFonts w:ascii="Calibri" w:cs="Calibri" w:eastAsia="Calibri" w:hAnsi="Calibri"/>
                <w:sz w:val="16"/>
                <w:szCs w:val="16"/>
                <w:color w:val="auto"/>
              </w:rPr>
              <w:t>Write-down of inventory</w:t>
            </w:r>
          </w:p>
        </w:tc>
        <w:tc>
          <w:tcPr>
            <w:tcW w:w="32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4,208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1,580</w:t>
            </w:r>
          </w:p>
        </w:tc>
        <w:tc>
          <w:tcPr>
            <w:tcW w:w="0" w:type="dxa"/>
            <w:vAlign w:val="bottom"/>
          </w:tcPr>
          <w:p>
            <w:pPr>
              <w:spacing w:after="0"/>
              <w:rPr>
                <w:sz w:val="1"/>
                <w:szCs w:val="1"/>
                <w:color w:val="auto"/>
              </w:rPr>
            </w:pPr>
          </w:p>
        </w:tc>
      </w:tr>
      <w:tr>
        <w:trPr>
          <w:trHeight w:val="23"/>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tcBorders>
              <w:bottom w:val="single" w:sz="8" w:color="DBDBDB"/>
            </w:tcBorders>
            <w:gridSpan w:val="2"/>
            <w:shd w:val="clear" w:color="auto" w:fill="DBDBDB"/>
          </w:tcPr>
          <w:p>
            <w:pPr>
              <w:ind w:left="380"/>
              <w:spacing w:after="0" w:line="193" w:lineRule="exact"/>
              <w:rPr>
                <w:sz w:val="20"/>
                <w:szCs w:val="20"/>
                <w:color w:val="auto"/>
              </w:rPr>
            </w:pPr>
            <w:r>
              <w:rPr>
                <w:rFonts w:ascii="Calibri" w:cs="Calibri" w:eastAsia="Calibri" w:hAnsi="Calibri"/>
                <w:sz w:val="16"/>
                <w:szCs w:val="16"/>
                <w:color w:val="auto"/>
              </w:rPr>
              <w:t>Change in frm purchase commitments</w:t>
            </w:r>
          </w:p>
        </w:tc>
        <w:tc>
          <w:tcPr>
            <w:tcW w:w="3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2,068</w:t>
            </w:r>
          </w:p>
        </w:tc>
        <w:tc>
          <w:tcPr>
            <w:tcW w:w="120" w:type="dxa"/>
            <w:vAlign w:val="bottom"/>
            <w:tcBorders>
              <w:bottom w:val="single" w:sz="8" w:color="DBDBDB"/>
            </w:tcBorders>
            <w:shd w:val="clear" w:color="auto" w:fill="DBDBDB"/>
          </w:tcPr>
          <w:p>
            <w:pPr>
              <w:spacing w:after="0"/>
              <w:rPr>
                <w:sz w:val="17"/>
                <w:szCs w:val="17"/>
                <w:color w:val="auto"/>
              </w:rPr>
            </w:pPr>
          </w:p>
        </w:tc>
        <w:tc>
          <w:tcPr>
            <w:tcW w:w="3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1,533</w:t>
            </w:r>
          </w:p>
        </w:tc>
        <w:tc>
          <w:tcPr>
            <w:tcW w:w="0" w:type="dxa"/>
            <w:vAlign w:val="bottom"/>
          </w:tcPr>
          <w:p>
            <w:pPr>
              <w:spacing w:after="0"/>
              <w:rPr>
                <w:sz w:val="1"/>
                <w:szCs w:val="1"/>
                <w:color w:val="auto"/>
              </w:rPr>
            </w:pPr>
          </w:p>
        </w:tc>
      </w:tr>
      <w:tr>
        <w:trPr>
          <w:trHeight w:val="193"/>
        </w:trPr>
        <w:tc>
          <w:tcPr>
            <w:tcW w:w="8240" w:type="dxa"/>
            <w:vAlign w:val="bottom"/>
            <w:gridSpan w:val="2"/>
          </w:tcPr>
          <w:p>
            <w:pPr>
              <w:ind w:left="380"/>
              <w:spacing w:after="0" w:line="193" w:lineRule="exact"/>
              <w:rPr>
                <w:sz w:val="20"/>
                <w:szCs w:val="20"/>
                <w:color w:val="auto"/>
              </w:rPr>
            </w:pPr>
            <w:r>
              <w:rPr>
                <w:rFonts w:ascii="Calibri" w:cs="Calibri" w:eastAsia="Calibri" w:hAnsi="Calibri"/>
                <w:sz w:val="16"/>
                <w:szCs w:val="16"/>
                <w:color w:val="auto"/>
              </w:rPr>
              <w:t>Stock-based compensaton expense</w:t>
            </w:r>
          </w:p>
        </w:tc>
        <w:tc>
          <w:tcPr>
            <w:tcW w:w="32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7,775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9,317</w:t>
            </w:r>
          </w:p>
        </w:tc>
        <w:tc>
          <w:tcPr>
            <w:tcW w:w="0" w:type="dxa"/>
            <w:vAlign w:val="bottom"/>
          </w:tcPr>
          <w:p>
            <w:pPr>
              <w:spacing w:after="0"/>
              <w:rPr>
                <w:sz w:val="1"/>
                <w:szCs w:val="1"/>
                <w:color w:val="auto"/>
              </w:rPr>
            </w:pPr>
          </w:p>
        </w:tc>
      </w:tr>
      <w:tr>
        <w:trPr>
          <w:trHeight w:val="23"/>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tcBorders>
              <w:bottom w:val="single" w:sz="8" w:color="DBDBDB"/>
            </w:tcBorders>
            <w:gridSpan w:val="2"/>
            <w:shd w:val="clear" w:color="auto" w:fill="DBDBDB"/>
          </w:tcPr>
          <w:p>
            <w:pPr>
              <w:ind w:left="380"/>
              <w:spacing w:after="0" w:line="193" w:lineRule="exact"/>
              <w:rPr>
                <w:sz w:val="20"/>
                <w:szCs w:val="20"/>
                <w:color w:val="auto"/>
              </w:rPr>
            </w:pPr>
            <w:r>
              <w:rPr>
                <w:rFonts w:ascii="Calibri" w:cs="Calibri" w:eastAsia="Calibri" w:hAnsi="Calibri"/>
                <w:sz w:val="16"/>
                <w:szCs w:val="16"/>
                <w:color w:val="auto"/>
              </w:rPr>
              <w:t>Change in fair value of embedded debt derivatve</w:t>
            </w:r>
          </w:p>
        </w:tc>
        <w:tc>
          <w:tcPr>
            <w:tcW w:w="320" w:type="dxa"/>
            <w:vAlign w:val="bottom"/>
            <w:tcBorders>
              <w:bottom w:val="single" w:sz="8" w:color="DBDBDB"/>
            </w:tcBorders>
            <w:shd w:val="clear" w:color="auto" w:fill="DBDBDB"/>
          </w:tcPr>
          <w:p>
            <w:pPr>
              <w:spacing w:after="0"/>
              <w:rPr>
                <w:sz w:val="17"/>
                <w:szCs w:val="17"/>
                <w:color w:val="auto"/>
              </w:rPr>
            </w:pPr>
          </w:p>
        </w:tc>
        <w:tc>
          <w:tcPr>
            <w:tcW w:w="1220" w:type="dxa"/>
            <w:vAlign w:val="bottom"/>
            <w:tcBorders>
              <w:bottom w:val="single" w:sz="8" w:color="DBDBDB"/>
            </w:tcBorders>
            <w:gridSpan w:val="2"/>
            <w:shd w:val="clear" w:color="auto" w:fill="DBDBDB"/>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3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(760)</w:t>
            </w:r>
          </w:p>
        </w:tc>
        <w:tc>
          <w:tcPr>
            <w:tcW w:w="0" w:type="dxa"/>
            <w:vAlign w:val="bottom"/>
          </w:tcPr>
          <w:p>
            <w:pPr>
              <w:spacing w:after="0"/>
              <w:rPr>
                <w:sz w:val="1"/>
                <w:szCs w:val="1"/>
                <w:color w:val="auto"/>
              </w:rPr>
            </w:pPr>
          </w:p>
        </w:tc>
      </w:tr>
      <w:tr>
        <w:trPr>
          <w:trHeight w:val="193"/>
        </w:trPr>
        <w:tc>
          <w:tcPr>
            <w:tcW w:w="8240" w:type="dxa"/>
            <w:vAlign w:val="bottom"/>
            <w:gridSpan w:val="2"/>
          </w:tcPr>
          <w:p>
            <w:pPr>
              <w:ind w:left="380"/>
              <w:spacing w:after="0" w:line="193" w:lineRule="exact"/>
              <w:rPr>
                <w:sz w:val="20"/>
                <w:szCs w:val="20"/>
                <w:color w:val="auto"/>
              </w:rPr>
            </w:pPr>
            <w:r>
              <w:rPr>
                <w:rFonts w:ascii="Calibri" w:cs="Calibri" w:eastAsia="Calibri" w:hAnsi="Calibri"/>
                <w:sz w:val="16"/>
                <w:szCs w:val="16"/>
                <w:color w:val="auto"/>
              </w:rPr>
              <w:t>Changes in operatng assets and liabilites: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tcBorders>
              <w:bottom w:val="single" w:sz="8" w:color="DBDBDB"/>
            </w:tcBorders>
            <w:gridSpan w:val="2"/>
            <w:shd w:val="clear" w:color="auto" w:fill="DBDBDB"/>
          </w:tcPr>
          <w:p>
            <w:pPr>
              <w:ind w:left="640"/>
              <w:spacing w:after="0" w:line="193" w:lineRule="exact"/>
              <w:rPr>
                <w:sz w:val="20"/>
                <w:szCs w:val="20"/>
                <w:color w:val="auto"/>
              </w:rPr>
            </w:pPr>
            <w:r>
              <w:rPr>
                <w:rFonts w:ascii="Calibri" w:cs="Calibri" w:eastAsia="Calibri" w:hAnsi="Calibri"/>
                <w:sz w:val="16"/>
                <w:szCs w:val="16"/>
                <w:color w:val="auto"/>
              </w:rPr>
              <w:t>Accounts receivable</w:t>
            </w:r>
          </w:p>
        </w:tc>
        <w:tc>
          <w:tcPr>
            <w:tcW w:w="3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4,046</w:t>
            </w:r>
          </w:p>
        </w:tc>
        <w:tc>
          <w:tcPr>
            <w:tcW w:w="120" w:type="dxa"/>
            <w:vAlign w:val="bottom"/>
            <w:tcBorders>
              <w:bottom w:val="single" w:sz="8" w:color="DBDBDB"/>
            </w:tcBorders>
            <w:shd w:val="clear" w:color="auto" w:fill="DBDBDB"/>
          </w:tcPr>
          <w:p>
            <w:pPr>
              <w:spacing w:after="0"/>
              <w:rPr>
                <w:sz w:val="17"/>
                <w:szCs w:val="17"/>
                <w:color w:val="auto"/>
              </w:rPr>
            </w:pPr>
          </w:p>
        </w:tc>
        <w:tc>
          <w:tcPr>
            <w:tcW w:w="3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994</w:t>
            </w:r>
          </w:p>
        </w:tc>
        <w:tc>
          <w:tcPr>
            <w:tcW w:w="0" w:type="dxa"/>
            <w:vAlign w:val="bottom"/>
          </w:tcPr>
          <w:p>
            <w:pPr>
              <w:spacing w:after="0"/>
              <w:rPr>
                <w:sz w:val="1"/>
                <w:szCs w:val="1"/>
                <w:color w:val="auto"/>
              </w:rPr>
            </w:pPr>
          </w:p>
        </w:tc>
      </w:tr>
      <w:tr>
        <w:trPr>
          <w:trHeight w:val="194"/>
        </w:trPr>
        <w:tc>
          <w:tcPr>
            <w:tcW w:w="8240" w:type="dxa"/>
            <w:vAlign w:val="bottom"/>
            <w:gridSpan w:val="2"/>
          </w:tcPr>
          <w:p>
            <w:pPr>
              <w:ind w:left="640"/>
              <w:spacing w:after="0" w:line="193" w:lineRule="exact"/>
              <w:rPr>
                <w:sz w:val="20"/>
                <w:szCs w:val="20"/>
                <w:color w:val="auto"/>
              </w:rPr>
            </w:pPr>
            <w:r>
              <w:rPr>
                <w:rFonts w:ascii="Calibri" w:cs="Calibri" w:eastAsia="Calibri" w:hAnsi="Calibri"/>
                <w:sz w:val="16"/>
                <w:szCs w:val="16"/>
                <w:color w:val="auto"/>
              </w:rPr>
              <w:t>Inventories</w:t>
            </w:r>
          </w:p>
        </w:tc>
        <w:tc>
          <w:tcPr>
            <w:tcW w:w="32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(28,401)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(2,542)</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tcBorders>
              <w:bottom w:val="single" w:sz="8" w:color="DBDBDB"/>
            </w:tcBorders>
            <w:gridSpan w:val="2"/>
            <w:shd w:val="clear" w:color="auto" w:fill="DBDBDB"/>
          </w:tcPr>
          <w:p>
            <w:pPr>
              <w:ind w:left="640"/>
              <w:spacing w:after="0" w:line="193" w:lineRule="exact"/>
              <w:rPr>
                <w:sz w:val="20"/>
                <w:szCs w:val="20"/>
                <w:color w:val="auto"/>
              </w:rPr>
            </w:pPr>
            <w:r>
              <w:rPr>
                <w:rFonts w:ascii="Calibri" w:cs="Calibri" w:eastAsia="Calibri" w:hAnsi="Calibri"/>
                <w:sz w:val="16"/>
                <w:szCs w:val="16"/>
                <w:color w:val="auto"/>
              </w:rPr>
              <w:t>Prepaid expenses and other current assets</w:t>
            </w:r>
          </w:p>
        </w:tc>
        <w:tc>
          <w:tcPr>
            <w:tcW w:w="3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8,893</w:t>
            </w:r>
          </w:p>
        </w:tc>
        <w:tc>
          <w:tcPr>
            <w:tcW w:w="120" w:type="dxa"/>
            <w:vAlign w:val="bottom"/>
            <w:tcBorders>
              <w:bottom w:val="single" w:sz="8" w:color="DBDBDB"/>
            </w:tcBorders>
            <w:shd w:val="clear" w:color="auto" w:fill="DBDBDB"/>
          </w:tcPr>
          <w:p>
            <w:pPr>
              <w:spacing w:after="0"/>
              <w:rPr>
                <w:sz w:val="17"/>
                <w:szCs w:val="17"/>
                <w:color w:val="auto"/>
              </w:rPr>
            </w:pPr>
          </w:p>
        </w:tc>
        <w:tc>
          <w:tcPr>
            <w:tcW w:w="3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11,839</w:t>
            </w:r>
          </w:p>
        </w:tc>
        <w:tc>
          <w:tcPr>
            <w:tcW w:w="0" w:type="dxa"/>
            <w:vAlign w:val="bottom"/>
          </w:tcPr>
          <w:p>
            <w:pPr>
              <w:spacing w:after="0"/>
              <w:rPr>
                <w:sz w:val="1"/>
                <w:szCs w:val="1"/>
                <w:color w:val="auto"/>
              </w:rPr>
            </w:pPr>
          </w:p>
        </w:tc>
      </w:tr>
      <w:tr>
        <w:trPr>
          <w:trHeight w:val="194"/>
        </w:trPr>
        <w:tc>
          <w:tcPr>
            <w:tcW w:w="8240" w:type="dxa"/>
            <w:vAlign w:val="bottom"/>
            <w:gridSpan w:val="2"/>
          </w:tcPr>
          <w:p>
            <w:pPr>
              <w:ind w:left="640"/>
              <w:spacing w:after="0" w:line="193" w:lineRule="exact"/>
              <w:rPr>
                <w:sz w:val="20"/>
                <w:szCs w:val="20"/>
                <w:color w:val="auto"/>
              </w:rPr>
            </w:pPr>
            <w:r>
              <w:rPr>
                <w:rFonts w:ascii="Calibri" w:cs="Calibri" w:eastAsia="Calibri" w:hAnsi="Calibri"/>
                <w:sz w:val="16"/>
                <w:szCs w:val="16"/>
                <w:color w:val="auto"/>
              </w:rPr>
              <w:t>Other long-term assets</w:t>
            </w:r>
          </w:p>
        </w:tc>
        <w:tc>
          <w:tcPr>
            <w:tcW w:w="32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622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(1,361)</w:t>
            </w:r>
          </w:p>
        </w:tc>
        <w:tc>
          <w:tcPr>
            <w:tcW w:w="0" w:type="dxa"/>
            <w:vAlign w:val="bottom"/>
          </w:tcPr>
          <w:p>
            <w:pPr>
              <w:spacing w:after="0"/>
              <w:rPr>
                <w:sz w:val="1"/>
                <w:szCs w:val="1"/>
                <w:color w:val="auto"/>
              </w:rPr>
            </w:pPr>
          </w:p>
        </w:tc>
      </w:tr>
      <w:tr>
        <w:trPr>
          <w:trHeight w:val="23"/>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tcBorders>
              <w:bottom w:val="single" w:sz="8" w:color="DBDBDB"/>
            </w:tcBorders>
            <w:gridSpan w:val="2"/>
            <w:shd w:val="clear" w:color="auto" w:fill="DBDBDB"/>
          </w:tcPr>
          <w:p>
            <w:pPr>
              <w:ind w:left="640"/>
              <w:spacing w:after="0" w:line="193" w:lineRule="exact"/>
              <w:rPr>
                <w:sz w:val="20"/>
                <w:szCs w:val="20"/>
                <w:color w:val="auto"/>
              </w:rPr>
            </w:pPr>
            <w:r>
              <w:rPr>
                <w:rFonts w:ascii="Calibri" w:cs="Calibri" w:eastAsia="Calibri" w:hAnsi="Calibri"/>
                <w:sz w:val="16"/>
                <w:szCs w:val="16"/>
                <w:color w:val="auto"/>
              </w:rPr>
              <w:t>Accounts payable</w:t>
            </w:r>
          </w:p>
        </w:tc>
        <w:tc>
          <w:tcPr>
            <w:tcW w:w="3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(1,364)</w:t>
            </w:r>
          </w:p>
        </w:tc>
        <w:tc>
          <w:tcPr>
            <w:tcW w:w="120" w:type="dxa"/>
            <w:vAlign w:val="bottom"/>
            <w:tcBorders>
              <w:bottom w:val="single" w:sz="8" w:color="DBDBDB"/>
            </w:tcBorders>
            <w:shd w:val="clear" w:color="auto" w:fill="DBDBDB"/>
          </w:tcPr>
          <w:p>
            <w:pPr>
              <w:spacing w:after="0"/>
              <w:rPr>
                <w:sz w:val="17"/>
                <w:szCs w:val="17"/>
                <w:color w:val="auto"/>
              </w:rPr>
            </w:pPr>
          </w:p>
        </w:tc>
        <w:tc>
          <w:tcPr>
            <w:tcW w:w="3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(5,244)</w:t>
            </w:r>
          </w:p>
        </w:tc>
        <w:tc>
          <w:tcPr>
            <w:tcW w:w="0" w:type="dxa"/>
            <w:vAlign w:val="bottom"/>
          </w:tcPr>
          <w:p>
            <w:pPr>
              <w:spacing w:after="0"/>
              <w:rPr>
                <w:sz w:val="1"/>
                <w:szCs w:val="1"/>
                <w:color w:val="auto"/>
              </w:rPr>
            </w:pPr>
          </w:p>
        </w:tc>
      </w:tr>
      <w:tr>
        <w:trPr>
          <w:trHeight w:val="193"/>
        </w:trPr>
        <w:tc>
          <w:tcPr>
            <w:tcW w:w="8240" w:type="dxa"/>
            <w:vAlign w:val="bottom"/>
            <w:gridSpan w:val="2"/>
          </w:tcPr>
          <w:p>
            <w:pPr>
              <w:ind w:left="640"/>
              <w:spacing w:after="0" w:line="193" w:lineRule="exact"/>
              <w:rPr>
                <w:sz w:val="20"/>
                <w:szCs w:val="20"/>
                <w:color w:val="auto"/>
              </w:rPr>
            </w:pPr>
            <w:r>
              <w:rPr>
                <w:rFonts w:ascii="Calibri" w:cs="Calibri" w:eastAsia="Calibri" w:hAnsi="Calibri"/>
                <w:sz w:val="16"/>
                <w:szCs w:val="16"/>
                <w:color w:val="auto"/>
              </w:rPr>
              <w:t>Accrued expense and other current liabilites</w:t>
            </w:r>
          </w:p>
        </w:tc>
        <w:tc>
          <w:tcPr>
            <w:tcW w:w="32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(12,777)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(10,021)</w:t>
            </w:r>
          </w:p>
        </w:tc>
        <w:tc>
          <w:tcPr>
            <w:tcW w:w="0" w:type="dxa"/>
            <w:vAlign w:val="bottom"/>
          </w:tcPr>
          <w:p>
            <w:pPr>
              <w:spacing w:after="0"/>
              <w:rPr>
                <w:sz w:val="1"/>
                <w:szCs w:val="1"/>
                <w:color w:val="auto"/>
              </w:rPr>
            </w:pPr>
          </w:p>
        </w:tc>
      </w:tr>
      <w:tr>
        <w:trPr>
          <w:trHeight w:val="23"/>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tcBorders>
              <w:bottom w:val="single" w:sz="8" w:color="DBDBDB"/>
            </w:tcBorders>
            <w:gridSpan w:val="2"/>
            <w:shd w:val="clear" w:color="auto" w:fill="DBDBDB"/>
          </w:tcPr>
          <w:p>
            <w:pPr>
              <w:ind w:left="640"/>
              <w:spacing w:after="0" w:line="193" w:lineRule="exact"/>
              <w:rPr>
                <w:sz w:val="20"/>
                <w:szCs w:val="20"/>
                <w:color w:val="auto"/>
              </w:rPr>
            </w:pPr>
            <w:r>
              <w:rPr>
                <w:rFonts w:ascii="Calibri" w:cs="Calibri" w:eastAsia="Calibri" w:hAnsi="Calibri"/>
                <w:sz w:val="16"/>
                <w:szCs w:val="16"/>
                <w:color w:val="auto"/>
              </w:rPr>
              <w:t>Lease liabilites</w:t>
            </w:r>
          </w:p>
        </w:tc>
        <w:tc>
          <w:tcPr>
            <w:tcW w:w="3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(4,491)</w:t>
            </w:r>
          </w:p>
        </w:tc>
        <w:tc>
          <w:tcPr>
            <w:tcW w:w="120" w:type="dxa"/>
            <w:vAlign w:val="bottom"/>
            <w:tcBorders>
              <w:bottom w:val="single" w:sz="8" w:color="DBDBDB"/>
            </w:tcBorders>
            <w:shd w:val="clear" w:color="auto" w:fill="DBDBDB"/>
          </w:tcPr>
          <w:p>
            <w:pPr>
              <w:spacing w:after="0"/>
              <w:rPr>
                <w:sz w:val="17"/>
                <w:szCs w:val="17"/>
                <w:color w:val="auto"/>
              </w:rPr>
            </w:pPr>
          </w:p>
        </w:tc>
        <w:tc>
          <w:tcPr>
            <w:tcW w:w="3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(4,963)</w:t>
            </w:r>
          </w:p>
        </w:tc>
        <w:tc>
          <w:tcPr>
            <w:tcW w:w="0" w:type="dxa"/>
            <w:vAlign w:val="bottom"/>
          </w:tcPr>
          <w:p>
            <w:pPr>
              <w:spacing w:after="0"/>
              <w:rPr>
                <w:sz w:val="1"/>
                <w:szCs w:val="1"/>
                <w:color w:val="auto"/>
              </w:rPr>
            </w:pPr>
          </w:p>
        </w:tc>
      </w:tr>
      <w:tr>
        <w:trPr>
          <w:trHeight w:val="193"/>
        </w:trPr>
        <w:tc>
          <w:tcPr>
            <w:tcW w:w="8240" w:type="dxa"/>
            <w:vAlign w:val="bottom"/>
            <w:gridSpan w:val="2"/>
          </w:tcPr>
          <w:p>
            <w:pPr>
              <w:ind w:left="640"/>
              <w:spacing w:after="0" w:line="193" w:lineRule="exact"/>
              <w:rPr>
                <w:sz w:val="20"/>
                <w:szCs w:val="20"/>
                <w:color w:val="auto"/>
              </w:rPr>
            </w:pPr>
            <w:r>
              <w:rPr>
                <w:rFonts w:ascii="Calibri" w:cs="Calibri" w:eastAsia="Calibri" w:hAnsi="Calibri"/>
                <w:sz w:val="16"/>
                <w:szCs w:val="16"/>
                <w:color w:val="auto"/>
              </w:rPr>
              <w:t>Deferred revenue</w:t>
            </w:r>
          </w:p>
        </w:tc>
        <w:tc>
          <w:tcPr>
            <w:tcW w:w="320" w:type="dxa"/>
            <w:vAlign w:val="bottom"/>
          </w:tcPr>
          <w:p>
            <w:pPr>
              <w:spacing w:after="0"/>
              <w:rPr>
                <w:sz w:val="16"/>
                <w:szCs w:val="16"/>
                <w:color w:val="auto"/>
              </w:rPr>
            </w:pPr>
          </w:p>
        </w:tc>
        <w:tc>
          <w:tcPr>
            <w:tcW w:w="122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32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(3,738)</w:t>
            </w:r>
          </w:p>
        </w:tc>
        <w:tc>
          <w:tcPr>
            <w:tcW w:w="0" w:type="dxa"/>
            <w:vAlign w:val="bottom"/>
          </w:tcPr>
          <w:p>
            <w:pPr>
              <w:spacing w:after="0"/>
              <w:rPr>
                <w:sz w:val="1"/>
                <w:szCs w:val="1"/>
                <w:color w:val="auto"/>
              </w:rPr>
            </w:pPr>
          </w:p>
        </w:tc>
      </w:tr>
      <w:tr>
        <w:trPr>
          <w:trHeight w:val="23"/>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240" w:type="dxa"/>
            <w:vAlign w:val="bottom"/>
            <w:tcBorders>
              <w:bottom w:val="single" w:sz="8" w:color="DBDBDB"/>
            </w:tcBorders>
            <w:gridSpan w:val="2"/>
            <w:shd w:val="clear" w:color="auto" w:fill="DBDBDB"/>
          </w:tcPr>
          <w:p>
            <w:pPr>
              <w:ind w:left="640"/>
              <w:spacing w:after="0" w:line="193" w:lineRule="exact"/>
              <w:rPr>
                <w:sz w:val="20"/>
                <w:szCs w:val="20"/>
                <w:color w:val="auto"/>
              </w:rPr>
            </w:pPr>
            <w:r>
              <w:rPr>
                <w:rFonts w:ascii="Calibri" w:cs="Calibri" w:eastAsia="Calibri" w:hAnsi="Calibri"/>
                <w:sz w:val="16"/>
                <w:szCs w:val="16"/>
                <w:color w:val="auto"/>
              </w:rPr>
              <w:t>Other long-term liabilites</w:t>
            </w:r>
          </w:p>
        </w:tc>
        <w:tc>
          <w:tcPr>
            <w:tcW w:w="32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(6,204)</w:t>
            </w:r>
          </w:p>
        </w:tc>
        <w:tc>
          <w:tcPr>
            <w:tcW w:w="12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(5,691)</w:t>
            </w:r>
          </w:p>
        </w:tc>
        <w:tc>
          <w:tcPr>
            <w:tcW w:w="0" w:type="dxa"/>
            <w:vAlign w:val="bottom"/>
          </w:tcPr>
          <w:p>
            <w:pPr>
              <w:spacing w:after="0"/>
              <w:rPr>
                <w:sz w:val="1"/>
                <w:szCs w:val="1"/>
                <w:color w:val="auto"/>
              </w:rPr>
            </w:pPr>
          </w:p>
        </w:tc>
      </w:tr>
      <w:tr>
        <w:trPr>
          <w:trHeight w:val="187"/>
        </w:trPr>
        <w:tc>
          <w:tcPr>
            <w:tcW w:w="8240" w:type="dxa"/>
            <w:vAlign w:val="bottom"/>
            <w:gridSpan w:val="2"/>
          </w:tcPr>
          <w:p>
            <w:pPr>
              <w:ind w:left="20"/>
              <w:spacing w:after="0" w:line="174" w:lineRule="exact"/>
              <w:rPr>
                <w:sz w:val="20"/>
                <w:szCs w:val="20"/>
                <w:color w:val="auto"/>
              </w:rPr>
            </w:pPr>
            <w:r>
              <w:rPr>
                <w:rFonts w:ascii="Calibri" w:cs="Calibri" w:eastAsia="Calibri" w:hAnsi="Calibri"/>
                <w:sz w:val="16"/>
                <w:szCs w:val="16"/>
                <w:b w:val="1"/>
                <w:bCs w:val="1"/>
                <w:color w:val="auto"/>
              </w:rPr>
              <w:t>Net cash used in operatng actvites</w:t>
            </w: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(40,659)</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(23,384)</w:t>
            </w:r>
          </w:p>
        </w:tc>
        <w:tc>
          <w:tcPr>
            <w:tcW w:w="0" w:type="dxa"/>
            <w:vAlign w:val="bottom"/>
          </w:tcPr>
          <w:p>
            <w:pPr>
              <w:spacing w:after="0"/>
              <w:rPr>
                <w:sz w:val="1"/>
                <w:szCs w:val="1"/>
                <w:color w:val="auto"/>
              </w:rPr>
            </w:pPr>
          </w:p>
        </w:tc>
      </w:tr>
      <w:tr>
        <w:trPr>
          <w:trHeight w:val="23"/>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b w:val="1"/>
                <w:bCs w:val="1"/>
                <w:color w:val="auto"/>
              </w:rPr>
              <w:t>Investng Actvites:</w:t>
            </w:r>
          </w:p>
        </w:tc>
        <w:tc>
          <w:tcPr>
            <w:tcW w:w="3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3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240" w:type="dxa"/>
            <w:vAlign w:val="bottom"/>
            <w:gridSpan w:val="2"/>
          </w:tcPr>
          <w:p>
            <w:pPr>
              <w:ind w:left="260"/>
              <w:spacing w:after="0" w:line="193" w:lineRule="exact"/>
              <w:rPr>
                <w:sz w:val="20"/>
                <w:szCs w:val="20"/>
                <w:color w:val="auto"/>
              </w:rPr>
            </w:pPr>
            <w:r>
              <w:rPr>
                <w:rFonts w:ascii="Calibri" w:cs="Calibri" w:eastAsia="Calibri" w:hAnsi="Calibri"/>
                <w:sz w:val="16"/>
                <w:szCs w:val="16"/>
                <w:color w:val="auto"/>
              </w:rPr>
              <w:t>Purchase of property and equipment</w:t>
            </w:r>
          </w:p>
        </w:tc>
        <w:tc>
          <w:tcPr>
            <w:tcW w:w="32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(33)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2"/>
        </w:trPr>
        <w:tc>
          <w:tcPr>
            <w:tcW w:w="81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240" w:type="dxa"/>
            <w:vAlign w:val="bottom"/>
            <w:tcBorders>
              <w:bottom w:val="single" w:sz="8" w:color="DBDBDB"/>
            </w:tcBorders>
            <w:gridSpan w:val="2"/>
            <w:shd w:val="clear" w:color="auto" w:fill="DBDBDB"/>
          </w:tcPr>
          <w:p>
            <w:pPr>
              <w:ind w:left="20"/>
              <w:spacing w:after="0" w:line="174" w:lineRule="exact"/>
              <w:rPr>
                <w:sz w:val="20"/>
                <w:szCs w:val="20"/>
                <w:color w:val="auto"/>
              </w:rPr>
            </w:pPr>
            <w:r>
              <w:rPr>
                <w:rFonts w:ascii="Calibri" w:cs="Calibri" w:eastAsia="Calibri" w:hAnsi="Calibri"/>
                <w:sz w:val="16"/>
                <w:szCs w:val="16"/>
                <w:b w:val="1"/>
                <w:bCs w:val="1"/>
                <w:color w:val="auto"/>
              </w:rPr>
              <w:t>Net cash provided by (used in) investng actvites</w:t>
            </w:r>
          </w:p>
        </w:tc>
        <w:tc>
          <w:tcPr>
            <w:tcW w:w="32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(33)</w:t>
            </w:r>
          </w:p>
        </w:tc>
        <w:tc>
          <w:tcPr>
            <w:tcW w:w="12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173"/>
        </w:trPr>
        <w:tc>
          <w:tcPr>
            <w:tcW w:w="8240" w:type="dxa"/>
            <w:vAlign w:val="bottom"/>
            <w:gridSpan w:val="2"/>
          </w:tcPr>
          <w:p>
            <w:pPr>
              <w:ind w:left="20"/>
              <w:spacing w:after="0" w:line="174" w:lineRule="exact"/>
              <w:rPr>
                <w:sz w:val="20"/>
                <w:szCs w:val="20"/>
                <w:color w:val="auto"/>
              </w:rPr>
            </w:pPr>
            <w:r>
              <w:rPr>
                <w:rFonts w:ascii="Calibri" w:cs="Calibri" w:eastAsia="Calibri" w:hAnsi="Calibri"/>
                <w:sz w:val="16"/>
                <w:szCs w:val="16"/>
                <w:b w:val="1"/>
                <w:bCs w:val="1"/>
                <w:color w:val="auto"/>
              </w:rPr>
              <w:t>Financing Actvites:</w:t>
            </w: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tcBorders>
              <w:bottom w:val="single" w:sz="8" w:color="DBDBDB"/>
            </w:tcBorders>
            <w:gridSpan w:val="2"/>
            <w:shd w:val="clear" w:color="auto" w:fill="DBDBDB"/>
          </w:tcPr>
          <w:p>
            <w:pPr>
              <w:ind w:left="260"/>
              <w:spacing w:after="0" w:line="193" w:lineRule="exact"/>
              <w:rPr>
                <w:sz w:val="20"/>
                <w:szCs w:val="20"/>
                <w:color w:val="auto"/>
              </w:rPr>
            </w:pPr>
            <w:r>
              <w:rPr>
                <w:rFonts w:ascii="Calibri" w:cs="Calibri" w:eastAsia="Calibri" w:hAnsi="Calibri"/>
                <w:sz w:val="16"/>
                <w:szCs w:val="16"/>
                <w:color w:val="auto"/>
              </w:rPr>
              <w:t>Proceeds from the issuance of debt</w:t>
            </w:r>
          </w:p>
        </w:tc>
        <w:tc>
          <w:tcPr>
            <w:tcW w:w="3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45,000</w:t>
            </w:r>
          </w:p>
        </w:tc>
        <w:tc>
          <w:tcPr>
            <w:tcW w:w="120" w:type="dxa"/>
            <w:vAlign w:val="bottom"/>
            <w:tcBorders>
              <w:bottom w:val="single" w:sz="8" w:color="DBDBDB"/>
            </w:tcBorders>
            <w:shd w:val="clear" w:color="auto" w:fill="DBDBDB"/>
          </w:tcPr>
          <w:p>
            <w:pPr>
              <w:spacing w:after="0"/>
              <w:rPr>
                <w:sz w:val="17"/>
                <w:szCs w:val="17"/>
                <w:color w:val="auto"/>
              </w:rPr>
            </w:pPr>
          </w:p>
        </w:tc>
        <w:tc>
          <w:tcPr>
            <w:tcW w:w="3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194"/>
        </w:trPr>
        <w:tc>
          <w:tcPr>
            <w:tcW w:w="8240" w:type="dxa"/>
            <w:vAlign w:val="bottom"/>
            <w:gridSpan w:val="2"/>
          </w:tcPr>
          <w:p>
            <w:pPr>
              <w:ind w:left="260"/>
              <w:spacing w:after="0" w:line="193" w:lineRule="exact"/>
              <w:rPr>
                <w:sz w:val="20"/>
                <w:szCs w:val="20"/>
                <w:color w:val="auto"/>
              </w:rPr>
            </w:pPr>
            <w:r>
              <w:rPr>
                <w:rFonts w:ascii="Calibri" w:cs="Calibri" w:eastAsia="Calibri" w:hAnsi="Calibri"/>
                <w:sz w:val="16"/>
                <w:szCs w:val="16"/>
                <w:color w:val="auto"/>
              </w:rPr>
              <w:t>Payments of issuance costs related to BlackRock Credit Agreement</w:t>
            </w:r>
          </w:p>
        </w:tc>
        <w:tc>
          <w:tcPr>
            <w:tcW w:w="32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(1,272)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tcBorders>
              <w:bottom w:val="single" w:sz="8" w:color="DBDBDB"/>
            </w:tcBorders>
            <w:gridSpan w:val="2"/>
            <w:shd w:val="clear" w:color="auto" w:fill="DBDBDB"/>
          </w:tcPr>
          <w:p>
            <w:pPr>
              <w:ind w:left="260"/>
              <w:spacing w:after="0" w:line="193" w:lineRule="exact"/>
              <w:rPr>
                <w:sz w:val="20"/>
                <w:szCs w:val="20"/>
                <w:color w:val="auto"/>
              </w:rPr>
            </w:pPr>
            <w:r>
              <w:rPr>
                <w:rFonts w:ascii="Calibri" w:cs="Calibri" w:eastAsia="Calibri" w:hAnsi="Calibri"/>
                <w:sz w:val="16"/>
                <w:szCs w:val="16"/>
                <w:color w:val="auto"/>
              </w:rPr>
              <w:t>Proceeds from the issuance of common stock, net of issuance costs</w:t>
            </w:r>
          </w:p>
        </w:tc>
        <w:tc>
          <w:tcPr>
            <w:tcW w:w="3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42,495</w:t>
            </w:r>
          </w:p>
        </w:tc>
        <w:tc>
          <w:tcPr>
            <w:tcW w:w="120" w:type="dxa"/>
            <w:vAlign w:val="bottom"/>
            <w:tcBorders>
              <w:bottom w:val="single" w:sz="8" w:color="DBDBDB"/>
            </w:tcBorders>
            <w:shd w:val="clear" w:color="auto" w:fill="DBDBDB"/>
          </w:tcPr>
          <w:p>
            <w:pPr>
              <w:spacing w:after="0"/>
              <w:rPr>
                <w:sz w:val="17"/>
                <w:szCs w:val="17"/>
                <w:color w:val="auto"/>
              </w:rPr>
            </w:pPr>
          </w:p>
        </w:tc>
        <w:tc>
          <w:tcPr>
            <w:tcW w:w="3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6,708</w:t>
            </w:r>
          </w:p>
        </w:tc>
        <w:tc>
          <w:tcPr>
            <w:tcW w:w="0" w:type="dxa"/>
            <w:vAlign w:val="bottom"/>
          </w:tcPr>
          <w:p>
            <w:pPr>
              <w:spacing w:after="0"/>
              <w:rPr>
                <w:sz w:val="1"/>
                <w:szCs w:val="1"/>
                <w:color w:val="auto"/>
              </w:rPr>
            </w:pPr>
          </w:p>
        </w:tc>
      </w:tr>
      <w:tr>
        <w:trPr>
          <w:trHeight w:val="194"/>
        </w:trPr>
        <w:tc>
          <w:tcPr>
            <w:tcW w:w="8240" w:type="dxa"/>
            <w:vAlign w:val="bottom"/>
            <w:gridSpan w:val="2"/>
          </w:tcPr>
          <w:p>
            <w:pPr>
              <w:ind w:left="260"/>
              <w:spacing w:after="0" w:line="193" w:lineRule="exact"/>
              <w:rPr>
                <w:sz w:val="20"/>
                <w:szCs w:val="20"/>
                <w:color w:val="auto"/>
              </w:rPr>
            </w:pPr>
            <w:r>
              <w:rPr>
                <w:rFonts w:ascii="Calibri" w:cs="Calibri" w:eastAsia="Calibri" w:hAnsi="Calibri"/>
                <w:sz w:val="16"/>
                <w:szCs w:val="16"/>
                <w:color w:val="auto"/>
              </w:rPr>
              <w:t>Proceeds from the sale of stock under employee stock purchase plan</w:t>
            </w:r>
          </w:p>
        </w:tc>
        <w:tc>
          <w:tcPr>
            <w:tcW w:w="32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154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85</w:t>
            </w:r>
          </w:p>
        </w:tc>
        <w:tc>
          <w:tcPr>
            <w:tcW w:w="0" w:type="dxa"/>
            <w:vAlign w:val="bottom"/>
          </w:tcPr>
          <w:p>
            <w:pPr>
              <w:spacing w:after="0"/>
              <w:rPr>
                <w:sz w:val="1"/>
                <w:szCs w:val="1"/>
                <w:color w:val="auto"/>
              </w:rPr>
            </w:pPr>
          </w:p>
        </w:tc>
      </w:tr>
      <w:tr>
        <w:trPr>
          <w:trHeight w:val="23"/>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tcBorders>
              <w:bottom w:val="single" w:sz="8" w:color="DBDBDB"/>
            </w:tcBorders>
            <w:gridSpan w:val="2"/>
            <w:shd w:val="clear" w:color="auto" w:fill="DBDBDB"/>
          </w:tcPr>
          <w:p>
            <w:pPr>
              <w:ind w:left="260"/>
              <w:spacing w:after="0" w:line="193" w:lineRule="exact"/>
              <w:rPr>
                <w:sz w:val="20"/>
                <w:szCs w:val="20"/>
                <w:color w:val="auto"/>
              </w:rPr>
            </w:pPr>
            <w:r>
              <w:rPr>
                <w:rFonts w:ascii="Calibri" w:cs="Calibri" w:eastAsia="Calibri" w:hAnsi="Calibri"/>
                <w:sz w:val="16"/>
                <w:szCs w:val="16"/>
                <w:color w:val="auto"/>
              </w:rPr>
              <w:t>Proceeds from the exercise of common stock optons</w:t>
            </w:r>
          </w:p>
        </w:tc>
        <w:tc>
          <w:tcPr>
            <w:tcW w:w="3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385</w:t>
            </w:r>
          </w:p>
        </w:tc>
        <w:tc>
          <w:tcPr>
            <w:tcW w:w="120" w:type="dxa"/>
            <w:vAlign w:val="bottom"/>
            <w:tcBorders>
              <w:bottom w:val="single" w:sz="8" w:color="DBDBDB"/>
            </w:tcBorders>
            <w:shd w:val="clear" w:color="auto" w:fill="DBDBDB"/>
          </w:tcPr>
          <w:p>
            <w:pPr>
              <w:spacing w:after="0"/>
              <w:rPr>
                <w:sz w:val="17"/>
                <w:szCs w:val="17"/>
                <w:color w:val="auto"/>
              </w:rPr>
            </w:pPr>
          </w:p>
        </w:tc>
        <w:tc>
          <w:tcPr>
            <w:tcW w:w="3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w:t>
            </w:r>
          </w:p>
        </w:tc>
        <w:tc>
          <w:tcPr>
            <w:tcW w:w="0" w:type="dxa"/>
            <w:vAlign w:val="bottom"/>
          </w:tcPr>
          <w:p>
            <w:pPr>
              <w:spacing w:after="0"/>
              <w:rPr>
                <w:sz w:val="1"/>
                <w:szCs w:val="1"/>
                <w:color w:val="auto"/>
              </w:rPr>
            </w:pPr>
          </w:p>
        </w:tc>
      </w:tr>
      <w:tr>
        <w:trPr>
          <w:trHeight w:val="193"/>
        </w:trPr>
        <w:tc>
          <w:tcPr>
            <w:tcW w:w="8240" w:type="dxa"/>
            <w:vAlign w:val="bottom"/>
            <w:gridSpan w:val="2"/>
          </w:tcPr>
          <w:p>
            <w:pPr>
              <w:ind w:left="260"/>
              <w:spacing w:after="0" w:line="193" w:lineRule="exact"/>
              <w:rPr>
                <w:sz w:val="20"/>
                <w:szCs w:val="20"/>
                <w:color w:val="auto"/>
              </w:rPr>
            </w:pPr>
            <w:r>
              <w:rPr>
                <w:rFonts w:ascii="Calibri" w:cs="Calibri" w:eastAsia="Calibri" w:hAnsi="Calibri"/>
                <w:sz w:val="16"/>
                <w:szCs w:val="16"/>
                <w:color w:val="auto"/>
              </w:rPr>
              <w:t>Repayment of term debt</w:t>
            </w:r>
          </w:p>
        </w:tc>
        <w:tc>
          <w:tcPr>
            <w:tcW w:w="32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(37,099)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(32,000)</w:t>
            </w:r>
          </w:p>
        </w:tc>
        <w:tc>
          <w:tcPr>
            <w:tcW w:w="0" w:type="dxa"/>
            <w:vAlign w:val="bottom"/>
          </w:tcPr>
          <w:p>
            <w:pPr>
              <w:spacing w:after="0"/>
              <w:rPr>
                <w:sz w:val="1"/>
                <w:szCs w:val="1"/>
                <w:color w:val="auto"/>
              </w:rPr>
            </w:pPr>
          </w:p>
        </w:tc>
      </w:tr>
      <w:tr>
        <w:trPr>
          <w:trHeight w:val="23"/>
        </w:trPr>
        <w:tc>
          <w:tcPr>
            <w:tcW w:w="81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240" w:type="dxa"/>
            <w:vAlign w:val="bottom"/>
            <w:tcBorders>
              <w:bottom w:val="single" w:sz="8" w:color="DBDBDB"/>
            </w:tcBorders>
            <w:gridSpan w:val="2"/>
            <w:shd w:val="clear" w:color="auto" w:fill="DBDBDB"/>
          </w:tcPr>
          <w:p>
            <w:pPr>
              <w:ind w:left="20"/>
              <w:spacing w:after="0" w:line="174" w:lineRule="exact"/>
              <w:rPr>
                <w:sz w:val="20"/>
                <w:szCs w:val="20"/>
                <w:color w:val="auto"/>
              </w:rPr>
            </w:pPr>
            <w:r>
              <w:rPr>
                <w:rFonts w:ascii="Calibri" w:cs="Calibri" w:eastAsia="Calibri" w:hAnsi="Calibri"/>
                <w:sz w:val="16"/>
                <w:szCs w:val="16"/>
                <w:b w:val="1"/>
                <w:bCs w:val="1"/>
                <w:color w:val="auto"/>
              </w:rPr>
              <w:t>Net cash (used in) provided by fnancing actvites</w:t>
            </w:r>
          </w:p>
        </w:tc>
        <w:tc>
          <w:tcPr>
            <w:tcW w:w="32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49,663</w:t>
            </w:r>
          </w:p>
        </w:tc>
        <w:tc>
          <w:tcPr>
            <w:tcW w:w="12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(25,206)</w:t>
            </w:r>
          </w:p>
        </w:tc>
        <w:tc>
          <w:tcPr>
            <w:tcW w:w="0" w:type="dxa"/>
            <w:vAlign w:val="bottom"/>
          </w:tcPr>
          <w:p>
            <w:pPr>
              <w:spacing w:after="0"/>
              <w:rPr>
                <w:sz w:val="1"/>
                <w:szCs w:val="1"/>
                <w:color w:val="auto"/>
              </w:rPr>
            </w:pPr>
          </w:p>
        </w:tc>
      </w:tr>
      <w:tr>
        <w:trPr>
          <w:trHeight w:val="187"/>
        </w:trPr>
        <w:tc>
          <w:tcPr>
            <w:tcW w:w="8240" w:type="dxa"/>
            <w:vAlign w:val="bottom"/>
            <w:gridSpan w:val="2"/>
          </w:tcPr>
          <w:p>
            <w:pPr>
              <w:ind w:left="20"/>
              <w:spacing w:after="0" w:line="174" w:lineRule="exact"/>
              <w:rPr>
                <w:sz w:val="20"/>
                <w:szCs w:val="20"/>
                <w:color w:val="auto"/>
              </w:rPr>
            </w:pPr>
            <w:r>
              <w:rPr>
                <w:rFonts w:ascii="Calibri" w:cs="Calibri" w:eastAsia="Calibri" w:hAnsi="Calibri"/>
                <w:sz w:val="16"/>
                <w:szCs w:val="16"/>
                <w:color w:val="auto"/>
              </w:rPr>
              <w:t>Increase (decrease) in cash, cash equivalents and restricted cash</w:t>
            </w: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8,971</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(48,590)</w:t>
            </w:r>
          </w:p>
        </w:tc>
        <w:tc>
          <w:tcPr>
            <w:tcW w:w="0" w:type="dxa"/>
            <w:vAlign w:val="bottom"/>
          </w:tcPr>
          <w:p>
            <w:pPr>
              <w:spacing w:after="0"/>
              <w:rPr>
                <w:sz w:val="1"/>
                <w:szCs w:val="1"/>
                <w:color w:val="auto"/>
              </w:rPr>
            </w:pPr>
          </w:p>
        </w:tc>
      </w:tr>
      <w:tr>
        <w:trPr>
          <w:trHeight w:val="23"/>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24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Cash, cash equivalents and restricted cash at beginning of the period</w:t>
            </w:r>
          </w:p>
        </w:tc>
        <w:tc>
          <w:tcPr>
            <w:tcW w:w="32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44,579</w:t>
            </w:r>
          </w:p>
        </w:tc>
        <w:tc>
          <w:tcPr>
            <w:tcW w:w="12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93,169</w:t>
            </w:r>
          </w:p>
        </w:tc>
        <w:tc>
          <w:tcPr>
            <w:tcW w:w="0" w:type="dxa"/>
            <w:vAlign w:val="bottom"/>
          </w:tcPr>
          <w:p>
            <w:pPr>
              <w:spacing w:after="0"/>
              <w:rPr>
                <w:sz w:val="1"/>
                <w:szCs w:val="1"/>
                <w:color w:val="auto"/>
              </w:rPr>
            </w:pPr>
          </w:p>
        </w:tc>
      </w:tr>
      <w:tr>
        <w:trPr>
          <w:trHeight w:val="187"/>
        </w:trPr>
        <w:tc>
          <w:tcPr>
            <w:tcW w:w="8240" w:type="dxa"/>
            <w:vAlign w:val="bottom"/>
            <w:gridSpan w:val="2"/>
          </w:tcPr>
          <w:p>
            <w:pPr>
              <w:ind w:left="20"/>
              <w:spacing w:after="0" w:line="174" w:lineRule="exact"/>
              <w:rPr>
                <w:sz w:val="20"/>
                <w:szCs w:val="20"/>
                <w:color w:val="auto"/>
              </w:rPr>
            </w:pPr>
            <w:r>
              <w:rPr>
                <w:rFonts w:ascii="Calibri" w:cs="Calibri" w:eastAsia="Calibri" w:hAnsi="Calibri"/>
                <w:sz w:val="16"/>
                <w:szCs w:val="16"/>
                <w:b w:val="1"/>
                <w:bCs w:val="1"/>
                <w:color w:val="auto"/>
              </w:rPr>
              <w:t>Cash, cash equivalents and restricted cash at end of the period</w:t>
            </w:r>
          </w:p>
        </w:tc>
        <w:tc>
          <w:tcPr>
            <w:tcW w:w="320" w:type="dxa"/>
            <w:vAlign w:val="bottom"/>
            <w:tcBorders>
              <w:top w:val="single" w:sz="8" w:color="auto"/>
            </w:tcBorders>
          </w:tcPr>
          <w:p>
            <w:pPr>
              <w:jc w:val="right"/>
              <w:ind w:right="139"/>
              <w:spacing w:after="0" w:line="187" w:lineRule="exact"/>
              <w:rPr>
                <w:sz w:val="20"/>
                <w:szCs w:val="20"/>
                <w:color w:val="auto"/>
              </w:rPr>
            </w:pPr>
            <w:r>
              <w:rPr>
                <w:rFonts w:ascii="Calibri" w:cs="Calibri" w:eastAsia="Calibri" w:hAnsi="Calibri"/>
                <w:sz w:val="16"/>
                <w:szCs w:val="16"/>
                <w:color w:val="auto"/>
                <w:w w:val="97"/>
              </w:rPr>
              <w:t>$</w:t>
            </w:r>
          </w:p>
        </w:tc>
        <w:tc>
          <w:tcPr>
            <w:tcW w:w="1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53,550</w:t>
            </w:r>
          </w:p>
        </w:tc>
        <w:tc>
          <w:tcPr>
            <w:tcW w:w="120" w:type="dxa"/>
            <w:vAlign w:val="bottom"/>
          </w:tcPr>
          <w:p>
            <w:pPr>
              <w:spacing w:after="0"/>
              <w:rPr>
                <w:sz w:val="16"/>
                <w:szCs w:val="16"/>
                <w:color w:val="auto"/>
              </w:rPr>
            </w:pPr>
          </w:p>
        </w:tc>
        <w:tc>
          <w:tcPr>
            <w:tcW w:w="320" w:type="dxa"/>
            <w:vAlign w:val="bottom"/>
            <w:tcBorders>
              <w:top w:val="single" w:sz="8" w:color="auto"/>
            </w:tcBorders>
          </w:tcPr>
          <w:p>
            <w:pPr>
              <w:jc w:val="right"/>
              <w:ind w:right="139"/>
              <w:spacing w:after="0" w:line="187" w:lineRule="exact"/>
              <w:rPr>
                <w:sz w:val="20"/>
                <w:szCs w:val="20"/>
                <w:color w:val="auto"/>
              </w:rPr>
            </w:pPr>
            <w:r>
              <w:rPr>
                <w:rFonts w:ascii="Calibri" w:cs="Calibri" w:eastAsia="Calibri" w:hAnsi="Calibri"/>
                <w:sz w:val="16"/>
                <w:szCs w:val="16"/>
                <w:color w:val="auto"/>
                <w:w w:val="97"/>
              </w:rPr>
              <w:t>$</w:t>
            </w:r>
          </w:p>
        </w:tc>
        <w:tc>
          <w:tcPr>
            <w:tcW w:w="1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44,579</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1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240" w:type="dxa"/>
            <w:vAlign w:val="bottom"/>
            <w:gridSpan w:val="2"/>
          </w:tcPr>
          <w:p>
            <w:pPr>
              <w:ind w:left="20"/>
              <w:spacing w:after="0" w:line="193" w:lineRule="exact"/>
              <w:rPr>
                <w:sz w:val="20"/>
                <w:szCs w:val="20"/>
                <w:color w:val="auto"/>
              </w:rPr>
            </w:pPr>
            <w:r>
              <w:rPr>
                <w:rFonts w:ascii="Calibri" w:cs="Calibri" w:eastAsia="Calibri" w:hAnsi="Calibri"/>
                <w:sz w:val="16"/>
                <w:szCs w:val="16"/>
                <w:b w:val="1"/>
                <w:bCs w:val="1"/>
                <w:color w:val="auto"/>
              </w:rPr>
              <w:t>Non-cash fnancing actvites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Issuance of warrants in connecton with BlackRock Credit Agreement</w:t>
            </w:r>
          </w:p>
        </w:tc>
        <w:tc>
          <w:tcPr>
            <w:tcW w:w="320" w:type="dxa"/>
            <w:vAlign w:val="bottom"/>
            <w:tcBorders>
              <w:bottom w:val="single" w:sz="8" w:color="DBDBDB"/>
            </w:tcBorders>
            <w:shd w:val="clear" w:color="auto" w:fill="DBDBDB"/>
          </w:tcPr>
          <w:p>
            <w:pPr>
              <w:jc w:val="right"/>
              <w:ind w:right="139"/>
              <w:spacing w:after="0" w:line="193" w:lineRule="exact"/>
              <w:rPr>
                <w:sz w:val="20"/>
                <w:szCs w:val="20"/>
                <w:color w:val="auto"/>
              </w:rPr>
            </w:pPr>
            <w:r>
              <w:rPr>
                <w:rFonts w:ascii="Calibri" w:cs="Calibri" w:eastAsia="Calibri" w:hAnsi="Calibri"/>
                <w:sz w:val="16"/>
                <w:szCs w:val="16"/>
                <w:color w:val="auto"/>
                <w:w w:val="97"/>
              </w:rPr>
              <w:t>$</w:t>
            </w: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4,846</w:t>
            </w:r>
          </w:p>
        </w:tc>
        <w:tc>
          <w:tcPr>
            <w:tcW w:w="120" w:type="dxa"/>
            <w:vAlign w:val="bottom"/>
            <w:tcBorders>
              <w:bottom w:val="single" w:sz="8" w:color="DBDBDB"/>
            </w:tcBorders>
            <w:shd w:val="clear" w:color="auto" w:fill="DBDBDB"/>
          </w:tcPr>
          <w:p>
            <w:pPr>
              <w:spacing w:after="0"/>
              <w:rPr>
                <w:sz w:val="17"/>
                <w:szCs w:val="17"/>
                <w:color w:val="auto"/>
              </w:rPr>
            </w:pPr>
          </w:p>
        </w:tc>
        <w:tc>
          <w:tcPr>
            <w:tcW w:w="320" w:type="dxa"/>
            <w:vAlign w:val="bottom"/>
            <w:tcBorders>
              <w:bottom w:val="single" w:sz="8" w:color="DBDBDB"/>
            </w:tcBorders>
            <w:shd w:val="clear" w:color="auto" w:fill="DBDBDB"/>
          </w:tcPr>
          <w:p>
            <w:pPr>
              <w:jc w:val="right"/>
              <w:ind w:right="139"/>
              <w:spacing w:after="0" w:line="193" w:lineRule="exact"/>
              <w:rPr>
                <w:sz w:val="20"/>
                <w:szCs w:val="20"/>
                <w:color w:val="auto"/>
              </w:rPr>
            </w:pPr>
            <w:r>
              <w:rPr>
                <w:rFonts w:ascii="Calibri" w:cs="Calibri" w:eastAsia="Calibri" w:hAnsi="Calibri"/>
                <w:sz w:val="16"/>
                <w:szCs w:val="16"/>
                <w:color w:val="auto"/>
                <w:w w:val="97"/>
              </w:rPr>
              <w:t>$</w:t>
            </w: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194"/>
        </w:trPr>
        <w:tc>
          <w:tcPr>
            <w:tcW w:w="8240" w:type="dxa"/>
            <w:vAlign w:val="bottom"/>
            <w:gridSpan w:val="2"/>
          </w:tcPr>
          <w:p>
            <w:pPr>
              <w:ind w:left="20"/>
              <w:spacing w:after="0" w:line="193" w:lineRule="exact"/>
              <w:rPr>
                <w:sz w:val="20"/>
                <w:szCs w:val="20"/>
                <w:color w:val="auto"/>
              </w:rPr>
            </w:pPr>
            <w:r>
              <w:rPr>
                <w:rFonts w:ascii="Calibri" w:cs="Calibri" w:eastAsia="Calibri" w:hAnsi="Calibri"/>
                <w:sz w:val="16"/>
                <w:szCs w:val="16"/>
                <w:b w:val="1"/>
                <w:bCs w:val="1"/>
                <w:color w:val="auto"/>
              </w:rPr>
              <w:t>Supplemental disclosure of cash fow informaton:</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240" w:type="dxa"/>
            <w:vAlign w:val="bottom"/>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Cash paid for interest</w:t>
            </w:r>
          </w:p>
        </w:tc>
        <w:tc>
          <w:tcPr>
            <w:tcW w:w="320" w:type="dxa"/>
            <w:vAlign w:val="bottom"/>
            <w:shd w:val="clear" w:color="auto" w:fill="DBDBDB"/>
          </w:tcPr>
          <w:p>
            <w:pPr>
              <w:jc w:val="right"/>
              <w:ind w:right="139"/>
              <w:spacing w:after="0" w:line="193" w:lineRule="exact"/>
              <w:rPr>
                <w:sz w:val="20"/>
                <w:szCs w:val="20"/>
                <w:color w:val="auto"/>
              </w:rPr>
            </w:pPr>
            <w:r>
              <w:rPr>
                <w:rFonts w:ascii="Calibri" w:cs="Calibri" w:eastAsia="Calibri" w:hAnsi="Calibri"/>
                <w:sz w:val="16"/>
                <w:szCs w:val="16"/>
                <w:color w:val="auto"/>
                <w:w w:val="97"/>
              </w:rPr>
              <w:t>$</w:t>
            </w:r>
          </w:p>
        </w:tc>
        <w:tc>
          <w:tcPr>
            <w:tcW w:w="1100" w:type="dxa"/>
            <w:vAlign w:val="bottom"/>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5,035</w:t>
            </w:r>
          </w:p>
        </w:tc>
        <w:tc>
          <w:tcPr>
            <w:tcW w:w="120" w:type="dxa"/>
            <w:vAlign w:val="bottom"/>
            <w:shd w:val="clear" w:color="auto" w:fill="DBDBDB"/>
          </w:tcPr>
          <w:p>
            <w:pPr>
              <w:spacing w:after="0"/>
              <w:rPr>
                <w:sz w:val="16"/>
                <w:szCs w:val="16"/>
                <w:color w:val="auto"/>
              </w:rPr>
            </w:pPr>
          </w:p>
        </w:tc>
        <w:tc>
          <w:tcPr>
            <w:tcW w:w="320" w:type="dxa"/>
            <w:vAlign w:val="bottom"/>
            <w:shd w:val="clear" w:color="auto" w:fill="DBDBDB"/>
          </w:tcPr>
          <w:p>
            <w:pPr>
              <w:jc w:val="right"/>
              <w:ind w:right="139"/>
              <w:spacing w:after="0" w:line="193" w:lineRule="exact"/>
              <w:rPr>
                <w:sz w:val="20"/>
                <w:szCs w:val="20"/>
                <w:color w:val="auto"/>
              </w:rPr>
            </w:pPr>
            <w:r>
              <w:rPr>
                <w:rFonts w:ascii="Calibri" w:cs="Calibri" w:eastAsia="Calibri" w:hAnsi="Calibri"/>
                <w:sz w:val="16"/>
                <w:szCs w:val="16"/>
                <w:color w:val="auto"/>
                <w:w w:val="97"/>
              </w:rPr>
              <w:t>$</w:t>
            </w:r>
          </w:p>
        </w:tc>
        <w:tc>
          <w:tcPr>
            <w:tcW w:w="1100" w:type="dxa"/>
            <w:vAlign w:val="bottom"/>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6,059</w:t>
            </w:r>
          </w:p>
        </w:tc>
        <w:tc>
          <w:tcPr>
            <w:tcW w:w="0" w:type="dxa"/>
            <w:vAlign w:val="bottom"/>
          </w:tcPr>
          <w:p>
            <w:pPr>
              <w:spacing w:after="0"/>
              <w:rPr>
                <w:sz w:val="1"/>
                <w:szCs w:val="1"/>
                <w:color w:val="auto"/>
              </w:rPr>
            </w:pPr>
          </w:p>
        </w:tc>
      </w:tr>
      <w:tr>
        <w:trPr>
          <w:trHeight w:val="23"/>
        </w:trPr>
        <w:tc>
          <w:tcPr>
            <w:tcW w:w="8140" w:type="dxa"/>
            <w:vAlign w:val="bottom"/>
            <w:shd w:val="clear" w:color="auto" w:fill="DBDBDB"/>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320" w:type="dxa"/>
            <w:vAlign w:val="bottom"/>
            <w:shd w:val="clear" w:color="auto" w:fill="DBDBDB"/>
          </w:tcPr>
          <w:p>
            <w:pPr>
              <w:spacing w:after="0" w:line="20" w:lineRule="exact"/>
              <w:rPr>
                <w:sz w:val="1"/>
                <w:szCs w:val="1"/>
                <w:color w:val="auto"/>
              </w:rPr>
            </w:pPr>
          </w:p>
        </w:tc>
        <w:tc>
          <w:tcPr>
            <w:tcW w:w="1100" w:type="dxa"/>
            <w:vAlign w:val="bottom"/>
            <w:shd w:val="clear" w:color="auto" w:fill="DBDBDB"/>
          </w:tcPr>
          <w:p>
            <w:pPr>
              <w:spacing w:after="0" w:line="20" w:lineRule="exact"/>
              <w:rPr>
                <w:sz w:val="1"/>
                <w:szCs w:val="1"/>
                <w:color w:val="auto"/>
              </w:rPr>
            </w:pPr>
          </w:p>
        </w:tc>
        <w:tc>
          <w:tcPr>
            <w:tcW w:w="120" w:type="dxa"/>
            <w:vAlign w:val="bottom"/>
            <w:shd w:val="clear" w:color="auto" w:fill="DBDBDB"/>
          </w:tcPr>
          <w:p>
            <w:pPr>
              <w:spacing w:after="0" w:line="20" w:lineRule="exact"/>
              <w:rPr>
                <w:sz w:val="1"/>
                <w:szCs w:val="1"/>
                <w:color w:val="auto"/>
              </w:rPr>
            </w:pPr>
          </w:p>
        </w:tc>
        <w:tc>
          <w:tcPr>
            <w:tcW w:w="320" w:type="dxa"/>
            <w:vAlign w:val="bottom"/>
            <w:shd w:val="clear" w:color="auto" w:fill="DBDBDB"/>
          </w:tcPr>
          <w:p>
            <w:pPr>
              <w:spacing w:after="0" w:line="20" w:lineRule="exact"/>
              <w:rPr>
                <w:sz w:val="1"/>
                <w:szCs w:val="1"/>
                <w:color w:val="auto"/>
              </w:rPr>
            </w:pPr>
          </w:p>
        </w:tc>
        <w:tc>
          <w:tcPr>
            <w:tcW w:w="1100" w:type="dxa"/>
            <w:vAlign w:val="bottom"/>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The accompanying notes are an integral part of these consolidated fnancial statements.</w:t>
      </w:r>
    </w:p>
    <w:p>
      <w:pPr>
        <w:sectPr>
          <w:pgSz w:w="11900" w:h="16838" w:orient="portrait"/>
          <w:cols w:equalWidth="0" w:num="1">
            <w:col w:w="11220"/>
          </w:cols>
          <w:pgMar w:left="320" w:top="328" w:right="359" w:bottom="1440" w:gutter="0" w:footer="0" w:header="0"/>
        </w:sectPr>
      </w:pPr>
    </w:p>
    <w:p>
      <w:pPr>
        <w:spacing w:after="0" w:line="352"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Akebia Therapeutcs, Inc. | Form 10-K | Page 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type w:val="continuous"/>
        </w:sectPr>
      </w:pPr>
    </w:p>
    <w:bookmarkStart w:id="131" w:name="page132"/>
    <w:bookmarkEnd w:id="13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Akebia Therapeutcs, Inc.</w:t>
      </w:r>
    </w:p>
    <w:p>
      <w:pPr>
        <w:jc w:val="center"/>
        <w:spacing w:after="0" w:line="235" w:lineRule="auto"/>
        <w:rPr>
          <w:sz w:val="20"/>
          <w:szCs w:val="20"/>
          <w:color w:val="auto"/>
        </w:rPr>
      </w:pPr>
      <w:r>
        <w:rPr>
          <w:rFonts w:ascii="Calibri" w:cs="Calibri" w:eastAsia="Calibri" w:hAnsi="Calibri"/>
          <w:sz w:val="18"/>
          <w:szCs w:val="18"/>
          <w:b w:val="1"/>
          <w:bCs w:val="1"/>
          <w:color w:val="auto"/>
        </w:rPr>
        <w:t>NOTES TO THE CONSOLIDATED FINANCIAL STATEMENTS</w:t>
      </w:r>
    </w:p>
    <w:p>
      <w:pPr>
        <w:spacing w:after="0" w:line="105" w:lineRule="exact"/>
        <w:rPr>
          <w:sz w:val="20"/>
          <w:szCs w:val="20"/>
          <w:color w:val="auto"/>
        </w:rPr>
      </w:pPr>
    </w:p>
    <w:p>
      <w:pPr>
        <w:spacing w:after="0"/>
        <w:tabs>
          <w:tab w:leader="none" w:pos="300" w:val="left"/>
        </w:tabs>
        <w:rPr>
          <w:sz w:val="20"/>
          <w:szCs w:val="20"/>
          <w:color w:val="auto"/>
        </w:rPr>
      </w:pPr>
      <w:r>
        <w:rPr>
          <w:rFonts w:ascii="Calibri" w:cs="Calibri" w:eastAsia="Calibri" w:hAnsi="Calibri"/>
          <w:sz w:val="18"/>
          <w:szCs w:val="18"/>
          <w:b w:val="1"/>
          <w:bCs w:val="1"/>
          <w:color w:val="auto"/>
        </w:rPr>
        <w:t>1.</w:t>
      </w:r>
      <w:r>
        <w:rPr>
          <w:sz w:val="20"/>
          <w:szCs w:val="20"/>
          <w:color w:val="auto"/>
        </w:rPr>
        <w:tab/>
      </w:r>
      <w:r>
        <w:rPr>
          <w:rFonts w:ascii="Calibri" w:cs="Calibri" w:eastAsia="Calibri" w:hAnsi="Calibri"/>
          <w:sz w:val="17"/>
          <w:szCs w:val="17"/>
          <w:b w:val="1"/>
          <w:bCs w:val="1"/>
          <w:color w:val="auto"/>
        </w:rPr>
        <w:t>NATURE OF BUSINESS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Organizaton</w:t>
      </w:r>
    </w:p>
    <w:p>
      <w:pPr>
        <w:spacing w:after="0" w:line="109" w:lineRule="exact"/>
        <w:rPr>
          <w:sz w:val="20"/>
          <w:szCs w:val="20"/>
          <w:color w:val="auto"/>
        </w:rPr>
      </w:pPr>
    </w:p>
    <w:p>
      <w:pPr>
        <w:spacing w:after="0"/>
        <w:rPr>
          <w:sz w:val="20"/>
          <w:szCs w:val="20"/>
          <w:color w:val="auto"/>
        </w:rPr>
      </w:pPr>
      <w:r>
        <w:rPr>
          <w:rFonts w:ascii="Calibri" w:cs="Calibri" w:eastAsia="Calibri" w:hAnsi="Calibri"/>
          <w:sz w:val="17"/>
          <w:szCs w:val="17"/>
          <w:color w:val="auto"/>
        </w:rPr>
        <w:t xml:space="preserve">Akebia Therapeutcs, Inc., referred to as </w:t>
      </w:r>
      <w:r>
        <w:rPr>
          <w:rFonts w:ascii="Calibri" w:cs="Calibri" w:eastAsia="Calibri" w:hAnsi="Calibri"/>
          <w:sz w:val="17"/>
          <w:szCs w:val="17"/>
          <w:u w:val="single" w:color="auto"/>
          <w:color w:val="auto"/>
        </w:rPr>
        <w:t>Akebia</w:t>
      </w:r>
      <w:r>
        <w:rPr>
          <w:rFonts w:ascii="Calibri" w:cs="Calibri" w:eastAsia="Calibri" w:hAnsi="Calibri"/>
          <w:sz w:val="17"/>
          <w:szCs w:val="17"/>
          <w:color w:val="auto"/>
        </w:rPr>
        <w:t xml:space="preserve"> or the </w:t>
      </w:r>
      <w:r>
        <w:rPr>
          <w:rFonts w:ascii="Calibri" w:cs="Calibri" w:eastAsia="Calibri" w:hAnsi="Calibri"/>
          <w:sz w:val="17"/>
          <w:szCs w:val="17"/>
          <w:u w:val="single" w:color="auto"/>
          <w:color w:val="auto"/>
        </w:rPr>
        <w:t>Company</w:t>
      </w:r>
      <w:r>
        <w:rPr>
          <w:rFonts w:ascii="Calibri" w:cs="Calibri" w:eastAsia="Calibri" w:hAnsi="Calibri"/>
          <w:sz w:val="17"/>
          <w:szCs w:val="17"/>
          <w:color w:val="auto"/>
        </w:rPr>
        <w:t>, was incorporated in the State of Delaware in 2007 and became a public company in 2014.</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Akebia is a fully integrated commercial-stage biopharmaceutcal company focused on developing and commercializing innovatve therapeutcs.</w:t>
      </w:r>
    </w:p>
    <w:p>
      <w:pPr>
        <w:spacing w:after="0" w:line="109"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 xml:space="preserve">The Company has two products approved by the Food and Drug Administraton, or </w:t>
      </w:r>
      <w:r>
        <w:rPr>
          <w:rFonts w:ascii="Calibri" w:cs="Calibri" w:eastAsia="Calibri" w:hAnsi="Calibri"/>
          <w:sz w:val="18"/>
          <w:szCs w:val="18"/>
          <w:u w:val="single" w:color="auto"/>
          <w:color w:val="auto"/>
        </w:rPr>
        <w:t>FDA</w:t>
      </w:r>
      <w:r>
        <w:rPr>
          <w:rFonts w:ascii="Calibri" w:cs="Calibri" w:eastAsia="Calibri" w:hAnsi="Calibri"/>
          <w:sz w:val="18"/>
          <w:szCs w:val="18"/>
          <w:color w:val="auto"/>
        </w:rPr>
        <w:t xml:space="preserve">, in the United States, or </w:t>
      </w:r>
      <w:r>
        <w:rPr>
          <w:rFonts w:ascii="Calibri" w:cs="Calibri" w:eastAsia="Calibri" w:hAnsi="Calibri"/>
          <w:sz w:val="18"/>
          <w:szCs w:val="18"/>
          <w:u w:val="single" w:color="auto"/>
          <w:color w:val="auto"/>
        </w:rPr>
        <w:t>U.S.</w:t>
      </w:r>
      <w:r>
        <w:rPr>
          <w:rFonts w:ascii="Calibri" w:cs="Calibri" w:eastAsia="Calibri" w:hAnsi="Calibri"/>
          <w:sz w:val="18"/>
          <w:szCs w:val="18"/>
          <w:color w:val="auto"/>
        </w:rPr>
        <w:t xml:space="preserve"> Vafseo® (vadadustat) is an oral hypoxia-inducible factor prolyl hydroxylase, or </w:t>
      </w:r>
      <w:r>
        <w:rPr>
          <w:rFonts w:ascii="Calibri" w:cs="Calibri" w:eastAsia="Calibri" w:hAnsi="Calibri"/>
          <w:sz w:val="18"/>
          <w:szCs w:val="18"/>
          <w:u w:val="single" w:color="auto"/>
          <w:color w:val="auto"/>
        </w:rPr>
        <w:t>HIF-PH</w:t>
      </w:r>
      <w:r>
        <w:rPr>
          <w:rFonts w:ascii="Calibri" w:cs="Calibri" w:eastAsia="Calibri" w:hAnsi="Calibri"/>
          <w:sz w:val="18"/>
          <w:szCs w:val="18"/>
          <w:color w:val="auto"/>
        </w:rPr>
        <w:t xml:space="preserve">, inhibitor. Vafseo (vadadustat) Tablets were approved in the U.S. in March 2024 for the treatment of anemia due to chronic kidney disease, or </w:t>
      </w:r>
      <w:r>
        <w:rPr>
          <w:rFonts w:ascii="Calibri" w:cs="Calibri" w:eastAsia="Calibri" w:hAnsi="Calibri"/>
          <w:sz w:val="18"/>
          <w:szCs w:val="18"/>
          <w:u w:val="single" w:color="auto"/>
          <w:color w:val="auto"/>
        </w:rPr>
        <w:t>CKD</w:t>
      </w:r>
      <w:r>
        <w:rPr>
          <w:rFonts w:ascii="Calibri" w:cs="Calibri" w:eastAsia="Calibri" w:hAnsi="Calibri"/>
          <w:sz w:val="18"/>
          <w:szCs w:val="18"/>
          <w:color w:val="auto"/>
        </w:rPr>
        <w:t>, in adults who have been receiving dialysis for at least three months. Vafseo entered the U.S. market in January 2025. Auryxia</w:t>
      </w:r>
      <w:r>
        <w:rPr>
          <w:rFonts w:ascii="Calibri" w:cs="Calibri" w:eastAsia="Calibri" w:hAnsi="Calibri"/>
          <w:sz w:val="23"/>
          <w:szCs w:val="23"/>
          <w:color w:val="auto"/>
          <w:vertAlign w:val="superscript"/>
        </w:rPr>
        <w:t>®</w:t>
      </w:r>
      <w:r>
        <w:rPr>
          <w:rFonts w:ascii="Calibri" w:cs="Calibri" w:eastAsia="Calibri" w:hAnsi="Calibri"/>
          <w:sz w:val="18"/>
          <w:szCs w:val="18"/>
          <w:color w:val="auto"/>
        </w:rPr>
        <w:t xml:space="preserve"> (ferric citrate) is marketed for two indicatons: (i) the control of serum phosphorus levels in adult patents with dialysis dependent chronic kidney disease, or </w:t>
      </w:r>
      <w:r>
        <w:rPr>
          <w:rFonts w:ascii="Calibri" w:cs="Calibri" w:eastAsia="Calibri" w:hAnsi="Calibri"/>
          <w:sz w:val="18"/>
          <w:szCs w:val="18"/>
          <w:u w:val="single" w:color="auto"/>
          <w:color w:val="auto"/>
        </w:rPr>
        <w:t>DD-CKD</w:t>
      </w:r>
      <w:r>
        <w:rPr>
          <w:rFonts w:ascii="Calibri" w:cs="Calibri" w:eastAsia="Calibri" w:hAnsi="Calibri"/>
          <w:sz w:val="18"/>
          <w:szCs w:val="18"/>
          <w:color w:val="auto"/>
        </w:rPr>
        <w:t xml:space="preserve">, and (ii) the treatment of iron defciency anemia, or </w:t>
      </w:r>
      <w:r>
        <w:rPr>
          <w:rFonts w:ascii="Calibri" w:cs="Calibri" w:eastAsia="Calibri" w:hAnsi="Calibri"/>
          <w:sz w:val="18"/>
          <w:szCs w:val="18"/>
          <w:u w:val="single" w:color="auto"/>
          <w:color w:val="auto"/>
        </w:rPr>
        <w:t>IDA,</w:t>
      </w:r>
      <w:r>
        <w:rPr>
          <w:rFonts w:ascii="Calibri" w:cs="Calibri" w:eastAsia="Calibri" w:hAnsi="Calibri"/>
          <w:sz w:val="18"/>
          <w:szCs w:val="18"/>
          <w:color w:val="auto"/>
        </w:rPr>
        <w:t xml:space="preserve"> in adult patents with non-dialysis dependent chronic kidney disease, or </w:t>
      </w:r>
      <w:r>
        <w:rPr>
          <w:rFonts w:ascii="Calibri" w:cs="Calibri" w:eastAsia="Calibri" w:hAnsi="Calibri"/>
          <w:sz w:val="18"/>
          <w:szCs w:val="18"/>
          <w:u w:val="single" w:color="auto"/>
          <w:color w:val="auto"/>
        </w:rPr>
        <w:t>NDD-CKD</w:t>
      </w:r>
      <w:r>
        <w:rPr>
          <w:rFonts w:ascii="Calibri" w:cs="Calibri" w:eastAsia="Calibri" w:hAnsi="Calibri"/>
          <w:sz w:val="18"/>
          <w:szCs w:val="18"/>
          <w:color w:val="auto"/>
        </w:rPr>
        <w:t>. Auryxia will lose exclusivity in the U.S. in March 2025.</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Vafseo is also approved for the treatment of symptomatc anemia associated with CKD in the European Economic Area, or </w:t>
      </w:r>
      <w:r>
        <w:rPr>
          <w:rFonts w:ascii="Calibri" w:cs="Calibri" w:eastAsia="Calibri" w:hAnsi="Calibri"/>
          <w:sz w:val="18"/>
          <w:szCs w:val="18"/>
          <w:u w:val="single" w:color="auto"/>
          <w:color w:val="auto"/>
        </w:rPr>
        <w:t>EEA</w:t>
      </w:r>
      <w:r>
        <w:rPr>
          <w:rFonts w:ascii="Calibri" w:cs="Calibri" w:eastAsia="Calibri" w:hAnsi="Calibri"/>
          <w:sz w:val="18"/>
          <w:szCs w:val="18"/>
          <w:color w:val="auto"/>
        </w:rPr>
        <w:t xml:space="preserve">, the United Kingdom, or the </w:t>
      </w:r>
      <w:r>
        <w:rPr>
          <w:rFonts w:ascii="Calibri" w:cs="Calibri" w:eastAsia="Calibri" w:hAnsi="Calibri"/>
          <w:sz w:val="18"/>
          <w:szCs w:val="18"/>
          <w:u w:val="single" w:color="auto"/>
          <w:color w:val="auto"/>
        </w:rPr>
        <w:t>UK</w:t>
      </w:r>
      <w:r>
        <w:rPr>
          <w:rFonts w:ascii="Calibri" w:cs="Calibri" w:eastAsia="Calibri" w:hAnsi="Calibri"/>
          <w:sz w:val="18"/>
          <w:szCs w:val="18"/>
          <w:color w:val="auto"/>
        </w:rPr>
        <w:t>, Switzerland, Australia, South Korea and Taiwan in adult patents on chronic maintenance dialysis and in Japan for adult dialysis-dependent and non-dialysis patents. Vafseo is marketed and sold by the Company's collaboraton partners in certain countries.</w:t>
      </w:r>
    </w:p>
    <w:p>
      <w:pPr>
        <w:spacing w:after="0" w:line="97" w:lineRule="exact"/>
        <w:rPr>
          <w:sz w:val="20"/>
          <w:szCs w:val="20"/>
          <w:color w:val="auto"/>
        </w:rPr>
      </w:pPr>
    </w:p>
    <w:p>
      <w:pPr>
        <w:jc w:val="both"/>
        <w:spacing w:after="0" w:line="225" w:lineRule="auto"/>
        <w:rPr>
          <w:sz w:val="20"/>
          <w:szCs w:val="20"/>
          <w:color w:val="auto"/>
        </w:rPr>
      </w:pPr>
      <w:r>
        <w:rPr>
          <w:rFonts w:ascii="Calibri" w:cs="Calibri" w:eastAsia="Calibri" w:hAnsi="Calibri"/>
          <w:sz w:val="18"/>
          <w:szCs w:val="18"/>
          <w:color w:val="auto"/>
        </w:rPr>
        <w:t>Ferric citrate is also approved in Japan, and is marketed and sold by the Company's collaboraton partner, as an oral treatment for the improvement of hyperphosphatemia in patents with CKD, including DD-CKD and NDD-CKD, and for the treatment of adult patents with IDA under the trade name Riona (ferric citrate hydrate).</w:t>
      </w:r>
    </w:p>
    <w:p>
      <w:pPr>
        <w:spacing w:after="0" w:line="111" w:lineRule="exact"/>
        <w:rPr>
          <w:sz w:val="20"/>
          <w:szCs w:val="20"/>
          <w:color w:val="auto"/>
        </w:rPr>
      </w:pPr>
    </w:p>
    <w:p>
      <w:pPr>
        <w:jc w:val="both"/>
        <w:spacing w:after="0" w:line="226" w:lineRule="auto"/>
        <w:rPr>
          <w:sz w:val="20"/>
          <w:szCs w:val="20"/>
          <w:color w:val="auto"/>
        </w:rPr>
      </w:pPr>
      <w:r>
        <w:rPr>
          <w:rFonts w:ascii="Calibri" w:cs="Calibri" w:eastAsia="Calibri" w:hAnsi="Calibri"/>
          <w:sz w:val="18"/>
          <w:szCs w:val="18"/>
          <w:color w:val="auto"/>
        </w:rPr>
        <w:t xml:space="preserve">Since its incepton, the Company has devoted most of its resources to research and development, or </w:t>
      </w:r>
      <w:r>
        <w:rPr>
          <w:rFonts w:ascii="Calibri" w:cs="Calibri" w:eastAsia="Calibri" w:hAnsi="Calibri"/>
          <w:sz w:val="18"/>
          <w:szCs w:val="18"/>
          <w:u w:val="single" w:color="auto"/>
          <w:color w:val="auto"/>
        </w:rPr>
        <w:t>R&amp;D</w:t>
      </w:r>
      <w:r>
        <w:rPr>
          <w:rFonts w:ascii="Calibri" w:cs="Calibri" w:eastAsia="Calibri" w:hAnsi="Calibri"/>
          <w:sz w:val="18"/>
          <w:szCs w:val="18"/>
          <w:color w:val="auto"/>
        </w:rPr>
        <w:t xml:space="preserve">, including its preclinical and clinical development actvites, commercializing Auryxia and Vafseo and providing general and administratve support for these operatons. The Company began recording revenue from the U.S. sales of Auryxia and revenue from sublicensing rights to Auryxia in Japan from the Company’s Japanese partners, Japan Tobacco, Inc. and its subsidiary Torii Pharmaceutcal Co., Ltd., collectvely, </w:t>
      </w:r>
      <w:r>
        <w:rPr>
          <w:rFonts w:ascii="Calibri" w:cs="Calibri" w:eastAsia="Calibri" w:hAnsi="Calibri"/>
          <w:sz w:val="18"/>
          <w:szCs w:val="18"/>
          <w:u w:val="single" w:color="auto"/>
          <w:color w:val="auto"/>
        </w:rPr>
        <w:t>JT and Torii</w:t>
      </w:r>
      <w:r>
        <w:rPr>
          <w:rFonts w:ascii="Calibri" w:cs="Calibri" w:eastAsia="Calibri" w:hAnsi="Calibri"/>
          <w:sz w:val="18"/>
          <w:szCs w:val="18"/>
          <w:color w:val="auto"/>
        </w:rPr>
        <w:t>, in 2018. In additon, the Company contnues to explore additonal development opportunites to expand its pipeline and portolio of novel therapeutcs.</w:t>
      </w:r>
    </w:p>
    <w:p>
      <w:pPr>
        <w:spacing w:after="0" w:line="9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As of December 31, 2024, the Company had cash and cash equivalents of approximately $51.9 million. Based on its current operatng plan, the Company believes that its cash resources and the cash the Company expects to generate from product, royalty, supply and license revenues will be sufcient to fund its current operatng plan through at least twelve months from the fling of this Annual Report on Form 10-K, or </w:t>
      </w:r>
      <w:r>
        <w:rPr>
          <w:rFonts w:ascii="Calibri" w:cs="Calibri" w:eastAsia="Calibri" w:hAnsi="Calibri"/>
          <w:sz w:val="18"/>
          <w:szCs w:val="18"/>
          <w:u w:val="single" w:color="auto"/>
          <w:color w:val="auto"/>
        </w:rPr>
        <w:t>Form 10-K</w:t>
      </w:r>
      <w:r>
        <w:rPr>
          <w:rFonts w:ascii="Calibri" w:cs="Calibri" w:eastAsia="Calibri" w:hAnsi="Calibri"/>
          <w:sz w:val="18"/>
          <w:szCs w:val="18"/>
          <w:color w:val="auto"/>
        </w:rPr>
        <w:t>. However, if the Company’s operatng performance deteriorates signifcantly from the levels expected in the Company’s operatng plan, it would afect the Company’s liquidity and its ability to contnue as a going concern in the future. The Company expects to fnance future cash needs through product and collaboraton, license and other revenue, including royaltes and revenue from supply agreements. In additon, the Company may seek to sell public or private equity, enter into new debt transactons, explore potental strategic transactons, consider other cash-generatng or saving measures or a combinaton of these approaches or other strategic alternatves. There can be no assurance that the current operatng plan will be achieved in the tme frame antcipated by the Company or that its cash resources will fund its operatng plan for the period of tme antcipated by the Company, or that additonal funding will be available on terms acceptable to the Company, or at all.</w:t>
      </w:r>
    </w:p>
    <w:p>
      <w:pPr>
        <w:spacing w:after="0" w:line="112" w:lineRule="exact"/>
        <w:rPr>
          <w:sz w:val="20"/>
          <w:szCs w:val="20"/>
          <w:color w:val="auto"/>
        </w:rPr>
      </w:pPr>
    </w:p>
    <w:p>
      <w:pPr>
        <w:spacing w:after="0"/>
        <w:tabs>
          <w:tab w:leader="none" w:pos="300" w:val="left"/>
        </w:tabs>
        <w:rPr>
          <w:sz w:val="20"/>
          <w:szCs w:val="20"/>
          <w:color w:val="auto"/>
        </w:rPr>
      </w:pPr>
      <w:r>
        <w:rPr>
          <w:rFonts w:ascii="Calibri" w:cs="Calibri" w:eastAsia="Calibri" w:hAnsi="Calibri"/>
          <w:sz w:val="18"/>
          <w:szCs w:val="18"/>
          <w:b w:val="1"/>
          <w:bCs w:val="1"/>
          <w:color w:val="auto"/>
        </w:rPr>
        <w:t>2.</w:t>
      </w:r>
      <w:r>
        <w:rPr>
          <w:sz w:val="20"/>
          <w:szCs w:val="20"/>
          <w:color w:val="auto"/>
        </w:rPr>
        <w:tab/>
      </w:r>
      <w:r>
        <w:rPr>
          <w:rFonts w:ascii="Calibri" w:cs="Calibri" w:eastAsia="Calibri" w:hAnsi="Calibri"/>
          <w:sz w:val="17"/>
          <w:szCs w:val="17"/>
          <w:b w:val="1"/>
          <w:bCs w:val="1"/>
          <w:color w:val="auto"/>
        </w:rPr>
        <w:t>SUMMARY OF SIGNIFICANT ACCOUNTING POLICIES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Basis of Presentaton and Principles of Consolidaton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accompanying consolidated fnancial statements have been prepared in conformity with accountng principles generally accepted in the U.S., or </w:t>
      </w:r>
      <w:r>
        <w:rPr>
          <w:rFonts w:ascii="Calibri" w:cs="Calibri" w:eastAsia="Calibri" w:hAnsi="Calibri"/>
          <w:sz w:val="18"/>
          <w:szCs w:val="18"/>
          <w:u w:val="single" w:color="auto"/>
          <w:color w:val="auto"/>
        </w:rPr>
        <w:t>GAAP</w:t>
      </w:r>
      <w:r>
        <w:rPr>
          <w:rFonts w:ascii="Calibri" w:cs="Calibri" w:eastAsia="Calibri" w:hAnsi="Calibri"/>
          <w:sz w:val="18"/>
          <w:szCs w:val="18"/>
          <w:color w:val="auto"/>
        </w:rPr>
        <w:t xml:space="preserve">. Any reference in these notes to applicable guidance is meant to refer to the authoritatve GAAP as found in the Accountng Standards Codifcaton, or </w:t>
      </w:r>
      <w:r>
        <w:rPr>
          <w:rFonts w:ascii="Calibri" w:cs="Calibri" w:eastAsia="Calibri" w:hAnsi="Calibri"/>
          <w:sz w:val="18"/>
          <w:szCs w:val="18"/>
          <w:u w:val="single" w:color="auto"/>
          <w:color w:val="auto"/>
        </w:rPr>
        <w:t>ASC</w:t>
      </w:r>
      <w:r>
        <w:rPr>
          <w:rFonts w:ascii="Calibri" w:cs="Calibri" w:eastAsia="Calibri" w:hAnsi="Calibri"/>
          <w:sz w:val="18"/>
          <w:szCs w:val="18"/>
          <w:color w:val="auto"/>
        </w:rPr>
        <w:t xml:space="preserve">, and Accountng Standards Update, or </w:t>
      </w:r>
      <w:r>
        <w:rPr>
          <w:rFonts w:ascii="Calibri" w:cs="Calibri" w:eastAsia="Calibri" w:hAnsi="Calibri"/>
          <w:sz w:val="18"/>
          <w:szCs w:val="18"/>
          <w:u w:val="single" w:color="auto"/>
          <w:color w:val="auto"/>
        </w:rPr>
        <w:t>ASU</w:t>
      </w:r>
      <w:r>
        <w:rPr>
          <w:rFonts w:ascii="Calibri" w:cs="Calibri" w:eastAsia="Calibri" w:hAnsi="Calibri"/>
          <w:sz w:val="18"/>
          <w:szCs w:val="18"/>
          <w:color w:val="auto"/>
        </w:rPr>
        <w:t xml:space="preserve">, of the Financial Accountng Standards Board, or </w:t>
      </w:r>
      <w:r>
        <w:rPr>
          <w:rFonts w:ascii="Calibri" w:cs="Calibri" w:eastAsia="Calibri" w:hAnsi="Calibri"/>
          <w:sz w:val="18"/>
          <w:szCs w:val="18"/>
          <w:u w:val="single" w:color="auto"/>
          <w:color w:val="auto"/>
        </w:rPr>
        <w:t>FASB</w:t>
      </w:r>
      <w:r>
        <w:rPr>
          <w:rFonts w:ascii="Calibri" w:cs="Calibri" w:eastAsia="Calibri" w:hAnsi="Calibri"/>
          <w:sz w:val="18"/>
          <w:szCs w:val="18"/>
          <w:color w:val="auto"/>
        </w:rPr>
        <w: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2" w:name="page133"/>
    <w:bookmarkEnd w:id="13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accompanying consolidated fnancial statements include the accounts of the Company and its wholly owned subsidiaries. All signifcant intercompany balances and transactons have been eliminated in the consolidated fnancial statements herein.</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Certain monetary amounts, percentages and other fgures included elsewhere in these consolidated fnancial statements have been subject to rounding adjustments. Accordingly, fgures shown as totals in certain tables may not be the arithmetc aggregaton of the fgures that precede them, and fgures expressed as percentages in the text may not total 100% or, as applicable, when aggregated, may not be the arithmetc aggregaton of the percentages that precede them.</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Use of Estmates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preparaton of fnancial statements in conformity with U.S. GAAP, requires management to make estmates and assumptons that afect the reported amounts of assets and liabilites, revenue and expenses, classifcaton of the expenses, assets and liabilites and the disclosure of contngent assets and liabilites as of and during the reported period. On an ongoing basis, management evaluates its estmates. Management bases its estmates and assumptons on historical experience when available and on various factors, including expected business and operatonal changes, sensitvity and volatlity associated with the assumpton that it believes to be reasonable under the circumstances, the results of which form the basis for making judgments about the carrying values of the assets and liabilites that are not readily apparent from other sources. In certain circumstances, management must apply signifcant judgment in these processes. The estmaton process ofen may yield a range of potentally reasonable estmates of the ultmate future outcomes, and management selects an amount that falls within that range of reasonable estmates. Although, the Company regularly assesses these estmates, actual results may difer materially from those estmates and changes in estmates are recorded in the period they become known.</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Signifcant estmates and judgments refected in these consolidated fnancial statements include, but are not limited to: accrued expenses, other long-term liabilites, a liability related to setlement royaltes, revenues, including various rebates, returns and reserves related to product sales, inventories, classifcaton of expenses between cost of goods sold, R&amp;D and selling, general and administratve, long-term assets, including the Company's right-of-use assets and goodwill.</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Cash Equivalents and Restricted Cash</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determining cash, cash equivalents and restricted cash, the Company considers only those highly liquid investments, readily convertble to cash within 90 days from the date of purchase to be cash equivalents. As of December 31, 2024, cash and cash equivalents primarily included cash on hand.</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Restricted cash represents amounts required to secure the outstanding leter of credit in connecton with the Company’s ofce and laboratory space in Cambridge, Massachusets, or the </w:t>
      </w:r>
      <w:r>
        <w:rPr>
          <w:rFonts w:ascii="Calibri" w:cs="Calibri" w:eastAsia="Calibri" w:hAnsi="Calibri"/>
          <w:sz w:val="18"/>
          <w:szCs w:val="18"/>
          <w:u w:val="single" w:color="auto"/>
          <w:color w:val="auto"/>
        </w:rPr>
        <w:t>Cambridge Lease</w:t>
      </w:r>
      <w:r>
        <w:rPr>
          <w:rFonts w:ascii="Calibri" w:cs="Calibri" w:eastAsia="Calibri" w:hAnsi="Calibri"/>
          <w:sz w:val="18"/>
          <w:szCs w:val="18"/>
          <w:color w:val="auto"/>
        </w:rPr>
        <w:t>. Restricted cash is included in “other long-term assets” in the consolidated balance sheets.</w:t>
      </w:r>
    </w:p>
    <w:p>
      <w:pPr>
        <w:spacing w:after="0" w:line="110" w:lineRule="exact"/>
        <w:rPr>
          <w:sz w:val="20"/>
          <w:szCs w:val="20"/>
          <w:color w:val="auto"/>
        </w:rPr>
      </w:pPr>
    </w:p>
    <w:p>
      <w:pPr>
        <w:spacing w:after="0"/>
        <w:rPr>
          <w:sz w:val="20"/>
          <w:szCs w:val="20"/>
          <w:color w:val="auto"/>
        </w:rPr>
      </w:pPr>
      <w:r>
        <w:rPr>
          <w:rFonts w:ascii="Calibri" w:cs="Calibri" w:eastAsia="Calibri" w:hAnsi="Calibri"/>
          <w:sz w:val="17"/>
          <w:szCs w:val="17"/>
          <w:color w:val="auto"/>
        </w:rPr>
        <w:t>The following table reconciles cash, cash equivalents and restricted cash reported within the Company's consolidated balance sheets to the total amounts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00" w:type="dxa"/>
            <w:vAlign w:val="bottom"/>
          </w:tcPr>
          <w:p>
            <w:pPr>
              <w:spacing w:after="0"/>
              <w:rPr>
                <w:sz w:val="20"/>
                <w:szCs w:val="20"/>
                <w:color w:val="auto"/>
              </w:rPr>
            </w:pPr>
            <w:r>
              <w:rPr>
                <w:rFonts w:ascii="Calibri" w:cs="Calibri" w:eastAsia="Calibri" w:hAnsi="Calibri"/>
                <w:sz w:val="18"/>
                <w:szCs w:val="18"/>
                <w:color w:val="auto"/>
              </w:rPr>
              <w:t>reported</w:t>
            </w:r>
          </w:p>
        </w:tc>
        <w:tc>
          <w:tcPr>
            <w:tcW w:w="460" w:type="dxa"/>
            <w:vAlign w:val="bottom"/>
          </w:tcPr>
          <w:p>
            <w:pPr>
              <w:ind w:left="160"/>
              <w:spacing w:after="0"/>
              <w:rPr>
                <w:sz w:val="20"/>
                <w:szCs w:val="20"/>
                <w:color w:val="auto"/>
              </w:rPr>
            </w:pPr>
            <w:r>
              <w:rPr>
                <w:rFonts w:ascii="Calibri" w:cs="Calibri" w:eastAsia="Calibri" w:hAnsi="Calibri"/>
                <w:sz w:val="18"/>
                <w:szCs w:val="18"/>
                <w:color w:val="auto"/>
              </w:rPr>
              <w:t>in</w:t>
            </w:r>
          </w:p>
        </w:tc>
        <w:tc>
          <w:tcPr>
            <w:tcW w:w="620" w:type="dxa"/>
            <w:vAlign w:val="bottom"/>
          </w:tcPr>
          <w:p>
            <w:pPr>
              <w:ind w:left="160"/>
              <w:spacing w:after="0"/>
              <w:rPr>
                <w:sz w:val="20"/>
                <w:szCs w:val="20"/>
                <w:color w:val="auto"/>
              </w:rPr>
            </w:pPr>
            <w:r>
              <w:rPr>
                <w:rFonts w:ascii="Calibri" w:cs="Calibri" w:eastAsia="Calibri" w:hAnsi="Calibri"/>
                <w:sz w:val="18"/>
                <w:szCs w:val="18"/>
                <w:color w:val="auto"/>
              </w:rPr>
              <w:t>the</w:t>
            </w:r>
          </w:p>
        </w:tc>
        <w:tc>
          <w:tcPr>
            <w:tcW w:w="1200" w:type="dxa"/>
            <w:vAlign w:val="bottom"/>
          </w:tcPr>
          <w:p>
            <w:pPr>
              <w:ind w:left="120"/>
              <w:spacing w:after="0"/>
              <w:rPr>
                <w:sz w:val="20"/>
                <w:szCs w:val="20"/>
                <w:color w:val="auto"/>
              </w:rPr>
            </w:pPr>
            <w:r>
              <w:rPr>
                <w:rFonts w:ascii="Calibri" w:cs="Calibri" w:eastAsia="Calibri" w:hAnsi="Calibri"/>
                <w:sz w:val="18"/>
                <w:szCs w:val="18"/>
                <w:color w:val="auto"/>
              </w:rPr>
              <w:t>consolidated</w:t>
            </w:r>
          </w:p>
        </w:tc>
        <w:tc>
          <w:tcPr>
            <w:tcW w:w="1120" w:type="dxa"/>
            <w:vAlign w:val="bottom"/>
          </w:tcPr>
          <w:p>
            <w:pPr>
              <w:ind w:left="160"/>
              <w:spacing w:after="0"/>
              <w:rPr>
                <w:sz w:val="20"/>
                <w:szCs w:val="20"/>
                <w:color w:val="auto"/>
              </w:rPr>
            </w:pPr>
            <w:r>
              <w:rPr>
                <w:rFonts w:ascii="Calibri" w:cs="Calibri" w:eastAsia="Calibri" w:hAnsi="Calibri"/>
                <w:sz w:val="18"/>
                <w:szCs w:val="18"/>
                <w:color w:val="auto"/>
              </w:rPr>
              <w:t>statements</w:t>
            </w:r>
          </w:p>
        </w:tc>
        <w:tc>
          <w:tcPr>
            <w:tcW w:w="480" w:type="dxa"/>
            <w:vAlign w:val="bottom"/>
          </w:tcPr>
          <w:p>
            <w:pPr>
              <w:ind w:left="160"/>
              <w:spacing w:after="0"/>
              <w:rPr>
                <w:sz w:val="20"/>
                <w:szCs w:val="20"/>
                <w:color w:val="auto"/>
              </w:rPr>
            </w:pPr>
            <w:r>
              <w:rPr>
                <w:rFonts w:ascii="Calibri" w:cs="Calibri" w:eastAsia="Calibri" w:hAnsi="Calibri"/>
                <w:sz w:val="18"/>
                <w:szCs w:val="18"/>
                <w:color w:val="auto"/>
              </w:rPr>
              <w:t>of</w:t>
            </w:r>
          </w:p>
        </w:tc>
        <w:tc>
          <w:tcPr>
            <w:tcW w:w="640" w:type="dxa"/>
            <w:vAlign w:val="bottom"/>
          </w:tcPr>
          <w:p>
            <w:pPr>
              <w:ind w:left="160"/>
              <w:spacing w:after="0"/>
              <w:rPr>
                <w:sz w:val="20"/>
                <w:szCs w:val="20"/>
                <w:color w:val="auto"/>
              </w:rPr>
            </w:pPr>
            <w:r>
              <w:rPr>
                <w:rFonts w:ascii="Calibri" w:cs="Calibri" w:eastAsia="Calibri" w:hAnsi="Calibri"/>
                <w:sz w:val="18"/>
                <w:szCs w:val="18"/>
                <w:color w:val="auto"/>
              </w:rPr>
              <w:t>cash</w:t>
            </w:r>
          </w:p>
        </w:tc>
        <w:tc>
          <w:tcPr>
            <w:tcW w:w="3280" w:type="dxa"/>
            <w:vAlign w:val="bottom"/>
            <w:gridSpan w:val="3"/>
          </w:tcPr>
          <w:p>
            <w:pPr>
              <w:jc w:val="right"/>
              <w:ind w:right="2599"/>
              <w:spacing w:after="0"/>
              <w:rPr>
                <w:sz w:val="20"/>
                <w:szCs w:val="20"/>
                <w:color w:val="auto"/>
              </w:rPr>
            </w:pPr>
            <w:r>
              <w:rPr>
                <w:rFonts w:ascii="Calibri" w:cs="Calibri" w:eastAsia="Calibri" w:hAnsi="Calibri"/>
                <w:sz w:val="18"/>
                <w:szCs w:val="18"/>
                <w:color w:val="auto"/>
              </w:rPr>
              <w:t>fows: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Calibri" w:cs="Calibri" w:eastAsia="Calibri" w:hAnsi="Calibri"/>
                <w:sz w:val="16"/>
                <w:szCs w:val="16"/>
                <w:b w:val="1"/>
                <w:bCs w:val="1"/>
                <w:color w:val="auto"/>
              </w:rPr>
              <w:t>December 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5320" w:type="dxa"/>
            <w:vAlign w:val="bottom"/>
            <w:gridSpan w:val="7"/>
            <w:vMerge w:val="restart"/>
          </w:tcPr>
          <w:p>
            <w:pPr>
              <w:ind w:left="20"/>
              <w:spacing w:after="0"/>
              <w:rPr>
                <w:sz w:val="20"/>
                <w:szCs w:val="20"/>
                <w:color w:val="auto"/>
              </w:rPr>
            </w:pPr>
            <w:r>
              <w:rPr>
                <w:rFonts w:ascii="Calibri" w:cs="Calibri" w:eastAsia="Calibri" w:hAnsi="Calibri"/>
                <w:sz w:val="16"/>
                <w:szCs w:val="16"/>
                <w:i w:val="1"/>
                <w:iCs w:val="1"/>
                <w:color w:val="auto"/>
              </w:rPr>
              <w:t>Reconciliaton of cash, cash equivalents and restricted cash (in thousands)</w:t>
            </w:r>
          </w:p>
        </w:tc>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5320" w:type="dxa"/>
            <w:vAlign w:val="bottom"/>
            <w:gridSpan w:val="7"/>
            <w:vMerge w:val="continue"/>
          </w:tcPr>
          <w:p>
            <w:pPr>
              <w:spacing w:after="0"/>
              <w:rPr>
                <w:sz w:val="16"/>
                <w:szCs w:val="16"/>
                <w:color w:val="auto"/>
              </w:rPr>
            </w:pP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9"/>
              <w:spacing w:after="0" w:line="187" w:lineRule="exact"/>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479"/>
              <w:spacing w:after="0" w:line="187" w:lineRule="exact"/>
              <w:rPr>
                <w:sz w:val="20"/>
                <w:szCs w:val="20"/>
                <w:color w:val="auto"/>
              </w:rPr>
            </w:pPr>
            <w:r>
              <w:rPr>
                <w:rFonts w:ascii="Calibri" w:cs="Calibri" w:eastAsia="Calibri" w:hAnsi="Calibri"/>
                <w:sz w:val="16"/>
                <w:szCs w:val="16"/>
                <w:b w:val="1"/>
                <w:bCs w:val="1"/>
                <w:color w:val="auto"/>
              </w:rPr>
              <w:t>2023</w:t>
            </w:r>
          </w:p>
        </w:tc>
        <w:tc>
          <w:tcPr>
            <w:tcW w:w="0" w:type="dxa"/>
            <w:vAlign w:val="bottom"/>
          </w:tcPr>
          <w:p>
            <w:pPr>
              <w:spacing w:after="0"/>
              <w:rPr>
                <w:sz w:val="1"/>
                <w:szCs w:val="1"/>
                <w:color w:val="auto"/>
              </w:rPr>
            </w:pPr>
          </w:p>
        </w:tc>
      </w:tr>
      <w:tr>
        <w:trPr>
          <w:trHeight w:val="22"/>
        </w:trPr>
        <w:tc>
          <w:tcPr>
            <w:tcW w:w="1880" w:type="dxa"/>
            <w:vAlign w:val="bottom"/>
            <w:tcBorders>
              <w:bottom w:val="single" w:sz="8" w:color="auto"/>
            </w:tcBorders>
            <w:gridSpan w:val="3"/>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1880" w:type="dxa"/>
            <w:vAlign w:val="bottom"/>
            <w:tcBorders>
              <w:bottom w:val="single" w:sz="8" w:color="DBDBDB"/>
            </w:tcBorders>
            <w:gridSpan w:val="3"/>
            <w:shd w:val="clear" w:color="auto" w:fill="DBDBDB"/>
          </w:tcPr>
          <w:p>
            <w:pPr>
              <w:ind w:left="20"/>
              <w:spacing w:after="0" w:line="187" w:lineRule="exact"/>
              <w:rPr>
                <w:sz w:val="20"/>
                <w:szCs w:val="20"/>
                <w:color w:val="auto"/>
              </w:rPr>
            </w:pPr>
            <w:r>
              <w:rPr>
                <w:rFonts w:ascii="Calibri" w:cs="Calibri" w:eastAsia="Calibri" w:hAnsi="Calibri"/>
                <w:sz w:val="16"/>
                <w:szCs w:val="16"/>
                <w:color w:val="auto"/>
              </w:rPr>
              <w:t>Cash and cash equivalents</w:t>
            </w:r>
          </w:p>
        </w:tc>
        <w:tc>
          <w:tcPr>
            <w:tcW w:w="120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spacing w:after="0"/>
              <w:rPr>
                <w:sz w:val="16"/>
                <w:szCs w:val="16"/>
                <w:color w:val="auto"/>
              </w:rPr>
            </w:pPr>
          </w:p>
        </w:tc>
        <w:tc>
          <w:tcPr>
            <w:tcW w:w="480" w:type="dxa"/>
            <w:vAlign w:val="bottom"/>
            <w:tcBorders>
              <w:bottom w:val="single" w:sz="8" w:color="DBDBDB"/>
            </w:tcBorders>
            <w:shd w:val="clear" w:color="auto" w:fill="DBDBDB"/>
          </w:tcPr>
          <w:p>
            <w:pPr>
              <w:spacing w:after="0"/>
              <w:rPr>
                <w:sz w:val="16"/>
                <w:szCs w:val="16"/>
                <w:color w:val="auto"/>
              </w:rPr>
            </w:pPr>
          </w:p>
        </w:tc>
        <w:tc>
          <w:tcPr>
            <w:tcW w:w="640" w:type="dxa"/>
            <w:vAlign w:val="bottom"/>
            <w:tcBorders>
              <w:bottom w:val="single" w:sz="8" w:color="DBDBDB"/>
            </w:tcBorders>
            <w:shd w:val="clear" w:color="auto" w:fill="DBDBDB"/>
          </w:tcPr>
          <w:p>
            <w:pPr>
              <w:spacing w:after="0"/>
              <w:rPr>
                <w:sz w:val="16"/>
                <w:szCs w:val="16"/>
                <w:color w:val="auto"/>
              </w:rPr>
            </w:pPr>
          </w:p>
        </w:tc>
        <w:tc>
          <w:tcPr>
            <w:tcW w:w="284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DBDBDB"/>
            </w:tcBorders>
            <w:shd w:val="clear" w:color="auto" w:fill="DBDBDB"/>
          </w:tcPr>
          <w:p>
            <w:pPr>
              <w:jc w:val="right"/>
              <w:ind w:right="139"/>
              <w:spacing w:after="0" w:line="187" w:lineRule="exact"/>
              <w:rPr>
                <w:sz w:val="20"/>
                <w:szCs w:val="20"/>
                <w:color w:val="auto"/>
              </w:rPr>
            </w:pPr>
            <w:r>
              <w:rPr>
                <w:rFonts w:ascii="Calibri" w:cs="Calibri" w:eastAsia="Calibri" w:hAnsi="Calibri"/>
                <w:sz w:val="16"/>
                <w:szCs w:val="16"/>
                <w:color w:val="auto"/>
              </w:rPr>
              <w:t>$</w:t>
            </w:r>
          </w:p>
        </w:tc>
        <w:tc>
          <w:tcPr>
            <w:tcW w:w="110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51,870</w:t>
            </w:r>
          </w:p>
        </w:tc>
        <w:tc>
          <w:tcPr>
            <w:tcW w:w="100" w:type="dxa"/>
            <w:vAlign w:val="bottom"/>
            <w:tcBorders>
              <w:bottom w:val="single" w:sz="8" w:color="DBDBDB"/>
            </w:tcBorders>
            <w:shd w:val="clear" w:color="auto" w:fill="DBDBDB"/>
          </w:tcPr>
          <w:p>
            <w:pPr>
              <w:spacing w:after="0"/>
              <w:rPr>
                <w:sz w:val="16"/>
                <w:szCs w:val="16"/>
                <w:color w:val="auto"/>
              </w:rPr>
            </w:pPr>
          </w:p>
        </w:tc>
        <w:tc>
          <w:tcPr>
            <w:tcW w:w="500" w:type="dxa"/>
            <w:vAlign w:val="bottom"/>
            <w:tcBorders>
              <w:bottom w:val="single" w:sz="8" w:color="DBDBDB"/>
            </w:tcBorders>
            <w:shd w:val="clear" w:color="auto" w:fill="DBDBDB"/>
          </w:tcPr>
          <w:p>
            <w:pPr>
              <w:jc w:val="right"/>
              <w:ind w:right="319"/>
              <w:spacing w:after="0" w:line="187" w:lineRule="exact"/>
              <w:rPr>
                <w:sz w:val="20"/>
                <w:szCs w:val="20"/>
                <w:color w:val="auto"/>
              </w:rPr>
            </w:pPr>
            <w:r>
              <w:rPr>
                <w:rFonts w:ascii="Calibri" w:cs="Calibri" w:eastAsia="Calibri" w:hAnsi="Calibri"/>
                <w:sz w:val="16"/>
                <w:szCs w:val="16"/>
                <w:color w:val="auto"/>
                <w:w w:val="97"/>
              </w:rPr>
              <w:t>$</w:t>
            </w:r>
          </w:p>
        </w:tc>
        <w:tc>
          <w:tcPr>
            <w:tcW w:w="94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42,925</w:t>
            </w:r>
          </w:p>
        </w:tc>
        <w:tc>
          <w:tcPr>
            <w:tcW w:w="0" w:type="dxa"/>
            <w:vAlign w:val="bottom"/>
          </w:tcPr>
          <w:p>
            <w:pPr>
              <w:spacing w:after="0"/>
              <w:rPr>
                <w:sz w:val="1"/>
                <w:szCs w:val="1"/>
                <w:color w:val="auto"/>
              </w:rPr>
            </w:pPr>
          </w:p>
        </w:tc>
      </w:tr>
      <w:tr>
        <w:trPr>
          <w:trHeight w:val="194"/>
        </w:trPr>
        <w:tc>
          <w:tcPr>
            <w:tcW w:w="4200" w:type="dxa"/>
            <w:vAlign w:val="bottom"/>
            <w:gridSpan w:val="5"/>
          </w:tcPr>
          <w:p>
            <w:pPr>
              <w:ind w:left="20"/>
              <w:spacing w:after="0" w:line="193" w:lineRule="exact"/>
              <w:rPr>
                <w:sz w:val="20"/>
                <w:szCs w:val="20"/>
                <w:color w:val="auto"/>
              </w:rPr>
            </w:pPr>
            <w:r>
              <w:rPr>
                <w:rFonts w:ascii="Calibri" w:cs="Calibri" w:eastAsia="Calibri" w:hAnsi="Calibri"/>
                <w:sz w:val="16"/>
                <w:szCs w:val="16"/>
                <w:color w:val="auto"/>
              </w:rPr>
              <w:t>Restricted cash included in other long-term assets</w:t>
            </w: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1,680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1,654</w:t>
            </w:r>
          </w:p>
        </w:tc>
        <w:tc>
          <w:tcPr>
            <w:tcW w:w="0" w:type="dxa"/>
            <w:vAlign w:val="bottom"/>
          </w:tcPr>
          <w:p>
            <w:pPr>
              <w:spacing w:after="0"/>
              <w:rPr>
                <w:sz w:val="1"/>
                <w:szCs w:val="1"/>
                <w:color w:val="auto"/>
              </w:rPr>
            </w:pPr>
          </w:p>
        </w:tc>
      </w:tr>
      <w:tr>
        <w:trPr>
          <w:trHeight w:val="22"/>
        </w:trPr>
        <w:tc>
          <w:tcPr>
            <w:tcW w:w="4200" w:type="dxa"/>
            <w:vAlign w:val="bottom"/>
            <w:tcBorders>
              <w:bottom w:val="single" w:sz="8" w:color="DBDBDB"/>
            </w:tcBorders>
            <w:gridSpan w:val="5"/>
          </w:tcPr>
          <w:p>
            <w:pPr>
              <w:spacing w:after="0" w:line="20" w:lineRule="exact"/>
              <w:rPr>
                <w:sz w:val="1"/>
                <w:szCs w:val="1"/>
                <w:color w:val="auto"/>
              </w:rPr>
            </w:pPr>
          </w:p>
        </w:tc>
        <w:tc>
          <w:tcPr>
            <w:tcW w:w="480" w:type="dxa"/>
            <w:vAlign w:val="bottom"/>
            <w:tcBorders>
              <w:bottom w:val="single" w:sz="8" w:color="DBDBDB"/>
            </w:tcBorders>
          </w:tcPr>
          <w:p>
            <w:pPr>
              <w:spacing w:after="0" w:line="20" w:lineRule="exact"/>
              <w:rPr>
                <w:sz w:val="1"/>
                <w:szCs w:val="1"/>
                <w:color w:val="auto"/>
              </w:rPr>
            </w:pPr>
          </w:p>
        </w:tc>
        <w:tc>
          <w:tcPr>
            <w:tcW w:w="640" w:type="dxa"/>
            <w:vAlign w:val="bottom"/>
            <w:tcBorders>
              <w:bottom w:val="single" w:sz="8" w:color="DBDBDB"/>
            </w:tcBorders>
          </w:tcPr>
          <w:p>
            <w:pPr>
              <w:spacing w:after="0" w:line="20" w:lineRule="exact"/>
              <w:rPr>
                <w:sz w:val="1"/>
                <w:szCs w:val="1"/>
                <w:color w:val="auto"/>
              </w:rPr>
            </w:pPr>
          </w:p>
        </w:tc>
        <w:tc>
          <w:tcPr>
            <w:tcW w:w="28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200" w:type="dxa"/>
            <w:vAlign w:val="bottom"/>
            <w:tcBorders>
              <w:bottom w:val="single" w:sz="8" w:color="DBDBDB"/>
            </w:tcBorders>
            <w:gridSpan w:val="5"/>
            <w:shd w:val="clear" w:color="auto" w:fill="DBDBDB"/>
          </w:tcPr>
          <w:p>
            <w:pPr>
              <w:ind w:left="180"/>
              <w:spacing w:after="0"/>
              <w:rPr>
                <w:sz w:val="20"/>
                <w:szCs w:val="20"/>
                <w:color w:val="auto"/>
              </w:rPr>
            </w:pPr>
            <w:r>
              <w:rPr>
                <w:rFonts w:ascii="Calibri" w:cs="Calibri" w:eastAsia="Calibri" w:hAnsi="Calibri"/>
                <w:sz w:val="16"/>
                <w:szCs w:val="16"/>
                <w:color w:val="auto"/>
              </w:rPr>
              <w:t>Total cash, cash equivalents and restricted cash</w:t>
            </w:r>
          </w:p>
        </w:tc>
        <w:tc>
          <w:tcPr>
            <w:tcW w:w="480" w:type="dxa"/>
            <w:vAlign w:val="bottom"/>
            <w:tcBorders>
              <w:bottom w:val="single" w:sz="8" w:color="DBDBDB"/>
            </w:tcBorders>
            <w:shd w:val="clear" w:color="auto" w:fill="DBDBDB"/>
          </w:tcPr>
          <w:p>
            <w:pPr>
              <w:spacing w:after="0"/>
              <w:rPr>
                <w:sz w:val="19"/>
                <w:szCs w:val="19"/>
                <w:color w:val="auto"/>
              </w:rPr>
            </w:pPr>
          </w:p>
        </w:tc>
        <w:tc>
          <w:tcPr>
            <w:tcW w:w="640" w:type="dxa"/>
            <w:vAlign w:val="bottom"/>
            <w:tcBorders>
              <w:bottom w:val="single" w:sz="8" w:color="DBDBDB"/>
            </w:tcBorders>
            <w:shd w:val="clear" w:color="auto" w:fill="DBDBDB"/>
          </w:tcPr>
          <w:p>
            <w:pPr>
              <w:spacing w:after="0"/>
              <w:rPr>
                <w:sz w:val="19"/>
                <w:szCs w:val="19"/>
                <w:color w:val="auto"/>
              </w:rPr>
            </w:pPr>
          </w:p>
        </w:tc>
        <w:tc>
          <w:tcPr>
            <w:tcW w:w="2840" w:type="dxa"/>
            <w:vAlign w:val="bottom"/>
            <w:tcBorders>
              <w:bottom w:val="single" w:sz="8" w:color="DBDBDB"/>
            </w:tcBorders>
            <w:shd w:val="clear" w:color="auto" w:fill="DBDBDB"/>
          </w:tcPr>
          <w:p>
            <w:pPr>
              <w:spacing w:after="0"/>
              <w:rPr>
                <w:sz w:val="19"/>
                <w:szCs w:val="19"/>
                <w:color w:val="auto"/>
              </w:rPr>
            </w:pPr>
          </w:p>
        </w:tc>
        <w:tc>
          <w:tcPr>
            <w:tcW w:w="100" w:type="dxa"/>
            <w:vAlign w:val="bottom"/>
            <w:tcBorders>
              <w:bottom w:val="single" w:sz="8" w:color="DBDBDB"/>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jc w:val="right"/>
              <w:ind w:right="139"/>
              <w:spacing w:after="0" w:line="193" w:lineRule="exact"/>
              <w:rPr>
                <w:sz w:val="20"/>
                <w:szCs w:val="20"/>
                <w:color w:val="auto"/>
              </w:rPr>
            </w:pPr>
            <w:r>
              <w:rPr>
                <w:rFonts w:ascii="Calibri" w:cs="Calibri" w:eastAsia="Calibri" w:hAnsi="Calibri"/>
                <w:sz w:val="16"/>
                <w:szCs w:val="16"/>
                <w:color w:val="auto"/>
              </w:rPr>
              <w:t>$</w:t>
            </w:r>
          </w:p>
        </w:tc>
        <w:tc>
          <w:tcPr>
            <w:tcW w:w="1100" w:type="dxa"/>
            <w:vAlign w:val="bottom"/>
            <w:tcBorders>
              <w:bottom w:val="single" w:sz="8" w:color="auto"/>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53,550</w:t>
            </w:r>
          </w:p>
        </w:tc>
        <w:tc>
          <w:tcPr>
            <w:tcW w:w="100" w:type="dxa"/>
            <w:vAlign w:val="bottom"/>
            <w:tcBorders>
              <w:bottom w:val="single" w:sz="8" w:color="DBDBDB"/>
            </w:tcBorders>
            <w:shd w:val="clear" w:color="auto" w:fill="DBDBDB"/>
          </w:tcPr>
          <w:p>
            <w:pPr>
              <w:spacing w:after="0"/>
              <w:rPr>
                <w:sz w:val="19"/>
                <w:szCs w:val="19"/>
                <w:color w:val="auto"/>
              </w:rPr>
            </w:pPr>
          </w:p>
        </w:tc>
        <w:tc>
          <w:tcPr>
            <w:tcW w:w="500" w:type="dxa"/>
            <w:vAlign w:val="bottom"/>
            <w:tcBorders>
              <w:bottom w:val="single" w:sz="8" w:color="auto"/>
            </w:tcBorders>
            <w:shd w:val="clear" w:color="auto" w:fill="DBDBDB"/>
          </w:tcPr>
          <w:p>
            <w:pPr>
              <w:jc w:val="right"/>
              <w:ind w:right="319"/>
              <w:spacing w:after="0" w:line="193" w:lineRule="exact"/>
              <w:rPr>
                <w:sz w:val="20"/>
                <w:szCs w:val="20"/>
                <w:color w:val="auto"/>
              </w:rPr>
            </w:pPr>
            <w:r>
              <w:rPr>
                <w:rFonts w:ascii="Calibri" w:cs="Calibri" w:eastAsia="Calibri" w:hAnsi="Calibri"/>
                <w:sz w:val="16"/>
                <w:szCs w:val="16"/>
                <w:color w:val="auto"/>
                <w:w w:val="97"/>
              </w:rPr>
              <w:t>$</w:t>
            </w:r>
          </w:p>
        </w:tc>
        <w:tc>
          <w:tcPr>
            <w:tcW w:w="940" w:type="dxa"/>
            <w:vAlign w:val="bottom"/>
            <w:tcBorders>
              <w:bottom w:val="single" w:sz="8" w:color="auto"/>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44,579</w:t>
            </w:r>
          </w:p>
        </w:tc>
        <w:tc>
          <w:tcPr>
            <w:tcW w:w="0" w:type="dxa"/>
            <w:vAlign w:val="bottom"/>
          </w:tcPr>
          <w:p>
            <w:pPr>
              <w:spacing w:after="0"/>
              <w:rPr>
                <w:sz w:val="1"/>
                <w:szCs w:val="1"/>
                <w:color w:val="auto"/>
              </w:rPr>
            </w:pPr>
          </w:p>
        </w:tc>
      </w:tr>
      <w:tr>
        <w:trPr>
          <w:trHeight w:val="20"/>
        </w:trPr>
        <w:tc>
          <w:tcPr>
            <w:tcW w:w="8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tcBorders>
          </w:tcPr>
          <w:p>
            <w:pPr>
              <w:spacing w:after="0" w:line="20" w:lineRule="exact"/>
              <w:rPr>
                <w:sz w:val="1"/>
                <w:szCs w:val="1"/>
                <w:color w:val="auto"/>
              </w:rPr>
            </w:pPr>
          </w:p>
        </w:tc>
        <w:tc>
          <w:tcPr>
            <w:tcW w:w="62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DBDBDB"/>
            </w:tcBorders>
          </w:tcPr>
          <w:p>
            <w:pPr>
              <w:spacing w:after="0" w:line="20" w:lineRule="exact"/>
              <w:rPr>
                <w:sz w:val="1"/>
                <w:szCs w:val="1"/>
                <w:color w:val="auto"/>
              </w:rPr>
            </w:pPr>
          </w:p>
        </w:tc>
        <w:tc>
          <w:tcPr>
            <w:tcW w:w="1120" w:type="dxa"/>
            <w:vAlign w:val="bottom"/>
            <w:tcBorders>
              <w:top w:val="single" w:sz="8" w:color="DBDBDB"/>
            </w:tcBorders>
          </w:tcPr>
          <w:p>
            <w:pPr>
              <w:spacing w:after="0" w:line="20" w:lineRule="exact"/>
              <w:rPr>
                <w:sz w:val="1"/>
                <w:szCs w:val="1"/>
                <w:color w:val="auto"/>
              </w:rPr>
            </w:pPr>
          </w:p>
        </w:tc>
        <w:tc>
          <w:tcPr>
            <w:tcW w:w="480" w:type="dxa"/>
            <w:vAlign w:val="bottom"/>
            <w:tcBorders>
              <w:top w:val="single" w:sz="8" w:color="DBDBDB"/>
            </w:tcBorders>
          </w:tcPr>
          <w:p>
            <w:pPr>
              <w:spacing w:after="0" w:line="20" w:lineRule="exact"/>
              <w:rPr>
                <w:sz w:val="1"/>
                <w:szCs w:val="1"/>
                <w:color w:val="auto"/>
              </w:rPr>
            </w:pPr>
          </w:p>
        </w:tc>
        <w:tc>
          <w:tcPr>
            <w:tcW w:w="640" w:type="dxa"/>
            <w:vAlign w:val="bottom"/>
            <w:tcBorders>
              <w:top w:val="single" w:sz="8" w:color="DBDBDB"/>
            </w:tcBorders>
          </w:tcPr>
          <w:p>
            <w:pPr>
              <w:spacing w:after="0" w:line="20" w:lineRule="exact"/>
              <w:rPr>
                <w:sz w:val="1"/>
                <w:szCs w:val="1"/>
                <w:color w:val="auto"/>
              </w:rPr>
            </w:pPr>
          </w:p>
        </w:tc>
        <w:tc>
          <w:tcPr>
            <w:tcW w:w="28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Fair Value of Financial Instruments</w:t>
      </w:r>
    </w:p>
    <w:p>
      <w:pPr>
        <w:spacing w:after="0" w:line="10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 xml:space="preserve">Fair value is defned as the price that would be received from selling an asset or paid to transfer a liability in an orderly transacton between market partcipants at the measurement date. When determining the fair value measurements for assets and liabilites required to be recorded at fair value, management considers the principal or most advantageous market in which it would transact and considers assumptons that market partcipants would use when pricing the asset or liability. ASC Topic 820, </w:t>
      </w:r>
      <w:r>
        <w:rPr>
          <w:rFonts w:ascii="Calibri" w:cs="Calibri" w:eastAsia="Calibri" w:hAnsi="Calibri"/>
          <w:sz w:val="17"/>
          <w:szCs w:val="17"/>
          <w:i w:val="1"/>
          <w:iCs w:val="1"/>
          <w:color w:val="auto"/>
        </w:rPr>
        <w:t>Fair Value Measurement</w:t>
      </w:r>
      <w:r>
        <w:rPr>
          <w:rFonts w:ascii="Calibri" w:cs="Calibri" w:eastAsia="Calibri" w:hAnsi="Calibri"/>
          <w:sz w:val="17"/>
          <w:szCs w:val="17"/>
          <w:color w:val="auto"/>
        </w:rPr>
        <w:t>, establishes a fair value hierarchy that requires an entty to maximize the use of observable inputs and minimize the use of unobservable inputs when measuring fair value. To the extent the valuaton is based on models or inputs that are less observable in the market, the determinaton of fair values requires more judgment. A fnancial instrument categorizaton within the fair value hierarchy is based upon the lowest level of input that is signifcant to the fair value measurement. The three levels of inputs that may be used to measure fair value are:</w:t>
      </w:r>
    </w:p>
    <w:p>
      <w:pPr>
        <w:spacing w:after="0" w:line="96" w:lineRule="exact"/>
        <w:rPr>
          <w:sz w:val="20"/>
          <w:szCs w:val="20"/>
          <w:color w:val="auto"/>
        </w:rPr>
      </w:pPr>
    </w:p>
    <w:p>
      <w:pPr>
        <w:ind w:left="660"/>
        <w:spacing w:after="0"/>
        <w:tabs>
          <w:tab w:leader="none" w:pos="1040" w:val="left"/>
          <w:tab w:leader="none" w:pos="9000" w:val="left"/>
        </w:tabs>
        <w:rPr>
          <w:sz w:val="20"/>
          <w:szCs w:val="20"/>
          <w:color w:val="auto"/>
        </w:rPr>
      </w:pPr>
      <w:r>
        <w:rPr>
          <w:rFonts w:ascii="Calibri" w:cs="Calibri" w:eastAsia="Calibri" w:hAnsi="Calibri"/>
          <w:sz w:val="18"/>
          <w:szCs w:val="18"/>
          <w:color w:val="auto"/>
        </w:rPr>
        <w:t>•</w:t>
      </w:r>
      <w:r>
        <w:rPr>
          <w:sz w:val="20"/>
          <w:szCs w:val="20"/>
          <w:color w:val="auto"/>
        </w:rPr>
        <w:tab/>
      </w:r>
      <w:r>
        <w:rPr>
          <w:rFonts w:ascii="Calibri" w:cs="Calibri" w:eastAsia="Calibri" w:hAnsi="Calibri"/>
          <w:sz w:val="18"/>
          <w:szCs w:val="18"/>
          <w:b w:val="1"/>
          <w:bCs w:val="1"/>
          <w:color w:val="auto"/>
        </w:rPr>
        <w:t xml:space="preserve">Level 1 </w:t>
      </w:r>
      <w:r>
        <w:rPr>
          <w:rFonts w:ascii="Calibri" w:cs="Calibri" w:eastAsia="Calibri" w:hAnsi="Calibri"/>
          <w:sz w:val="18"/>
          <w:szCs w:val="18"/>
          <w:color w:val="auto"/>
        </w:rPr>
        <w:t>– unadjusted quoted prices in actve markets for identcal assets or liabilites to the reportng entty at</w:t>
      </w:r>
      <w:r>
        <w:rPr>
          <w:sz w:val="20"/>
          <w:szCs w:val="20"/>
          <w:color w:val="auto"/>
        </w:rPr>
        <w:tab/>
      </w:r>
      <w:r>
        <w:rPr>
          <w:rFonts w:ascii="Calibri" w:cs="Calibri" w:eastAsia="Calibri" w:hAnsi="Calibri"/>
          <w:sz w:val="17"/>
          <w:szCs w:val="17"/>
          <w:color w:val="auto"/>
        </w:rPr>
        <w:t>the measurement date.</w:t>
      </w:r>
    </w:p>
    <w:p>
      <w:pPr>
        <w:spacing w:after="0" w:line="55" w:lineRule="exact"/>
        <w:rPr>
          <w:sz w:val="20"/>
          <w:szCs w:val="20"/>
          <w:color w:val="auto"/>
        </w:rPr>
      </w:pPr>
    </w:p>
    <w:p>
      <w:pPr>
        <w:ind w:left="1060" w:hanging="404"/>
        <w:spacing w:after="0" w:line="235" w:lineRule="auto"/>
        <w:tabs>
          <w:tab w:leader="none" w:pos="1053" w:val="left"/>
        </w:tabs>
        <w:numPr>
          <w:ilvl w:val="0"/>
          <w:numId w:val="65"/>
        </w:numPr>
        <w:rPr>
          <w:rFonts w:ascii="Calibri" w:cs="Calibri" w:eastAsia="Calibri" w:hAnsi="Calibri"/>
          <w:sz w:val="18"/>
          <w:szCs w:val="18"/>
          <w:color w:val="auto"/>
        </w:rPr>
      </w:pPr>
      <w:r>
        <w:rPr>
          <w:rFonts w:ascii="Calibri" w:cs="Calibri" w:eastAsia="Calibri" w:hAnsi="Calibri"/>
          <w:sz w:val="18"/>
          <w:szCs w:val="18"/>
          <w:b w:val="1"/>
          <w:bCs w:val="1"/>
          <w:color w:val="auto"/>
        </w:rPr>
        <w:t xml:space="preserve">Level 2 </w:t>
      </w:r>
      <w:r>
        <w:rPr>
          <w:rFonts w:ascii="Calibri" w:cs="Calibri" w:eastAsia="Calibri" w:hAnsi="Calibri"/>
          <w:sz w:val="18"/>
          <w:szCs w:val="18"/>
          <w:color w:val="auto"/>
        </w:rPr>
        <w:t>– quoted prices for similar assets or liabilites in markets that are not actve, or for which all signifcant inputs are observable, either</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directly or indirectly, for substantally the full term of the asset or liability.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3" w:name="page134"/>
    <w:bookmarkEnd w:id="13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60" w:hanging="404"/>
        <w:spacing w:after="0" w:line="235" w:lineRule="auto"/>
        <w:tabs>
          <w:tab w:leader="none" w:pos="1053" w:val="left"/>
        </w:tabs>
        <w:numPr>
          <w:ilvl w:val="0"/>
          <w:numId w:val="66"/>
        </w:numPr>
        <w:rPr>
          <w:rFonts w:ascii="Calibri" w:cs="Calibri" w:eastAsia="Calibri" w:hAnsi="Calibri"/>
          <w:sz w:val="18"/>
          <w:szCs w:val="18"/>
          <w:color w:val="auto"/>
        </w:rPr>
      </w:pPr>
      <w:r>
        <w:rPr>
          <w:rFonts w:ascii="Calibri" w:cs="Calibri" w:eastAsia="Calibri" w:hAnsi="Calibri"/>
          <w:sz w:val="18"/>
          <w:szCs w:val="18"/>
          <w:b w:val="1"/>
          <w:bCs w:val="1"/>
          <w:color w:val="auto"/>
        </w:rPr>
        <w:t xml:space="preserve">Level 3 </w:t>
      </w:r>
      <w:r>
        <w:rPr>
          <w:rFonts w:ascii="Calibri" w:cs="Calibri" w:eastAsia="Calibri" w:hAnsi="Calibri"/>
          <w:sz w:val="18"/>
          <w:szCs w:val="18"/>
          <w:color w:val="auto"/>
        </w:rPr>
        <w:t>– unobservable inputs for the asset or liability used to measure fair value to the extent that observable inputs are not available, thereby</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allowing for situatons in which there is litle, if any, market actvity for the asset or liability at the measurement date.</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Accounts Receivable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accounts receivable represent amounts due to the Company from product sales and from its collaboraton, license and other agreements. Reimbursable costs that have not been invoiced as of the balance sheet date are recorded as unbilled accounts receivable. Accounts receivable arising from product sales primarily represent amounts due from the Company's customers, net of allowances for customer discounts and chargebacks. The Company deducts trade allowances for prompt payment, among other certain discounts or chargebacks, from its accounts receivable based on its experience that the Company’s customers will earn these discounts and fees.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Concentratons of Risk and Of-Balance Sheet Risk</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Credit Risk</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Cash, cash equivalents and accounts receivable are the only fnancial instruments that potentally subject the Company to concentratons of credit risk. The Company maintains cash accounts principally at two fnancial insttutons in the U.S., which at tmes, may exceed the Federal Deposit Insurance Corporaton's limits. The Company has not experienced any losses from cash balances in excess of the insurance limit. The Company's management does not believe the Company is exposed to signifcant credit risk at this tme due to the fnancial conditon of the fnancial insttutons where its cash is held.</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makes judgments as to its ability to collect outstanding receivables and provides an allowance for receivables when collecton becomes doubtul. Provisions are made based upon a specifc review of all signifcant outstanding receivables and the overall quality and age of those invoices not specifcally reviewed as well as historical payment paterns and existng economic factors. The Company believes that credit risks associated with its customers and collaboraton partners are not signifcant. The Company's allowance for credit losses was $1.2 million and $1.0 million as of December 31, 2024 and 2023, respectvely.</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summarizes the actvity related to the Company's allowance for credit losses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00" w:type="dxa"/>
            <w:vAlign w:val="bottom"/>
          </w:tcPr>
          <w:p>
            <w:pPr>
              <w:spacing w:after="0"/>
              <w:rPr>
                <w:sz w:val="16"/>
                <w:szCs w:val="16"/>
                <w:color w:val="auto"/>
              </w:rPr>
            </w:pPr>
          </w:p>
        </w:tc>
        <w:tc>
          <w:tcPr>
            <w:tcW w:w="3060" w:type="dxa"/>
            <w:vAlign w:val="bottom"/>
            <w:gridSpan w:val="4"/>
          </w:tcPr>
          <w:p>
            <w:pPr>
              <w:jc w:val="right"/>
              <w:ind w:right="299"/>
              <w:spacing w:after="0"/>
              <w:rPr>
                <w:sz w:val="20"/>
                <w:szCs w:val="20"/>
                <w:color w:val="auto"/>
              </w:rPr>
            </w:pPr>
            <w:r>
              <w:rPr>
                <w:rFonts w:ascii="Calibri" w:cs="Calibri" w:eastAsia="Calibri" w:hAnsi="Calibri"/>
                <w:sz w:val="16"/>
                <w:szCs w:val="16"/>
                <w:b w:val="1"/>
                <w:bCs w:val="1"/>
                <w:color w:val="auto"/>
              </w:rPr>
              <w:t>Year Ended December 31,</w:t>
            </w:r>
          </w:p>
        </w:tc>
        <w:tc>
          <w:tcPr>
            <w:tcW w:w="580" w:type="dxa"/>
            <w:vAlign w:val="bottom"/>
          </w:tcPr>
          <w:p>
            <w:pPr>
              <w:spacing w:after="0"/>
              <w:rPr>
                <w:sz w:val="16"/>
                <w:szCs w:val="16"/>
                <w:color w:val="auto"/>
              </w:rPr>
            </w:pPr>
          </w:p>
        </w:tc>
      </w:tr>
      <w:tr>
        <w:trPr>
          <w:trHeight w:val="28"/>
        </w:trPr>
        <w:tc>
          <w:tcPr>
            <w:tcW w:w="76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87"/>
        </w:trPr>
        <w:tc>
          <w:tcPr>
            <w:tcW w:w="7600" w:type="dxa"/>
            <w:vAlign w:val="bottom"/>
          </w:tcPr>
          <w:p>
            <w:pPr>
              <w:spacing w:after="0"/>
              <w:rPr>
                <w:sz w:val="16"/>
                <w:szCs w:val="16"/>
                <w:color w:val="auto"/>
              </w:rPr>
            </w:pPr>
          </w:p>
        </w:tc>
        <w:tc>
          <w:tcPr>
            <w:tcW w:w="1200" w:type="dxa"/>
            <w:vAlign w:val="bottom"/>
          </w:tcPr>
          <w:p>
            <w:pPr>
              <w:jc w:val="right"/>
              <w:ind w:right="59"/>
              <w:spacing w:after="0" w:line="187" w:lineRule="exact"/>
              <w:rPr>
                <w:sz w:val="20"/>
                <w:szCs w:val="20"/>
                <w:color w:val="auto"/>
              </w:rPr>
            </w:pPr>
            <w:r>
              <w:rPr>
                <w:rFonts w:ascii="Calibri" w:cs="Calibri" w:eastAsia="Calibri" w:hAnsi="Calibri"/>
                <w:sz w:val="16"/>
                <w:szCs w:val="16"/>
                <w:b w:val="1"/>
                <w:bCs w:val="1"/>
                <w:color w:val="auto"/>
              </w:rPr>
              <w:t>2024</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59"/>
              <w:spacing w:after="0" w:line="187" w:lineRule="exact"/>
              <w:rPr>
                <w:sz w:val="20"/>
                <w:szCs w:val="20"/>
                <w:color w:val="auto"/>
              </w:rPr>
            </w:pPr>
            <w:r>
              <w:rPr>
                <w:rFonts w:ascii="Calibri" w:cs="Calibri" w:eastAsia="Calibri" w:hAnsi="Calibri"/>
                <w:sz w:val="16"/>
                <w:szCs w:val="16"/>
                <w:b w:val="1"/>
                <w:bCs w:val="1"/>
                <w:color w:val="auto"/>
              </w:rPr>
              <w:t>2023</w:t>
            </w:r>
          </w:p>
        </w:tc>
        <w:tc>
          <w:tcPr>
            <w:tcW w:w="580" w:type="dxa"/>
            <w:vAlign w:val="bottom"/>
          </w:tcPr>
          <w:p>
            <w:pPr>
              <w:spacing w:after="0"/>
              <w:rPr>
                <w:sz w:val="16"/>
                <w:szCs w:val="16"/>
                <w:color w:val="auto"/>
              </w:rPr>
            </w:pPr>
          </w:p>
        </w:tc>
      </w:tr>
      <w:tr>
        <w:trPr>
          <w:trHeight w:val="23"/>
        </w:trPr>
        <w:tc>
          <w:tcPr>
            <w:tcW w:w="7600" w:type="dxa"/>
            <w:vAlign w:val="bottom"/>
            <w:tcBorders>
              <w:bottom w:val="single" w:sz="8" w:color="DBDBDB"/>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90"/>
        </w:trPr>
        <w:tc>
          <w:tcPr>
            <w:tcW w:w="7600" w:type="dxa"/>
            <w:vAlign w:val="bottom"/>
            <w:tcBorders>
              <w:bottom w:val="single" w:sz="8" w:color="DBDBDB"/>
            </w:tcBorders>
            <w:shd w:val="clear" w:color="auto" w:fill="DBDBDB"/>
          </w:tcPr>
          <w:p>
            <w:pPr>
              <w:ind w:left="20"/>
              <w:spacing w:after="0" w:line="182" w:lineRule="exact"/>
              <w:rPr>
                <w:sz w:val="20"/>
                <w:szCs w:val="20"/>
                <w:color w:val="auto"/>
              </w:rPr>
            </w:pPr>
            <w:r>
              <w:rPr>
                <w:rFonts w:ascii="Calibri" w:cs="Calibri" w:eastAsia="Calibri" w:hAnsi="Calibri"/>
                <w:sz w:val="16"/>
                <w:szCs w:val="16"/>
                <w:color w:val="auto"/>
              </w:rPr>
              <w:t>Beginning balance</w:t>
            </w:r>
          </w:p>
        </w:tc>
        <w:tc>
          <w:tcPr>
            <w:tcW w:w="1200" w:type="dxa"/>
            <w:vAlign w:val="bottom"/>
            <w:tcBorders>
              <w:bottom w:val="single" w:sz="8" w:color="DBDBDB"/>
            </w:tcBorders>
            <w:shd w:val="clear" w:color="auto" w:fill="DBDBDB"/>
          </w:tcPr>
          <w:p>
            <w:pPr>
              <w:jc w:val="right"/>
              <w:ind w:right="1019"/>
              <w:spacing w:after="0" w:line="187" w:lineRule="exact"/>
              <w:rPr>
                <w:sz w:val="20"/>
                <w:szCs w:val="20"/>
                <w:color w:val="auto"/>
              </w:rPr>
            </w:pPr>
            <w:r>
              <w:rPr>
                <w:rFonts w:ascii="Calibri" w:cs="Calibri" w:eastAsia="Calibri" w:hAnsi="Calibri"/>
                <w:sz w:val="16"/>
                <w:szCs w:val="16"/>
                <w:color w:val="auto"/>
                <w:w w:val="97"/>
              </w:rPr>
              <w:t>$</w:t>
            </w:r>
          </w:p>
        </w:tc>
        <w:tc>
          <w:tcPr>
            <w:tcW w:w="56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1,029</w:t>
            </w:r>
          </w:p>
        </w:tc>
        <w:tc>
          <w:tcPr>
            <w:tcW w:w="12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tcBorders>
            <w:shd w:val="clear" w:color="auto" w:fill="DBDBDB"/>
          </w:tcPr>
          <w:p>
            <w:pPr>
              <w:jc w:val="right"/>
              <w:ind w:right="999"/>
              <w:spacing w:after="0" w:line="187" w:lineRule="exact"/>
              <w:rPr>
                <w:sz w:val="20"/>
                <w:szCs w:val="20"/>
                <w:color w:val="auto"/>
              </w:rPr>
            </w:pPr>
            <w:r>
              <w:rPr>
                <w:rFonts w:ascii="Calibri" w:cs="Calibri" w:eastAsia="Calibri" w:hAnsi="Calibri"/>
                <w:sz w:val="16"/>
                <w:szCs w:val="16"/>
                <w:color w:val="auto"/>
                <w:w w:val="97"/>
              </w:rPr>
              <w:t>$</w:t>
            </w:r>
          </w:p>
        </w:tc>
        <w:tc>
          <w:tcPr>
            <w:tcW w:w="58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1,106</w:t>
            </w:r>
          </w:p>
        </w:tc>
      </w:tr>
      <w:tr>
        <w:trPr>
          <w:trHeight w:val="194"/>
        </w:trPr>
        <w:tc>
          <w:tcPr>
            <w:tcW w:w="7600" w:type="dxa"/>
            <w:vAlign w:val="bottom"/>
          </w:tcPr>
          <w:p>
            <w:pPr>
              <w:ind w:left="20"/>
              <w:spacing w:after="0" w:line="193" w:lineRule="exact"/>
              <w:rPr>
                <w:sz w:val="20"/>
                <w:szCs w:val="20"/>
                <w:color w:val="auto"/>
              </w:rPr>
            </w:pPr>
            <w:r>
              <w:rPr>
                <w:rFonts w:ascii="Calibri" w:cs="Calibri" w:eastAsia="Calibri" w:hAnsi="Calibri"/>
                <w:sz w:val="16"/>
                <w:szCs w:val="16"/>
                <w:color w:val="auto"/>
              </w:rPr>
              <w:t>Provision for bad debts</w:t>
            </w:r>
          </w:p>
        </w:tc>
        <w:tc>
          <w:tcPr>
            <w:tcW w:w="1200" w:type="dxa"/>
            <w:vAlign w:val="bottom"/>
          </w:tcPr>
          <w:p>
            <w:pPr>
              <w:spacing w:after="0"/>
              <w:rPr>
                <w:sz w:val="16"/>
                <w:szCs w:val="16"/>
                <w:color w:val="auto"/>
              </w:rPr>
            </w:pPr>
          </w:p>
        </w:tc>
        <w:tc>
          <w:tcPr>
            <w:tcW w:w="560" w:type="dxa"/>
            <w:vAlign w:val="bottom"/>
          </w:tcPr>
          <w:p>
            <w:pPr>
              <w:jc w:val="right"/>
              <w:spacing w:after="0" w:line="193" w:lineRule="exact"/>
              <w:rPr>
                <w:sz w:val="20"/>
                <w:szCs w:val="20"/>
                <w:color w:val="auto"/>
              </w:rPr>
            </w:pPr>
            <w:r>
              <w:rPr>
                <w:rFonts w:ascii="Calibri" w:cs="Calibri" w:eastAsia="Calibri" w:hAnsi="Calibri"/>
                <w:sz w:val="16"/>
                <w:szCs w:val="16"/>
                <w:color w:val="auto"/>
              </w:rPr>
              <w:t>877</w:t>
            </w: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80" w:type="dxa"/>
            <w:vAlign w:val="bottom"/>
          </w:tcPr>
          <w:p>
            <w:pPr>
              <w:jc w:val="right"/>
              <w:spacing w:after="0" w:line="193" w:lineRule="exact"/>
              <w:rPr>
                <w:sz w:val="20"/>
                <w:szCs w:val="20"/>
                <w:color w:val="auto"/>
              </w:rPr>
            </w:pPr>
            <w:r>
              <w:rPr>
                <w:rFonts w:ascii="Calibri" w:cs="Calibri" w:eastAsia="Calibri" w:hAnsi="Calibri"/>
                <w:sz w:val="16"/>
                <w:szCs w:val="16"/>
                <w:color w:val="auto"/>
              </w:rPr>
              <w:t>(77)</w:t>
            </w:r>
          </w:p>
        </w:tc>
      </w:tr>
      <w:tr>
        <w:trPr>
          <w:trHeight w:val="23"/>
        </w:trPr>
        <w:tc>
          <w:tcPr>
            <w:tcW w:w="7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6"/>
        </w:trPr>
        <w:tc>
          <w:tcPr>
            <w:tcW w:w="7600" w:type="dxa"/>
            <w:vAlign w:val="bottom"/>
            <w:tcBorders>
              <w:bottom w:val="single" w:sz="8" w:color="DBDBDB"/>
            </w:tcBorders>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Recoveries/(write-ofs)</w:t>
            </w:r>
          </w:p>
        </w:tc>
        <w:tc>
          <w:tcPr>
            <w:tcW w:w="1200" w:type="dxa"/>
            <w:vAlign w:val="bottom"/>
            <w:tcBorders>
              <w:bottom w:val="single" w:sz="8" w:color="DBDBDB"/>
            </w:tcBorders>
            <w:shd w:val="clear" w:color="auto" w:fill="DBDBDB"/>
          </w:tcPr>
          <w:p>
            <w:pPr>
              <w:spacing w:after="0"/>
              <w:rPr>
                <w:sz w:val="18"/>
                <w:szCs w:val="18"/>
                <w:color w:val="auto"/>
              </w:rPr>
            </w:pPr>
          </w:p>
        </w:tc>
        <w:tc>
          <w:tcPr>
            <w:tcW w:w="56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(695)</w:t>
            </w:r>
          </w:p>
        </w:tc>
        <w:tc>
          <w:tcPr>
            <w:tcW w:w="12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tcBorders>
            <w:shd w:val="clear" w:color="auto" w:fill="DBDBDB"/>
          </w:tcPr>
          <w:p>
            <w:pPr>
              <w:spacing w:after="0"/>
              <w:rPr>
                <w:sz w:val="18"/>
                <w:szCs w:val="18"/>
                <w:color w:val="auto"/>
              </w:rPr>
            </w:pPr>
          </w:p>
        </w:tc>
        <w:tc>
          <w:tcPr>
            <w:tcW w:w="58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209"/>
        </w:trPr>
        <w:tc>
          <w:tcPr>
            <w:tcW w:w="7600" w:type="dxa"/>
            <w:vAlign w:val="bottom"/>
          </w:tcPr>
          <w:p>
            <w:pPr>
              <w:ind w:left="20"/>
              <w:spacing w:after="0"/>
              <w:rPr>
                <w:sz w:val="20"/>
                <w:szCs w:val="20"/>
                <w:color w:val="auto"/>
              </w:rPr>
            </w:pPr>
            <w:r>
              <w:rPr>
                <w:rFonts w:ascii="Calibri" w:cs="Calibri" w:eastAsia="Calibri" w:hAnsi="Calibri"/>
                <w:sz w:val="16"/>
                <w:szCs w:val="16"/>
                <w:color w:val="auto"/>
              </w:rPr>
              <w:t>Ending balance</w:t>
            </w:r>
          </w:p>
        </w:tc>
        <w:tc>
          <w:tcPr>
            <w:tcW w:w="1200" w:type="dxa"/>
            <w:vAlign w:val="bottom"/>
            <w:tcBorders>
              <w:top w:val="single" w:sz="8" w:color="auto"/>
              <w:bottom w:val="single" w:sz="8" w:color="auto"/>
            </w:tcBorders>
          </w:tcPr>
          <w:p>
            <w:pPr>
              <w:jc w:val="right"/>
              <w:ind w:right="1019"/>
              <w:spacing w:after="0" w:line="193" w:lineRule="exact"/>
              <w:rPr>
                <w:sz w:val="20"/>
                <w:szCs w:val="20"/>
                <w:color w:val="auto"/>
              </w:rPr>
            </w:pPr>
            <w:r>
              <w:rPr>
                <w:rFonts w:ascii="Calibri" w:cs="Calibri" w:eastAsia="Calibri" w:hAnsi="Calibri"/>
                <w:sz w:val="16"/>
                <w:szCs w:val="16"/>
                <w:color w:val="auto"/>
                <w:w w:val="97"/>
              </w:rPr>
              <w:t>$</w:t>
            </w:r>
          </w:p>
        </w:tc>
        <w:tc>
          <w:tcPr>
            <w:tcW w:w="56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1,212</w:t>
            </w:r>
          </w:p>
        </w:tc>
        <w:tc>
          <w:tcPr>
            <w:tcW w:w="12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999"/>
              <w:spacing w:after="0" w:line="193" w:lineRule="exact"/>
              <w:rPr>
                <w:sz w:val="20"/>
                <w:szCs w:val="20"/>
                <w:color w:val="auto"/>
              </w:rPr>
            </w:pPr>
            <w:r>
              <w:rPr>
                <w:rFonts w:ascii="Calibri" w:cs="Calibri" w:eastAsia="Calibri" w:hAnsi="Calibri"/>
                <w:sz w:val="16"/>
                <w:szCs w:val="16"/>
                <w:color w:val="auto"/>
                <w:w w:val="97"/>
              </w:rPr>
              <w:t>$</w:t>
            </w:r>
          </w:p>
        </w:tc>
        <w:tc>
          <w:tcPr>
            <w:tcW w:w="58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1,029</w:t>
            </w:r>
          </w:p>
        </w:tc>
      </w:tr>
      <w:tr>
        <w:trPr>
          <w:trHeight w:val="21"/>
        </w:trPr>
        <w:tc>
          <w:tcPr>
            <w:tcW w:w="76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Gross revenues and accounts receivable from each of the Company’s customers or collaboraton partners who individually accounted for 10% or more of total gross revenues and/or 10% or more of total gross accounts receivable consisted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3"/>
          </w:tcPr>
          <w:p>
            <w:pPr>
              <w:ind w:left="620"/>
              <w:spacing w:after="0"/>
              <w:rPr>
                <w:sz w:val="20"/>
                <w:szCs w:val="20"/>
                <w:color w:val="auto"/>
              </w:rPr>
            </w:pPr>
            <w:r>
              <w:rPr>
                <w:rFonts w:ascii="Calibri" w:cs="Calibri" w:eastAsia="Calibri" w:hAnsi="Calibri"/>
                <w:sz w:val="16"/>
                <w:szCs w:val="16"/>
                <w:b w:val="1"/>
                <w:bCs w:val="1"/>
                <w:color w:val="auto"/>
              </w:rPr>
              <w:t>% of Total Gross Revenues</w:t>
            </w: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3"/>
          </w:tcPr>
          <w:p>
            <w:pPr>
              <w:ind w:left="600"/>
              <w:spacing w:after="0" w:line="187" w:lineRule="exact"/>
              <w:rPr>
                <w:sz w:val="20"/>
                <w:szCs w:val="20"/>
                <w:color w:val="auto"/>
              </w:rPr>
            </w:pPr>
            <w:r>
              <w:rPr>
                <w:rFonts w:ascii="Calibri" w:cs="Calibri" w:eastAsia="Calibri" w:hAnsi="Calibri"/>
                <w:sz w:val="16"/>
                <w:szCs w:val="16"/>
                <w:b w:val="1"/>
                <w:bCs w:val="1"/>
                <w:color w:val="auto"/>
              </w:rPr>
              <w:t>Years Ended December 31,</w:t>
            </w:r>
          </w:p>
        </w:tc>
        <w:tc>
          <w:tcPr>
            <w:tcW w:w="0" w:type="dxa"/>
            <w:vAlign w:val="bottom"/>
          </w:tcPr>
          <w:p>
            <w:pPr>
              <w:spacing w:after="0"/>
              <w:rPr>
                <w:sz w:val="1"/>
                <w:szCs w:val="1"/>
                <w:color w:val="auto"/>
              </w:rPr>
            </w:pPr>
          </w:p>
        </w:tc>
      </w:tr>
      <w:tr>
        <w:trPr>
          <w:trHeight w:val="22"/>
        </w:trPr>
        <w:tc>
          <w:tcPr>
            <w:tcW w:w="8260" w:type="dxa"/>
            <w:vAlign w:val="bottom"/>
            <w:gridSpan w:val="2"/>
            <w:vMerge w:val="restart"/>
          </w:tcPr>
          <w:p>
            <w:pPr>
              <w:ind w:left="20"/>
              <w:spacing w:after="0"/>
              <w:rPr>
                <w:sz w:val="20"/>
                <w:szCs w:val="20"/>
                <w:color w:val="auto"/>
              </w:rPr>
            </w:pPr>
            <w:r>
              <w:rPr>
                <w:rFonts w:ascii="Calibri" w:cs="Calibri" w:eastAsia="Calibri" w:hAnsi="Calibri"/>
                <w:sz w:val="16"/>
                <w:szCs w:val="16"/>
                <w:b w:val="1"/>
                <w:bCs w:val="1"/>
                <w:color w:val="auto"/>
              </w:rPr>
              <w:t>Customer</w:t>
            </w: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8260" w:type="dxa"/>
            <w:vAlign w:val="bottom"/>
            <w:gridSpan w:val="2"/>
            <w:vMerge w:val="continue"/>
          </w:tcPr>
          <w:p>
            <w:pPr>
              <w:spacing w:after="0"/>
              <w:rPr>
                <w:sz w:val="16"/>
                <w:szCs w:val="16"/>
                <w:color w:val="auto"/>
              </w:rPr>
            </w:pPr>
          </w:p>
        </w:tc>
        <w:tc>
          <w:tcPr>
            <w:tcW w:w="1440" w:type="dxa"/>
            <w:vAlign w:val="bottom"/>
          </w:tcPr>
          <w:p>
            <w:pPr>
              <w:jc w:val="center"/>
              <w:spacing w:after="0" w:line="187" w:lineRule="exact"/>
              <w:rPr>
                <w:sz w:val="20"/>
                <w:szCs w:val="20"/>
                <w:color w:val="auto"/>
              </w:rPr>
            </w:pPr>
            <w:r>
              <w:rPr>
                <w:rFonts w:ascii="Calibri" w:cs="Calibri" w:eastAsia="Calibri" w:hAnsi="Calibri"/>
                <w:sz w:val="16"/>
                <w:szCs w:val="16"/>
                <w:b w:val="1"/>
                <w:bCs w:val="1"/>
                <w:color w:val="auto"/>
                <w:w w:val="98"/>
              </w:rPr>
              <w:t>2024</w:t>
            </w:r>
          </w:p>
        </w:tc>
        <w:tc>
          <w:tcPr>
            <w:tcW w:w="100" w:type="dxa"/>
            <w:vAlign w:val="bottom"/>
          </w:tcPr>
          <w:p>
            <w:pPr>
              <w:spacing w:after="0"/>
              <w:rPr>
                <w:sz w:val="16"/>
                <w:szCs w:val="16"/>
                <w:color w:val="auto"/>
              </w:rPr>
            </w:pPr>
          </w:p>
        </w:tc>
        <w:tc>
          <w:tcPr>
            <w:tcW w:w="1440" w:type="dxa"/>
            <w:vAlign w:val="bottom"/>
          </w:tcPr>
          <w:p>
            <w:pPr>
              <w:jc w:val="center"/>
              <w:spacing w:after="0" w:line="187" w:lineRule="exact"/>
              <w:rPr>
                <w:sz w:val="20"/>
                <w:szCs w:val="20"/>
                <w:color w:val="auto"/>
              </w:rPr>
            </w:pPr>
            <w:r>
              <w:rPr>
                <w:rFonts w:ascii="Calibri" w:cs="Calibri" w:eastAsia="Calibri" w:hAnsi="Calibri"/>
                <w:sz w:val="16"/>
                <w:szCs w:val="16"/>
                <w:b w:val="1"/>
                <w:bCs w:val="1"/>
                <w:color w:val="auto"/>
                <w:w w:val="98"/>
              </w:rPr>
              <w:t>2023</w:t>
            </w:r>
          </w:p>
        </w:tc>
        <w:tc>
          <w:tcPr>
            <w:tcW w:w="0" w:type="dxa"/>
            <w:vAlign w:val="bottom"/>
          </w:tcPr>
          <w:p>
            <w:pPr>
              <w:spacing w:after="0"/>
              <w:rPr>
                <w:sz w:val="1"/>
                <w:szCs w:val="1"/>
                <w:color w:val="auto"/>
              </w:rPr>
            </w:pPr>
          </w:p>
        </w:tc>
      </w:tr>
      <w:tr>
        <w:trPr>
          <w:trHeight w:val="23"/>
        </w:trPr>
        <w:tc>
          <w:tcPr>
            <w:tcW w:w="8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DBDBDB"/>
            </w:tcBorders>
            <w:shd w:val="clear" w:color="auto" w:fill="DBDBDB"/>
          </w:tcPr>
          <w:p>
            <w:pPr>
              <w:ind w:left="20"/>
              <w:spacing w:after="0" w:line="187" w:lineRule="exact"/>
              <w:rPr>
                <w:sz w:val="20"/>
                <w:szCs w:val="20"/>
                <w:color w:val="auto"/>
              </w:rPr>
            </w:pPr>
            <w:r>
              <w:rPr>
                <w:rFonts w:ascii="Calibri" w:cs="Calibri" w:eastAsia="Calibri" w:hAnsi="Calibri"/>
                <w:sz w:val="16"/>
                <w:szCs w:val="16"/>
                <w:color w:val="auto"/>
              </w:rPr>
              <w:t>Fresenius Medical Care Rx</w:t>
            </w:r>
          </w:p>
        </w:tc>
        <w:tc>
          <w:tcPr>
            <w:tcW w:w="80" w:type="dxa"/>
            <w:vAlign w:val="bottom"/>
            <w:tcBorders>
              <w:bottom w:val="single" w:sz="8" w:color="DBDBDB"/>
            </w:tcBorders>
            <w:shd w:val="clear" w:color="auto" w:fill="DBDBDB"/>
          </w:tcPr>
          <w:p>
            <w:pPr>
              <w:spacing w:after="0"/>
              <w:rPr>
                <w:sz w:val="16"/>
                <w:szCs w:val="16"/>
                <w:color w:val="auto"/>
              </w:rPr>
            </w:pPr>
          </w:p>
        </w:tc>
        <w:tc>
          <w:tcPr>
            <w:tcW w:w="1440" w:type="dxa"/>
            <w:vAlign w:val="bottom"/>
            <w:tcBorders>
              <w:bottom w:val="single" w:sz="8" w:color="DBDBDB"/>
            </w:tcBorders>
            <w:shd w:val="clear" w:color="auto" w:fill="DBDBDB"/>
          </w:tcPr>
          <w:p>
            <w:pPr>
              <w:jc w:val="center"/>
              <w:spacing w:after="0" w:line="187" w:lineRule="exact"/>
              <w:rPr>
                <w:sz w:val="20"/>
                <w:szCs w:val="20"/>
                <w:color w:val="auto"/>
              </w:rPr>
            </w:pPr>
            <w:r>
              <w:rPr>
                <w:rFonts w:ascii="Calibri" w:cs="Calibri" w:eastAsia="Calibri" w:hAnsi="Calibri"/>
                <w:sz w:val="16"/>
                <w:szCs w:val="16"/>
                <w:color w:val="auto"/>
              </w:rPr>
              <w:t>48%</w:t>
            </w:r>
          </w:p>
        </w:tc>
        <w:tc>
          <w:tcPr>
            <w:tcW w:w="100" w:type="dxa"/>
            <w:vAlign w:val="bottom"/>
            <w:tcBorders>
              <w:bottom w:val="single" w:sz="8" w:color="DBDBDB"/>
            </w:tcBorders>
            <w:shd w:val="clear" w:color="auto" w:fill="DBDBDB"/>
          </w:tcPr>
          <w:p>
            <w:pPr>
              <w:spacing w:after="0"/>
              <w:rPr>
                <w:sz w:val="16"/>
                <w:szCs w:val="16"/>
                <w:color w:val="auto"/>
              </w:rPr>
            </w:pPr>
          </w:p>
        </w:tc>
        <w:tc>
          <w:tcPr>
            <w:tcW w:w="1440" w:type="dxa"/>
            <w:vAlign w:val="bottom"/>
            <w:tcBorders>
              <w:bottom w:val="single" w:sz="8" w:color="DBDBDB"/>
            </w:tcBorders>
            <w:shd w:val="clear" w:color="auto" w:fill="DBDBDB"/>
          </w:tcPr>
          <w:p>
            <w:pPr>
              <w:jc w:val="center"/>
              <w:spacing w:after="0" w:line="187" w:lineRule="exact"/>
              <w:rPr>
                <w:sz w:val="20"/>
                <w:szCs w:val="20"/>
                <w:color w:val="auto"/>
              </w:rPr>
            </w:pPr>
            <w:r>
              <w:rPr>
                <w:rFonts w:ascii="Calibri" w:cs="Calibri" w:eastAsia="Calibri" w:hAnsi="Calibri"/>
                <w:sz w:val="16"/>
                <w:szCs w:val="16"/>
                <w:color w:val="auto"/>
              </w:rPr>
              <w:t>40%</w:t>
            </w:r>
          </w:p>
        </w:tc>
        <w:tc>
          <w:tcPr>
            <w:tcW w:w="0" w:type="dxa"/>
            <w:vAlign w:val="bottom"/>
          </w:tcPr>
          <w:p>
            <w:pPr>
              <w:spacing w:after="0"/>
              <w:rPr>
                <w:sz w:val="1"/>
                <w:szCs w:val="1"/>
                <w:color w:val="auto"/>
              </w:rPr>
            </w:pPr>
          </w:p>
        </w:tc>
      </w:tr>
      <w:tr>
        <w:trPr>
          <w:trHeight w:val="194"/>
        </w:trPr>
        <w:tc>
          <w:tcPr>
            <w:tcW w:w="826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Cencora, Inc., formerly known as AmerisourceBergen Drug Corporaton</w:t>
            </w:r>
          </w:p>
        </w:tc>
        <w:tc>
          <w:tcPr>
            <w:tcW w:w="1440" w:type="dxa"/>
            <w:vAlign w:val="bottom"/>
          </w:tcPr>
          <w:p>
            <w:pPr>
              <w:jc w:val="center"/>
              <w:spacing w:after="0" w:line="193" w:lineRule="exact"/>
              <w:rPr>
                <w:sz w:val="20"/>
                <w:szCs w:val="20"/>
                <w:color w:val="auto"/>
              </w:rPr>
            </w:pPr>
            <w:r>
              <w:rPr>
                <w:rFonts w:ascii="Calibri" w:cs="Calibri" w:eastAsia="Calibri" w:hAnsi="Calibri"/>
                <w:sz w:val="16"/>
                <w:szCs w:val="16"/>
                <w:color w:val="auto"/>
              </w:rPr>
              <w:t>19%</w:t>
            </w:r>
          </w:p>
        </w:tc>
        <w:tc>
          <w:tcPr>
            <w:tcW w:w="100" w:type="dxa"/>
            <w:vAlign w:val="bottom"/>
          </w:tcPr>
          <w:p>
            <w:pPr>
              <w:spacing w:after="0"/>
              <w:rPr>
                <w:sz w:val="16"/>
                <w:szCs w:val="16"/>
                <w:color w:val="auto"/>
              </w:rPr>
            </w:pPr>
          </w:p>
        </w:tc>
        <w:tc>
          <w:tcPr>
            <w:tcW w:w="1440" w:type="dxa"/>
            <w:vAlign w:val="bottom"/>
          </w:tcPr>
          <w:p>
            <w:pPr>
              <w:jc w:val="center"/>
              <w:spacing w:after="0" w:line="193" w:lineRule="exact"/>
              <w:rPr>
                <w:sz w:val="20"/>
                <w:szCs w:val="20"/>
                <w:color w:val="auto"/>
              </w:rPr>
            </w:pPr>
            <w:r>
              <w:rPr>
                <w:rFonts w:ascii="Calibri" w:cs="Calibri" w:eastAsia="Calibri" w:hAnsi="Calibri"/>
                <w:sz w:val="16"/>
                <w:szCs w:val="16"/>
                <w:color w:val="auto"/>
              </w:rPr>
              <w:t>21%</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McKesson Corporaton</w:t>
            </w:r>
          </w:p>
        </w:tc>
        <w:tc>
          <w:tcPr>
            <w:tcW w:w="1440" w:type="dxa"/>
            <w:vAlign w:val="bottom"/>
            <w:tcBorders>
              <w:bottom w:val="single" w:sz="8" w:color="DBDBDB"/>
            </w:tcBorders>
            <w:shd w:val="clear" w:color="auto" w:fill="DBDBDB"/>
          </w:tcPr>
          <w:p>
            <w:pPr>
              <w:jc w:val="center"/>
              <w:spacing w:after="0" w:line="193" w:lineRule="exact"/>
              <w:rPr>
                <w:sz w:val="20"/>
                <w:szCs w:val="20"/>
                <w:color w:val="auto"/>
              </w:rPr>
            </w:pPr>
            <w:r>
              <w:rPr>
                <w:rFonts w:ascii="Calibri" w:cs="Calibri" w:eastAsia="Calibri" w:hAnsi="Calibri"/>
                <w:sz w:val="16"/>
                <w:szCs w:val="16"/>
                <w:color w:val="auto"/>
              </w:rPr>
              <w:t>12%</w:t>
            </w:r>
          </w:p>
        </w:tc>
        <w:tc>
          <w:tcPr>
            <w:tcW w:w="100" w:type="dxa"/>
            <w:vAlign w:val="bottom"/>
            <w:tcBorders>
              <w:bottom w:val="single" w:sz="8" w:color="DBDBDB"/>
            </w:tcBorders>
            <w:shd w:val="clear" w:color="auto" w:fill="DBDBDB"/>
          </w:tcPr>
          <w:p>
            <w:pPr>
              <w:spacing w:after="0"/>
              <w:rPr>
                <w:sz w:val="17"/>
                <w:szCs w:val="17"/>
                <w:color w:val="auto"/>
              </w:rPr>
            </w:pPr>
          </w:p>
        </w:tc>
        <w:tc>
          <w:tcPr>
            <w:tcW w:w="1440" w:type="dxa"/>
            <w:vAlign w:val="bottom"/>
            <w:tcBorders>
              <w:bottom w:val="single" w:sz="8" w:color="DBDBDB"/>
            </w:tcBorders>
            <w:shd w:val="clear" w:color="auto" w:fill="DBDBDB"/>
          </w:tcPr>
          <w:p>
            <w:pPr>
              <w:jc w:val="center"/>
              <w:spacing w:after="0" w:line="193" w:lineRule="exact"/>
              <w:rPr>
                <w:sz w:val="20"/>
                <w:szCs w:val="20"/>
                <w:color w:val="auto"/>
              </w:rPr>
            </w:pPr>
            <w:r>
              <w:rPr>
                <w:rFonts w:ascii="Calibri" w:cs="Calibri" w:eastAsia="Calibri" w:hAnsi="Calibri"/>
                <w:sz w:val="16"/>
                <w:szCs w:val="16"/>
                <w:color w:val="auto"/>
              </w:rPr>
              <w:t>11%</w:t>
            </w:r>
          </w:p>
        </w:tc>
        <w:tc>
          <w:tcPr>
            <w:tcW w:w="0" w:type="dxa"/>
            <w:vAlign w:val="bottom"/>
          </w:tcPr>
          <w:p>
            <w:pPr>
              <w:spacing w:after="0"/>
              <w:rPr>
                <w:sz w:val="1"/>
                <w:szCs w:val="1"/>
                <w:color w:val="auto"/>
              </w:rPr>
            </w:pPr>
          </w:p>
        </w:tc>
      </w:tr>
      <w:tr>
        <w:trPr>
          <w:trHeight w:val="194"/>
        </w:trPr>
        <w:tc>
          <w:tcPr>
            <w:tcW w:w="826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Cardinal Health, Inc.</w:t>
            </w:r>
          </w:p>
        </w:tc>
        <w:tc>
          <w:tcPr>
            <w:tcW w:w="1440" w:type="dxa"/>
            <w:vAlign w:val="bottom"/>
          </w:tcPr>
          <w:p>
            <w:pPr>
              <w:jc w:val="center"/>
              <w:spacing w:after="0" w:line="193" w:lineRule="exact"/>
              <w:rPr>
                <w:sz w:val="20"/>
                <w:szCs w:val="20"/>
                <w:color w:val="auto"/>
              </w:rPr>
            </w:pPr>
            <w:r>
              <w:rPr>
                <w:rFonts w:ascii="Calibri" w:cs="Calibri" w:eastAsia="Calibri" w:hAnsi="Calibri"/>
                <w:sz w:val="16"/>
                <w:szCs w:val="16"/>
                <w:color w:val="auto"/>
                <w:w w:val="99"/>
              </w:rPr>
              <w:t>*</w:t>
            </w:r>
          </w:p>
        </w:tc>
        <w:tc>
          <w:tcPr>
            <w:tcW w:w="100" w:type="dxa"/>
            <w:vAlign w:val="bottom"/>
          </w:tcPr>
          <w:p>
            <w:pPr>
              <w:spacing w:after="0"/>
              <w:rPr>
                <w:sz w:val="16"/>
                <w:szCs w:val="16"/>
                <w:color w:val="auto"/>
              </w:rPr>
            </w:pPr>
          </w:p>
        </w:tc>
        <w:tc>
          <w:tcPr>
            <w:tcW w:w="1440" w:type="dxa"/>
            <w:vAlign w:val="bottom"/>
          </w:tcPr>
          <w:p>
            <w:pPr>
              <w:jc w:val="center"/>
              <w:spacing w:after="0" w:line="193" w:lineRule="exact"/>
              <w:rPr>
                <w:sz w:val="20"/>
                <w:szCs w:val="20"/>
                <w:color w:val="auto"/>
              </w:rPr>
            </w:pPr>
            <w:r>
              <w:rPr>
                <w:rFonts w:ascii="Calibri" w:cs="Calibri" w:eastAsia="Calibri" w:hAnsi="Calibri"/>
                <w:sz w:val="16"/>
                <w:szCs w:val="16"/>
                <w:color w:val="auto"/>
              </w:rPr>
              <w:t>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4" w:name="page135"/>
    <w:bookmarkEnd w:id="13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4"/>
          </w:tcPr>
          <w:p>
            <w:pPr>
              <w:jc w:val="center"/>
              <w:spacing w:after="0"/>
              <w:rPr>
                <w:sz w:val="20"/>
                <w:szCs w:val="20"/>
                <w:color w:val="auto"/>
              </w:rPr>
            </w:pPr>
            <w:r>
              <w:rPr>
                <w:rFonts w:ascii="Calibri" w:cs="Calibri" w:eastAsia="Calibri" w:hAnsi="Calibri"/>
                <w:sz w:val="16"/>
                <w:szCs w:val="16"/>
                <w:b w:val="1"/>
                <w:bCs w:val="1"/>
                <w:color w:val="auto"/>
              </w:rPr>
              <w:t>% of Gross Accounts Receivable</w:t>
            </w:r>
          </w:p>
        </w:tc>
        <w:tc>
          <w:tcPr>
            <w:tcW w:w="0" w:type="dxa"/>
            <w:vAlign w:val="bottom"/>
          </w:tcPr>
          <w:p>
            <w:pPr>
              <w:spacing w:after="0"/>
              <w:rPr>
                <w:sz w:val="1"/>
                <w:szCs w:val="1"/>
                <w:color w:val="auto"/>
              </w:rPr>
            </w:pPr>
          </w:p>
        </w:tc>
      </w:tr>
      <w:tr>
        <w:trPr>
          <w:trHeight w:val="28"/>
        </w:trPr>
        <w:tc>
          <w:tcPr>
            <w:tcW w:w="8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20" w:type="dxa"/>
            <w:vAlign w:val="bottom"/>
            <w:gridSpan w:val="3"/>
          </w:tcPr>
          <w:p>
            <w:pPr>
              <w:jc w:val="center"/>
              <w:ind w:right="879"/>
              <w:spacing w:after="0" w:line="187" w:lineRule="exact"/>
              <w:rPr>
                <w:sz w:val="20"/>
                <w:szCs w:val="20"/>
                <w:color w:val="auto"/>
              </w:rPr>
            </w:pPr>
            <w:r>
              <w:rPr>
                <w:rFonts w:ascii="Calibri" w:cs="Calibri" w:eastAsia="Calibri" w:hAnsi="Calibri"/>
                <w:sz w:val="16"/>
                <w:szCs w:val="16"/>
                <w:b w:val="1"/>
                <w:bCs w:val="1"/>
                <w:color w:val="auto"/>
              </w:rPr>
              <w:t>December 31,</w:t>
            </w:r>
          </w:p>
        </w:tc>
        <w:tc>
          <w:tcPr>
            <w:tcW w:w="0" w:type="dxa"/>
            <w:vAlign w:val="bottom"/>
          </w:tcPr>
          <w:p>
            <w:pPr>
              <w:spacing w:after="0"/>
              <w:rPr>
                <w:sz w:val="1"/>
                <w:szCs w:val="1"/>
                <w:color w:val="auto"/>
              </w:rPr>
            </w:pPr>
          </w:p>
        </w:tc>
      </w:tr>
      <w:tr>
        <w:trPr>
          <w:trHeight w:val="23"/>
        </w:trPr>
        <w:tc>
          <w:tcPr>
            <w:tcW w:w="8260" w:type="dxa"/>
            <w:vAlign w:val="bottom"/>
            <w:gridSpan w:val="2"/>
            <w:vMerge w:val="restart"/>
          </w:tcPr>
          <w:p>
            <w:pPr>
              <w:ind w:left="20"/>
              <w:spacing w:after="0"/>
              <w:rPr>
                <w:sz w:val="20"/>
                <w:szCs w:val="20"/>
                <w:color w:val="auto"/>
              </w:rPr>
            </w:pPr>
            <w:r>
              <w:rPr>
                <w:rFonts w:ascii="Calibri" w:cs="Calibri" w:eastAsia="Calibri" w:hAnsi="Calibri"/>
                <w:sz w:val="16"/>
                <w:szCs w:val="16"/>
                <w:b w:val="1"/>
                <w:bCs w:val="1"/>
                <w:color w:val="auto"/>
              </w:rPr>
              <w:t>Customer</w:t>
            </w:r>
          </w:p>
        </w:tc>
        <w:tc>
          <w:tcPr>
            <w:tcW w:w="9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8260" w:type="dxa"/>
            <w:vAlign w:val="bottom"/>
            <w:gridSpan w:val="2"/>
            <w:vMerge w:val="continue"/>
          </w:tcPr>
          <w:p>
            <w:pPr>
              <w:spacing w:after="0"/>
              <w:rPr>
                <w:sz w:val="16"/>
                <w:szCs w:val="16"/>
                <w:color w:val="auto"/>
              </w:rPr>
            </w:pPr>
          </w:p>
        </w:tc>
        <w:tc>
          <w:tcPr>
            <w:tcW w:w="960" w:type="dxa"/>
            <w:vAlign w:val="bottom"/>
          </w:tcPr>
          <w:p>
            <w:pPr>
              <w:jc w:val="center"/>
              <w:ind w:left="399"/>
              <w:spacing w:after="0" w:line="187" w:lineRule="exact"/>
              <w:rPr>
                <w:sz w:val="20"/>
                <w:szCs w:val="20"/>
                <w:color w:val="auto"/>
              </w:rPr>
            </w:pPr>
            <w:r>
              <w:rPr>
                <w:rFonts w:ascii="Calibri" w:cs="Calibri" w:eastAsia="Calibri" w:hAnsi="Calibri"/>
                <w:sz w:val="16"/>
                <w:szCs w:val="16"/>
                <w:b w:val="1"/>
                <w:bCs w:val="1"/>
                <w:color w:val="auto"/>
                <w:w w:val="98"/>
              </w:rPr>
              <w:t>2024</w:t>
            </w:r>
          </w:p>
        </w:tc>
        <w:tc>
          <w:tcPr>
            <w:tcW w:w="2020" w:type="dxa"/>
            <w:vAlign w:val="bottom"/>
            <w:gridSpan w:val="3"/>
          </w:tcPr>
          <w:p>
            <w:pPr>
              <w:jc w:val="center"/>
              <w:ind w:left="499"/>
              <w:spacing w:after="0" w:line="187" w:lineRule="exact"/>
              <w:rPr>
                <w:sz w:val="20"/>
                <w:szCs w:val="20"/>
                <w:color w:val="auto"/>
              </w:rPr>
            </w:pPr>
            <w:r>
              <w:rPr>
                <w:rFonts w:ascii="Calibri" w:cs="Calibri" w:eastAsia="Calibri" w:hAnsi="Calibri"/>
                <w:sz w:val="16"/>
                <w:szCs w:val="16"/>
                <w:b w:val="1"/>
                <w:bCs w:val="1"/>
                <w:color w:val="auto"/>
                <w:w w:val="98"/>
              </w:rPr>
              <w:t>2023</w:t>
            </w:r>
          </w:p>
        </w:tc>
        <w:tc>
          <w:tcPr>
            <w:tcW w:w="0" w:type="dxa"/>
            <w:vAlign w:val="bottom"/>
          </w:tcPr>
          <w:p>
            <w:pPr>
              <w:spacing w:after="0"/>
              <w:rPr>
                <w:sz w:val="1"/>
                <w:szCs w:val="1"/>
                <w:color w:val="auto"/>
              </w:rPr>
            </w:pPr>
          </w:p>
        </w:tc>
      </w:tr>
      <w:tr>
        <w:trPr>
          <w:trHeight w:val="23"/>
        </w:trPr>
        <w:tc>
          <w:tcPr>
            <w:tcW w:w="8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8180" w:type="dxa"/>
            <w:vAlign w:val="bottom"/>
            <w:tcBorders>
              <w:bottom w:val="single" w:sz="8" w:color="DBDBDB"/>
            </w:tcBorders>
            <w:shd w:val="clear" w:color="auto" w:fill="DBDBDB"/>
          </w:tcPr>
          <w:p>
            <w:pPr>
              <w:ind w:left="20"/>
              <w:spacing w:after="0" w:line="187" w:lineRule="exact"/>
              <w:rPr>
                <w:sz w:val="20"/>
                <w:szCs w:val="20"/>
                <w:color w:val="auto"/>
              </w:rPr>
            </w:pPr>
            <w:r>
              <w:rPr>
                <w:rFonts w:ascii="Calibri" w:cs="Calibri" w:eastAsia="Calibri" w:hAnsi="Calibri"/>
                <w:sz w:val="16"/>
                <w:szCs w:val="16"/>
                <w:color w:val="auto"/>
              </w:rPr>
              <w:t>Fresenius Medical Care Rx</w:t>
            </w:r>
          </w:p>
        </w:tc>
        <w:tc>
          <w:tcPr>
            <w:tcW w:w="8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jc w:val="center"/>
              <w:ind w:left="399"/>
              <w:spacing w:after="0" w:line="187" w:lineRule="exact"/>
              <w:rPr>
                <w:sz w:val="20"/>
                <w:szCs w:val="20"/>
                <w:color w:val="auto"/>
              </w:rPr>
            </w:pPr>
            <w:r>
              <w:rPr>
                <w:rFonts w:ascii="Calibri" w:cs="Calibri" w:eastAsia="Calibri" w:hAnsi="Calibri"/>
                <w:sz w:val="16"/>
                <w:szCs w:val="16"/>
                <w:color w:val="auto"/>
              </w:rPr>
              <w:t>42%</w:t>
            </w:r>
          </w:p>
        </w:tc>
        <w:tc>
          <w:tcPr>
            <w:tcW w:w="48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1440" w:type="dxa"/>
            <w:vAlign w:val="bottom"/>
            <w:tcBorders>
              <w:bottom w:val="single" w:sz="8" w:color="DBDBDB"/>
            </w:tcBorders>
            <w:shd w:val="clear" w:color="auto" w:fill="DBDBDB"/>
          </w:tcPr>
          <w:p>
            <w:pPr>
              <w:jc w:val="center"/>
              <w:spacing w:after="0" w:line="187" w:lineRule="exact"/>
              <w:rPr>
                <w:sz w:val="20"/>
                <w:szCs w:val="20"/>
                <w:color w:val="auto"/>
              </w:rPr>
            </w:pPr>
            <w:r>
              <w:rPr>
                <w:rFonts w:ascii="Calibri" w:cs="Calibri" w:eastAsia="Calibri" w:hAnsi="Calibri"/>
                <w:sz w:val="16"/>
                <w:szCs w:val="16"/>
                <w:color w:val="auto"/>
              </w:rPr>
              <w:t>31%</w:t>
            </w:r>
          </w:p>
        </w:tc>
        <w:tc>
          <w:tcPr>
            <w:tcW w:w="0" w:type="dxa"/>
            <w:vAlign w:val="bottom"/>
          </w:tcPr>
          <w:p>
            <w:pPr>
              <w:spacing w:after="0"/>
              <w:rPr>
                <w:sz w:val="1"/>
                <w:szCs w:val="1"/>
                <w:color w:val="auto"/>
              </w:rPr>
            </w:pPr>
          </w:p>
        </w:tc>
      </w:tr>
      <w:tr>
        <w:trPr>
          <w:trHeight w:val="193"/>
        </w:trPr>
        <w:tc>
          <w:tcPr>
            <w:tcW w:w="826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Cencora, Inc., formerly known as AmerisourceBergen Drug Corporaton</w:t>
            </w:r>
          </w:p>
        </w:tc>
        <w:tc>
          <w:tcPr>
            <w:tcW w:w="960" w:type="dxa"/>
            <w:vAlign w:val="bottom"/>
          </w:tcPr>
          <w:p>
            <w:pPr>
              <w:jc w:val="center"/>
              <w:ind w:left="399"/>
              <w:spacing w:after="0" w:line="193" w:lineRule="exact"/>
              <w:rPr>
                <w:sz w:val="20"/>
                <w:szCs w:val="20"/>
                <w:color w:val="auto"/>
              </w:rPr>
            </w:pPr>
            <w:r>
              <w:rPr>
                <w:rFonts w:ascii="Calibri" w:cs="Calibri" w:eastAsia="Calibri" w:hAnsi="Calibri"/>
                <w:sz w:val="16"/>
                <w:szCs w:val="16"/>
                <w:color w:val="auto"/>
              </w:rPr>
              <w:t>13%</w:t>
            </w:r>
          </w:p>
        </w:tc>
        <w:tc>
          <w:tcPr>
            <w:tcW w:w="2020" w:type="dxa"/>
            <w:vAlign w:val="bottom"/>
            <w:gridSpan w:val="3"/>
          </w:tcPr>
          <w:p>
            <w:pPr>
              <w:jc w:val="center"/>
              <w:ind w:left="499"/>
              <w:spacing w:after="0" w:line="193" w:lineRule="exact"/>
              <w:rPr>
                <w:sz w:val="20"/>
                <w:szCs w:val="20"/>
                <w:color w:val="auto"/>
              </w:rPr>
            </w:pPr>
            <w:r>
              <w:rPr>
                <w:rFonts w:ascii="Calibri" w:cs="Calibri" w:eastAsia="Calibri" w:hAnsi="Calibri"/>
                <w:sz w:val="16"/>
                <w:szCs w:val="16"/>
                <w:color w:val="auto"/>
              </w:rPr>
              <w:t>25%</w:t>
            </w:r>
          </w:p>
        </w:tc>
        <w:tc>
          <w:tcPr>
            <w:tcW w:w="0" w:type="dxa"/>
            <w:vAlign w:val="bottom"/>
          </w:tcPr>
          <w:p>
            <w:pPr>
              <w:spacing w:after="0"/>
              <w:rPr>
                <w:sz w:val="1"/>
                <w:szCs w:val="1"/>
                <w:color w:val="auto"/>
              </w:rPr>
            </w:pPr>
          </w:p>
        </w:tc>
      </w:tr>
      <w:tr>
        <w:trPr>
          <w:trHeight w:val="23"/>
        </w:trPr>
        <w:tc>
          <w:tcPr>
            <w:tcW w:w="8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DaVita</w:t>
            </w:r>
          </w:p>
        </w:tc>
        <w:tc>
          <w:tcPr>
            <w:tcW w:w="960" w:type="dxa"/>
            <w:vAlign w:val="bottom"/>
            <w:tcBorders>
              <w:bottom w:val="single" w:sz="8" w:color="DBDBDB"/>
            </w:tcBorders>
            <w:shd w:val="clear" w:color="auto" w:fill="DBDBDB"/>
          </w:tcPr>
          <w:p>
            <w:pPr>
              <w:jc w:val="center"/>
              <w:ind w:left="399"/>
              <w:spacing w:after="0" w:line="193" w:lineRule="exact"/>
              <w:rPr>
                <w:sz w:val="20"/>
                <w:szCs w:val="20"/>
                <w:color w:val="auto"/>
              </w:rPr>
            </w:pPr>
            <w:r>
              <w:rPr>
                <w:rFonts w:ascii="Calibri" w:cs="Calibri" w:eastAsia="Calibri" w:hAnsi="Calibri"/>
                <w:sz w:val="16"/>
                <w:szCs w:val="16"/>
                <w:color w:val="auto"/>
              </w:rPr>
              <w:t>16%</w:t>
            </w:r>
          </w:p>
        </w:tc>
        <w:tc>
          <w:tcPr>
            <w:tcW w:w="2020" w:type="dxa"/>
            <w:vAlign w:val="bottom"/>
            <w:tcBorders>
              <w:bottom w:val="single" w:sz="8" w:color="DBDBDB"/>
            </w:tcBorders>
            <w:gridSpan w:val="3"/>
            <w:shd w:val="clear" w:color="auto" w:fill="DBDBDB"/>
          </w:tcPr>
          <w:p>
            <w:pPr>
              <w:jc w:val="center"/>
              <w:ind w:left="499"/>
              <w:spacing w:after="0" w:line="193" w:lineRule="exact"/>
              <w:rPr>
                <w:sz w:val="20"/>
                <w:szCs w:val="20"/>
                <w:color w:val="auto"/>
              </w:rPr>
            </w:pPr>
            <w:r>
              <w:rPr>
                <w:rFonts w:ascii="Calibri" w:cs="Calibri" w:eastAsia="Calibri" w:hAnsi="Calibri"/>
                <w:sz w:val="16"/>
                <w:szCs w:val="16"/>
                <w:color w:val="auto"/>
                <w:w w:val="99"/>
              </w:rPr>
              <w:t>*</w:t>
            </w:r>
          </w:p>
        </w:tc>
        <w:tc>
          <w:tcPr>
            <w:tcW w:w="0" w:type="dxa"/>
            <w:vAlign w:val="bottom"/>
          </w:tcPr>
          <w:p>
            <w:pPr>
              <w:spacing w:after="0"/>
              <w:rPr>
                <w:sz w:val="1"/>
                <w:szCs w:val="1"/>
                <w:color w:val="auto"/>
              </w:rPr>
            </w:pPr>
          </w:p>
        </w:tc>
      </w:tr>
      <w:tr>
        <w:trPr>
          <w:trHeight w:val="193"/>
        </w:trPr>
        <w:tc>
          <w:tcPr>
            <w:tcW w:w="826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Cardinal Health, Inc.</w:t>
            </w:r>
          </w:p>
        </w:tc>
        <w:tc>
          <w:tcPr>
            <w:tcW w:w="960" w:type="dxa"/>
            <w:vAlign w:val="bottom"/>
          </w:tcPr>
          <w:p>
            <w:pPr>
              <w:jc w:val="center"/>
              <w:ind w:left="399"/>
              <w:spacing w:after="0" w:line="193" w:lineRule="exact"/>
              <w:rPr>
                <w:sz w:val="20"/>
                <w:szCs w:val="20"/>
                <w:color w:val="auto"/>
              </w:rPr>
            </w:pPr>
            <w:r>
              <w:rPr>
                <w:rFonts w:ascii="Calibri" w:cs="Calibri" w:eastAsia="Calibri" w:hAnsi="Calibri"/>
                <w:sz w:val="16"/>
                <w:szCs w:val="16"/>
                <w:color w:val="auto"/>
                <w:w w:val="99"/>
              </w:rPr>
              <w:t>*</w:t>
            </w:r>
          </w:p>
        </w:tc>
        <w:tc>
          <w:tcPr>
            <w:tcW w:w="2020" w:type="dxa"/>
            <w:vAlign w:val="bottom"/>
            <w:gridSpan w:val="3"/>
          </w:tcPr>
          <w:p>
            <w:pPr>
              <w:jc w:val="center"/>
              <w:ind w:left="499"/>
              <w:spacing w:after="0" w:line="193" w:lineRule="exact"/>
              <w:rPr>
                <w:sz w:val="20"/>
                <w:szCs w:val="20"/>
                <w:color w:val="auto"/>
              </w:rPr>
            </w:pPr>
            <w:r>
              <w:rPr>
                <w:rFonts w:ascii="Calibri" w:cs="Calibri" w:eastAsia="Calibri" w:hAnsi="Calibri"/>
                <w:sz w:val="16"/>
                <w:szCs w:val="16"/>
                <w:color w:val="auto"/>
              </w:rPr>
              <w:t>16%</w:t>
            </w:r>
          </w:p>
        </w:tc>
        <w:tc>
          <w:tcPr>
            <w:tcW w:w="0" w:type="dxa"/>
            <w:vAlign w:val="bottom"/>
          </w:tcPr>
          <w:p>
            <w:pPr>
              <w:spacing w:after="0"/>
              <w:rPr>
                <w:sz w:val="1"/>
                <w:szCs w:val="1"/>
                <w:color w:val="auto"/>
              </w:rPr>
            </w:pPr>
          </w:p>
        </w:tc>
      </w:tr>
      <w:tr>
        <w:trPr>
          <w:trHeight w:val="23"/>
        </w:trPr>
        <w:tc>
          <w:tcPr>
            <w:tcW w:w="8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260" w:type="dxa"/>
            <w:vAlign w:val="bottom"/>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McKesson Corporaton</w:t>
            </w:r>
          </w:p>
        </w:tc>
        <w:tc>
          <w:tcPr>
            <w:tcW w:w="960" w:type="dxa"/>
            <w:vAlign w:val="bottom"/>
            <w:shd w:val="clear" w:color="auto" w:fill="DBDBDB"/>
          </w:tcPr>
          <w:p>
            <w:pPr>
              <w:jc w:val="center"/>
              <w:ind w:left="399"/>
              <w:spacing w:after="0" w:line="193" w:lineRule="exact"/>
              <w:rPr>
                <w:sz w:val="20"/>
                <w:szCs w:val="20"/>
                <w:color w:val="auto"/>
              </w:rPr>
            </w:pPr>
            <w:r>
              <w:rPr>
                <w:rFonts w:ascii="Calibri" w:cs="Calibri" w:eastAsia="Calibri" w:hAnsi="Calibri"/>
                <w:sz w:val="16"/>
                <w:szCs w:val="16"/>
                <w:color w:val="auto"/>
                <w:w w:val="99"/>
              </w:rPr>
              <w:t>*</w:t>
            </w:r>
          </w:p>
        </w:tc>
        <w:tc>
          <w:tcPr>
            <w:tcW w:w="2020" w:type="dxa"/>
            <w:vAlign w:val="bottom"/>
            <w:gridSpan w:val="3"/>
            <w:shd w:val="clear" w:color="auto" w:fill="DBDBDB"/>
          </w:tcPr>
          <w:p>
            <w:pPr>
              <w:jc w:val="center"/>
              <w:ind w:left="499"/>
              <w:spacing w:after="0" w:line="193" w:lineRule="exact"/>
              <w:rPr>
                <w:sz w:val="20"/>
                <w:szCs w:val="20"/>
                <w:color w:val="auto"/>
              </w:rPr>
            </w:pPr>
            <w:r>
              <w:rPr>
                <w:rFonts w:ascii="Calibri" w:cs="Calibri" w:eastAsia="Calibri" w:hAnsi="Calibri"/>
                <w:sz w:val="16"/>
                <w:szCs w:val="16"/>
                <w:color w:val="auto"/>
              </w:rPr>
              <w:t>12%</w:t>
            </w:r>
          </w:p>
        </w:tc>
        <w:tc>
          <w:tcPr>
            <w:tcW w:w="0" w:type="dxa"/>
            <w:vAlign w:val="bottom"/>
          </w:tcPr>
          <w:p>
            <w:pPr>
              <w:spacing w:after="0"/>
              <w:rPr>
                <w:sz w:val="1"/>
                <w:szCs w:val="1"/>
                <w:color w:val="auto"/>
              </w:rPr>
            </w:pPr>
          </w:p>
        </w:tc>
      </w:tr>
      <w:tr>
        <w:trPr>
          <w:trHeight w:val="23"/>
        </w:trPr>
        <w:tc>
          <w:tcPr>
            <w:tcW w:w="8180" w:type="dxa"/>
            <w:vAlign w:val="bottom"/>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960" w:type="dxa"/>
            <w:vAlign w:val="bottom"/>
            <w:shd w:val="clear" w:color="auto" w:fill="DBDBDB"/>
          </w:tcPr>
          <w:p>
            <w:pPr>
              <w:spacing w:after="0" w:line="20" w:lineRule="exact"/>
              <w:rPr>
                <w:sz w:val="1"/>
                <w:szCs w:val="1"/>
                <w:color w:val="auto"/>
              </w:rPr>
            </w:pPr>
          </w:p>
        </w:tc>
        <w:tc>
          <w:tcPr>
            <w:tcW w:w="480" w:type="dxa"/>
            <w:vAlign w:val="bottom"/>
            <w:shd w:val="clear" w:color="auto" w:fill="DBDBDB"/>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1440" w:type="dxa"/>
            <w:vAlign w:val="bottom"/>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*Percentage less than 10% threshold.</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Of-Balance Sheet Accounts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Company has no signifcant of-balance sheet concentratons of credit risk, such as foreign currency exchange contracts, opton contracts or other hedging arrangement. See Note 9, </w:t>
      </w:r>
      <w:r>
        <w:rPr>
          <w:rFonts w:ascii="Calibri" w:cs="Calibri" w:eastAsia="Calibri" w:hAnsi="Calibri"/>
          <w:sz w:val="18"/>
          <w:szCs w:val="18"/>
          <w:i w:val="1"/>
          <w:iCs w:val="1"/>
          <w:color w:val="auto"/>
        </w:rPr>
        <w:t>Leases,</w:t>
      </w:r>
      <w:r>
        <w:rPr>
          <w:rFonts w:ascii="Calibri" w:cs="Calibri" w:eastAsia="Calibri" w:hAnsi="Calibri"/>
          <w:sz w:val="18"/>
          <w:szCs w:val="18"/>
          <w:color w:val="auto"/>
        </w:rPr>
        <w:t xml:space="preserve"> for further details.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Manufacturing and Distributon Risk.</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is dependent on third-party manufacturers, logistcs companies and distributors to supply products for commercial actvites associated with its product and product candidates, as applicable. In partcular, the Company relies and expects to contnue to rely on a small number of manufacturers to supply it with its requirements for the actve pharmaceutcal ingredients and formulated drugs related to the Company's product and product candidate actvites. These actvites, including the commercializaton of Auryxia and Vafseo, could be adversely afected by a signifcant interrupton in the supply of actve pharmaceutcal ingredients and formulated drugs or distributon of fnished product to the market.</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Inventories, including Pre-Launch Inventories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values its inventories at the lower-of-actual cost or net realizable value. The Company determines the cost of its inventories, which includes amounts related to materials, manufacturing services and overhead, on a frst-in, frst-out basis. Inventory expected to be utlized beyond one year is recorded in inventories, long-term on the consolidated balance sheets.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Prior to obtaining regulatory approval for an investgatonal product candidate, the Company expenses costs relatng to producton of pre-launch inventory as R&amp;D expense in its consolidated statements of operatons and comprehensive loss in the period incurred. Afer regulatory approval has been received, the Company capitalizes such inventory costs. Products used in clinical trials are expensed as R&amp;D expense in the statement of operatons and comprehensive loss.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performs an assessment of the recoverability of capitalized inventory during each reportng period, and writes down any excess or obsolete inventory to its net realizable value in the period in which the impairment is identfed through cost of product and other revenue in the consolidated statements of operatons and comprehensive loss.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Additonally, the Company’s product is subject to strict quality control and monitoring that is performed throughout the manufacturing process, including release of work-in-process to fnished goods. In the event that certain batches or units of product do not meet quality specifcatons, the Company will record a write-down of any potental unmarketable inventory to its estmated net realizable value and record the expense as cost of product and other revenue in the consolidated statements of operatons and comprehensive loss.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prepays for certain manufacturing costs, including raw materials and drug substance, to its CMOs which are included in prepaid expenses and other current assets on the consolidated balance sheets.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Property and Equipment</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Property and equipment are recorded at cost, less accumulated depreciaton. Expenditures for repairs and maintenance are expensed as incurred.</w:t>
      </w:r>
    </w:p>
    <w:p>
      <w:pPr>
        <w:spacing w:after="0" w:line="235" w:lineRule="auto"/>
        <w:rPr>
          <w:sz w:val="20"/>
          <w:szCs w:val="20"/>
          <w:color w:val="auto"/>
        </w:rPr>
      </w:pPr>
      <w:r>
        <w:rPr>
          <w:rFonts w:ascii="Calibri" w:cs="Calibri" w:eastAsia="Calibri" w:hAnsi="Calibri"/>
          <w:sz w:val="18"/>
          <w:szCs w:val="18"/>
          <w:color w:val="auto"/>
        </w:rPr>
        <w:t>Depreciaton expense is recognized using the straight-line method over the estmated useful lives, which are typically: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40" w:type="dxa"/>
            <w:vAlign w:val="bottom"/>
            <w:gridSpan w:val="2"/>
          </w:tcPr>
          <w:p>
            <w:pPr>
              <w:ind w:left="3580"/>
              <w:spacing w:after="0"/>
              <w:rPr>
                <w:sz w:val="20"/>
                <w:szCs w:val="20"/>
                <w:color w:val="auto"/>
              </w:rPr>
            </w:pPr>
            <w:r>
              <w:rPr>
                <w:rFonts w:ascii="Calibri" w:cs="Calibri" w:eastAsia="Calibri" w:hAnsi="Calibri"/>
                <w:sz w:val="16"/>
                <w:szCs w:val="16"/>
                <w:b w:val="1"/>
                <w:bCs w:val="1"/>
                <w:color w:val="auto"/>
              </w:rPr>
              <w:t>Asset Category</w:t>
            </w:r>
          </w:p>
        </w:tc>
        <w:tc>
          <w:tcPr>
            <w:tcW w:w="3000" w:type="dxa"/>
            <w:vAlign w:val="bottom"/>
          </w:tcPr>
          <w:p>
            <w:pPr>
              <w:jc w:val="center"/>
              <w:spacing w:after="0"/>
              <w:rPr>
                <w:sz w:val="20"/>
                <w:szCs w:val="20"/>
                <w:color w:val="auto"/>
              </w:rPr>
            </w:pPr>
            <w:r>
              <w:rPr>
                <w:rFonts w:ascii="Calibri" w:cs="Calibri" w:eastAsia="Calibri" w:hAnsi="Calibri"/>
                <w:sz w:val="16"/>
                <w:szCs w:val="16"/>
                <w:b w:val="1"/>
                <w:bCs w:val="1"/>
                <w:color w:val="auto"/>
              </w:rPr>
              <w:t>Estmated Useful Life</w:t>
            </w:r>
          </w:p>
        </w:tc>
      </w:tr>
      <w:tr>
        <w:trPr>
          <w:trHeight w:val="28"/>
        </w:trPr>
        <w:tc>
          <w:tcPr>
            <w:tcW w:w="81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190"/>
        </w:trPr>
        <w:tc>
          <w:tcPr>
            <w:tcW w:w="8140" w:type="dxa"/>
            <w:vAlign w:val="bottom"/>
            <w:tcBorders>
              <w:bottom w:val="single" w:sz="8" w:color="DBDBDB"/>
            </w:tcBorders>
            <w:shd w:val="clear" w:color="auto" w:fill="DBDBDB"/>
          </w:tcPr>
          <w:p>
            <w:pPr>
              <w:ind w:left="20"/>
              <w:spacing w:after="0" w:line="187" w:lineRule="exact"/>
              <w:rPr>
                <w:sz w:val="20"/>
                <w:szCs w:val="20"/>
                <w:color w:val="auto"/>
              </w:rPr>
            </w:pPr>
            <w:r>
              <w:rPr>
                <w:rFonts w:ascii="Calibri" w:cs="Calibri" w:eastAsia="Calibri" w:hAnsi="Calibri"/>
                <w:sz w:val="16"/>
                <w:szCs w:val="16"/>
                <w:color w:val="auto"/>
              </w:rPr>
              <w:t>Computer equipment and sofware</w:t>
            </w:r>
          </w:p>
        </w:tc>
        <w:tc>
          <w:tcPr>
            <w:tcW w:w="100" w:type="dxa"/>
            <w:vAlign w:val="bottom"/>
            <w:tcBorders>
              <w:bottom w:val="single" w:sz="8" w:color="DBDBDB"/>
            </w:tcBorders>
            <w:shd w:val="clear" w:color="auto" w:fill="DBDBDB"/>
          </w:tcPr>
          <w:p>
            <w:pPr>
              <w:spacing w:after="0"/>
              <w:rPr>
                <w:sz w:val="16"/>
                <w:szCs w:val="16"/>
                <w:color w:val="auto"/>
              </w:rPr>
            </w:pPr>
          </w:p>
        </w:tc>
        <w:tc>
          <w:tcPr>
            <w:tcW w:w="3000" w:type="dxa"/>
            <w:vAlign w:val="bottom"/>
            <w:tcBorders>
              <w:bottom w:val="single" w:sz="8" w:color="DBDBDB"/>
            </w:tcBorders>
            <w:shd w:val="clear" w:color="auto" w:fill="DBDBDB"/>
          </w:tcPr>
          <w:p>
            <w:pPr>
              <w:jc w:val="center"/>
              <w:spacing w:after="0" w:line="187" w:lineRule="exact"/>
              <w:rPr>
                <w:sz w:val="20"/>
                <w:szCs w:val="20"/>
                <w:color w:val="auto"/>
              </w:rPr>
            </w:pPr>
            <w:r>
              <w:rPr>
                <w:rFonts w:ascii="Calibri" w:cs="Calibri" w:eastAsia="Calibri" w:hAnsi="Calibri"/>
                <w:sz w:val="16"/>
                <w:szCs w:val="16"/>
                <w:color w:val="auto"/>
              </w:rPr>
              <w:t>3 years</w:t>
            </w:r>
          </w:p>
        </w:tc>
      </w:tr>
      <w:tr>
        <w:trPr>
          <w:trHeight w:val="193"/>
        </w:trPr>
        <w:tc>
          <w:tcPr>
            <w:tcW w:w="824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Furniture and fxtures</w:t>
            </w:r>
          </w:p>
        </w:tc>
        <w:tc>
          <w:tcPr>
            <w:tcW w:w="3000" w:type="dxa"/>
            <w:vAlign w:val="bottom"/>
          </w:tcPr>
          <w:p>
            <w:pPr>
              <w:jc w:val="center"/>
              <w:spacing w:after="0" w:line="193" w:lineRule="exact"/>
              <w:rPr>
                <w:sz w:val="20"/>
                <w:szCs w:val="20"/>
                <w:color w:val="auto"/>
              </w:rPr>
            </w:pPr>
            <w:r>
              <w:rPr>
                <w:rFonts w:ascii="Calibri" w:cs="Calibri" w:eastAsia="Calibri" w:hAnsi="Calibri"/>
                <w:sz w:val="16"/>
                <w:szCs w:val="16"/>
                <w:color w:val="auto"/>
              </w:rPr>
              <w:t>5 years  -  7 years</w:t>
            </w:r>
          </w:p>
        </w:tc>
      </w:tr>
      <w:tr>
        <w:trPr>
          <w:trHeight w:val="23"/>
        </w:trPr>
        <w:tc>
          <w:tcPr>
            <w:tcW w:w="8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96"/>
        </w:trPr>
        <w:tc>
          <w:tcPr>
            <w:tcW w:w="824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Laboratory and other equipment</w:t>
            </w:r>
          </w:p>
        </w:tc>
        <w:tc>
          <w:tcPr>
            <w:tcW w:w="3000" w:type="dxa"/>
            <w:vAlign w:val="bottom"/>
            <w:tcBorders>
              <w:bottom w:val="single" w:sz="8" w:color="DBDBDB"/>
            </w:tcBorders>
            <w:shd w:val="clear" w:color="auto" w:fill="DBDBDB"/>
          </w:tcPr>
          <w:p>
            <w:pPr>
              <w:jc w:val="center"/>
              <w:spacing w:after="0" w:line="193" w:lineRule="exact"/>
              <w:rPr>
                <w:sz w:val="20"/>
                <w:szCs w:val="20"/>
                <w:color w:val="auto"/>
              </w:rPr>
            </w:pPr>
            <w:r>
              <w:rPr>
                <w:rFonts w:ascii="Calibri" w:cs="Calibri" w:eastAsia="Calibri" w:hAnsi="Calibri"/>
                <w:sz w:val="16"/>
                <w:szCs w:val="16"/>
                <w:color w:val="auto"/>
              </w:rPr>
              <w:t>7 years</w:t>
            </w:r>
          </w:p>
        </w:tc>
      </w:tr>
      <w:tr>
        <w:trPr>
          <w:trHeight w:val="157"/>
        </w:trPr>
        <w:tc>
          <w:tcPr>
            <w:tcW w:w="8240" w:type="dxa"/>
            <w:vAlign w:val="bottom"/>
            <w:gridSpan w:val="2"/>
          </w:tcPr>
          <w:p>
            <w:pPr>
              <w:ind w:left="20"/>
              <w:spacing w:after="0" w:line="157" w:lineRule="exact"/>
              <w:rPr>
                <w:sz w:val="20"/>
                <w:szCs w:val="20"/>
                <w:color w:val="auto"/>
              </w:rPr>
            </w:pPr>
            <w:r>
              <w:rPr>
                <w:rFonts w:ascii="Calibri" w:cs="Calibri" w:eastAsia="Calibri" w:hAnsi="Calibri"/>
                <w:sz w:val="16"/>
                <w:szCs w:val="16"/>
                <w:color w:val="auto"/>
              </w:rPr>
              <w:t>Leasehold improvements</w:t>
            </w:r>
          </w:p>
        </w:tc>
        <w:tc>
          <w:tcPr>
            <w:tcW w:w="3000" w:type="dxa"/>
            <w:vAlign w:val="bottom"/>
          </w:tcPr>
          <w:p>
            <w:pPr>
              <w:jc w:val="center"/>
              <w:spacing w:after="0" w:line="157" w:lineRule="exact"/>
              <w:rPr>
                <w:sz w:val="20"/>
                <w:szCs w:val="20"/>
                <w:color w:val="auto"/>
              </w:rPr>
            </w:pPr>
            <w:r>
              <w:rPr>
                <w:rFonts w:ascii="Calibri" w:cs="Calibri" w:eastAsia="Calibri" w:hAnsi="Calibri"/>
                <w:sz w:val="16"/>
                <w:szCs w:val="16"/>
                <w:color w:val="auto"/>
              </w:rPr>
              <w:t>Shorter of the useful life or remaining lease</w:t>
            </w:r>
          </w:p>
        </w:tc>
      </w:tr>
      <w:tr>
        <w:trPr>
          <w:trHeight w:val="194"/>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tcPr>
          <w:p>
            <w:pPr>
              <w:jc w:val="center"/>
              <w:spacing w:after="0" w:line="193" w:lineRule="exact"/>
              <w:rPr>
                <w:sz w:val="20"/>
                <w:szCs w:val="20"/>
                <w:color w:val="auto"/>
              </w:rPr>
            </w:pPr>
            <w:r>
              <w:rPr>
                <w:rFonts w:ascii="Calibri" w:cs="Calibri" w:eastAsia="Calibri" w:hAnsi="Calibri"/>
                <w:sz w:val="16"/>
                <w:szCs w:val="16"/>
                <w:color w:val="auto"/>
              </w:rPr>
              <w:t>term</w:t>
            </w: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5" w:name="page136"/>
    <w:bookmarkEnd w:id="13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Maintenance and repairs to an asset that do not improve or extend its life are charged to operatons. When assets are retred or otherwise disposed of, the assets and related accumulated depreciaton are eliminated from the accounts and any resultng gain or loss is refected in the Company's consolidated statements of operatons and comprehensive loss.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Intangible Asset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maintained a defnite-lived intangible asset related to developed product rights for Auryxia. The intangible asset was initally recorded at fair value and was stated net of accumulated amortzaton. The Company amortzed its intangible asset that had a fnite life using the straight-line method over the estmated useful life of six years. The Company's intangible asset was fully amortzed as of December 31, 2024.</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Goodwill</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Goodwill refects the excess purchase price over the fair value of the net tangible and intangible assets acquired in a business combinaton.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Goodwill is evaluated for impairment on an annual basis, and more frequently if indicators are present or changes in circumstances suggest that impairment may exist. The Company compares the fair value of its reportng unit to its carrying value. If the carrying value of the net assets assigned to the reportng unit exceeds the fair value of its reportng unit, the Company would record an impairment loss equal to the diference. The Company operates in one operatng segment which the Company considers to be the only reportng unit.</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Impairment of Long-Lived Assets and Intangible Asset Subject to Amortzaton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Long-lived assets primarily include property and equipment, right of use assets and an intangible asset. The Company evaluates its long-lived assets for impairment whenever events or changes in circumstances indicate that the carrying amount of such asset groups may not be recoverable. The recoverability of asset groups to be held and used is measured by a comparison of the carrying amount of an asset group to the future undiscounted net cash fows expected to be generated by the asset group. If such asset groups are considered to be impaired, the impairment to be recognized is measured by the amount by which the carrying amount of the asset group exceeds the fair value of the asset group.</w:t>
      </w:r>
    </w:p>
    <w:p>
      <w:pPr>
        <w:spacing w:after="0" w:line="112" w:lineRule="exact"/>
        <w:rPr>
          <w:sz w:val="20"/>
          <w:szCs w:val="20"/>
          <w:color w:val="auto"/>
        </w:rPr>
      </w:pPr>
    </w:p>
    <w:p>
      <w:pPr>
        <w:ind w:right="1380"/>
        <w:spacing w:after="0" w:line="348" w:lineRule="auto"/>
        <w:rPr>
          <w:sz w:val="20"/>
          <w:szCs w:val="20"/>
          <w:color w:val="auto"/>
        </w:rPr>
      </w:pPr>
      <w:r>
        <w:rPr>
          <w:rFonts w:ascii="Calibri" w:cs="Calibri" w:eastAsia="Calibri" w:hAnsi="Calibri"/>
          <w:sz w:val="18"/>
          <w:szCs w:val="18"/>
          <w:color w:val="auto"/>
        </w:rPr>
        <w:t xml:space="preserve">The Company did not recognize any impairment losses on long-lived assets for the years ended December 31, 2024 and 2023, respectvely. </w:t>
      </w:r>
      <w:r>
        <w:rPr>
          <w:rFonts w:ascii="Calibri" w:cs="Calibri" w:eastAsia="Calibri" w:hAnsi="Calibri"/>
          <w:sz w:val="18"/>
          <w:szCs w:val="18"/>
          <w:b w:val="1"/>
          <w:bCs w:val="1"/>
          <w:i w:val="1"/>
          <w:iCs w:val="1"/>
          <w:color w:val="auto"/>
        </w:rPr>
        <w:t>Leases</w:t>
      </w:r>
    </w:p>
    <w:p>
      <w:pPr>
        <w:spacing w:after="0" w:line="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made an accountng policy electon not to recognize leases with an inital term of twelve months or less within its consolidated balance sheets and to recognize those lease payments as an expense on a straight-line basis in its consolidated statements of operatons and comprehensive loss. The Company also made the accountng policy electon not to separate the non-lease components from the lease components for its building leases and, rather, account for each non-lease component and lease component as a single component.</w:t>
      </w:r>
    </w:p>
    <w:p>
      <w:pPr>
        <w:spacing w:after="0" w:line="111"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The Company determines if an arrangement is a lease at incepton. An arrangement is determined to contain a lease if the contract conveys the right to control the use of an identfed property, plant or equipment for a period of tme in exchange for consideraton. If the Company can beneft from the various underlying assets of a lease on their own or together with other resources that are readily available, or if the various underlying assets are neither highly dependent on nor highly interrelated with other underlying assets in the arrangement, they are considered to be a separate lease component. In the event multple underlying assets are identfed, the lease consideraton is allocated to the various components based on each of the component’s relatve fair value.</w:t>
      </w:r>
    </w:p>
    <w:p>
      <w:pPr>
        <w:spacing w:after="0" w:line="10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Operatng lease assets represent the Company’s right to use an underlying asset for the lease term and operatng lease liabilites represent its obligaton to make lease payments arising from the leasing arrangement. The right-of-use asset and operatng lease liabilites are recognized at the commencement date based on the present value of lease payments over the lease term. The Company uses the implicit rate when readily determinable and uses an estmate of its incremental borrowing rate when the implicit rate is not readily determinable based upon the available informaton at the commencement date of lease incepton. The incremental borrowing rate is determined using a credit ratng scoring model to estmate the Company’s credit ratng, adjusted for collateralizaton. The calculaton of the right-of-use asset includes any lease payments made and excludes any lease incentves. If a lease includes an opton to extend or terminate the lease, the Company refects the opton in the lease term if it is reasonably certain the Company will exercise the opton.</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operatng leases are refected in operatng right-of-use assets, accrued expenses and other current liabilites and long-term operatng lease liabilites in its consolidated balance sheets.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6" w:name="page137"/>
    <w:bookmarkEnd w:id="13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Liability Related to Sale of Future Royaltes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Company accounts for the liability related to sale of future royaltes as a debt fnancing, amortzed under the efectve interest rate method over the estmated life of the related expected royalty stream. The liability related to sale of future royaltes and the debt amortzaton are based on the Company’s current estmates of future royaltes expected to be paid over the life of the arrangement. The Company will periodically assess the expected royalty payments. To the extent the Company’s estmates of future royalty payments are greater or less than previous estmates or the estmated tming of such payments is materially diferent than previous estmates, the Company will adjust the efectve interest rate and recognize related non-cash interest expense on a prospectve basis. In the event the Company's estmates of future royaltes are less than the proceeds from the sale of future royaltes, the Company will not recognize related non-cash interest expense. Non-cash royalty revenue is refected as royalty revenue within license, collaboraton and other revenue, and non-cash amortzaton of debt is refected as interest expense in the consolidated statements of operatons and comprehensive loss. See Note 8, </w:t>
      </w:r>
      <w:r>
        <w:rPr>
          <w:rFonts w:ascii="Calibri" w:cs="Calibri" w:eastAsia="Calibri" w:hAnsi="Calibri"/>
          <w:sz w:val="18"/>
          <w:szCs w:val="18"/>
          <w:i w:val="1"/>
          <w:iCs w:val="1"/>
          <w:color w:val="auto"/>
        </w:rPr>
        <w:t>Liability</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Related to Setlement Royaltes, Working Capital Fund Liability and Liability Related to Sale of Future Royaltes</w:t>
      </w:r>
      <w:r>
        <w:rPr>
          <w:rFonts w:ascii="Calibri" w:cs="Calibri" w:eastAsia="Calibri" w:hAnsi="Calibri"/>
          <w:sz w:val="18"/>
          <w:szCs w:val="18"/>
          <w:color w:val="auto"/>
        </w:rPr>
        <w:t>, for more informaton.</w:t>
      </w:r>
    </w:p>
    <w:p>
      <w:pPr>
        <w:spacing w:after="0" w:line="11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Working Capital Fund Liability (Previously Referred to as Refund Liability to Customer)</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accounts for the Working Capital Fund liability as a debt arrangement, which is recorded at net present value. When the funds were received, the Company recorded an inital discount on the Working Capital Fund liability and a corresponding deferred gain to the Working Capital Fund liability. The discount on the Working Capital Fund liability is being amortzed to interest expense on the consolidated statement of operatons and comprehensive loss and the deferred gain is being amortzed to other income on the consolidated statement of operatons and comprehensive loss over the expected term of the arrangement</w:t>
      </w:r>
      <w:r>
        <w:rPr>
          <w:rFonts w:ascii="Calibri" w:cs="Calibri" w:eastAsia="Calibri" w:hAnsi="Calibri"/>
          <w:sz w:val="18"/>
          <w:szCs w:val="18"/>
          <w:i w:val="1"/>
          <w:iCs w:val="1"/>
          <w:color w:val="auto"/>
        </w:rPr>
        <w:t>.</w:t>
      </w:r>
      <w:r>
        <w:rPr>
          <w:rFonts w:ascii="Calibri" w:cs="Calibri" w:eastAsia="Calibri" w:hAnsi="Calibri"/>
          <w:sz w:val="18"/>
          <w:szCs w:val="18"/>
          <w:color w:val="auto"/>
        </w:rPr>
        <w:t xml:space="preserve"> On a quarterly basis, the Company reassesses the efectve rate and will adjust the rate prospectvely, if needed. See Note 8, </w:t>
      </w:r>
      <w:r>
        <w:rPr>
          <w:rFonts w:ascii="Calibri" w:cs="Calibri" w:eastAsia="Calibri" w:hAnsi="Calibri"/>
          <w:sz w:val="18"/>
          <w:szCs w:val="18"/>
          <w:i w:val="1"/>
          <w:iCs w:val="1"/>
          <w:color w:val="auto"/>
        </w:rPr>
        <w:t>Liability Related to</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Setlement Royaltes, Working Capital Fund Liability and Liability Related to Sale of Future Royaltes</w:t>
      </w:r>
      <w:r>
        <w:rPr>
          <w:rFonts w:ascii="Calibri" w:cs="Calibri" w:eastAsia="Calibri" w:hAnsi="Calibri"/>
          <w:sz w:val="18"/>
          <w:szCs w:val="18"/>
          <w:color w:val="auto"/>
        </w:rPr>
        <w:t>, for more informaton.</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Liability Related to Setlement Royaltes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Company accounts for the liability related to setlement royaltes as a liability, amortzed using the efectve interest method over the term of the arrangement. The liability related to setlement royaltes and the amortzaton are based on the Company’s current estmates of future royaltes expected to be paid over the life of the arrangement. To the extent the Company’s estmates of future royalty payments are greater or less than previous estmates or the estmated tming of such payments is materially diferent than previous estmates, the Company will adjust the efectve interest rate and recognize related non-cash interest expense on a prospectve basis. See Note 8, </w:t>
      </w:r>
      <w:r>
        <w:rPr>
          <w:rFonts w:ascii="Calibri" w:cs="Calibri" w:eastAsia="Calibri" w:hAnsi="Calibri"/>
          <w:sz w:val="18"/>
          <w:szCs w:val="18"/>
          <w:i w:val="1"/>
          <w:iCs w:val="1"/>
          <w:color w:val="auto"/>
        </w:rPr>
        <w:t>Liability Related to Setlement Royaltes, Working Capital Fund Liability and Liability Related to</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Sale of Future Royaltes</w:t>
      </w:r>
      <w:r>
        <w:rPr>
          <w:rFonts w:ascii="Calibri" w:cs="Calibri" w:eastAsia="Calibri" w:hAnsi="Calibri"/>
          <w:sz w:val="18"/>
          <w:szCs w:val="18"/>
          <w:color w:val="auto"/>
        </w:rPr>
        <w:t>, for more informaton.</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Warrant Liability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Company accounts for the warrant liability under ASC 815, </w:t>
      </w:r>
      <w:r>
        <w:rPr>
          <w:rFonts w:ascii="Calibri" w:cs="Calibri" w:eastAsia="Calibri" w:hAnsi="Calibri"/>
          <w:sz w:val="18"/>
          <w:szCs w:val="18"/>
          <w:i w:val="1"/>
          <w:iCs w:val="1"/>
          <w:color w:val="auto"/>
        </w:rPr>
        <w:t>Derivatves and Hedging</w:t>
      </w:r>
      <w:r>
        <w:rPr>
          <w:rFonts w:ascii="Calibri" w:cs="Calibri" w:eastAsia="Calibri" w:hAnsi="Calibri"/>
          <w:sz w:val="18"/>
          <w:szCs w:val="18"/>
          <w:color w:val="auto"/>
        </w:rPr>
        <w:t xml:space="preserve">, as it could potentally require net cash setlement outside of the Company’s control. The warrant liability is measured at fair value each period with changes in fair value presented within the consolidated statements of operatons and comprehensive loss. See Note 7, </w:t>
      </w:r>
      <w:r>
        <w:rPr>
          <w:rFonts w:ascii="Calibri" w:cs="Calibri" w:eastAsia="Calibri" w:hAnsi="Calibri"/>
          <w:sz w:val="18"/>
          <w:szCs w:val="18"/>
          <w:i w:val="1"/>
          <w:iCs w:val="1"/>
          <w:color w:val="auto"/>
        </w:rPr>
        <w:t>Indebtedness</w:t>
      </w:r>
      <w:r>
        <w:rPr>
          <w:rFonts w:ascii="Calibri" w:cs="Calibri" w:eastAsia="Calibri" w:hAnsi="Calibri"/>
          <w:sz w:val="18"/>
          <w:szCs w:val="18"/>
          <w:color w:val="auto"/>
        </w:rPr>
        <w:t>, for more informaton.</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Excess Firm Purchase Commitment Liability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each reportng period, the Company assesses whether there are excess frm non-cancelable purchase commitment liabilites, resultng from supply agreements with third-party CMOs. The determinaton of excess frm purchase commitment liabilites requires judgment, including consideraton of many factors, such as estmates of future product demand, current and future market conditons, impact of the Company's loss of exclusivity, expiraton and utlizaton of drug substance under frm purchase commitments, and contractual minimums. Any changes in the frm purchase commitment liability are recorded in cost of product and other revenue in the consolidated statements of operatons and comprehensive loss.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Revenue Recogniton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Company recognizes revenue in accordance with ASC Topic 606, </w:t>
      </w:r>
      <w:r>
        <w:rPr>
          <w:rFonts w:ascii="Calibri" w:cs="Calibri" w:eastAsia="Calibri" w:hAnsi="Calibri"/>
          <w:sz w:val="18"/>
          <w:szCs w:val="18"/>
          <w:i w:val="1"/>
          <w:iCs w:val="1"/>
          <w:color w:val="auto"/>
        </w:rPr>
        <w:t>Revenue from Contracts with Customers</w:t>
      </w:r>
      <w:r>
        <w:rPr>
          <w:rFonts w:ascii="Calibri" w:cs="Calibri" w:eastAsia="Calibri" w:hAnsi="Calibri"/>
          <w:sz w:val="18"/>
          <w:szCs w:val="18"/>
          <w:color w:val="auto"/>
        </w:rPr>
        <w:t xml:space="preserve">, or </w:t>
      </w:r>
      <w:r>
        <w:rPr>
          <w:rFonts w:ascii="Calibri" w:cs="Calibri" w:eastAsia="Calibri" w:hAnsi="Calibri"/>
          <w:sz w:val="18"/>
          <w:szCs w:val="18"/>
          <w:u w:val="single" w:color="auto"/>
          <w:color w:val="auto"/>
        </w:rPr>
        <w:t>ASC 606</w:t>
      </w:r>
      <w:r>
        <w:rPr>
          <w:rFonts w:ascii="Calibri" w:cs="Calibri" w:eastAsia="Calibri" w:hAnsi="Calibri"/>
          <w:sz w:val="18"/>
          <w:szCs w:val="18"/>
          <w:color w:val="auto"/>
        </w:rPr>
        <w:t>, which applies to all contracts with customers, except for contracts that are within the scope of other standards. Under ASC 606, the Company recognizes revenue when its customer obtains control of promised goods or services, in an amount that refects the consideraton which the entty expects to receive in exchange for those goods or services. To determine revenue recogniton for arrangements that the Company determines are within the scope of ASC 606, it performs the following fve steps:</w:t>
      </w:r>
    </w:p>
    <w:p>
      <w:pPr>
        <w:spacing w:after="0" w:line="107" w:lineRule="exact"/>
        <w:rPr>
          <w:sz w:val="20"/>
          <w:szCs w:val="20"/>
          <w:color w:val="auto"/>
        </w:rPr>
      </w:pPr>
    </w:p>
    <w:p>
      <w:pPr>
        <w:ind w:left="600" w:hanging="309"/>
        <w:spacing w:after="0"/>
        <w:tabs>
          <w:tab w:leader="none" w:pos="600" w:val="left"/>
        </w:tabs>
        <w:numPr>
          <w:ilvl w:val="0"/>
          <w:numId w:val="67"/>
        </w:numPr>
        <w:rPr>
          <w:rFonts w:ascii="Calibri" w:cs="Calibri" w:eastAsia="Calibri" w:hAnsi="Calibri"/>
          <w:sz w:val="18"/>
          <w:szCs w:val="18"/>
          <w:color w:val="auto"/>
        </w:rPr>
      </w:pPr>
      <w:r>
        <w:rPr>
          <w:rFonts w:ascii="Calibri" w:cs="Calibri" w:eastAsia="Calibri" w:hAnsi="Calibri"/>
          <w:sz w:val="18"/>
          <w:szCs w:val="18"/>
          <w:color w:val="auto"/>
        </w:rPr>
        <w:t>identfy the contract(s) with a customer;</w:t>
      </w:r>
    </w:p>
    <w:p>
      <w:pPr>
        <w:spacing w:after="0" w:line="50" w:lineRule="exact"/>
        <w:rPr>
          <w:rFonts w:ascii="Calibri" w:cs="Calibri" w:eastAsia="Calibri" w:hAnsi="Calibri"/>
          <w:sz w:val="18"/>
          <w:szCs w:val="18"/>
          <w:color w:val="auto"/>
        </w:rPr>
      </w:pPr>
    </w:p>
    <w:p>
      <w:pPr>
        <w:ind w:left="600" w:hanging="309"/>
        <w:spacing w:after="0"/>
        <w:tabs>
          <w:tab w:leader="none" w:pos="600" w:val="left"/>
        </w:tabs>
        <w:numPr>
          <w:ilvl w:val="0"/>
          <w:numId w:val="67"/>
        </w:numPr>
        <w:rPr>
          <w:rFonts w:ascii="Calibri" w:cs="Calibri" w:eastAsia="Calibri" w:hAnsi="Calibri"/>
          <w:sz w:val="18"/>
          <w:szCs w:val="18"/>
          <w:color w:val="auto"/>
        </w:rPr>
      </w:pPr>
      <w:r>
        <w:rPr>
          <w:rFonts w:ascii="Calibri" w:cs="Calibri" w:eastAsia="Calibri" w:hAnsi="Calibri"/>
          <w:sz w:val="18"/>
          <w:szCs w:val="18"/>
          <w:color w:val="auto"/>
        </w:rPr>
        <w:t>identfy the performance obligatons in the contract;</w:t>
      </w:r>
    </w:p>
    <w:p>
      <w:pPr>
        <w:spacing w:after="0" w:line="50" w:lineRule="exact"/>
        <w:rPr>
          <w:rFonts w:ascii="Calibri" w:cs="Calibri" w:eastAsia="Calibri" w:hAnsi="Calibri"/>
          <w:sz w:val="18"/>
          <w:szCs w:val="18"/>
          <w:color w:val="auto"/>
        </w:rPr>
      </w:pPr>
    </w:p>
    <w:p>
      <w:pPr>
        <w:ind w:left="600" w:hanging="309"/>
        <w:spacing w:after="0"/>
        <w:tabs>
          <w:tab w:leader="none" w:pos="600" w:val="left"/>
        </w:tabs>
        <w:numPr>
          <w:ilvl w:val="0"/>
          <w:numId w:val="67"/>
        </w:numPr>
        <w:rPr>
          <w:rFonts w:ascii="Calibri" w:cs="Calibri" w:eastAsia="Calibri" w:hAnsi="Calibri"/>
          <w:sz w:val="18"/>
          <w:szCs w:val="18"/>
          <w:color w:val="auto"/>
        </w:rPr>
      </w:pPr>
      <w:r>
        <w:rPr>
          <w:rFonts w:ascii="Calibri" w:cs="Calibri" w:eastAsia="Calibri" w:hAnsi="Calibri"/>
          <w:sz w:val="18"/>
          <w:szCs w:val="18"/>
          <w:color w:val="auto"/>
        </w:rPr>
        <w:t>determine the transacton price;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7" w:name="page138"/>
    <w:bookmarkEnd w:id="13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0" w:hanging="309"/>
        <w:spacing w:after="0"/>
        <w:tabs>
          <w:tab w:leader="none" w:pos="600" w:val="left"/>
        </w:tabs>
        <w:numPr>
          <w:ilvl w:val="0"/>
          <w:numId w:val="68"/>
        </w:numPr>
        <w:rPr>
          <w:rFonts w:ascii="Calibri" w:cs="Calibri" w:eastAsia="Calibri" w:hAnsi="Calibri"/>
          <w:sz w:val="18"/>
          <w:szCs w:val="18"/>
          <w:color w:val="auto"/>
        </w:rPr>
      </w:pPr>
      <w:r>
        <w:rPr>
          <w:rFonts w:ascii="Calibri" w:cs="Calibri" w:eastAsia="Calibri" w:hAnsi="Calibri"/>
          <w:sz w:val="18"/>
          <w:szCs w:val="18"/>
          <w:color w:val="auto"/>
        </w:rPr>
        <w:t>allocate the transacton price to the performance obligatons in the contract; and</w:t>
      </w:r>
    </w:p>
    <w:p>
      <w:pPr>
        <w:spacing w:after="0" w:line="50" w:lineRule="exact"/>
        <w:rPr>
          <w:rFonts w:ascii="Calibri" w:cs="Calibri" w:eastAsia="Calibri" w:hAnsi="Calibri"/>
          <w:sz w:val="18"/>
          <w:szCs w:val="18"/>
          <w:color w:val="auto"/>
        </w:rPr>
      </w:pPr>
    </w:p>
    <w:p>
      <w:pPr>
        <w:ind w:left="600" w:hanging="309"/>
        <w:spacing w:after="0"/>
        <w:tabs>
          <w:tab w:leader="none" w:pos="600" w:val="left"/>
        </w:tabs>
        <w:numPr>
          <w:ilvl w:val="0"/>
          <w:numId w:val="68"/>
        </w:numPr>
        <w:rPr>
          <w:rFonts w:ascii="Calibri" w:cs="Calibri" w:eastAsia="Calibri" w:hAnsi="Calibri"/>
          <w:sz w:val="18"/>
          <w:szCs w:val="18"/>
          <w:color w:val="auto"/>
        </w:rPr>
      </w:pPr>
      <w:r>
        <w:rPr>
          <w:rFonts w:ascii="Calibri" w:cs="Calibri" w:eastAsia="Calibri" w:hAnsi="Calibri"/>
          <w:sz w:val="18"/>
          <w:szCs w:val="18"/>
          <w:color w:val="auto"/>
        </w:rPr>
        <w:t>recognize revenue when (or as) the entty satsfes a performance obligaton.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only applies the fve-step model to contracts when it is probable that the entty will collect the consideraton it is enttled to in exchange for the goods or services it transfers to the customer. At contract incepton, once the contract is determined to be within the scope of ASC 606, the Company assesses the goods or services promised within each contract and determines those that are performance obligatons, and assesses whether each promised good or service is distnct. The Company then recognizes as revenue the amount of the transacton price that is allocated to the respectve performance obligaton when, or as, the performance obligaton is satsfed.</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does not include a fnancing component to its estmated transacton price at contract incepton unless it estmates that certain performance obligatons will not be satsfed within one year. Additonally, the Company recognizes the incremental costs of obtaining a contract as an expense when incurred if the amortzaton period of the asset that the Company otherwise would have recognized is one year or less.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Product Revenue, Net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recognizes product revenues on sales of Auryxia primarily atributable to a limited number of customers, including dialysis organizaton, wholesale distributors and certain specialty pharmacy providers, in the U.S., which accounts for the largest porton of the Company's total revenue. These customers resell the Company’s product to health care providers and patents. In additon to distributon agreements with customers, the Company enters into arrangements with health care providers and payors that provide for government-mandated and/or privately-negotated rebates, chargebacks and discounts with respect to the purchase of the Company’s product. The Company’s payment terms are consistent with prevailing practce in the respectve markets in which the Company does business. Most of the Company’s customers make payments based on contract terms, which are not afected by contngent events that could impact the transacton price. Payment terms fall within the one-year guidance for the practcal expedient, which allows the Company to forgo adjustment of the contractual payment amount of consideraton for the efects of a signifcant fnancing component.</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recognizes revenue on product sales when the customer obtains control of the Company’s product, which occurs at a point in tme, typically upon receipt of the product by the Company's customer. The Company expenses incremental costs of obtaining a contract, such as sales commissions, as and when incurred, if the expected amortzaton period of the asset that it would have recognized is one year or less. Sales commissions are recorded in selling, general and administratve expense in the statements of operatons and comprehensive loss.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Revenue from product sales is recorded at the net sales price, or </w:t>
      </w:r>
      <w:r>
        <w:rPr>
          <w:rFonts w:ascii="Calibri" w:cs="Calibri" w:eastAsia="Calibri" w:hAnsi="Calibri"/>
          <w:sz w:val="18"/>
          <w:szCs w:val="18"/>
          <w:u w:val="single" w:color="auto"/>
          <w:color w:val="auto"/>
        </w:rPr>
        <w:t>Transacton Price</w:t>
      </w:r>
      <w:r>
        <w:rPr>
          <w:rFonts w:ascii="Calibri" w:cs="Calibri" w:eastAsia="Calibri" w:hAnsi="Calibri"/>
          <w:sz w:val="18"/>
          <w:szCs w:val="18"/>
          <w:color w:val="auto"/>
        </w:rPr>
        <w:t>, which includes estmates of variable consideraton for which reserves are established and which result from discounts, returns, chargebacks, rebates, co-pay assistance and other allowances ofered within contracts between the Company and its customers, health care providers, payors and other indirect customers relatng to the Company’s sales of its products. When appropriate, these estmates take into consideraton a range of possible outcomes which are probability-weighted in accordance with the expected value method in ASC 606 for relevant factors such as the Company’s historical experience, current contractual and statutory requirements, specifc known market events and trends, industry data and forecasted customer buying and payment paterns.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amount of variable consideraton that is included in the Transacton Price may be constrained, and is included in the net sales price only to the extent that it is probable that a signifcant reversal in the amount of the cumulatve revenue recognized will not occur in a future period. Actual amounts of consideraton ultmately received may difer from the Company’s estmates. The reserves are classifed as reductons to accounts receivable, net of payable, if the trade discount and/or allowance will be credited to the customer or accrued expenses and other current liabilites or other long-term liabilites, if payable to a third-party in the consolidated balance sheets.</w:t>
      </w:r>
    </w:p>
    <w:p>
      <w:pPr>
        <w:spacing w:after="0" w:line="112" w:lineRule="exact"/>
        <w:rPr>
          <w:sz w:val="20"/>
          <w:szCs w:val="20"/>
          <w:color w:val="auto"/>
        </w:rPr>
      </w:pPr>
    </w:p>
    <w:p>
      <w:pPr>
        <w:jc w:val="both"/>
        <w:ind w:left="500"/>
        <w:spacing w:after="0" w:line="235" w:lineRule="auto"/>
        <w:rPr>
          <w:sz w:val="20"/>
          <w:szCs w:val="20"/>
          <w:color w:val="auto"/>
        </w:rPr>
      </w:pPr>
      <w:r>
        <w:rPr>
          <w:rFonts w:ascii="Calibri" w:cs="Calibri" w:eastAsia="Calibri" w:hAnsi="Calibri"/>
          <w:sz w:val="18"/>
          <w:szCs w:val="18"/>
          <w:i w:val="1"/>
          <w:iCs w:val="1"/>
          <w:color w:val="auto"/>
        </w:rPr>
        <w:t>Trade Discounts and Allowances—</w:t>
      </w:r>
      <w:r>
        <w:rPr>
          <w:rFonts w:ascii="Calibri" w:cs="Calibri" w:eastAsia="Calibri" w:hAnsi="Calibri"/>
          <w:sz w:val="18"/>
          <w:szCs w:val="18"/>
          <w:color w:val="auto"/>
        </w:rPr>
        <w:t>The Company generally provides customers with prompt pay discounts and pays fees for distributon services, such</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as fees for certain data that customers provide to the Company. Trade discounts and allowances are recorded as a reducton of revenue within the consolidated statements of operatons and comprehensive loss in the period the related product revenue is recognized. The Company estmates that, based on its experience, its customers will earn these discounts and fees, and the Company will deduct the full amount of these discounts and fees from its gross product revenues and accounts receivable at the tme such revenues are recognized.</w:t>
      </w:r>
    </w:p>
    <w:p>
      <w:pPr>
        <w:spacing w:after="0" w:line="112" w:lineRule="exact"/>
        <w:rPr>
          <w:sz w:val="20"/>
          <w:szCs w:val="20"/>
          <w:color w:val="auto"/>
        </w:rPr>
      </w:pPr>
    </w:p>
    <w:p>
      <w:pPr>
        <w:jc w:val="both"/>
        <w:ind w:left="500"/>
        <w:spacing w:after="0" w:line="235" w:lineRule="auto"/>
        <w:rPr>
          <w:sz w:val="20"/>
          <w:szCs w:val="20"/>
          <w:color w:val="auto"/>
        </w:rPr>
      </w:pPr>
      <w:r>
        <w:rPr>
          <w:rFonts w:ascii="Calibri" w:cs="Calibri" w:eastAsia="Calibri" w:hAnsi="Calibri"/>
          <w:sz w:val="18"/>
          <w:szCs w:val="18"/>
          <w:i w:val="1"/>
          <w:iCs w:val="1"/>
          <w:color w:val="auto"/>
        </w:rPr>
        <w:t>Product Returns—</w:t>
      </w:r>
      <w:r>
        <w:rPr>
          <w:rFonts w:ascii="Calibri" w:cs="Calibri" w:eastAsia="Calibri" w:hAnsi="Calibri"/>
          <w:sz w:val="18"/>
          <w:szCs w:val="18"/>
          <w:color w:val="auto"/>
        </w:rPr>
        <w:t>Consistent with industry practce, subject to certain caps for certain customers, the Company generally ofers customers a limited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right of return which allows for the product to be returned when the product expiry is within an allowable window, when the quantty delivered is diferent than quantty ordered, the product is damaged in transit prior to receipt by the customer or is subject to a recall. This right of return generally lapses once the product is provided to a patent or generally, if the botle has been opened. The Company estmates the amount of its product sales that may be returned and records this estmate as a reducton of revenue in the period the related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8" w:name="page139"/>
    <w:bookmarkEnd w:id="13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00"/>
        <w:spacing w:after="0"/>
        <w:rPr>
          <w:sz w:val="20"/>
          <w:szCs w:val="20"/>
          <w:color w:val="auto"/>
        </w:rPr>
      </w:pPr>
      <w:r>
        <w:rPr>
          <w:rFonts w:ascii="Calibri" w:cs="Calibri" w:eastAsia="Calibri" w:hAnsi="Calibri"/>
          <w:sz w:val="18"/>
          <w:szCs w:val="18"/>
          <w:color w:val="auto"/>
        </w:rPr>
        <w:t>product revenue is recognized. The Company currently estmates product return reserve using its own historical return informaton.</w:t>
      </w:r>
    </w:p>
    <w:p>
      <w:pPr>
        <w:spacing w:after="0" w:line="109" w:lineRule="exact"/>
        <w:rPr>
          <w:sz w:val="20"/>
          <w:szCs w:val="20"/>
          <w:color w:val="auto"/>
        </w:rPr>
      </w:pPr>
    </w:p>
    <w:p>
      <w:pPr>
        <w:jc w:val="both"/>
        <w:ind w:left="500"/>
        <w:spacing w:after="0" w:line="235" w:lineRule="auto"/>
        <w:rPr>
          <w:sz w:val="20"/>
          <w:szCs w:val="20"/>
          <w:color w:val="auto"/>
        </w:rPr>
      </w:pPr>
      <w:r>
        <w:rPr>
          <w:rFonts w:ascii="Calibri" w:cs="Calibri" w:eastAsia="Calibri" w:hAnsi="Calibri"/>
          <w:sz w:val="18"/>
          <w:szCs w:val="18"/>
          <w:i w:val="1"/>
          <w:iCs w:val="1"/>
          <w:color w:val="auto"/>
        </w:rPr>
        <w:t>Provider Chargebacks and Discounts—</w:t>
      </w:r>
      <w:r>
        <w:rPr>
          <w:rFonts w:ascii="Calibri" w:cs="Calibri" w:eastAsia="Calibri" w:hAnsi="Calibri"/>
          <w:sz w:val="18"/>
          <w:szCs w:val="18"/>
          <w:color w:val="auto"/>
        </w:rPr>
        <w:t>Chargebacks for fees and discounts to providers represent the estmated obligatons resultng from contractual</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commitments to sell products to qualifed healthcare providers at prices lower than the list prices charged to customers who directly purchase the product from the Company. Customers charge the Company for the diference between what they pay for the product and the ultmate selling price to the qualifed healthcare providers. These reserves are established in the same period that the related revenue is recognized, resultng in a reducton of product revenue and accounts receivable. Chargeback amounts are generally determined at the tme of resale to the qualifed healthcare provider by customers, and the Company generally issues credits for such amounts within a few weeks of the customer’s resale of the product. Reserves for chargebacks consist of credits that the Company expects to issue for units that remain in the distributon channel at each reportng period end that the Company expects will be sold to qualifed healthcare providers, and chargebacks that customers have claimed but for which the Company has not yet issued a credit.</w:t>
      </w:r>
    </w:p>
    <w:p>
      <w:pPr>
        <w:spacing w:after="0" w:line="116" w:lineRule="exact"/>
        <w:rPr>
          <w:sz w:val="20"/>
          <w:szCs w:val="20"/>
          <w:color w:val="auto"/>
        </w:rPr>
      </w:pPr>
    </w:p>
    <w:p>
      <w:pPr>
        <w:jc w:val="both"/>
        <w:ind w:left="500"/>
        <w:spacing w:after="0" w:line="235" w:lineRule="auto"/>
        <w:rPr>
          <w:sz w:val="20"/>
          <w:szCs w:val="20"/>
          <w:color w:val="auto"/>
        </w:rPr>
      </w:pPr>
      <w:r>
        <w:rPr>
          <w:rFonts w:ascii="Calibri" w:cs="Calibri" w:eastAsia="Calibri" w:hAnsi="Calibri"/>
          <w:sz w:val="18"/>
          <w:szCs w:val="18"/>
          <w:i w:val="1"/>
          <w:iCs w:val="1"/>
          <w:color w:val="auto"/>
        </w:rPr>
        <w:t>Commercial and Medicare Part D Rebates—</w:t>
      </w:r>
      <w:r>
        <w:rPr>
          <w:rFonts w:ascii="Calibri" w:cs="Calibri" w:eastAsia="Calibri" w:hAnsi="Calibri"/>
          <w:sz w:val="18"/>
          <w:szCs w:val="18"/>
          <w:color w:val="auto"/>
        </w:rPr>
        <w:t>The Company contracts with various commercial payor organizatons, primarily health insurance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companies and pharmacy beneft managers, for the payment of rebates with respect to utlizaton of its products. The Company estmates the rebates for commercial and Medicare Part D payors based upon (i) its contracts with the payors and (ii) informaton obtained from its customers and other third partes regarding the payor mix. The Company estmates these rebates and records such estmates in the same period the related revenue is recognized, resultng in a reducton of product revenue and the establishment of an accrued liability.</w:t>
      </w:r>
    </w:p>
    <w:p>
      <w:pPr>
        <w:spacing w:after="0" w:line="112" w:lineRule="exact"/>
        <w:rPr>
          <w:sz w:val="20"/>
          <w:szCs w:val="20"/>
          <w:color w:val="auto"/>
        </w:rPr>
      </w:pPr>
    </w:p>
    <w:p>
      <w:pPr>
        <w:jc w:val="both"/>
        <w:ind w:left="500"/>
        <w:spacing w:after="0" w:line="251" w:lineRule="auto"/>
        <w:rPr>
          <w:sz w:val="20"/>
          <w:szCs w:val="20"/>
          <w:color w:val="auto"/>
        </w:rPr>
      </w:pPr>
      <w:r>
        <w:rPr>
          <w:rFonts w:ascii="Calibri" w:cs="Calibri" w:eastAsia="Calibri" w:hAnsi="Calibri"/>
          <w:sz w:val="17"/>
          <w:szCs w:val="17"/>
          <w:i w:val="1"/>
          <w:iCs w:val="1"/>
          <w:color w:val="auto"/>
        </w:rPr>
        <w:t>Other Government Rebates—</w:t>
      </w:r>
      <w:r>
        <w:rPr>
          <w:rFonts w:ascii="Calibri" w:cs="Calibri" w:eastAsia="Calibri" w:hAnsi="Calibri"/>
          <w:sz w:val="17"/>
          <w:szCs w:val="17"/>
          <w:color w:val="auto"/>
        </w:rPr>
        <w:t>The Company is subject to discount obligatons under state Medicaid programs and other government programs. The</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Company estmates its Medicaid and other government programs rebates based upon a range of possible outcomes that are probability-weighted for the estmated payor mix. These reserves are recorded in the same period the related revenue is recognized, resultng in a reducton of product revenue and the establishment of a current liability which is included in accrued expenses and other current liabilites in the consolidated balance sheets. For Medicare, the Company also estmates the number of patents in the prescripton drug coverage gap for whom the Company will owe an additonal liability under the Medicare Part D program. The Company’s liability for these rebates consists of invoices received for claims from prior quarters that have not been paid or for which an invoice has not yet been received, estmates of claims for the current quarter, and estmated future claims that will be made for product that has been recognized as revenue, but which remains in the distributon channel at the end of each reportng period.</w:t>
      </w:r>
    </w:p>
    <w:p>
      <w:pPr>
        <w:spacing w:after="0" w:line="100" w:lineRule="exact"/>
        <w:rPr>
          <w:sz w:val="20"/>
          <w:szCs w:val="20"/>
          <w:color w:val="auto"/>
        </w:rPr>
      </w:pPr>
    </w:p>
    <w:p>
      <w:pPr>
        <w:jc w:val="both"/>
        <w:ind w:left="500"/>
        <w:spacing w:after="0" w:line="235" w:lineRule="auto"/>
        <w:rPr>
          <w:sz w:val="20"/>
          <w:szCs w:val="20"/>
          <w:color w:val="auto"/>
        </w:rPr>
      </w:pPr>
      <w:r>
        <w:rPr>
          <w:rFonts w:ascii="Calibri" w:cs="Calibri" w:eastAsia="Calibri" w:hAnsi="Calibri"/>
          <w:sz w:val="18"/>
          <w:szCs w:val="18"/>
          <w:i w:val="1"/>
          <w:iCs w:val="1"/>
          <w:color w:val="auto"/>
        </w:rPr>
        <w:t>Other Incentves—</w:t>
      </w:r>
      <w:r>
        <w:rPr>
          <w:rFonts w:ascii="Calibri" w:cs="Calibri" w:eastAsia="Calibri" w:hAnsi="Calibri"/>
          <w:sz w:val="18"/>
          <w:szCs w:val="18"/>
          <w:color w:val="auto"/>
        </w:rPr>
        <w:t>The Company ofers a voluntary patent co-pay assistance program, which provides fnancial assistance to qualifed commercially</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insured patents with prescripton drug co-payments required by payors. The calculaton of the accrual for co-pay assistance is based on actual claims processed during a given period plus an estmate of the amount the Company expects to pay based on historical utlizaton rates for the product that has been recognized as revenue but is estmated to be remaining in in the distributon channel at the end of each reportng period.</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License, Collaboraton and Other Revenues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enters into license and collaboraton agreements within the scope of ASC 606, under which it licenses certain rights to its product candidates to third partes. The terms of these arrangements typically include the following: (i) non-refundable, up front licenses fees associated with the licensing of intellectual property; (ii) development, regulatory and commercial milestone payments; (iii) drug product the Company supplies in connecton with certain license and collaboraton agreements and (iv) royaltes earned on net sales of licensed products.</w:t>
      </w:r>
    </w:p>
    <w:p>
      <w:pPr>
        <w:spacing w:after="0" w:line="111"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In determining the appropriate amount of revenue to be recognized as the Company fulflls its obligatons under each of its agreements, the Company implements the fve-step model noted above. As part of the accountng for these arrangements, the Company develops assumptons that require judgment to determine whether the individual promises should be accounted for as separate performance obligatons or as a combined performance obligaton, and to determine the stand-alone selling price for each performance obligaton identfed in the contract. A deliverable represents a separate performance obligaton if both of the following criteria are met: (i) the customer can beneft from the good or service either on its own or together with other resources that are readily available to the customer, and (ii) the entty’s promise to transfer the good or service to the customer is separately identfable from other promises in the contract. The Company uses key assumptons to determine the stand-alone selling price, which may include forecasted revenues, development tmelines, reimbursement rates for personnel costs, discount rates and probabilites of technical and regulatory success.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9" w:name="page140"/>
    <w:bookmarkEnd w:id="13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Licenses of Intellectual Property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If the license to the Company’s intellectual property is determined to be distnct from the other performance obligatons identfed in the arrangement, the Company recognizes revenue from non-refundable, up-front fees allocated to the license when the license is transferred to the customer and the customer is able to use and beneft from the license. For licenses that are bundled with other promises, the Company utlizes judgment to assess the nature of the combined performance obligaton to determine whether the combined performance obligaton is satsfed over tme or at a point in tme and, if over tme, the appropriate method of measuring progress for purposes of recognizing revenue from non-refundable, up-front fees. The Company evaluates the measure of progress each reportng period and, if necessary, adjusts the measure of performance and related revenue recogniton.</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Milestone Payments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the incepton of each arrangement that includes development milestone payments, the Company evaluates whether the milestones are considered probable of being reached and estmates the amount to be included in the transacton price using the most likely amount method. The Company evaluates factors such as the scientfc, clinical, regulatory, commercial and other risks that must be overcome to assess the milestone as probable of being achieved. There is considerable judgement involved in determining whether a milestone is probable of being reached at each specifc reportng period. Milestone payments that are not within the control of the Company or the customer, such as regulatory approvals, are not considered probable of being achieved untl those approvals are received. If it is probable that a signifcant revenue reversal would not occur, the associated milestone value is included in the transacton price. The transacton price is then allocated to each performance obligaton on a relatve stand-alone selling price basis, for which the Company recognizes revenues as, or when, the performance obligatons under the contract are satsfed. At the end of each subsequent reportng period, the Company re-evaluates the probability of achievement of such development milestones and any related constraint, and if necessary, adjusts its estmate of the overall transacton price. Any such adjustments are recorded on a cumulatve catch-up basis, which would afect collaboraton, license and other revenue in the period of adjustment.</w:t>
      </w:r>
    </w:p>
    <w:p>
      <w:pPr>
        <w:spacing w:after="0" w:line="11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Drug Product Supply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Collaboraton and license arrangements that include a promise for future supply of drug substance or drug product for either clinical development or commercial supply at the licensee’s discreton are generally considered as optons. The Company assesses if these optons provide a material right to the licensee and if so, they are accounted for as a separate performance obligaton. If the Company is enttled to additonal payments when the licensee exercises these optons, any payments are recorded in license, collaboraton and other revenues when the licensee obtains control of the goods, which is generally upon delivery.</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Royaltes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will recognize sales-based royaltes, including milestone payments based on the level of net sales, at the later of (i) when the related sales occur, or (ii) when the performance obligaton to which some or all of the royalty has been allocated has been satsfed (or partally satsfed).</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Collaboratve Arrangements</w:t>
      </w:r>
    </w:p>
    <w:p>
      <w:pPr>
        <w:spacing w:after="0" w:line="109"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 xml:space="preserve">The Company records the elements of its collaboraton agreements that represent joint operatng actvites in accordance with ASC Topic 808, </w:t>
      </w:r>
      <w:r>
        <w:rPr>
          <w:rFonts w:ascii="Calibri" w:cs="Calibri" w:eastAsia="Calibri" w:hAnsi="Calibri"/>
          <w:sz w:val="17"/>
          <w:szCs w:val="17"/>
          <w:i w:val="1"/>
          <w:iCs w:val="1"/>
          <w:color w:val="auto"/>
        </w:rPr>
        <w:t>Collaboratve</w:t>
      </w:r>
      <w:r>
        <w:rPr>
          <w:rFonts w:ascii="Calibri" w:cs="Calibri" w:eastAsia="Calibri" w:hAnsi="Calibri"/>
          <w:sz w:val="17"/>
          <w:szCs w:val="17"/>
          <w:color w:val="auto"/>
        </w:rPr>
        <w:t xml:space="preserve"> </w:t>
      </w:r>
      <w:r>
        <w:rPr>
          <w:rFonts w:ascii="Calibri" w:cs="Calibri" w:eastAsia="Calibri" w:hAnsi="Calibri"/>
          <w:sz w:val="17"/>
          <w:szCs w:val="17"/>
          <w:i w:val="1"/>
          <w:iCs w:val="1"/>
          <w:color w:val="auto"/>
        </w:rPr>
        <w:t xml:space="preserve">Arrangements, </w:t>
      </w:r>
      <w:r>
        <w:rPr>
          <w:rFonts w:ascii="Calibri" w:cs="Calibri" w:eastAsia="Calibri" w:hAnsi="Calibri"/>
          <w:sz w:val="17"/>
          <w:szCs w:val="17"/>
          <w:color w:val="auto"/>
        </w:rPr>
        <w:t>or</w:t>
      </w:r>
      <w:r>
        <w:rPr>
          <w:rFonts w:ascii="Calibri" w:cs="Calibri" w:eastAsia="Calibri" w:hAnsi="Calibri"/>
          <w:sz w:val="17"/>
          <w:szCs w:val="17"/>
          <w:i w:val="1"/>
          <w:iCs w:val="1"/>
          <w:color w:val="auto"/>
        </w:rPr>
        <w:t xml:space="preserve"> </w:t>
      </w:r>
      <w:r>
        <w:rPr>
          <w:rFonts w:ascii="Calibri" w:cs="Calibri" w:eastAsia="Calibri" w:hAnsi="Calibri"/>
          <w:sz w:val="17"/>
          <w:szCs w:val="17"/>
          <w:u w:val="single" w:color="auto"/>
          <w:color w:val="auto"/>
        </w:rPr>
        <w:t>ASC 808</w:t>
      </w:r>
      <w:r>
        <w:rPr>
          <w:rFonts w:ascii="Calibri" w:cs="Calibri" w:eastAsia="Calibri" w:hAnsi="Calibri"/>
          <w:sz w:val="17"/>
          <w:szCs w:val="17"/>
          <w:color w:val="auto"/>
        </w:rPr>
        <w:t>. Accordingly, the elements of the collaboraton agreements that represent actvites in which both partes are actve partcipants</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 xml:space="preserve">and to which both partes are exposed to the signifcant risks and rewards that are dependent on the commercial success of the actvites are recorded as collaboratve arrangements. The Company considers the guidance in ASC 606-10-15, </w:t>
      </w:r>
      <w:r>
        <w:rPr>
          <w:rFonts w:ascii="Calibri" w:cs="Calibri" w:eastAsia="Calibri" w:hAnsi="Calibri"/>
          <w:sz w:val="17"/>
          <w:szCs w:val="17"/>
          <w:i w:val="1"/>
          <w:iCs w:val="1"/>
          <w:color w:val="auto"/>
        </w:rPr>
        <w:t>Revenue from Contracts with Customers – Scope and Scope Exceptons</w:t>
      </w:r>
      <w:r>
        <w:rPr>
          <w:rFonts w:ascii="Calibri" w:cs="Calibri" w:eastAsia="Calibri" w:hAnsi="Calibri"/>
          <w:sz w:val="17"/>
          <w:szCs w:val="17"/>
          <w:color w:val="auto"/>
        </w:rPr>
        <w:t>, in determining the appropriate treatment for the transactons between the Company and its collaboratve partners and the transactons between the Company and third partes. Generally, the classifcaton of transactons under the collaboratve arrangements is determined based on the nature and contractual terms of the arrangement along with the nature of the operatons of the partcipants. To the extent product revenue is generated from the collaboraton, the Company recognizes its share of the net sales on a gross basis if the Company is deemed to be the principal in the transactons with customers, or on a net basis if the Company is instead deemed to be the agent in the transactons with customers, consistent with the guidance in ASC 606.</w:t>
      </w:r>
    </w:p>
    <w:p>
      <w:pPr>
        <w:spacing w:after="0" w:line="10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Cost of Goods Sold</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Cost of goods sold, or </w:t>
      </w:r>
      <w:r>
        <w:rPr>
          <w:rFonts w:ascii="Calibri" w:cs="Calibri" w:eastAsia="Calibri" w:hAnsi="Calibri"/>
          <w:sz w:val="18"/>
          <w:szCs w:val="18"/>
          <w:u w:val="single" w:color="auto"/>
          <w:color w:val="auto"/>
        </w:rPr>
        <w:t>COGS</w:t>
      </w:r>
      <w:r>
        <w:rPr>
          <w:rFonts w:ascii="Calibri" w:cs="Calibri" w:eastAsia="Calibri" w:hAnsi="Calibri"/>
          <w:sz w:val="18"/>
          <w:szCs w:val="18"/>
          <w:color w:val="auto"/>
        </w:rPr>
        <w:t xml:space="preserve">, includes costs closely correlated or directly related to the costs to manufacture commercial products, including costs paid to the Company's contract manufacturing organizatons, or </w:t>
      </w:r>
      <w:r>
        <w:rPr>
          <w:rFonts w:ascii="Calibri" w:cs="Calibri" w:eastAsia="Calibri" w:hAnsi="Calibri"/>
          <w:sz w:val="18"/>
          <w:szCs w:val="18"/>
          <w:u w:val="single" w:color="auto"/>
          <w:color w:val="auto"/>
        </w:rPr>
        <w:t>CMOs</w:t>
      </w:r>
      <w:r>
        <w:rPr>
          <w:rFonts w:ascii="Calibri" w:cs="Calibri" w:eastAsia="Calibri" w:hAnsi="Calibri"/>
          <w:sz w:val="18"/>
          <w:szCs w:val="18"/>
          <w:color w:val="auto"/>
        </w:rPr>
        <w:t>, as well as indirect costs. Direct and indirect costs include fees for packaging, shipping, insurance and quality assurance, idle capacity charges, routne testng costs, routne ongoing eforts to improve existng commercial products, reserves for excess inventory, write-ofs for inventory that fails to meet specifcatons or is otherwise no longer suitable for commercial sale, including scrap, changes in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0" w:name="page141"/>
    <w:bookmarkEnd w:id="14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frm purchase commitment liability and royaltes due to the licensor of Auryxia related to U.S. and Japan product sales recognized during the period. In additon, COGS includes the amortzaton of development product rights for the Auryxia intangible asset. The Company also includes personnel-related costs, including salaries and bonuses, employee benefts and stock-based compensaton atributable to employees in partcular functons and associated directly with the manufacturing of our commercial products.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Further, the Company includes in COGS costs to manufacture drug product provided to customers for which it has a license agreement. Cost of goods sold for a newly launched product may not include the full cost of manufacturing untl the inital pre-launch inventory is depleted, and additonal inventory is manufactured and sold.</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Untl the Company received regulatory approval for Vafseo in the U.S. in March 2024, the Company recorded expenses incurred for the manufacture of pre-launch inventory that would support a U.S. launch as R&amp;D expense. The costs associated with the pre-launch inventory for the Medice Territory were expensed to R&amp;D through April 2023 when marketng authorizaton was received.</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Research and Development Expenses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R&amp;D costs are expensed as incurred. Internal R&amp;D expenses are comprised of costs incurred in providing R&amp;D actvites, including salaries and bonuses, employee benefts, stock-based compensaton for personnel engaged in R&amp;D actvites. In additon, they include facility costs, including the laboratory and an allocaton of ofce space for utlizaton by R&amp;D staf, depreciaton expense on the laboratory equipment as well as other direct costs such as lab supplies and equipment.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External R&amp;D costs include development of potental new manufacturing processes and methods for both commercial and non-commercial products, conceptual formulaton and design of possible product and process alternatves, research compounds and clinical manufacturing costs, costs incurred for consultants and other outside services, such as data management and statstcal analysis support and materials and supplies used in support of the clinical and preclinical programs and costs paid to clinical resource organizatons, or </w:t>
      </w:r>
      <w:r>
        <w:rPr>
          <w:rFonts w:ascii="Calibri" w:cs="Calibri" w:eastAsia="Calibri" w:hAnsi="Calibri"/>
          <w:sz w:val="18"/>
          <w:szCs w:val="18"/>
          <w:u w:val="single" w:color="auto"/>
          <w:color w:val="auto"/>
        </w:rPr>
        <w:t>CRO</w:t>
      </w:r>
      <w:r>
        <w:rPr>
          <w:rFonts w:ascii="Calibri" w:cs="Calibri" w:eastAsia="Calibri" w:hAnsi="Calibri"/>
          <w:sz w:val="18"/>
          <w:szCs w:val="18"/>
          <w:color w:val="auto"/>
        </w:rPr>
        <w:t>, including investgatve sites that conduct the Company's clinical trials.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Non-refundable advance payments for goods and services are recorded in prepaid and other current assets in the consolidated balance sheets and expensed when the actvity is performed or when the goods are received. In additon, the costs associated with pre-launch inventory, including the cost of raw materials, costs paid to contract manufacturers for inventory manufacturing, freight and custom charges for Vafseo were expensed as R&amp;D prior to regulatory approval.</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Selling, General and Administratve Expenses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Selling, general and administratve, or </w:t>
      </w:r>
      <w:r>
        <w:rPr>
          <w:rFonts w:ascii="Calibri" w:cs="Calibri" w:eastAsia="Calibri" w:hAnsi="Calibri"/>
          <w:sz w:val="18"/>
          <w:szCs w:val="18"/>
          <w:u w:val="single" w:color="auto"/>
          <w:color w:val="auto"/>
        </w:rPr>
        <w:t>SG&amp;A</w:t>
      </w:r>
      <w:r>
        <w:rPr>
          <w:rFonts w:ascii="Calibri" w:cs="Calibri" w:eastAsia="Calibri" w:hAnsi="Calibri"/>
          <w:sz w:val="18"/>
          <w:szCs w:val="18"/>
          <w:color w:val="auto"/>
        </w:rPr>
        <w:t>, expenses consist primarily of compensaton for personnel, including stock-based compensaton related to commercial, marketng, executve, fnance and accountng, informaton technology, corporate and business development and human resource functons. Other SG&amp;A expenses include costs for marketng initatves for the Company's commercial products, market research and analysis on the Company's commercial products and potental product candidates, conferences and trade shows, travel expenses, professional services fees (including legal, patent, accountng, audit, tax, and consultng fees), insurance costs, general corporate expenses and allocated facilites-related expenses, including rent and maintenance of facilites. Costs associated with advertsing are expensed in the period incurred and are included in selling, general and administratve expenses. For the years ended December 31, 2024 and 2023, advertsing expenses totaled $4.6 million and $1.0 million, respectvely.</w:t>
      </w:r>
    </w:p>
    <w:p>
      <w:pPr>
        <w:spacing w:after="0" w:line="10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Patent Costs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All patent-related costs incurred in connecton with the fling and prosecutng patent applicatons are expensed as incurred due to the uncertainty about the recovery of the expenditure. Such amounts incurred are classifed as SG&amp;A expenses in the accompanying consolidated statements of operatons and comprehensive loss.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Stock-Based Compensaton</w:t>
      </w:r>
    </w:p>
    <w:p>
      <w:pPr>
        <w:spacing w:after="0" w:line="109" w:lineRule="exact"/>
        <w:rPr>
          <w:sz w:val="20"/>
          <w:szCs w:val="20"/>
          <w:color w:val="auto"/>
        </w:rPr>
      </w:pPr>
    </w:p>
    <w:p>
      <w:pPr>
        <w:jc w:val="both"/>
        <w:spacing w:after="0" w:line="258" w:lineRule="auto"/>
        <w:rPr>
          <w:sz w:val="20"/>
          <w:szCs w:val="20"/>
          <w:color w:val="auto"/>
        </w:rPr>
      </w:pPr>
      <w:r>
        <w:rPr>
          <w:rFonts w:ascii="Calibri" w:cs="Calibri" w:eastAsia="Calibri" w:hAnsi="Calibri"/>
          <w:sz w:val="17"/>
          <w:szCs w:val="17"/>
          <w:color w:val="auto"/>
        </w:rPr>
        <w:t xml:space="preserve">The Company’s stock-based compensaton program allows for grants of common stock optons, restricted stock awards, performance-based restricted stock units, or PSUs, stock appreciaton rights, or </w:t>
      </w:r>
      <w:r>
        <w:rPr>
          <w:rFonts w:ascii="Calibri" w:cs="Calibri" w:eastAsia="Calibri" w:hAnsi="Calibri"/>
          <w:sz w:val="17"/>
          <w:szCs w:val="17"/>
          <w:u w:val="single" w:color="auto"/>
          <w:color w:val="auto"/>
        </w:rPr>
        <w:t>SARs</w:t>
      </w:r>
      <w:r>
        <w:rPr>
          <w:rFonts w:ascii="Calibri" w:cs="Calibri" w:eastAsia="Calibri" w:hAnsi="Calibri"/>
          <w:sz w:val="17"/>
          <w:szCs w:val="17"/>
          <w:color w:val="auto"/>
        </w:rPr>
        <w:t xml:space="preserve"> and restricted stock units. Grants are awarded to employees and non-employees, including directors.</w:t>
      </w:r>
    </w:p>
    <w:p>
      <w:pPr>
        <w:spacing w:after="0" w:line="9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Company accounts for its stock-based compensaton awards in accordance with ASC Topic 718, </w:t>
      </w:r>
      <w:r>
        <w:rPr>
          <w:rFonts w:ascii="Calibri" w:cs="Calibri" w:eastAsia="Calibri" w:hAnsi="Calibri"/>
          <w:sz w:val="18"/>
          <w:szCs w:val="18"/>
          <w:i w:val="1"/>
          <w:iCs w:val="1"/>
          <w:color w:val="auto"/>
        </w:rPr>
        <w:t>Compensaton—Stock Compensaton</w:t>
      </w:r>
      <w:r>
        <w:rPr>
          <w:rFonts w:ascii="Calibri" w:cs="Calibri" w:eastAsia="Calibri" w:hAnsi="Calibri"/>
          <w:sz w:val="18"/>
          <w:szCs w:val="18"/>
          <w:color w:val="auto"/>
        </w:rPr>
        <w:t xml:space="preserve">, or </w:t>
      </w:r>
      <w:r>
        <w:rPr>
          <w:rFonts w:ascii="Calibri" w:cs="Calibri" w:eastAsia="Calibri" w:hAnsi="Calibri"/>
          <w:sz w:val="18"/>
          <w:szCs w:val="18"/>
          <w:u w:val="single" w:color="auto"/>
          <w:color w:val="auto"/>
        </w:rPr>
        <w:t>ASC 718</w:t>
      </w:r>
      <w:r>
        <w:rPr>
          <w:rFonts w:ascii="Calibri" w:cs="Calibri" w:eastAsia="Calibri" w:hAnsi="Calibri"/>
          <w:sz w:val="18"/>
          <w:szCs w:val="18"/>
          <w:color w:val="auto"/>
        </w:rPr>
        <w:t xml:space="preserve">. ASC 718 requires all stock-based payments to employees and non-employees, including modifcatons to existng stock awards, to be recognized in the statements of operatons and comprehensive loss based on their fair values. The Company estmates the fair value of optons granted using the Black-Scholes opton pricing model, or </w:t>
      </w:r>
      <w:r>
        <w:rPr>
          <w:rFonts w:ascii="Calibri" w:cs="Calibri" w:eastAsia="Calibri" w:hAnsi="Calibri"/>
          <w:sz w:val="18"/>
          <w:szCs w:val="18"/>
          <w:u w:val="single" w:color="auto"/>
          <w:color w:val="auto"/>
        </w:rPr>
        <w:t>Black-Scholes</w:t>
      </w:r>
      <w:r>
        <w:rPr>
          <w:rFonts w:ascii="Calibri" w:cs="Calibri" w:eastAsia="Calibri" w:hAnsi="Calibri"/>
          <w:sz w:val="18"/>
          <w:szCs w:val="18"/>
          <w:color w:val="auto"/>
        </w:rPr>
        <w:t>. The Company uses the market price at the tme of grant to determine the fair value of restricted stock awards and performance-based restricted stock awards.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1" w:name="page142"/>
    <w:bookmarkEnd w:id="14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Black-Scholes opton pricing model requires the input of certain subjectve assumptons, including (a) the expected stock price volatlity, (b) the calculaton of expected term of the award, (c) the risk-free interest rate and (d) expected dividends. Prior to 2017, due to the lack of company-specifc historical and implied volatlity data for trading the Company’s stock in the public market, the Company had based its estmate of expected volatlity on the historical volatlity of a group of similar companies that are publicly traded. The historical volatlity was calculated based on a period of tme commensurate with the expected term assumpton. The Company uses the simplifed method as prescribed by the Securites and Exchange Commission, or </w:t>
      </w:r>
      <w:r>
        <w:rPr>
          <w:rFonts w:ascii="Calibri" w:cs="Calibri" w:eastAsia="Calibri" w:hAnsi="Calibri"/>
          <w:sz w:val="18"/>
          <w:szCs w:val="18"/>
          <w:u w:val="single" w:color="auto"/>
          <w:color w:val="auto"/>
        </w:rPr>
        <w:t>SEC</w:t>
      </w:r>
      <w:r>
        <w:rPr>
          <w:rFonts w:ascii="Calibri" w:cs="Calibri" w:eastAsia="Calibri" w:hAnsi="Calibri"/>
          <w:sz w:val="18"/>
          <w:szCs w:val="18"/>
          <w:color w:val="auto"/>
        </w:rPr>
        <w:t xml:space="preserve">, Staf Accountng Bulletn No. 107, </w:t>
      </w:r>
      <w:r>
        <w:rPr>
          <w:rFonts w:ascii="Calibri" w:cs="Calibri" w:eastAsia="Calibri" w:hAnsi="Calibri"/>
          <w:sz w:val="18"/>
          <w:szCs w:val="18"/>
          <w:i w:val="1"/>
          <w:iCs w:val="1"/>
          <w:color w:val="auto"/>
        </w:rPr>
        <w:t>Share-Based Payment</w:t>
      </w:r>
      <w:r>
        <w:rPr>
          <w:rFonts w:ascii="Calibri" w:cs="Calibri" w:eastAsia="Calibri" w:hAnsi="Calibri"/>
          <w:sz w:val="18"/>
          <w:szCs w:val="18"/>
          <w:color w:val="auto"/>
        </w:rPr>
        <w:t>, to calculate the expected term for optons granted to employees as it does not have sufcient historical exercise data to provide a reasonable basis upon which to estmate the expected term. The expected term is applied to the stock opton grant group as a whole, as the Company does not expect substantally diferent exercise or post-vestng terminaton behavior among its employee populaton. For optons granted to non-employees, the Company utlizes the contractual term of the arrangement as the basis for the expected term assumpton. The risk-free interest rate is based on U.S. Treasury securites with a maturity date commensurate with the expected term of the associated award. The expected dividend yield is assumed to be zero as the Company has never paid dividends and has no current plans to pay any dividends on its common stock. The Company recognizes forfeitures as they occur.</w:t>
      </w:r>
    </w:p>
    <w:p>
      <w:pPr>
        <w:spacing w:after="0" w:line="1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stock-based awards are subject to either service or performance-based vestng conditons. Compensaton expense related to awards to employees and non-employees with service-based vestng conditons is recognized on a straight-line basis based on the grant date fair value over the associated service period of the award, which is generally the vestng term, and is adjusted for pre-vestng forfeitures in the period in which the forfeitures occur. Compensaton expense related to awards to employees and non-employees with performance-based vestng conditons is recognized based on the grant date fair value over the requisite service period using the accelerated atributon method to the extent achievement of the performance conditon is probable.</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For awards with performance conditons in which the award does not vest unless the performance conditon is met, the Company recognizes expense if, and to the extent that, the Company estmates that achievement of the performance conditon is probable. If the Company concludes that vestng is probable, it recognizes expense from the date it reaches this conclusion through the estmated vestng date.</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Income Taxes</w:t>
      </w:r>
    </w:p>
    <w:p>
      <w:pPr>
        <w:spacing w:after="0" w:line="10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 xml:space="preserve">Income taxes are recorded in accordance with FASB Topic 740, </w:t>
      </w:r>
      <w:r>
        <w:rPr>
          <w:rFonts w:ascii="Calibri" w:cs="Calibri" w:eastAsia="Calibri" w:hAnsi="Calibri"/>
          <w:sz w:val="17"/>
          <w:szCs w:val="17"/>
          <w:i w:val="1"/>
          <w:iCs w:val="1"/>
          <w:color w:val="auto"/>
        </w:rPr>
        <w:t>Income Taxes</w:t>
      </w:r>
      <w:r>
        <w:rPr>
          <w:rFonts w:ascii="Calibri" w:cs="Calibri" w:eastAsia="Calibri" w:hAnsi="Calibri"/>
          <w:sz w:val="17"/>
          <w:szCs w:val="17"/>
          <w:color w:val="auto"/>
        </w:rPr>
        <w:t xml:space="preserve">, or </w:t>
      </w:r>
      <w:r>
        <w:rPr>
          <w:rFonts w:ascii="Calibri" w:cs="Calibri" w:eastAsia="Calibri" w:hAnsi="Calibri"/>
          <w:sz w:val="17"/>
          <w:szCs w:val="17"/>
          <w:u w:val="single" w:color="auto"/>
          <w:color w:val="auto"/>
        </w:rPr>
        <w:t>ASC 740</w:t>
      </w:r>
      <w:r>
        <w:rPr>
          <w:rFonts w:ascii="Calibri" w:cs="Calibri" w:eastAsia="Calibri" w:hAnsi="Calibri"/>
          <w:sz w:val="17"/>
          <w:szCs w:val="17"/>
          <w:color w:val="auto"/>
        </w:rPr>
        <w:t xml:space="preserve">, which provides for deferred taxes using an asset and liability approach. The Company recognizes deferred tax assets and liabilites for the expected future tax consequences of events that have been included in the fnancial statements or tax returns. Deferred tax assets and liabilites are determined based on the diference between the fnancial statement and tax bases of assets and liabilites using enacted tax rates in efect for the year in which the diferences are expected to reverse. Valuaton allowances are provided, if, based upon the weight of available evidence, it is more likely than not that some or all of the deferred tax assets will not be realized. All deferred taxes as of December 31, 2024 and 2023 are classifed as non-current within the income tax provision. See Note 15, </w:t>
      </w:r>
      <w:r>
        <w:rPr>
          <w:rFonts w:ascii="Calibri" w:cs="Calibri" w:eastAsia="Calibri" w:hAnsi="Calibri"/>
          <w:sz w:val="17"/>
          <w:szCs w:val="17"/>
          <w:i w:val="1"/>
          <w:iCs w:val="1"/>
          <w:color w:val="auto"/>
        </w:rPr>
        <w:t>Income Taxes</w:t>
      </w:r>
      <w:r>
        <w:rPr>
          <w:rFonts w:ascii="Calibri" w:cs="Calibri" w:eastAsia="Calibri" w:hAnsi="Calibri"/>
          <w:sz w:val="17"/>
          <w:szCs w:val="17"/>
          <w:color w:val="auto"/>
        </w:rPr>
        <w:t>, for further informaton.</w:t>
      </w:r>
    </w:p>
    <w:p>
      <w:pPr>
        <w:spacing w:after="0" w:line="10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accounts for uncertain tax positons in accordance with the provisions of ASC 740. When uncertain tax positons exist, the Company recognizes the tax beneft of tax positons to the extent that the beneft will more likely than not be realized. The determinaton as to whether the tax beneft will more likely than not be realized is based upon the technical merits of the tax positon, as well as consideraton of the available facts and circumstances. As of December 31, 2024 and 2023, the Company does not have any signifcant uncertain tax positons. The Company recognizes interest and penaltes related to uncertain tax positons in income tax expense.</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Net Loss per Share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Basic net loss per share is calculated by dividing net loss by the weighted-average shares outstanding during the period, without consideraton for common stock equivalents. Diluted net loss per share is calculated by adjustng weighted-average shares outstanding for the dilutve efect of common stock equivalents outstanding for the period, determined using the treasury-stock method. For purposes of the diluted net loss per share calculaton, common stock optons, stock appreciaton rights, warrants and RSUs as well as restricted stock, if the Company was to issue any, are considered to be common stock equivalents, but have been excluded from the calculaton of diluted net loss per share, as their efect would be ant-dilutve for all periods presented. Therefore, basic and diluted net loss per share were the same for all periods presented. Diluted net income per share is calculated by dividing the net income by the weighted-average common shares outstanding for the period, including any dilutve efect from outstanding optons, warrants, restricted stock and RSUs using the treasury stock method.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2" w:name="page143"/>
    <w:bookmarkEnd w:id="14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Segment Informaton</w:t>
      </w:r>
    </w:p>
    <w:p>
      <w:pPr>
        <w:spacing w:after="0" w:line="109"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 xml:space="preserve">Operatng segments are defned as components of an enterprise about which separate discrete informaton is available for evaluaton by the chief operatng decision maker, or </w:t>
      </w:r>
      <w:r>
        <w:rPr>
          <w:rFonts w:ascii="Calibri" w:cs="Calibri" w:eastAsia="Calibri" w:hAnsi="Calibri"/>
          <w:sz w:val="17"/>
          <w:szCs w:val="17"/>
          <w:u w:val="single" w:color="auto"/>
          <w:color w:val="auto"/>
        </w:rPr>
        <w:t>CODM</w:t>
      </w:r>
      <w:r>
        <w:rPr>
          <w:rFonts w:ascii="Calibri" w:cs="Calibri" w:eastAsia="Calibri" w:hAnsi="Calibri"/>
          <w:sz w:val="17"/>
          <w:szCs w:val="17"/>
          <w:color w:val="auto"/>
        </w:rPr>
        <w:t>, or decision-making group, in deciding how to allocate resources and in assessing performance. The Company operates its business in a single segment and as one reportng unit, which is how its chief operatng decision maker (who is the Company's president and chief executve ofcer) reviews fnancial performance and allocates resources. The Company views its operatons as and manages its business in one operatng segment.</w:t>
      </w:r>
    </w:p>
    <w:p>
      <w:pPr>
        <w:spacing w:after="0" w:line="9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New Accountng Pronouncements - Recently Adopted</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November 2023, the FASB issued ASU 2023-07, </w:t>
      </w:r>
      <w:r>
        <w:rPr>
          <w:rFonts w:ascii="Calibri" w:cs="Calibri" w:eastAsia="Calibri" w:hAnsi="Calibri"/>
          <w:sz w:val="18"/>
          <w:szCs w:val="18"/>
          <w:i w:val="1"/>
          <w:iCs w:val="1"/>
          <w:color w:val="auto"/>
        </w:rPr>
        <w:t>Improvements to Reportable Segment Disclosures</w:t>
      </w:r>
      <w:r>
        <w:rPr>
          <w:rFonts w:ascii="Calibri" w:cs="Calibri" w:eastAsia="Calibri" w:hAnsi="Calibri"/>
          <w:sz w:val="18"/>
          <w:szCs w:val="18"/>
          <w:color w:val="auto"/>
        </w:rPr>
        <w:t xml:space="preserve">. ASU 2023-07 requires disclosure of signifcant segment expenses that are regularly provided to the CODM and included within the segment measure of proft or loss, an amount and descripton of its compositon for other segment items to reconcile to segment proft or loss, and the ttle and positon of the entty’s CODM. ASU 2023-07 is applied retrospectvely and is efectve for annual reportng periods in fscal years beginning afer December 15, 2023, and interim reportng periods in fscal years beginning afer December 31, 2024. See Note 17, </w:t>
      </w:r>
      <w:r>
        <w:rPr>
          <w:rFonts w:ascii="Calibri" w:cs="Calibri" w:eastAsia="Calibri" w:hAnsi="Calibri"/>
          <w:sz w:val="18"/>
          <w:szCs w:val="18"/>
          <w:i w:val="1"/>
          <w:iCs w:val="1"/>
          <w:color w:val="auto"/>
        </w:rPr>
        <w:t>Segment Informaton</w:t>
      </w:r>
      <w:r>
        <w:rPr>
          <w:rFonts w:ascii="Calibri" w:cs="Calibri" w:eastAsia="Calibri" w:hAnsi="Calibri"/>
          <w:sz w:val="18"/>
          <w:szCs w:val="18"/>
          <w:color w:val="auto"/>
        </w:rPr>
        <w:t>, for further informaton.</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New Accountng Pronouncements - Not Yet Adopted</w:t>
      </w:r>
    </w:p>
    <w:p>
      <w:pPr>
        <w:spacing w:after="0" w:line="10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 xml:space="preserve">In December 2023, the FASB issued ASU 2023-09, </w:t>
      </w:r>
      <w:r>
        <w:rPr>
          <w:rFonts w:ascii="Calibri" w:cs="Calibri" w:eastAsia="Calibri" w:hAnsi="Calibri"/>
          <w:sz w:val="17"/>
          <w:szCs w:val="17"/>
          <w:i w:val="1"/>
          <w:iCs w:val="1"/>
          <w:color w:val="auto"/>
        </w:rPr>
        <w:t>Income Taxes</w:t>
      </w:r>
      <w:r>
        <w:rPr>
          <w:rFonts w:ascii="Calibri" w:cs="Calibri" w:eastAsia="Calibri" w:hAnsi="Calibri"/>
          <w:sz w:val="17"/>
          <w:szCs w:val="17"/>
          <w:color w:val="auto"/>
        </w:rPr>
        <w:t xml:space="preserve"> (Topic 740): </w:t>
      </w:r>
      <w:r>
        <w:rPr>
          <w:rFonts w:ascii="Calibri" w:cs="Calibri" w:eastAsia="Calibri" w:hAnsi="Calibri"/>
          <w:sz w:val="17"/>
          <w:szCs w:val="17"/>
          <w:i w:val="1"/>
          <w:iCs w:val="1"/>
          <w:color w:val="auto"/>
        </w:rPr>
        <w:t>Improvements to Income Tax Disclosures</w:t>
      </w:r>
      <w:r>
        <w:rPr>
          <w:rFonts w:ascii="Calibri" w:cs="Calibri" w:eastAsia="Calibri" w:hAnsi="Calibri"/>
          <w:sz w:val="17"/>
          <w:szCs w:val="17"/>
          <w:color w:val="auto"/>
        </w:rPr>
        <w:t>. ASU 2023-09 requires public companies to annually (i) disclose specifc categories in the rate reconciliaton and (ii) provide additonal informaton for reconciling items that meet a quanttatve threshold (if the efect of those reconciling items is equal to or greater than 5 percent of the amount computed by multplying pretax income or loss by the applicable statutory income tax rate). ASU 2023-09 will be efectve for the annual reportng periods in fscal years beginning afer December 15, 2024. The Company is currently evaluatng ASU 2023-09 and does not expect it to have a material efect on the Company’s consolidated fnancial statements.</w:t>
      </w:r>
    </w:p>
    <w:p>
      <w:pPr>
        <w:spacing w:after="0" w:line="10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November 2024, the FASB issued an accountng standards update, ASU 2024-03, which requires new tabular disclosures in the notes to consolidated fnancial statements, disaggregatng certain cost and expense categories within relevant captons on the consolidated statements of operatons and comprehensive loss. The prescribed cost and expense categories requiring disaggregated disclosures include purchases of inventory, employee compensaton, depreciaton and intangible asset amortzaton, along with certain other expense disclosures already required by U.S. GAAP that would need to be integrated within the new tabular disaggregated expense disclosures. Additonally, the amendments also require the disclosure of total selling expenses and an entty's defniton of those expenses. ASU 2024-03 will be efectve for annual reportng periods in fscal years beginning afer December 15, 2026, and interim reportng periods in fscal years beginning afer December 31, 2027. Early adopton is permited and the amendments should be applied on a prospectve basis. Retrospectve applicaton is permited. The Company is currently reviewing the impact that the adopton of ASU 2024-03 may have on its expense disclosures in the notes to the consolidated fnancial statements.</w:t>
      </w:r>
    </w:p>
    <w:p>
      <w:pPr>
        <w:spacing w:after="0" w:line="111" w:lineRule="exact"/>
        <w:rPr>
          <w:sz w:val="20"/>
          <w:szCs w:val="20"/>
          <w:color w:val="auto"/>
        </w:rPr>
      </w:pPr>
    </w:p>
    <w:p>
      <w:pPr>
        <w:spacing w:after="0"/>
        <w:tabs>
          <w:tab w:leader="none" w:pos="300" w:val="left"/>
        </w:tabs>
        <w:rPr>
          <w:sz w:val="20"/>
          <w:szCs w:val="20"/>
          <w:color w:val="auto"/>
        </w:rPr>
      </w:pPr>
      <w:r>
        <w:rPr>
          <w:rFonts w:ascii="Calibri" w:cs="Calibri" w:eastAsia="Calibri" w:hAnsi="Calibri"/>
          <w:sz w:val="18"/>
          <w:szCs w:val="18"/>
          <w:b w:val="1"/>
          <w:bCs w:val="1"/>
          <w:color w:val="auto"/>
        </w:rPr>
        <w:t>3.</w:t>
      </w:r>
      <w:r>
        <w:rPr>
          <w:sz w:val="20"/>
          <w:szCs w:val="20"/>
          <w:color w:val="auto"/>
        </w:rPr>
        <w:tab/>
      </w:r>
      <w:r>
        <w:rPr>
          <w:rFonts w:ascii="Calibri" w:cs="Calibri" w:eastAsia="Calibri" w:hAnsi="Calibri"/>
          <w:sz w:val="17"/>
          <w:szCs w:val="17"/>
          <w:b w:val="1"/>
          <w:bCs w:val="1"/>
          <w:color w:val="auto"/>
        </w:rPr>
        <w:t>FAIR VALUE MEASUREMENTS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tables below present certain assets and liabilites measured at fair value categorized by the level of input used in the valuaton of each asset and liability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4"/>
          </w:tcPr>
          <w:p>
            <w:pPr>
              <w:ind w:left="560"/>
              <w:spacing w:after="0"/>
              <w:rPr>
                <w:sz w:val="20"/>
                <w:szCs w:val="20"/>
                <w:color w:val="auto"/>
              </w:rPr>
            </w:pPr>
            <w:r>
              <w:rPr>
                <w:rFonts w:ascii="Calibri" w:cs="Calibri" w:eastAsia="Calibri" w:hAnsi="Calibri"/>
                <w:sz w:val="16"/>
                <w:szCs w:val="16"/>
                <w:b w:val="1"/>
                <w:bCs w:val="1"/>
                <w:color w:val="auto"/>
              </w:rPr>
              <w:t>December 31, 2024</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8"/>
        </w:trPr>
        <w:tc>
          <w:tcPr>
            <w:tcW w:w="5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7"/>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ind w:left="180"/>
              <w:spacing w:after="0" w:line="187" w:lineRule="exact"/>
              <w:rPr>
                <w:sz w:val="20"/>
                <w:szCs w:val="20"/>
                <w:color w:val="auto"/>
              </w:rPr>
            </w:pPr>
            <w:r>
              <w:rPr>
                <w:rFonts w:ascii="Calibri" w:cs="Calibri" w:eastAsia="Calibri" w:hAnsi="Calibri"/>
                <w:sz w:val="16"/>
                <w:szCs w:val="16"/>
                <w:b w:val="1"/>
                <w:bCs w:val="1"/>
                <w:color w:val="auto"/>
              </w:rPr>
              <w:t>Level 1</w:t>
            </w:r>
          </w:p>
        </w:tc>
        <w:tc>
          <w:tcPr>
            <w:tcW w:w="680" w:type="dxa"/>
            <w:vAlign w:val="bottom"/>
          </w:tcPr>
          <w:p>
            <w:pPr>
              <w:ind w:left="200"/>
              <w:spacing w:after="0" w:line="187" w:lineRule="exact"/>
              <w:rPr>
                <w:sz w:val="20"/>
                <w:szCs w:val="20"/>
                <w:color w:val="auto"/>
              </w:rPr>
            </w:pPr>
            <w:r>
              <w:rPr>
                <w:rFonts w:ascii="Calibri" w:cs="Calibri" w:eastAsia="Calibri" w:hAnsi="Calibri"/>
                <w:sz w:val="16"/>
                <w:szCs w:val="16"/>
                <w:b w:val="1"/>
                <w:bCs w:val="1"/>
                <w:color w:val="auto"/>
                <w:w w:val="99"/>
              </w:rPr>
              <w:t>Level 2</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ind w:left="500"/>
              <w:spacing w:after="0" w:line="187" w:lineRule="exact"/>
              <w:rPr>
                <w:sz w:val="20"/>
                <w:szCs w:val="20"/>
                <w:color w:val="auto"/>
              </w:rPr>
            </w:pPr>
            <w:r>
              <w:rPr>
                <w:rFonts w:ascii="Calibri" w:cs="Calibri" w:eastAsia="Calibri" w:hAnsi="Calibri"/>
                <w:sz w:val="16"/>
                <w:szCs w:val="16"/>
                <w:b w:val="1"/>
                <w:bCs w:val="1"/>
                <w:color w:val="auto"/>
              </w:rPr>
              <w:t>Level 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9"/>
              <w:spacing w:after="0" w:line="187" w:lineRule="exact"/>
              <w:rPr>
                <w:sz w:val="20"/>
                <w:szCs w:val="20"/>
                <w:color w:val="auto"/>
              </w:rPr>
            </w:pPr>
            <w:r>
              <w:rPr>
                <w:rFonts w:ascii="Calibri" w:cs="Calibri" w:eastAsia="Calibri" w:hAnsi="Calibri"/>
                <w:sz w:val="16"/>
                <w:szCs w:val="16"/>
                <w:b w:val="1"/>
                <w:bCs w:val="1"/>
                <w:color w:val="auto"/>
              </w:rPr>
              <w:t>Total</w:t>
            </w:r>
          </w:p>
        </w:tc>
      </w:tr>
      <w:tr>
        <w:trPr>
          <w:trHeight w:val="22"/>
        </w:trPr>
        <w:tc>
          <w:tcPr>
            <w:tcW w:w="520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0"/>
        </w:trPr>
        <w:tc>
          <w:tcPr>
            <w:tcW w:w="5200" w:type="dxa"/>
            <w:vAlign w:val="bottom"/>
            <w:tcBorders>
              <w:bottom w:val="single" w:sz="8" w:color="DBDBDB"/>
            </w:tcBorders>
            <w:shd w:val="clear" w:color="auto" w:fill="DBDBDB"/>
          </w:tcPr>
          <w:p>
            <w:pPr>
              <w:ind w:left="20"/>
              <w:spacing w:after="0" w:line="174" w:lineRule="exact"/>
              <w:rPr>
                <w:sz w:val="20"/>
                <w:szCs w:val="20"/>
                <w:color w:val="auto"/>
              </w:rPr>
            </w:pPr>
            <w:r>
              <w:rPr>
                <w:rFonts w:ascii="Calibri" w:cs="Calibri" w:eastAsia="Calibri" w:hAnsi="Calibri"/>
                <w:sz w:val="16"/>
                <w:szCs w:val="16"/>
                <w:b w:val="1"/>
                <w:bCs w:val="1"/>
                <w:color w:val="auto"/>
              </w:rPr>
              <w:t>Long-term liability:</w:t>
            </w:r>
          </w:p>
        </w:tc>
        <w:tc>
          <w:tcPr>
            <w:tcW w:w="30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80" w:type="dxa"/>
            <w:vAlign w:val="bottom"/>
            <w:tcBorders>
              <w:bottom w:val="single" w:sz="8" w:color="DBDBDB"/>
            </w:tcBorders>
            <w:shd w:val="clear" w:color="auto" w:fill="DBDBDB"/>
          </w:tcPr>
          <w:p>
            <w:pPr>
              <w:spacing w:after="0"/>
              <w:rPr>
                <w:sz w:val="16"/>
                <w:szCs w:val="16"/>
                <w:color w:val="auto"/>
              </w:rPr>
            </w:pPr>
          </w:p>
        </w:tc>
        <w:tc>
          <w:tcPr>
            <w:tcW w:w="680" w:type="dxa"/>
            <w:vAlign w:val="bottom"/>
            <w:tcBorders>
              <w:bottom w:val="single" w:sz="8" w:color="DBDBDB"/>
            </w:tcBorders>
            <w:shd w:val="clear" w:color="auto" w:fill="DBDBDB"/>
          </w:tcPr>
          <w:p>
            <w:pPr>
              <w:spacing w:after="0"/>
              <w:rPr>
                <w:sz w:val="16"/>
                <w:szCs w:val="16"/>
                <w:color w:val="auto"/>
              </w:rPr>
            </w:pPr>
          </w:p>
        </w:tc>
        <w:tc>
          <w:tcPr>
            <w:tcW w:w="46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spacing w:after="0"/>
              <w:rPr>
                <w:sz w:val="16"/>
                <w:szCs w:val="16"/>
                <w:color w:val="auto"/>
              </w:rPr>
            </w:pPr>
          </w:p>
        </w:tc>
        <w:tc>
          <w:tcPr>
            <w:tcW w:w="32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spacing w:after="0"/>
              <w:rPr>
                <w:sz w:val="16"/>
                <w:szCs w:val="16"/>
                <w:color w:val="auto"/>
              </w:rPr>
            </w:pPr>
          </w:p>
        </w:tc>
      </w:tr>
      <w:tr>
        <w:trPr>
          <w:trHeight w:val="194"/>
        </w:trPr>
        <w:tc>
          <w:tcPr>
            <w:tcW w:w="5200" w:type="dxa"/>
            <w:vAlign w:val="bottom"/>
          </w:tcPr>
          <w:p>
            <w:pPr>
              <w:ind w:left="220"/>
              <w:spacing w:after="0" w:line="193" w:lineRule="exact"/>
              <w:rPr>
                <w:sz w:val="20"/>
                <w:szCs w:val="20"/>
                <w:color w:val="auto"/>
              </w:rPr>
            </w:pPr>
            <w:r>
              <w:rPr>
                <w:rFonts w:ascii="Calibri" w:cs="Calibri" w:eastAsia="Calibri" w:hAnsi="Calibri"/>
                <w:sz w:val="16"/>
                <w:szCs w:val="16"/>
                <w:color w:val="auto"/>
              </w:rPr>
              <w:t>Warrant liability</w:t>
            </w:r>
          </w:p>
        </w:tc>
        <w:tc>
          <w:tcPr>
            <w:tcW w:w="300" w:type="dxa"/>
            <w:vAlign w:val="bottom"/>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520" w:type="dxa"/>
            <w:vAlign w:val="bottom"/>
            <w:gridSpan w:val="3"/>
          </w:tcPr>
          <w:p>
            <w:pPr>
              <w:ind w:left="920"/>
              <w:spacing w:after="0" w:line="193" w:lineRule="exact"/>
              <w:rPr>
                <w:sz w:val="20"/>
                <w:szCs w:val="20"/>
                <w:color w:val="auto"/>
              </w:rPr>
            </w:pPr>
            <w:r>
              <w:rPr>
                <w:rFonts w:ascii="Calibri" w:cs="Calibri" w:eastAsia="Calibri" w:hAnsi="Calibri"/>
                <w:sz w:val="16"/>
                <w:szCs w:val="16"/>
                <w:color w:val="auto"/>
              </w:rPr>
              <w:t>—   $</w:t>
            </w:r>
          </w:p>
        </w:tc>
        <w:tc>
          <w:tcPr>
            <w:tcW w:w="680" w:type="dxa"/>
            <w:vAlign w:val="bottom"/>
          </w:tcPr>
          <w:p>
            <w:pPr>
              <w:spacing w:after="0"/>
              <w:rPr>
                <w:sz w:val="16"/>
                <w:szCs w:val="16"/>
                <w:color w:val="auto"/>
              </w:rPr>
            </w:pPr>
          </w:p>
        </w:tc>
        <w:tc>
          <w:tcPr>
            <w:tcW w:w="460" w:type="dxa"/>
            <w:vAlign w:val="bottom"/>
          </w:tcPr>
          <w:p>
            <w:pPr>
              <w:jc w:val="right"/>
              <w:spacing w:after="0" w:line="193" w:lineRule="exact"/>
              <w:rPr>
                <w:sz w:val="20"/>
                <w:szCs w:val="20"/>
                <w:color w:val="auto"/>
              </w:rPr>
            </w:pPr>
            <w:r>
              <w:rPr>
                <w:rFonts w:ascii="Calibri" w:cs="Calibri" w:eastAsia="Calibri" w:hAnsi="Calibri"/>
                <w:sz w:val="16"/>
                <w:szCs w:val="16"/>
                <w:color w:val="auto"/>
              </w:rPr>
              <w:t>5,176</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gridSpan w:val="2"/>
          </w:tcPr>
          <w:p>
            <w:pPr>
              <w:ind w:left="160"/>
              <w:spacing w:after="0" w:line="193" w:lineRule="exact"/>
              <w:rPr>
                <w:sz w:val="20"/>
                <w:szCs w:val="20"/>
                <w:color w:val="auto"/>
              </w:rPr>
            </w:pPr>
            <w:r>
              <w:rPr>
                <w:rFonts w:ascii="Calibri" w:cs="Calibri" w:eastAsia="Calibri" w:hAnsi="Calibri"/>
                <w:sz w:val="16"/>
                <w:szCs w:val="16"/>
                <w:color w:val="auto"/>
              </w:rPr>
              <w:t>—</w:t>
            </w:r>
          </w:p>
        </w:tc>
        <w:tc>
          <w:tcPr>
            <w:tcW w:w="340" w:type="dxa"/>
            <w:vAlign w:val="bottom"/>
          </w:tcPr>
          <w:p>
            <w:pPr>
              <w:jc w:val="right"/>
              <w:ind w:right="159"/>
              <w:spacing w:after="0" w:line="193" w:lineRule="exact"/>
              <w:rPr>
                <w:sz w:val="20"/>
                <w:szCs w:val="20"/>
                <w:color w:val="auto"/>
              </w:rPr>
            </w:pPr>
            <w:r>
              <w:rPr>
                <w:rFonts w:ascii="Calibri" w:cs="Calibri" w:eastAsia="Calibri" w:hAnsi="Calibri"/>
                <w:sz w:val="16"/>
                <w:szCs w:val="16"/>
                <w:color w:val="auto"/>
                <w:w w:val="97"/>
              </w:rPr>
              <w:t>$</w:t>
            </w: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5,176</w:t>
            </w:r>
          </w:p>
        </w:tc>
      </w:tr>
      <w:tr>
        <w:trPr>
          <w:trHeight w:val="440"/>
        </w:trPr>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60" w:type="dxa"/>
            <w:vAlign w:val="bottom"/>
            <w:gridSpan w:val="4"/>
          </w:tcPr>
          <w:p>
            <w:pPr>
              <w:ind w:left="560"/>
              <w:spacing w:after="0"/>
              <w:rPr>
                <w:sz w:val="20"/>
                <w:szCs w:val="20"/>
                <w:color w:val="auto"/>
              </w:rPr>
            </w:pPr>
            <w:r>
              <w:rPr>
                <w:rFonts w:ascii="Calibri" w:cs="Calibri" w:eastAsia="Calibri" w:hAnsi="Calibri"/>
                <w:sz w:val="16"/>
                <w:szCs w:val="16"/>
                <w:b w:val="1"/>
                <w:bCs w:val="1"/>
                <w:color w:val="auto"/>
              </w:rPr>
              <w:t>December 31, 2023</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
        </w:trPr>
        <w:tc>
          <w:tcPr>
            <w:tcW w:w="5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7"/>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ind w:left="180"/>
              <w:spacing w:after="0" w:line="187" w:lineRule="exact"/>
              <w:rPr>
                <w:sz w:val="20"/>
                <w:szCs w:val="20"/>
                <w:color w:val="auto"/>
              </w:rPr>
            </w:pPr>
            <w:r>
              <w:rPr>
                <w:rFonts w:ascii="Calibri" w:cs="Calibri" w:eastAsia="Calibri" w:hAnsi="Calibri"/>
                <w:sz w:val="16"/>
                <w:szCs w:val="16"/>
                <w:b w:val="1"/>
                <w:bCs w:val="1"/>
                <w:color w:val="auto"/>
              </w:rPr>
              <w:t>Level 1</w:t>
            </w:r>
          </w:p>
        </w:tc>
        <w:tc>
          <w:tcPr>
            <w:tcW w:w="680" w:type="dxa"/>
            <w:vAlign w:val="bottom"/>
          </w:tcPr>
          <w:p>
            <w:pPr>
              <w:ind w:left="200"/>
              <w:spacing w:after="0" w:line="187" w:lineRule="exact"/>
              <w:rPr>
                <w:sz w:val="20"/>
                <w:szCs w:val="20"/>
                <w:color w:val="auto"/>
              </w:rPr>
            </w:pPr>
            <w:r>
              <w:rPr>
                <w:rFonts w:ascii="Calibri" w:cs="Calibri" w:eastAsia="Calibri" w:hAnsi="Calibri"/>
                <w:sz w:val="16"/>
                <w:szCs w:val="16"/>
                <w:b w:val="1"/>
                <w:bCs w:val="1"/>
                <w:color w:val="auto"/>
                <w:w w:val="99"/>
              </w:rPr>
              <w:t>Level 2</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ind w:left="500"/>
              <w:spacing w:after="0" w:line="187" w:lineRule="exact"/>
              <w:rPr>
                <w:sz w:val="20"/>
                <w:szCs w:val="20"/>
                <w:color w:val="auto"/>
              </w:rPr>
            </w:pPr>
            <w:r>
              <w:rPr>
                <w:rFonts w:ascii="Calibri" w:cs="Calibri" w:eastAsia="Calibri" w:hAnsi="Calibri"/>
                <w:sz w:val="16"/>
                <w:szCs w:val="16"/>
                <w:b w:val="1"/>
                <w:bCs w:val="1"/>
                <w:color w:val="auto"/>
              </w:rPr>
              <w:t>Level 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9"/>
              <w:spacing w:after="0" w:line="187" w:lineRule="exact"/>
              <w:rPr>
                <w:sz w:val="20"/>
                <w:szCs w:val="20"/>
                <w:color w:val="auto"/>
              </w:rPr>
            </w:pPr>
            <w:r>
              <w:rPr>
                <w:rFonts w:ascii="Calibri" w:cs="Calibri" w:eastAsia="Calibri" w:hAnsi="Calibri"/>
                <w:sz w:val="16"/>
                <w:szCs w:val="16"/>
                <w:b w:val="1"/>
                <w:bCs w:val="1"/>
                <w:color w:val="auto"/>
              </w:rPr>
              <w:t>Total</w:t>
            </w:r>
          </w:p>
        </w:tc>
      </w:tr>
      <w:tr>
        <w:trPr>
          <w:trHeight w:val="23"/>
        </w:trPr>
        <w:tc>
          <w:tcPr>
            <w:tcW w:w="520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0"/>
        </w:trPr>
        <w:tc>
          <w:tcPr>
            <w:tcW w:w="5200" w:type="dxa"/>
            <w:vAlign w:val="bottom"/>
            <w:tcBorders>
              <w:bottom w:val="single" w:sz="8" w:color="DBDBDB"/>
            </w:tcBorders>
            <w:shd w:val="clear" w:color="auto" w:fill="DBDBDB"/>
          </w:tcPr>
          <w:p>
            <w:pPr>
              <w:ind w:left="20"/>
              <w:spacing w:after="0" w:line="174" w:lineRule="exact"/>
              <w:rPr>
                <w:sz w:val="20"/>
                <w:szCs w:val="20"/>
                <w:color w:val="auto"/>
              </w:rPr>
            </w:pPr>
            <w:r>
              <w:rPr>
                <w:rFonts w:ascii="Calibri" w:cs="Calibri" w:eastAsia="Calibri" w:hAnsi="Calibri"/>
                <w:sz w:val="16"/>
                <w:szCs w:val="16"/>
                <w:b w:val="1"/>
                <w:bCs w:val="1"/>
                <w:color w:val="auto"/>
              </w:rPr>
              <w:t>Cash equivalents:</w:t>
            </w:r>
          </w:p>
        </w:tc>
        <w:tc>
          <w:tcPr>
            <w:tcW w:w="30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280" w:type="dxa"/>
            <w:vAlign w:val="bottom"/>
            <w:tcBorders>
              <w:bottom w:val="single" w:sz="8" w:color="DBDBDB"/>
            </w:tcBorders>
            <w:shd w:val="clear" w:color="auto" w:fill="DBDBDB"/>
          </w:tcPr>
          <w:p>
            <w:pPr>
              <w:spacing w:after="0"/>
              <w:rPr>
                <w:sz w:val="16"/>
                <w:szCs w:val="16"/>
                <w:color w:val="auto"/>
              </w:rPr>
            </w:pPr>
          </w:p>
        </w:tc>
        <w:tc>
          <w:tcPr>
            <w:tcW w:w="680" w:type="dxa"/>
            <w:vAlign w:val="bottom"/>
            <w:tcBorders>
              <w:bottom w:val="single" w:sz="8" w:color="DBDBDB"/>
            </w:tcBorders>
            <w:shd w:val="clear" w:color="auto" w:fill="DBDBDB"/>
          </w:tcPr>
          <w:p>
            <w:pPr>
              <w:spacing w:after="0"/>
              <w:rPr>
                <w:sz w:val="16"/>
                <w:szCs w:val="16"/>
                <w:color w:val="auto"/>
              </w:rPr>
            </w:pPr>
          </w:p>
        </w:tc>
        <w:tc>
          <w:tcPr>
            <w:tcW w:w="46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spacing w:after="0"/>
              <w:rPr>
                <w:sz w:val="16"/>
                <w:szCs w:val="16"/>
                <w:color w:val="auto"/>
              </w:rPr>
            </w:pPr>
          </w:p>
        </w:tc>
        <w:tc>
          <w:tcPr>
            <w:tcW w:w="32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spacing w:after="0"/>
              <w:rPr>
                <w:sz w:val="16"/>
                <w:szCs w:val="16"/>
                <w:color w:val="auto"/>
              </w:rPr>
            </w:pPr>
          </w:p>
        </w:tc>
      </w:tr>
      <w:tr>
        <w:trPr>
          <w:trHeight w:val="194"/>
        </w:trPr>
        <w:tc>
          <w:tcPr>
            <w:tcW w:w="5200" w:type="dxa"/>
            <w:vAlign w:val="bottom"/>
          </w:tcPr>
          <w:p>
            <w:pPr>
              <w:ind w:left="220"/>
              <w:spacing w:after="0" w:line="193" w:lineRule="exact"/>
              <w:rPr>
                <w:sz w:val="20"/>
                <w:szCs w:val="20"/>
                <w:color w:val="auto"/>
              </w:rPr>
            </w:pPr>
            <w:r>
              <w:rPr>
                <w:rFonts w:ascii="Calibri" w:cs="Calibri" w:eastAsia="Calibri" w:hAnsi="Calibri"/>
                <w:sz w:val="16"/>
                <w:szCs w:val="16"/>
                <w:color w:val="auto"/>
              </w:rPr>
              <w:t>Money market funds</w:t>
            </w:r>
          </w:p>
        </w:tc>
        <w:tc>
          <w:tcPr>
            <w:tcW w:w="300" w:type="dxa"/>
            <w:vAlign w:val="bottom"/>
          </w:tcPr>
          <w:p>
            <w:pPr>
              <w:jc w:val="right"/>
              <w:ind w:right="119"/>
              <w:spacing w:after="0" w:line="193" w:lineRule="exact"/>
              <w:rPr>
                <w:sz w:val="20"/>
                <w:szCs w:val="20"/>
                <w:color w:val="auto"/>
              </w:rPr>
            </w:pPr>
            <w:r>
              <w:rPr>
                <w:rFonts w:ascii="Calibri" w:cs="Calibri" w:eastAsia="Calibri" w:hAnsi="Calibri"/>
                <w:sz w:val="16"/>
                <w:szCs w:val="16"/>
                <w:color w:val="auto"/>
                <w:w w:val="97"/>
              </w:rPr>
              <w:t>$</w:t>
            </w:r>
          </w:p>
        </w:tc>
        <w:tc>
          <w:tcPr>
            <w:tcW w:w="1120" w:type="dxa"/>
            <w:vAlign w:val="bottom"/>
          </w:tcPr>
          <w:p>
            <w:pPr>
              <w:jc w:val="right"/>
              <w:spacing w:after="0" w:line="193" w:lineRule="exact"/>
              <w:rPr>
                <w:sz w:val="20"/>
                <w:szCs w:val="20"/>
                <w:color w:val="auto"/>
              </w:rPr>
            </w:pPr>
            <w:r>
              <w:rPr>
                <w:rFonts w:ascii="Calibri" w:cs="Calibri" w:eastAsia="Calibri" w:hAnsi="Calibri"/>
                <w:sz w:val="16"/>
                <w:szCs w:val="16"/>
                <w:color w:val="auto"/>
              </w:rPr>
              <w:t>1,504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80" w:type="dxa"/>
            <w:vAlign w:val="bottom"/>
            <w:gridSpan w:val="3"/>
          </w:tcPr>
          <w:p>
            <w:pPr>
              <w:ind w:left="300"/>
              <w:spacing w:after="0" w:line="193" w:lineRule="exact"/>
              <w:rPr>
                <w:sz w:val="20"/>
                <w:szCs w:val="20"/>
                <w:color w:val="auto"/>
              </w:rPr>
            </w:pPr>
            <w:r>
              <w:rPr>
                <w:rFonts w:ascii="Calibri" w:cs="Calibri" w:eastAsia="Calibri" w:hAnsi="Calibri"/>
                <w:sz w:val="16"/>
                <w:szCs w:val="16"/>
                <w:color w:val="auto"/>
              </w:rPr>
              <w:t>—</w:t>
            </w:r>
          </w:p>
        </w:tc>
        <w:tc>
          <w:tcPr>
            <w:tcW w:w="420" w:type="dxa"/>
            <w:vAlign w:val="bottom"/>
            <w:gridSpan w:val="2"/>
          </w:tcPr>
          <w:p>
            <w:pPr>
              <w:ind w:left="160"/>
              <w:spacing w:after="0" w:line="193" w:lineRule="exact"/>
              <w:rPr>
                <w:sz w:val="20"/>
                <w:szCs w:val="20"/>
                <w:color w:val="auto"/>
              </w:rPr>
            </w:pPr>
            <w:r>
              <w:rPr>
                <w:rFonts w:ascii="Calibri" w:cs="Calibri" w:eastAsia="Calibri" w:hAnsi="Calibri"/>
                <w:sz w:val="16"/>
                <w:szCs w:val="16"/>
                <w:color w:val="auto"/>
              </w:rPr>
              <w:t>—</w:t>
            </w:r>
          </w:p>
        </w:tc>
        <w:tc>
          <w:tcPr>
            <w:tcW w:w="340" w:type="dxa"/>
            <w:vAlign w:val="bottom"/>
          </w:tcPr>
          <w:p>
            <w:pPr>
              <w:jc w:val="right"/>
              <w:ind w:right="159"/>
              <w:spacing w:after="0" w:line="193" w:lineRule="exact"/>
              <w:rPr>
                <w:sz w:val="20"/>
                <w:szCs w:val="20"/>
                <w:color w:val="auto"/>
              </w:rPr>
            </w:pPr>
            <w:r>
              <w:rPr>
                <w:rFonts w:ascii="Calibri" w:cs="Calibri" w:eastAsia="Calibri" w:hAnsi="Calibri"/>
                <w:sz w:val="16"/>
                <w:szCs w:val="16"/>
                <w:color w:val="auto"/>
                <w:w w:val="97"/>
              </w:rPr>
              <w:t>$</w:t>
            </w: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1,504</w:t>
            </w:r>
          </w:p>
        </w:tc>
      </w:tr>
    </w:tbl>
    <w:p>
      <w:pPr>
        <w:spacing w:after="0" w:line="18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Warrant liability – </w:t>
      </w:r>
      <w:r>
        <w:rPr>
          <w:rFonts w:ascii="Calibri" w:cs="Calibri" w:eastAsia="Calibri" w:hAnsi="Calibri"/>
          <w:sz w:val="18"/>
          <w:szCs w:val="18"/>
          <w:color w:val="auto"/>
        </w:rPr>
        <w:t>The warrant liability is classifed within Level 2 of the fair value hierarchy because it is valued using inputs which are observable either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directly or indirectly. The fair value was calculated using the Black-Scholes opton pricing model using the following key inputs: volatlity, risk-free rate, dividend yield and expected term. As of December 31, 2023, the Company did not have a warrant liability.</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i w:val="1"/>
          <w:iCs w:val="1"/>
          <w:color w:val="auto"/>
        </w:rPr>
        <w:t xml:space="preserve">Cash and cash equivalents </w:t>
      </w:r>
      <w:r>
        <w:rPr>
          <w:rFonts w:ascii="Calibri" w:cs="Calibri" w:eastAsia="Calibri" w:hAnsi="Calibri"/>
          <w:sz w:val="18"/>
          <w:szCs w:val="18"/>
          <w:color w:val="auto"/>
        </w:rPr>
        <w:t>—Money market funds included within cash and cash equivalents are classifed within Level 1 of the fair value hierarchy because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they are valued using quoted market prices in actve markets. As of December 31, 2024, the Company did not have any money market funds included in cash equivalents.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3" w:name="page144"/>
    <w:bookmarkEnd w:id="14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300" w:val="left"/>
        </w:tabs>
        <w:rPr>
          <w:sz w:val="20"/>
          <w:szCs w:val="20"/>
          <w:color w:val="auto"/>
        </w:rPr>
      </w:pPr>
      <w:r>
        <w:rPr>
          <w:rFonts w:ascii="Calibri" w:cs="Calibri" w:eastAsia="Calibri" w:hAnsi="Calibri"/>
          <w:sz w:val="18"/>
          <w:szCs w:val="18"/>
          <w:b w:val="1"/>
          <w:bCs w:val="1"/>
          <w:color w:val="auto"/>
        </w:rPr>
        <w:t>4.</w:t>
      </w:r>
      <w:r>
        <w:rPr>
          <w:sz w:val="20"/>
          <w:szCs w:val="20"/>
          <w:color w:val="auto"/>
        </w:rPr>
        <w:tab/>
      </w:r>
      <w:r>
        <w:rPr>
          <w:rFonts w:ascii="Calibri" w:cs="Calibri" w:eastAsia="Calibri" w:hAnsi="Calibri"/>
          <w:sz w:val="17"/>
          <w:szCs w:val="17"/>
          <w:b w:val="1"/>
          <w:bCs w:val="1"/>
          <w:color w:val="auto"/>
        </w:rPr>
        <w:t>INVENTORIES</w:t>
      </w:r>
    </w:p>
    <w:p>
      <w:pPr>
        <w:spacing w:after="0" w:line="104" w:lineRule="exact"/>
        <w:rPr>
          <w:sz w:val="20"/>
          <w:szCs w:val="20"/>
          <w:color w:val="auto"/>
        </w:rPr>
      </w:pPr>
    </w:p>
    <w:p>
      <w:pPr>
        <w:spacing w:after="0"/>
        <w:tabs>
          <w:tab w:leader="none" w:pos="960" w:val="left"/>
          <w:tab w:leader="none" w:pos="1700" w:val="left"/>
          <w:tab w:leader="none" w:pos="2040" w:val="left"/>
          <w:tab w:leader="none" w:pos="2460" w:val="left"/>
          <w:tab w:leader="none" w:pos="3280" w:val="left"/>
          <w:tab w:leader="none" w:pos="3660" w:val="left"/>
        </w:tabs>
        <w:rPr>
          <w:sz w:val="20"/>
          <w:szCs w:val="20"/>
          <w:color w:val="auto"/>
        </w:rPr>
      </w:pPr>
      <w:r>
        <w:rPr>
          <w:rFonts w:ascii="Calibri" w:cs="Calibri" w:eastAsia="Calibri" w:hAnsi="Calibri"/>
          <w:sz w:val="18"/>
          <w:szCs w:val="18"/>
          <w:color w:val="auto"/>
        </w:rPr>
        <w:t>Inventories</w:t>
        <w:tab/>
        <w:t>consists</w:t>
        <w:tab/>
        <w:t>of</w:t>
        <w:tab/>
        <w:t>the</w:t>
        <w:tab/>
        <w:t>following</w:t>
        <w:tab/>
        <w:t>(in</w:t>
      </w:r>
      <w:r>
        <w:rPr>
          <w:sz w:val="20"/>
          <w:szCs w:val="20"/>
          <w:color w:val="auto"/>
        </w:rPr>
        <w:tab/>
      </w:r>
      <w:r>
        <w:rPr>
          <w:rFonts w:ascii="Calibri" w:cs="Calibri" w:eastAsia="Calibri" w:hAnsi="Calibri"/>
          <w:sz w:val="17"/>
          <w:szCs w:val="17"/>
          <w:color w:val="auto"/>
        </w:rPr>
        <w:t>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40" w:type="dxa"/>
            <w:vAlign w:val="bottom"/>
            <w:gridSpan w:val="3"/>
          </w:tcPr>
          <w:p>
            <w:pPr>
              <w:jc w:val="right"/>
              <w:ind w:right="59"/>
              <w:spacing w:after="0"/>
              <w:rPr>
                <w:sz w:val="20"/>
                <w:szCs w:val="20"/>
                <w:color w:val="auto"/>
              </w:rPr>
            </w:pPr>
            <w:r>
              <w:rPr>
                <w:rFonts w:ascii="Calibri" w:cs="Calibri" w:eastAsia="Calibri" w:hAnsi="Calibri"/>
                <w:sz w:val="16"/>
                <w:szCs w:val="16"/>
                <w:b w:val="1"/>
                <w:bCs w:val="1"/>
                <w:color w:val="auto"/>
              </w:rPr>
              <w:t>December 31,</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7560" w:type="dxa"/>
            <w:vAlign w:val="bottom"/>
            <w:vMerge w:val="restart"/>
          </w:tcPr>
          <w:p>
            <w:pPr>
              <w:ind w:left="20"/>
              <w:spacing w:after="0"/>
              <w:rPr>
                <w:sz w:val="20"/>
                <w:szCs w:val="20"/>
                <w:color w:val="auto"/>
              </w:rPr>
            </w:pPr>
            <w:r>
              <w:rPr>
                <w:rFonts w:ascii="Calibri" w:cs="Calibri" w:eastAsia="Calibri" w:hAnsi="Calibri"/>
                <w:sz w:val="16"/>
                <w:szCs w:val="16"/>
                <w:color w:val="auto"/>
              </w:rPr>
              <w:t>Inventories, current:</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75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jc w:val="right"/>
              <w:ind w:right="639"/>
              <w:spacing w:after="0" w:line="187" w:lineRule="exact"/>
              <w:rPr>
                <w:sz w:val="20"/>
                <w:szCs w:val="20"/>
                <w:color w:val="auto"/>
              </w:rPr>
            </w:pPr>
            <w:r>
              <w:rPr>
                <w:rFonts w:ascii="Calibri" w:cs="Calibri" w:eastAsia="Calibri" w:hAnsi="Calibri"/>
                <w:sz w:val="16"/>
                <w:szCs w:val="16"/>
                <w:b w:val="1"/>
                <w:bCs w:val="1"/>
                <w:color w:val="auto"/>
              </w:rPr>
              <w:t>2024</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jc w:val="right"/>
              <w:ind w:right="639"/>
              <w:spacing w:after="0" w:line="187" w:lineRule="exact"/>
              <w:rPr>
                <w:sz w:val="20"/>
                <w:szCs w:val="20"/>
                <w:color w:val="auto"/>
              </w:rPr>
            </w:pPr>
            <w:r>
              <w:rPr>
                <w:rFonts w:ascii="Calibri" w:cs="Calibri" w:eastAsia="Calibri" w:hAnsi="Calibri"/>
                <w:sz w:val="16"/>
                <w:szCs w:val="16"/>
                <w:b w:val="1"/>
                <w:bCs w:val="1"/>
                <w:color w:val="auto"/>
              </w:rPr>
              <w:t>2023</w:t>
            </w:r>
          </w:p>
        </w:tc>
        <w:tc>
          <w:tcPr>
            <w:tcW w:w="0" w:type="dxa"/>
            <w:vAlign w:val="bottom"/>
          </w:tcPr>
          <w:p>
            <w:pPr>
              <w:spacing w:after="0"/>
              <w:rPr>
                <w:sz w:val="1"/>
                <w:szCs w:val="1"/>
                <w:color w:val="auto"/>
              </w:rPr>
            </w:pPr>
          </w:p>
        </w:tc>
      </w:tr>
      <w:tr>
        <w:trPr>
          <w:trHeight w:val="23"/>
        </w:trPr>
        <w:tc>
          <w:tcPr>
            <w:tcW w:w="7560" w:type="dxa"/>
            <w:vAlign w:val="bottom"/>
            <w:tcBorders>
              <w:bottom w:val="single" w:sz="8" w:color="DBDBDB"/>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7560" w:type="dxa"/>
            <w:vAlign w:val="bottom"/>
            <w:tcBorders>
              <w:bottom w:val="single" w:sz="8" w:color="DBDBDB"/>
            </w:tcBorders>
            <w:shd w:val="clear" w:color="auto" w:fill="DBDBDB"/>
          </w:tcPr>
          <w:p>
            <w:pPr>
              <w:ind w:left="140"/>
              <w:spacing w:after="0" w:line="174" w:lineRule="exact"/>
              <w:rPr>
                <w:sz w:val="20"/>
                <w:szCs w:val="20"/>
                <w:color w:val="auto"/>
              </w:rPr>
            </w:pPr>
            <w:r>
              <w:rPr>
                <w:rFonts w:ascii="Calibri" w:cs="Calibri" w:eastAsia="Calibri" w:hAnsi="Calibri"/>
                <w:sz w:val="16"/>
                <w:szCs w:val="16"/>
                <w:color w:val="auto"/>
              </w:rPr>
              <w:t>Work-in-process</w:t>
            </w:r>
          </w:p>
        </w:tc>
        <w:tc>
          <w:tcPr>
            <w:tcW w:w="420" w:type="dxa"/>
            <w:vAlign w:val="bottom"/>
            <w:tcBorders>
              <w:bottom w:val="single" w:sz="8" w:color="DBDBDB"/>
            </w:tcBorders>
            <w:shd w:val="clear" w:color="auto" w:fill="DBDBDB"/>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136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12,031</w:t>
            </w:r>
          </w:p>
        </w:tc>
        <w:tc>
          <w:tcPr>
            <w:tcW w:w="120" w:type="dxa"/>
            <w:vAlign w:val="bottom"/>
            <w:tcBorders>
              <w:bottom w:val="single" w:sz="8" w:color="DBDBDB"/>
            </w:tcBorders>
            <w:shd w:val="clear" w:color="auto" w:fill="DBDBDB"/>
          </w:tcPr>
          <w:p>
            <w:pPr>
              <w:spacing w:after="0"/>
              <w:rPr>
                <w:sz w:val="16"/>
                <w:szCs w:val="16"/>
                <w:color w:val="auto"/>
              </w:rPr>
            </w:pPr>
          </w:p>
        </w:tc>
        <w:tc>
          <w:tcPr>
            <w:tcW w:w="560" w:type="dxa"/>
            <w:vAlign w:val="bottom"/>
            <w:tcBorders>
              <w:bottom w:val="single" w:sz="8" w:color="DBDBDB"/>
            </w:tcBorders>
            <w:shd w:val="clear" w:color="auto" w:fill="DBDBDB"/>
          </w:tcPr>
          <w:p>
            <w:pPr>
              <w:jc w:val="right"/>
              <w:ind w:right="379"/>
              <w:spacing w:after="0" w:line="187" w:lineRule="exact"/>
              <w:rPr>
                <w:sz w:val="20"/>
                <w:szCs w:val="20"/>
                <w:color w:val="auto"/>
              </w:rPr>
            </w:pPr>
            <w:r>
              <w:rPr>
                <w:rFonts w:ascii="Calibri" w:cs="Calibri" w:eastAsia="Calibri" w:hAnsi="Calibri"/>
                <w:sz w:val="16"/>
                <w:szCs w:val="16"/>
                <w:color w:val="auto"/>
                <w:w w:val="97"/>
              </w:rPr>
              <w:t>$</w:t>
            </w:r>
          </w:p>
        </w:tc>
        <w:tc>
          <w:tcPr>
            <w:tcW w:w="122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4,297</w:t>
            </w:r>
          </w:p>
        </w:tc>
        <w:tc>
          <w:tcPr>
            <w:tcW w:w="0" w:type="dxa"/>
            <w:vAlign w:val="bottom"/>
          </w:tcPr>
          <w:p>
            <w:pPr>
              <w:spacing w:after="0"/>
              <w:rPr>
                <w:sz w:val="1"/>
                <w:szCs w:val="1"/>
                <w:color w:val="auto"/>
              </w:rPr>
            </w:pPr>
          </w:p>
        </w:tc>
      </w:tr>
      <w:tr>
        <w:trPr>
          <w:trHeight w:val="193"/>
        </w:trPr>
        <w:tc>
          <w:tcPr>
            <w:tcW w:w="7560" w:type="dxa"/>
            <w:vAlign w:val="bottom"/>
          </w:tcPr>
          <w:p>
            <w:pPr>
              <w:ind w:left="140"/>
              <w:spacing w:after="0" w:line="193" w:lineRule="exact"/>
              <w:rPr>
                <w:sz w:val="20"/>
                <w:szCs w:val="20"/>
                <w:color w:val="auto"/>
              </w:rPr>
            </w:pPr>
            <w:r>
              <w:rPr>
                <w:rFonts w:ascii="Calibri" w:cs="Calibri" w:eastAsia="Calibri" w:hAnsi="Calibri"/>
                <w:sz w:val="16"/>
                <w:szCs w:val="16"/>
                <w:color w:val="auto"/>
              </w:rPr>
              <w:t>Finished goods</w:t>
            </w:r>
          </w:p>
        </w:tc>
        <w:tc>
          <w:tcPr>
            <w:tcW w:w="4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4,212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jc w:val="right"/>
              <w:spacing w:after="0" w:line="193" w:lineRule="exact"/>
              <w:rPr>
                <w:sz w:val="20"/>
                <w:szCs w:val="20"/>
                <w:color w:val="auto"/>
              </w:rPr>
            </w:pPr>
            <w:r>
              <w:rPr>
                <w:rFonts w:ascii="Calibri" w:cs="Calibri" w:eastAsia="Calibri" w:hAnsi="Calibri"/>
                <w:sz w:val="16"/>
                <w:szCs w:val="16"/>
                <w:color w:val="auto"/>
              </w:rPr>
              <w:t>11,394</w:t>
            </w:r>
          </w:p>
        </w:tc>
        <w:tc>
          <w:tcPr>
            <w:tcW w:w="0" w:type="dxa"/>
            <w:vAlign w:val="bottom"/>
          </w:tcPr>
          <w:p>
            <w:pPr>
              <w:spacing w:after="0"/>
              <w:rPr>
                <w:sz w:val="1"/>
                <w:szCs w:val="1"/>
                <w:color w:val="auto"/>
              </w:rPr>
            </w:pPr>
          </w:p>
        </w:tc>
      </w:tr>
      <w:tr>
        <w:trPr>
          <w:trHeight w:val="23"/>
        </w:trPr>
        <w:tc>
          <w:tcPr>
            <w:tcW w:w="7560" w:type="dxa"/>
            <w:vAlign w:val="bottom"/>
            <w:tcBorders>
              <w:bottom w:val="single" w:sz="8" w:color="DBDBDB"/>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7560" w:type="dxa"/>
            <w:vAlign w:val="bottom"/>
            <w:tcBorders>
              <w:bottom w:val="single" w:sz="8" w:color="DBDBDB"/>
            </w:tcBorders>
            <w:shd w:val="clear" w:color="auto" w:fill="DBDBDB"/>
          </w:tcPr>
          <w:p>
            <w:pPr>
              <w:ind w:left="20"/>
              <w:spacing w:after="0" w:line="174" w:lineRule="exact"/>
              <w:rPr>
                <w:sz w:val="20"/>
                <w:szCs w:val="20"/>
                <w:color w:val="auto"/>
              </w:rPr>
            </w:pPr>
            <w:r>
              <w:rPr>
                <w:rFonts w:ascii="Calibri" w:cs="Calibri" w:eastAsia="Calibri" w:hAnsi="Calibri"/>
                <w:sz w:val="16"/>
                <w:szCs w:val="16"/>
                <w:color w:val="auto"/>
              </w:rPr>
              <w:t>Inventories, current</w:t>
            </w:r>
          </w:p>
        </w:tc>
        <w:tc>
          <w:tcPr>
            <w:tcW w:w="420" w:type="dxa"/>
            <w:vAlign w:val="bottom"/>
            <w:tcBorders>
              <w:bottom w:val="single" w:sz="8" w:color="DBDBDB"/>
            </w:tcBorders>
            <w:shd w:val="clear" w:color="auto" w:fill="DBDBDB"/>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136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16,243</w:t>
            </w:r>
          </w:p>
        </w:tc>
        <w:tc>
          <w:tcPr>
            <w:tcW w:w="120" w:type="dxa"/>
            <w:vAlign w:val="bottom"/>
            <w:tcBorders>
              <w:bottom w:val="single" w:sz="8" w:color="DBDBDB"/>
            </w:tcBorders>
            <w:shd w:val="clear" w:color="auto" w:fill="DBDBDB"/>
          </w:tcPr>
          <w:p>
            <w:pPr>
              <w:spacing w:after="0"/>
              <w:rPr>
                <w:sz w:val="16"/>
                <w:szCs w:val="16"/>
                <w:color w:val="auto"/>
              </w:rPr>
            </w:pPr>
          </w:p>
        </w:tc>
        <w:tc>
          <w:tcPr>
            <w:tcW w:w="560" w:type="dxa"/>
            <w:vAlign w:val="bottom"/>
            <w:tcBorders>
              <w:bottom w:val="single" w:sz="8" w:color="DBDBDB"/>
            </w:tcBorders>
            <w:shd w:val="clear" w:color="auto" w:fill="DBDBDB"/>
          </w:tcPr>
          <w:p>
            <w:pPr>
              <w:jc w:val="right"/>
              <w:ind w:right="379"/>
              <w:spacing w:after="0" w:line="187" w:lineRule="exact"/>
              <w:rPr>
                <w:sz w:val="20"/>
                <w:szCs w:val="20"/>
                <w:color w:val="auto"/>
              </w:rPr>
            </w:pPr>
            <w:r>
              <w:rPr>
                <w:rFonts w:ascii="Calibri" w:cs="Calibri" w:eastAsia="Calibri" w:hAnsi="Calibri"/>
                <w:sz w:val="16"/>
                <w:szCs w:val="16"/>
                <w:color w:val="auto"/>
                <w:w w:val="97"/>
              </w:rPr>
              <w:t>$</w:t>
            </w:r>
          </w:p>
        </w:tc>
        <w:tc>
          <w:tcPr>
            <w:tcW w:w="122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15,691</w:t>
            </w:r>
          </w:p>
        </w:tc>
        <w:tc>
          <w:tcPr>
            <w:tcW w:w="0" w:type="dxa"/>
            <w:vAlign w:val="bottom"/>
          </w:tcPr>
          <w:p>
            <w:pPr>
              <w:spacing w:after="0"/>
              <w:rPr>
                <w:sz w:val="1"/>
                <w:szCs w:val="1"/>
                <w:color w:val="auto"/>
              </w:rPr>
            </w:pPr>
          </w:p>
        </w:tc>
      </w:tr>
      <w:tr>
        <w:trPr>
          <w:trHeight w:val="193"/>
        </w:trPr>
        <w:tc>
          <w:tcPr>
            <w:tcW w:w="7560" w:type="dxa"/>
            <w:vAlign w:val="bottom"/>
          </w:tcPr>
          <w:p>
            <w:pPr>
              <w:ind w:left="20"/>
              <w:spacing w:after="0" w:line="193" w:lineRule="exact"/>
              <w:rPr>
                <w:sz w:val="20"/>
                <w:szCs w:val="20"/>
                <w:color w:val="auto"/>
              </w:rPr>
            </w:pPr>
            <w:r>
              <w:rPr>
                <w:rFonts w:ascii="Calibri" w:cs="Calibri" w:eastAsia="Calibri" w:hAnsi="Calibri"/>
                <w:sz w:val="16"/>
                <w:szCs w:val="16"/>
                <w:color w:val="auto"/>
              </w:rPr>
              <w:t>Long-term inventories included in other long-term assets:</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60" w:type="dxa"/>
            <w:vAlign w:val="bottom"/>
            <w:tcBorders>
              <w:bottom w:val="single" w:sz="8" w:color="DBDBDB"/>
            </w:tcBorders>
            <w:shd w:val="clear" w:color="auto" w:fill="DBDBDB"/>
          </w:tcPr>
          <w:p>
            <w:pPr>
              <w:ind w:left="140"/>
              <w:spacing w:after="0" w:line="193" w:lineRule="exact"/>
              <w:rPr>
                <w:sz w:val="20"/>
                <w:szCs w:val="20"/>
                <w:color w:val="auto"/>
              </w:rPr>
            </w:pPr>
            <w:r>
              <w:rPr>
                <w:rFonts w:ascii="Calibri" w:cs="Calibri" w:eastAsia="Calibri" w:hAnsi="Calibri"/>
                <w:sz w:val="16"/>
                <w:szCs w:val="16"/>
                <w:color w:val="auto"/>
              </w:rPr>
              <w:t>Raw materials</w:t>
            </w:r>
          </w:p>
        </w:tc>
        <w:tc>
          <w:tcPr>
            <w:tcW w:w="420" w:type="dxa"/>
            <w:vAlign w:val="bottom"/>
            <w:tcBorders>
              <w:bottom w:val="single" w:sz="8" w:color="DBDBDB"/>
            </w:tcBorders>
            <w:shd w:val="clear" w:color="auto" w:fill="DBDBDB"/>
          </w:tcPr>
          <w:p>
            <w:pPr>
              <w:spacing w:after="0"/>
              <w:rPr>
                <w:sz w:val="17"/>
                <w:szCs w:val="17"/>
                <w:color w:val="auto"/>
              </w:rPr>
            </w:pPr>
          </w:p>
        </w:tc>
        <w:tc>
          <w:tcPr>
            <w:tcW w:w="136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381</w:t>
            </w:r>
          </w:p>
        </w:tc>
        <w:tc>
          <w:tcPr>
            <w:tcW w:w="120" w:type="dxa"/>
            <w:vAlign w:val="bottom"/>
            <w:tcBorders>
              <w:bottom w:val="single" w:sz="8" w:color="DBDBDB"/>
            </w:tcBorders>
            <w:shd w:val="clear" w:color="auto" w:fill="DBDBDB"/>
          </w:tcPr>
          <w:p>
            <w:pPr>
              <w:spacing w:after="0"/>
              <w:rPr>
                <w:sz w:val="17"/>
                <w:szCs w:val="17"/>
                <w:color w:val="auto"/>
              </w:rPr>
            </w:pPr>
          </w:p>
        </w:tc>
        <w:tc>
          <w:tcPr>
            <w:tcW w:w="560" w:type="dxa"/>
            <w:vAlign w:val="bottom"/>
            <w:tcBorders>
              <w:bottom w:val="single" w:sz="8" w:color="DBDBDB"/>
            </w:tcBorders>
            <w:shd w:val="clear" w:color="auto" w:fill="DBDBDB"/>
          </w:tcPr>
          <w:p>
            <w:pPr>
              <w:spacing w:after="0"/>
              <w:rPr>
                <w:sz w:val="17"/>
                <w:szCs w:val="17"/>
                <w:color w:val="auto"/>
              </w:rPr>
            </w:pPr>
          </w:p>
        </w:tc>
        <w:tc>
          <w:tcPr>
            <w:tcW w:w="122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1,143</w:t>
            </w:r>
          </w:p>
        </w:tc>
        <w:tc>
          <w:tcPr>
            <w:tcW w:w="0" w:type="dxa"/>
            <w:vAlign w:val="bottom"/>
          </w:tcPr>
          <w:p>
            <w:pPr>
              <w:spacing w:after="0"/>
              <w:rPr>
                <w:sz w:val="1"/>
                <w:szCs w:val="1"/>
                <w:color w:val="auto"/>
              </w:rPr>
            </w:pPr>
          </w:p>
        </w:tc>
      </w:tr>
      <w:tr>
        <w:trPr>
          <w:trHeight w:val="193"/>
        </w:trPr>
        <w:tc>
          <w:tcPr>
            <w:tcW w:w="7560" w:type="dxa"/>
            <w:vAlign w:val="bottom"/>
          </w:tcPr>
          <w:p>
            <w:pPr>
              <w:ind w:left="140"/>
              <w:spacing w:after="0" w:line="193" w:lineRule="exact"/>
              <w:rPr>
                <w:sz w:val="20"/>
                <w:szCs w:val="20"/>
                <w:color w:val="auto"/>
              </w:rPr>
            </w:pPr>
            <w:r>
              <w:rPr>
                <w:rFonts w:ascii="Calibri" w:cs="Calibri" w:eastAsia="Calibri" w:hAnsi="Calibri"/>
                <w:sz w:val="16"/>
                <w:szCs w:val="16"/>
                <w:color w:val="auto"/>
              </w:rPr>
              <w:t>Work-in-process</w:t>
            </w:r>
          </w:p>
        </w:tc>
        <w:tc>
          <w:tcPr>
            <w:tcW w:w="420" w:type="dxa"/>
            <w:vAlign w:val="bottom"/>
          </w:tcPr>
          <w:p>
            <w:pPr>
              <w:spacing w:after="0"/>
              <w:rPr>
                <w:sz w:val="16"/>
                <w:szCs w:val="16"/>
                <w:color w:val="auto"/>
              </w:rPr>
            </w:pPr>
          </w:p>
        </w:tc>
        <w:tc>
          <w:tcPr>
            <w:tcW w:w="1360" w:type="dxa"/>
            <w:vAlign w:val="bottom"/>
          </w:tcPr>
          <w:p>
            <w:pPr>
              <w:jc w:val="right"/>
              <w:spacing w:after="0" w:line="193" w:lineRule="exact"/>
              <w:rPr>
                <w:sz w:val="20"/>
                <w:szCs w:val="20"/>
                <w:color w:val="auto"/>
              </w:rPr>
            </w:pPr>
            <w:r>
              <w:rPr>
                <w:rFonts w:ascii="Calibri" w:cs="Calibri" w:eastAsia="Calibri" w:hAnsi="Calibri"/>
                <w:sz w:val="16"/>
                <w:szCs w:val="16"/>
                <w:color w:val="auto"/>
              </w:rPr>
              <w:t>34,572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20" w:type="dxa"/>
            <w:vAlign w:val="bottom"/>
          </w:tcPr>
          <w:p>
            <w:pPr>
              <w:jc w:val="right"/>
              <w:spacing w:after="0" w:line="193" w:lineRule="exact"/>
              <w:rPr>
                <w:sz w:val="20"/>
                <w:szCs w:val="20"/>
                <w:color w:val="auto"/>
              </w:rPr>
            </w:pPr>
            <w:r>
              <w:rPr>
                <w:rFonts w:ascii="Calibri" w:cs="Calibri" w:eastAsia="Calibri" w:hAnsi="Calibri"/>
                <w:sz w:val="16"/>
                <w:szCs w:val="16"/>
                <w:color w:val="auto"/>
              </w:rPr>
              <w:t>8,260</w:t>
            </w:r>
          </w:p>
        </w:tc>
        <w:tc>
          <w:tcPr>
            <w:tcW w:w="0" w:type="dxa"/>
            <w:vAlign w:val="bottom"/>
          </w:tcPr>
          <w:p>
            <w:pPr>
              <w:spacing w:after="0"/>
              <w:rPr>
                <w:sz w:val="1"/>
                <w:szCs w:val="1"/>
                <w:color w:val="auto"/>
              </w:rPr>
            </w:pPr>
          </w:p>
        </w:tc>
      </w:tr>
      <w:tr>
        <w:trPr>
          <w:trHeight w:val="23"/>
        </w:trPr>
        <w:tc>
          <w:tcPr>
            <w:tcW w:w="7560" w:type="dxa"/>
            <w:vAlign w:val="bottom"/>
            <w:tcBorders>
              <w:bottom w:val="single" w:sz="8" w:color="DBDBDB"/>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560" w:type="dxa"/>
            <w:vAlign w:val="bottom"/>
            <w:tcBorders>
              <w:bottom w:val="single" w:sz="8" w:color="DBDBDB"/>
            </w:tcBorders>
            <w:shd w:val="clear" w:color="auto" w:fill="DBDBDB"/>
          </w:tcPr>
          <w:p>
            <w:pPr>
              <w:ind w:left="20"/>
              <w:spacing w:after="0" w:line="174" w:lineRule="exact"/>
              <w:rPr>
                <w:sz w:val="20"/>
                <w:szCs w:val="20"/>
                <w:color w:val="auto"/>
              </w:rPr>
            </w:pPr>
            <w:r>
              <w:rPr>
                <w:rFonts w:ascii="Calibri" w:cs="Calibri" w:eastAsia="Calibri" w:hAnsi="Calibri"/>
                <w:sz w:val="16"/>
                <w:szCs w:val="16"/>
                <w:color w:val="auto"/>
              </w:rPr>
              <w:t>Inventories, long-term</w:t>
            </w:r>
          </w:p>
        </w:tc>
        <w:tc>
          <w:tcPr>
            <w:tcW w:w="420" w:type="dxa"/>
            <w:vAlign w:val="bottom"/>
            <w:tcBorders>
              <w:bottom w:val="single" w:sz="8" w:color="DBDBDB"/>
            </w:tcBorders>
            <w:shd w:val="clear" w:color="auto" w:fill="DBDBDB"/>
          </w:tcPr>
          <w:p>
            <w:pPr>
              <w:spacing w:after="0"/>
              <w:rPr>
                <w:sz w:val="18"/>
                <w:szCs w:val="18"/>
                <w:color w:val="auto"/>
              </w:rPr>
            </w:pPr>
          </w:p>
        </w:tc>
        <w:tc>
          <w:tcPr>
            <w:tcW w:w="136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34,953</w:t>
            </w:r>
          </w:p>
        </w:tc>
        <w:tc>
          <w:tcPr>
            <w:tcW w:w="120" w:type="dxa"/>
            <w:vAlign w:val="bottom"/>
            <w:tcBorders>
              <w:bottom w:val="single" w:sz="8" w:color="DBDBDB"/>
            </w:tcBorders>
            <w:shd w:val="clear" w:color="auto" w:fill="DBDBDB"/>
          </w:tcPr>
          <w:p>
            <w:pPr>
              <w:spacing w:after="0"/>
              <w:rPr>
                <w:sz w:val="18"/>
                <w:szCs w:val="18"/>
                <w:color w:val="auto"/>
              </w:rPr>
            </w:pPr>
          </w:p>
        </w:tc>
        <w:tc>
          <w:tcPr>
            <w:tcW w:w="560" w:type="dxa"/>
            <w:vAlign w:val="bottom"/>
            <w:tcBorders>
              <w:bottom w:val="single" w:sz="8" w:color="DBDBDB"/>
            </w:tcBorders>
            <w:shd w:val="clear" w:color="auto" w:fill="DBDBDB"/>
          </w:tcPr>
          <w:p>
            <w:pPr>
              <w:spacing w:after="0"/>
              <w:rPr>
                <w:sz w:val="18"/>
                <w:szCs w:val="18"/>
                <w:color w:val="auto"/>
              </w:rPr>
            </w:pPr>
          </w:p>
        </w:tc>
        <w:tc>
          <w:tcPr>
            <w:tcW w:w="122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9,403</w:t>
            </w:r>
          </w:p>
        </w:tc>
        <w:tc>
          <w:tcPr>
            <w:tcW w:w="0" w:type="dxa"/>
            <w:vAlign w:val="bottom"/>
          </w:tcPr>
          <w:p>
            <w:pPr>
              <w:spacing w:after="0"/>
              <w:rPr>
                <w:sz w:val="1"/>
                <w:szCs w:val="1"/>
                <w:color w:val="auto"/>
              </w:rPr>
            </w:pPr>
          </w:p>
        </w:tc>
      </w:tr>
      <w:tr>
        <w:trPr>
          <w:trHeight w:val="187"/>
        </w:trPr>
        <w:tc>
          <w:tcPr>
            <w:tcW w:w="7560" w:type="dxa"/>
            <w:vAlign w:val="bottom"/>
          </w:tcPr>
          <w:p>
            <w:pPr>
              <w:ind w:left="20"/>
              <w:spacing w:after="0" w:line="182" w:lineRule="exact"/>
              <w:rPr>
                <w:sz w:val="20"/>
                <w:szCs w:val="20"/>
                <w:color w:val="auto"/>
              </w:rPr>
            </w:pPr>
            <w:r>
              <w:rPr>
                <w:rFonts w:ascii="Calibri" w:cs="Calibri" w:eastAsia="Calibri" w:hAnsi="Calibri"/>
                <w:sz w:val="16"/>
                <w:szCs w:val="16"/>
                <w:color w:val="auto"/>
              </w:rPr>
              <w:t>Total inventories</w:t>
            </w:r>
          </w:p>
        </w:tc>
        <w:tc>
          <w:tcPr>
            <w:tcW w:w="420" w:type="dxa"/>
            <w:vAlign w:val="bottom"/>
            <w:tcBorders>
              <w:top w:val="single" w:sz="8" w:color="auto"/>
            </w:tcBorders>
          </w:tcPr>
          <w:p>
            <w:pPr>
              <w:jc w:val="right"/>
              <w:ind w:right="239"/>
              <w:spacing w:after="0" w:line="187" w:lineRule="exact"/>
              <w:rPr>
                <w:sz w:val="20"/>
                <w:szCs w:val="20"/>
                <w:color w:val="auto"/>
              </w:rPr>
            </w:pPr>
            <w:r>
              <w:rPr>
                <w:rFonts w:ascii="Calibri" w:cs="Calibri" w:eastAsia="Calibri" w:hAnsi="Calibri"/>
                <w:sz w:val="16"/>
                <w:szCs w:val="16"/>
                <w:color w:val="auto"/>
                <w:w w:val="97"/>
              </w:rPr>
              <w:t>$</w:t>
            </w:r>
          </w:p>
        </w:tc>
        <w:tc>
          <w:tcPr>
            <w:tcW w:w="136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51,196</w:t>
            </w:r>
          </w:p>
        </w:tc>
        <w:tc>
          <w:tcPr>
            <w:tcW w:w="120" w:type="dxa"/>
            <w:vAlign w:val="bottom"/>
          </w:tcPr>
          <w:p>
            <w:pPr>
              <w:spacing w:after="0"/>
              <w:rPr>
                <w:sz w:val="16"/>
                <w:szCs w:val="16"/>
                <w:color w:val="auto"/>
              </w:rPr>
            </w:pPr>
          </w:p>
        </w:tc>
        <w:tc>
          <w:tcPr>
            <w:tcW w:w="560" w:type="dxa"/>
            <w:vAlign w:val="bottom"/>
            <w:tcBorders>
              <w:top w:val="single" w:sz="8" w:color="auto"/>
            </w:tcBorders>
          </w:tcPr>
          <w:p>
            <w:pPr>
              <w:jc w:val="right"/>
              <w:ind w:right="379"/>
              <w:spacing w:after="0" w:line="187" w:lineRule="exact"/>
              <w:rPr>
                <w:sz w:val="20"/>
                <w:szCs w:val="20"/>
                <w:color w:val="auto"/>
              </w:rPr>
            </w:pPr>
            <w:r>
              <w:rPr>
                <w:rFonts w:ascii="Calibri" w:cs="Calibri" w:eastAsia="Calibri" w:hAnsi="Calibri"/>
                <w:sz w:val="16"/>
                <w:szCs w:val="16"/>
                <w:color w:val="auto"/>
                <w:w w:val="97"/>
              </w:rPr>
              <w:t>$</w:t>
            </w:r>
          </w:p>
        </w:tc>
        <w:tc>
          <w:tcPr>
            <w:tcW w:w="122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25,094</w:t>
            </w:r>
          </w:p>
        </w:tc>
        <w:tc>
          <w:tcPr>
            <w:tcW w:w="0" w:type="dxa"/>
            <w:vAlign w:val="bottom"/>
          </w:tcPr>
          <w:p>
            <w:pPr>
              <w:spacing w:after="0"/>
              <w:rPr>
                <w:sz w:val="1"/>
                <w:szCs w:val="1"/>
                <w:color w:val="auto"/>
              </w:rPr>
            </w:pPr>
          </w:p>
        </w:tc>
      </w:tr>
      <w:tr>
        <w:trPr>
          <w:trHeight w:val="23"/>
        </w:trPr>
        <w:tc>
          <w:tcPr>
            <w:tcW w:w="7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7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Inventory writen down for Auryxia as a result of excess, obsolescence, scrap or other reasons charged to cost of product and other revenue in the consolidated statements of operatons and comprehensive loss totaled approximately $4.2 million and $1.6 million during the years ended December 31, 2024 and 2023, respectvely. For the years ended December 31, 2024 and 2023, the Company realized $12.3 million and $4.3 million, respectvely, of lower cost of product and other revenue due to the Company's ability to commercially sell inventory previously writen down to zero, its then net realizable value.</w:t>
      </w:r>
    </w:p>
    <w:p>
      <w:pPr>
        <w:spacing w:after="0" w:line="87" w:lineRule="exact"/>
        <w:rPr>
          <w:sz w:val="20"/>
          <w:szCs w:val="20"/>
          <w:color w:val="auto"/>
        </w:rPr>
      </w:pPr>
    </w:p>
    <w:p>
      <w:pPr>
        <w:jc w:val="both"/>
        <w:spacing w:after="0" w:line="220" w:lineRule="auto"/>
        <w:rPr>
          <w:sz w:val="20"/>
          <w:szCs w:val="20"/>
          <w:color w:val="auto"/>
        </w:rPr>
      </w:pPr>
      <w:r>
        <w:rPr>
          <w:rFonts w:ascii="Calibri" w:cs="Calibri" w:eastAsia="Calibri" w:hAnsi="Calibri"/>
          <w:sz w:val="18"/>
          <w:szCs w:val="18"/>
          <w:color w:val="auto"/>
        </w:rPr>
        <w:t>Prior to the FDA’s approval of Vafseo on March 27, 2024, all costs for the manufacture of product to support clinical development and commercial launch, including pre-launch inventory, were expensed as incurred. Pre-launch inventory manufactured prior to the FDA approval of Vafseo will be used in commercial producton untl it is depleted. As of December 31, 2024 and 2023, the Company had cumulatvely expensed $28.4 million in pre-launch inventory costs for Vafseo intended for the U.S. launch.</w:t>
      </w:r>
    </w:p>
    <w:p>
      <w:pPr>
        <w:spacing w:after="0" w:line="108" w:lineRule="exact"/>
        <w:rPr>
          <w:sz w:val="20"/>
          <w:szCs w:val="20"/>
          <w:color w:val="auto"/>
        </w:rPr>
      </w:pPr>
    </w:p>
    <w:p>
      <w:pPr>
        <w:spacing w:after="0"/>
        <w:tabs>
          <w:tab w:leader="none" w:pos="300" w:val="left"/>
        </w:tabs>
        <w:rPr>
          <w:sz w:val="20"/>
          <w:szCs w:val="20"/>
          <w:color w:val="auto"/>
        </w:rPr>
      </w:pPr>
      <w:r>
        <w:rPr>
          <w:rFonts w:ascii="Calibri" w:cs="Calibri" w:eastAsia="Calibri" w:hAnsi="Calibri"/>
          <w:sz w:val="18"/>
          <w:szCs w:val="18"/>
          <w:b w:val="1"/>
          <w:bCs w:val="1"/>
          <w:color w:val="auto"/>
        </w:rPr>
        <w:t>5.</w:t>
      </w:r>
      <w:r>
        <w:rPr>
          <w:sz w:val="20"/>
          <w:szCs w:val="20"/>
          <w:color w:val="auto"/>
        </w:rPr>
        <w:tab/>
      </w:r>
      <w:r>
        <w:rPr>
          <w:rFonts w:ascii="Calibri" w:cs="Calibri" w:eastAsia="Calibri" w:hAnsi="Calibri"/>
          <w:sz w:val="17"/>
          <w:szCs w:val="17"/>
          <w:b w:val="1"/>
          <w:bCs w:val="1"/>
          <w:color w:val="auto"/>
        </w:rPr>
        <w:t>INTANGIBLE ASSET AND GOODWILL</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Intangible Asset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Intangible asset, net of accumulated amortzaton, prior impairments and adjustments as of December 31, 2024 and 2023 consisted of the following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3"/>
          </w:tcPr>
          <w:p>
            <w:pPr>
              <w:jc w:val="center"/>
              <w:ind w:right="80"/>
              <w:spacing w:after="0"/>
              <w:rPr>
                <w:sz w:val="20"/>
                <w:szCs w:val="20"/>
                <w:color w:val="auto"/>
              </w:rPr>
            </w:pPr>
            <w:r>
              <w:rPr>
                <w:rFonts w:ascii="Calibri" w:cs="Calibri" w:eastAsia="Calibri" w:hAnsi="Calibri"/>
                <w:sz w:val="16"/>
                <w:szCs w:val="16"/>
                <w:b w:val="1"/>
                <w:bCs w:val="1"/>
                <w:color w:val="auto"/>
              </w:rPr>
              <w:t>December 31, 2024</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20"/>
              <w:spacing w:after="0"/>
              <w:rPr>
                <w:sz w:val="20"/>
                <w:szCs w:val="20"/>
                <w:color w:val="auto"/>
              </w:rPr>
            </w:pPr>
            <w:r>
              <w:rPr>
                <w:rFonts w:ascii="Calibri" w:cs="Calibri" w:eastAsia="Calibri" w:hAnsi="Calibri"/>
                <w:sz w:val="16"/>
                <w:szCs w:val="16"/>
                <w:b w:val="1"/>
                <w:bCs w:val="1"/>
                <w:color w:val="auto"/>
              </w:rPr>
              <w:t>December 31, 2023</w:t>
            </w:r>
          </w:p>
        </w:tc>
        <w:tc>
          <w:tcPr>
            <w:tcW w:w="1360" w:type="dxa"/>
            <w:vAlign w:val="bottom"/>
          </w:tcPr>
          <w:p>
            <w:pPr>
              <w:spacing w:after="0"/>
              <w:rPr>
                <w:sz w:val="16"/>
                <w:szCs w:val="16"/>
                <w:color w:val="auto"/>
              </w:rPr>
            </w:pPr>
          </w:p>
        </w:tc>
      </w:tr>
      <w:tr>
        <w:trPr>
          <w:trHeight w:val="28"/>
        </w:trPr>
        <w:tc>
          <w:tcPr>
            <w:tcW w:w="4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50"/>
        </w:trPr>
        <w:tc>
          <w:tcPr>
            <w:tcW w:w="4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jc w:val="center"/>
              <w:ind w:right="340"/>
              <w:spacing w:after="0" w:line="150" w:lineRule="exact"/>
              <w:rPr>
                <w:sz w:val="20"/>
                <w:szCs w:val="20"/>
                <w:color w:val="auto"/>
              </w:rPr>
            </w:pPr>
            <w:r>
              <w:rPr>
                <w:rFonts w:ascii="Calibri" w:cs="Calibri" w:eastAsia="Calibri" w:hAnsi="Calibri"/>
                <w:sz w:val="16"/>
                <w:szCs w:val="16"/>
                <w:b w:val="1"/>
                <w:bCs w:val="1"/>
                <w:color w:val="auto"/>
                <w:w w:val="96"/>
              </w:rPr>
              <w:t>Gross</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2"/>
        </w:trPr>
        <w:tc>
          <w:tcPr>
            <w:tcW w:w="4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center"/>
              <w:ind w:right="340"/>
              <w:spacing w:after="0" w:line="162" w:lineRule="exact"/>
              <w:rPr>
                <w:sz w:val="20"/>
                <w:szCs w:val="20"/>
                <w:color w:val="auto"/>
              </w:rPr>
            </w:pPr>
            <w:r>
              <w:rPr>
                <w:rFonts w:ascii="Calibri" w:cs="Calibri" w:eastAsia="Calibri" w:hAnsi="Calibri"/>
                <w:sz w:val="16"/>
                <w:szCs w:val="16"/>
                <w:b w:val="1"/>
                <w:bCs w:val="1"/>
                <w:color w:val="auto"/>
              </w:rPr>
              <w:t>Carrying</w:t>
            </w:r>
          </w:p>
        </w:tc>
        <w:tc>
          <w:tcPr>
            <w:tcW w:w="180" w:type="dxa"/>
            <w:vAlign w:val="bottom"/>
          </w:tcPr>
          <w:p>
            <w:pPr>
              <w:spacing w:after="0"/>
              <w:rPr>
                <w:sz w:val="14"/>
                <w:szCs w:val="14"/>
                <w:color w:val="auto"/>
              </w:rPr>
            </w:pPr>
          </w:p>
        </w:tc>
        <w:tc>
          <w:tcPr>
            <w:tcW w:w="1280" w:type="dxa"/>
            <w:vAlign w:val="bottom"/>
            <w:gridSpan w:val="2"/>
          </w:tcPr>
          <w:p>
            <w:pPr>
              <w:jc w:val="center"/>
              <w:ind w:right="240"/>
              <w:spacing w:after="0" w:line="162" w:lineRule="exact"/>
              <w:rPr>
                <w:sz w:val="20"/>
                <w:szCs w:val="20"/>
                <w:color w:val="auto"/>
              </w:rPr>
            </w:pPr>
            <w:r>
              <w:rPr>
                <w:rFonts w:ascii="Calibri" w:cs="Calibri" w:eastAsia="Calibri" w:hAnsi="Calibri"/>
                <w:sz w:val="16"/>
                <w:szCs w:val="16"/>
                <w:b w:val="1"/>
                <w:bCs w:val="1"/>
                <w:color w:val="auto"/>
              </w:rPr>
              <w:t>Accumulated</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Calibri" w:cs="Calibri" w:eastAsia="Calibri" w:hAnsi="Calibri"/>
                <w:sz w:val="16"/>
                <w:szCs w:val="16"/>
                <w:b w:val="1"/>
                <w:bCs w:val="1"/>
                <w:color w:val="auto"/>
              </w:rPr>
              <w:t>Estmated Useful</w:t>
            </w:r>
          </w:p>
        </w:tc>
      </w:tr>
      <w:tr>
        <w:trPr>
          <w:trHeight w:val="193"/>
        </w:trPr>
        <w:tc>
          <w:tcPr>
            <w:tcW w:w="4080" w:type="dxa"/>
            <w:vAlign w:val="bottom"/>
            <w:gridSpan w:val="2"/>
          </w:tcPr>
          <w:p>
            <w:pPr>
              <w:ind w:left="20"/>
              <w:spacing w:after="0" w:line="193" w:lineRule="exact"/>
              <w:rPr>
                <w:sz w:val="20"/>
                <w:szCs w:val="20"/>
                <w:color w:val="auto"/>
              </w:rPr>
            </w:pPr>
            <w:r>
              <w:rPr>
                <w:rFonts w:ascii="Calibri" w:cs="Calibri" w:eastAsia="Calibri" w:hAnsi="Calibri"/>
                <w:sz w:val="16"/>
                <w:szCs w:val="16"/>
                <w:b w:val="1"/>
                <w:bCs w:val="1"/>
                <w:color w:val="auto"/>
              </w:rPr>
              <w:t>Intangible asset:</w:t>
            </w:r>
          </w:p>
        </w:tc>
        <w:tc>
          <w:tcPr>
            <w:tcW w:w="260" w:type="dxa"/>
            <w:vAlign w:val="bottom"/>
          </w:tcPr>
          <w:p>
            <w:pPr>
              <w:spacing w:after="0"/>
              <w:rPr>
                <w:sz w:val="16"/>
                <w:szCs w:val="16"/>
                <w:color w:val="auto"/>
              </w:rPr>
            </w:pPr>
          </w:p>
        </w:tc>
        <w:tc>
          <w:tcPr>
            <w:tcW w:w="1180" w:type="dxa"/>
            <w:vAlign w:val="bottom"/>
            <w:gridSpan w:val="2"/>
          </w:tcPr>
          <w:p>
            <w:pPr>
              <w:jc w:val="center"/>
              <w:ind w:right="340"/>
              <w:spacing w:after="0" w:line="193" w:lineRule="exact"/>
              <w:rPr>
                <w:sz w:val="20"/>
                <w:szCs w:val="20"/>
                <w:color w:val="auto"/>
              </w:rPr>
            </w:pPr>
            <w:r>
              <w:rPr>
                <w:rFonts w:ascii="Calibri" w:cs="Calibri" w:eastAsia="Calibri" w:hAnsi="Calibri"/>
                <w:sz w:val="16"/>
                <w:szCs w:val="16"/>
                <w:b w:val="1"/>
                <w:bCs w:val="1"/>
                <w:color w:val="auto"/>
                <w:w w:val="94"/>
              </w:rPr>
              <w:t>Value</w:t>
            </w:r>
          </w:p>
        </w:tc>
        <w:tc>
          <w:tcPr>
            <w:tcW w:w="180" w:type="dxa"/>
            <w:vAlign w:val="bottom"/>
          </w:tcPr>
          <w:p>
            <w:pPr>
              <w:spacing w:after="0"/>
              <w:rPr>
                <w:sz w:val="16"/>
                <w:szCs w:val="16"/>
                <w:color w:val="auto"/>
              </w:rPr>
            </w:pPr>
          </w:p>
        </w:tc>
        <w:tc>
          <w:tcPr>
            <w:tcW w:w="1280" w:type="dxa"/>
            <w:vAlign w:val="bottom"/>
            <w:gridSpan w:val="2"/>
          </w:tcPr>
          <w:p>
            <w:pPr>
              <w:jc w:val="center"/>
              <w:ind w:right="240"/>
              <w:spacing w:after="0" w:line="193" w:lineRule="exact"/>
              <w:rPr>
                <w:sz w:val="20"/>
                <w:szCs w:val="20"/>
                <w:color w:val="auto"/>
              </w:rPr>
            </w:pPr>
            <w:r>
              <w:rPr>
                <w:rFonts w:ascii="Calibri" w:cs="Calibri" w:eastAsia="Calibri" w:hAnsi="Calibri"/>
                <w:sz w:val="16"/>
                <w:szCs w:val="16"/>
                <w:b w:val="1"/>
                <w:bCs w:val="1"/>
                <w:color w:val="auto"/>
              </w:rPr>
              <w:t>Amortzaton</w:t>
            </w:r>
          </w:p>
        </w:tc>
        <w:tc>
          <w:tcPr>
            <w:tcW w:w="140" w:type="dxa"/>
            <w:vAlign w:val="bottom"/>
          </w:tcPr>
          <w:p>
            <w:pPr>
              <w:spacing w:after="0"/>
              <w:rPr>
                <w:sz w:val="16"/>
                <w:szCs w:val="16"/>
                <w:color w:val="auto"/>
              </w:rPr>
            </w:pPr>
          </w:p>
        </w:tc>
        <w:tc>
          <w:tcPr>
            <w:tcW w:w="1320" w:type="dxa"/>
            <w:vAlign w:val="bottom"/>
            <w:gridSpan w:val="2"/>
          </w:tcPr>
          <w:p>
            <w:pPr>
              <w:ind w:left="20"/>
              <w:spacing w:after="0" w:line="193" w:lineRule="exact"/>
              <w:rPr>
                <w:sz w:val="20"/>
                <w:szCs w:val="20"/>
                <w:color w:val="auto"/>
              </w:rPr>
            </w:pPr>
            <w:r>
              <w:rPr>
                <w:rFonts w:ascii="Calibri" w:cs="Calibri" w:eastAsia="Calibri" w:hAnsi="Calibri"/>
                <w:sz w:val="16"/>
                <w:szCs w:val="16"/>
                <w:b w:val="1"/>
                <w:bCs w:val="1"/>
                <w:color w:val="auto"/>
              </w:rPr>
              <w:t>Net Book Value</w:t>
            </w:r>
          </w:p>
        </w:tc>
        <w:tc>
          <w:tcPr>
            <w:tcW w:w="120" w:type="dxa"/>
            <w:vAlign w:val="bottom"/>
          </w:tcPr>
          <w:p>
            <w:pPr>
              <w:spacing w:after="0"/>
              <w:rPr>
                <w:sz w:val="16"/>
                <w:szCs w:val="16"/>
                <w:color w:val="auto"/>
              </w:rPr>
            </w:pPr>
          </w:p>
        </w:tc>
        <w:tc>
          <w:tcPr>
            <w:tcW w:w="1320" w:type="dxa"/>
            <w:vAlign w:val="bottom"/>
            <w:gridSpan w:val="2"/>
          </w:tcPr>
          <w:p>
            <w:pPr>
              <w:ind w:left="40"/>
              <w:spacing w:after="0" w:line="193" w:lineRule="exact"/>
              <w:rPr>
                <w:sz w:val="20"/>
                <w:szCs w:val="20"/>
                <w:color w:val="auto"/>
              </w:rPr>
            </w:pPr>
            <w:r>
              <w:rPr>
                <w:rFonts w:ascii="Calibri" w:cs="Calibri" w:eastAsia="Calibri" w:hAnsi="Calibri"/>
                <w:sz w:val="16"/>
                <w:szCs w:val="16"/>
                <w:b w:val="1"/>
                <w:bCs w:val="1"/>
                <w:color w:val="auto"/>
              </w:rPr>
              <w:t>Net Book Value</w:t>
            </w:r>
          </w:p>
        </w:tc>
        <w:tc>
          <w:tcPr>
            <w:tcW w:w="136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rPr>
              <w:t>Life</w:t>
            </w:r>
          </w:p>
        </w:tc>
      </w:tr>
      <w:tr>
        <w:trPr>
          <w:trHeight w:val="28"/>
        </w:trPr>
        <w:tc>
          <w:tcPr>
            <w:tcW w:w="400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7"/>
        </w:trPr>
        <w:tc>
          <w:tcPr>
            <w:tcW w:w="4000" w:type="dxa"/>
            <w:vAlign w:val="bottom"/>
            <w:shd w:val="clear" w:color="auto" w:fill="DBDBDB"/>
          </w:tcPr>
          <w:p>
            <w:pPr>
              <w:ind w:left="140"/>
              <w:spacing w:after="0" w:line="187" w:lineRule="exact"/>
              <w:rPr>
                <w:sz w:val="20"/>
                <w:szCs w:val="20"/>
                <w:color w:val="auto"/>
              </w:rPr>
            </w:pPr>
            <w:r>
              <w:rPr>
                <w:rFonts w:ascii="Calibri" w:cs="Calibri" w:eastAsia="Calibri" w:hAnsi="Calibri"/>
                <w:sz w:val="16"/>
                <w:szCs w:val="16"/>
                <w:color w:val="auto"/>
              </w:rPr>
              <w:t>Developed product rights for Auryxia</w:t>
            </w:r>
          </w:p>
        </w:tc>
        <w:tc>
          <w:tcPr>
            <w:tcW w:w="80" w:type="dxa"/>
            <w:vAlign w:val="bottom"/>
            <w:shd w:val="clear" w:color="auto" w:fill="DBDBDB"/>
          </w:tcPr>
          <w:p>
            <w:pPr>
              <w:spacing w:after="0"/>
              <w:rPr>
                <w:sz w:val="16"/>
                <w:szCs w:val="16"/>
                <w:color w:val="auto"/>
              </w:rPr>
            </w:pPr>
          </w:p>
        </w:tc>
        <w:tc>
          <w:tcPr>
            <w:tcW w:w="260" w:type="dxa"/>
            <w:vAlign w:val="bottom"/>
            <w:shd w:val="clear" w:color="auto" w:fill="DBDBDB"/>
          </w:tcPr>
          <w:p>
            <w:pPr>
              <w:jc w:val="right"/>
              <w:ind w:right="79"/>
              <w:spacing w:after="0" w:line="187" w:lineRule="exact"/>
              <w:rPr>
                <w:sz w:val="20"/>
                <w:szCs w:val="20"/>
                <w:color w:val="auto"/>
              </w:rPr>
            </w:pPr>
            <w:r>
              <w:rPr>
                <w:rFonts w:ascii="Calibri" w:cs="Calibri" w:eastAsia="Calibri" w:hAnsi="Calibri"/>
                <w:sz w:val="16"/>
                <w:szCs w:val="16"/>
                <w:color w:val="auto"/>
                <w:w w:val="97"/>
              </w:rPr>
              <w:t>$</w:t>
            </w:r>
          </w:p>
        </w:tc>
        <w:tc>
          <w:tcPr>
            <w:tcW w:w="1100" w:type="dxa"/>
            <w:vAlign w:val="bottom"/>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214,705</w:t>
            </w: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200" w:type="dxa"/>
            <w:vAlign w:val="bottom"/>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(214,705)</w:t>
            </w:r>
          </w:p>
        </w:tc>
        <w:tc>
          <w:tcPr>
            <w:tcW w:w="80" w:type="dxa"/>
            <w:vAlign w:val="bottom"/>
            <w:shd w:val="clear" w:color="auto" w:fill="DBDBDB"/>
          </w:tcPr>
          <w:p>
            <w:pPr>
              <w:spacing w:after="0"/>
              <w:rPr>
                <w:sz w:val="16"/>
                <w:szCs w:val="16"/>
                <w:color w:val="auto"/>
              </w:rPr>
            </w:pPr>
          </w:p>
        </w:tc>
        <w:tc>
          <w:tcPr>
            <w:tcW w:w="140" w:type="dxa"/>
            <w:vAlign w:val="bottom"/>
            <w:shd w:val="clear" w:color="auto" w:fill="DBDBDB"/>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220" w:type="dxa"/>
            <w:vAlign w:val="bottom"/>
            <w:shd w:val="clear" w:color="auto" w:fill="DBDBDB"/>
          </w:tcPr>
          <w:p>
            <w:pPr>
              <w:ind w:left="1000"/>
              <w:spacing w:after="0" w:line="187" w:lineRule="exact"/>
              <w:rPr>
                <w:sz w:val="20"/>
                <w:szCs w:val="20"/>
                <w:color w:val="auto"/>
              </w:rPr>
            </w:pPr>
            <w:r>
              <w:rPr>
                <w:rFonts w:ascii="Calibri" w:cs="Calibri" w:eastAsia="Calibri" w:hAnsi="Calibri"/>
                <w:sz w:val="16"/>
                <w:szCs w:val="16"/>
                <w:color w:val="auto"/>
              </w:rPr>
              <w:t>—</w:t>
            </w: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ind w:left="20"/>
              <w:spacing w:after="0" w:line="187" w:lineRule="exact"/>
              <w:rPr>
                <w:sz w:val="20"/>
                <w:szCs w:val="20"/>
                <w:color w:val="auto"/>
              </w:rPr>
            </w:pPr>
            <w:r>
              <w:rPr>
                <w:rFonts w:ascii="Calibri" w:cs="Calibri" w:eastAsia="Calibri" w:hAnsi="Calibri"/>
                <w:sz w:val="16"/>
                <w:szCs w:val="16"/>
                <w:color w:val="auto"/>
                <w:w w:val="97"/>
              </w:rPr>
              <w:t>$</w:t>
            </w:r>
          </w:p>
        </w:tc>
        <w:tc>
          <w:tcPr>
            <w:tcW w:w="1240" w:type="dxa"/>
            <w:vAlign w:val="bottom"/>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36,042</w:t>
            </w:r>
          </w:p>
        </w:tc>
        <w:tc>
          <w:tcPr>
            <w:tcW w:w="80" w:type="dxa"/>
            <w:vAlign w:val="bottom"/>
            <w:shd w:val="clear" w:color="auto" w:fill="DBDBDB"/>
          </w:tcPr>
          <w:p>
            <w:pPr>
              <w:spacing w:after="0"/>
              <w:rPr>
                <w:sz w:val="16"/>
                <w:szCs w:val="16"/>
                <w:color w:val="auto"/>
              </w:rPr>
            </w:pPr>
          </w:p>
        </w:tc>
        <w:tc>
          <w:tcPr>
            <w:tcW w:w="1360" w:type="dxa"/>
            <w:vAlign w:val="bottom"/>
            <w:shd w:val="clear" w:color="auto" w:fill="DBDBDB"/>
          </w:tcPr>
          <w:p>
            <w:pPr>
              <w:jc w:val="center"/>
              <w:spacing w:after="0" w:line="187" w:lineRule="exact"/>
              <w:rPr>
                <w:sz w:val="20"/>
                <w:szCs w:val="20"/>
                <w:color w:val="auto"/>
              </w:rPr>
            </w:pPr>
            <w:r>
              <w:rPr>
                <w:rFonts w:ascii="Calibri" w:cs="Calibri" w:eastAsia="Calibri" w:hAnsi="Calibri"/>
                <w:sz w:val="16"/>
                <w:szCs w:val="16"/>
                <w:color w:val="auto"/>
                <w:w w:val="98"/>
              </w:rPr>
              <w:t>6 years</w:t>
            </w:r>
          </w:p>
        </w:tc>
      </w:tr>
      <w:tr>
        <w:trPr>
          <w:trHeight w:val="22"/>
        </w:trPr>
        <w:tc>
          <w:tcPr>
            <w:tcW w:w="4000" w:type="dxa"/>
            <w:vAlign w:val="bottom"/>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260" w:type="dxa"/>
            <w:vAlign w:val="bottom"/>
            <w:shd w:val="clear" w:color="auto" w:fill="DBDBDB"/>
          </w:tcPr>
          <w:p>
            <w:pPr>
              <w:spacing w:after="0" w:line="20" w:lineRule="exact"/>
              <w:rPr>
                <w:sz w:val="1"/>
                <w:szCs w:val="1"/>
                <w:color w:val="auto"/>
              </w:rPr>
            </w:pPr>
          </w:p>
        </w:tc>
        <w:tc>
          <w:tcPr>
            <w:tcW w:w="1100" w:type="dxa"/>
            <w:vAlign w:val="bottom"/>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180" w:type="dxa"/>
            <w:vAlign w:val="bottom"/>
            <w:shd w:val="clear" w:color="auto" w:fill="DBDBDB"/>
          </w:tcPr>
          <w:p>
            <w:pPr>
              <w:spacing w:after="0" w:line="20" w:lineRule="exact"/>
              <w:rPr>
                <w:sz w:val="1"/>
                <w:szCs w:val="1"/>
                <w:color w:val="auto"/>
              </w:rPr>
            </w:pPr>
          </w:p>
        </w:tc>
        <w:tc>
          <w:tcPr>
            <w:tcW w:w="1200" w:type="dxa"/>
            <w:vAlign w:val="bottom"/>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140" w:type="dxa"/>
            <w:vAlign w:val="bottom"/>
            <w:shd w:val="clear" w:color="auto" w:fill="DBDBDB"/>
          </w:tcPr>
          <w:p>
            <w:pPr>
              <w:spacing w:after="0" w:line="20" w:lineRule="exact"/>
              <w:rPr>
                <w:sz w:val="1"/>
                <w:szCs w:val="1"/>
                <w:color w:val="auto"/>
              </w:rPr>
            </w:pPr>
          </w:p>
        </w:tc>
        <w:tc>
          <w:tcPr>
            <w:tcW w:w="1220" w:type="dxa"/>
            <w:vAlign w:val="bottom"/>
            <w:shd w:val="clear" w:color="auto" w:fill="DBDBDB"/>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120" w:type="dxa"/>
            <w:vAlign w:val="bottom"/>
            <w:shd w:val="clear" w:color="auto" w:fill="DBDBDB"/>
          </w:tcPr>
          <w:p>
            <w:pPr>
              <w:spacing w:after="0" w:line="20" w:lineRule="exact"/>
              <w:rPr>
                <w:sz w:val="1"/>
                <w:szCs w:val="1"/>
                <w:color w:val="auto"/>
              </w:rPr>
            </w:pPr>
          </w:p>
        </w:tc>
        <w:tc>
          <w:tcPr>
            <w:tcW w:w="1240" w:type="dxa"/>
            <w:vAlign w:val="bottom"/>
            <w:shd w:val="clear" w:color="auto" w:fill="DBDBDB"/>
          </w:tcPr>
          <w:p>
            <w:pPr>
              <w:spacing w:after="0" w:line="20" w:lineRule="exact"/>
              <w:rPr>
                <w:sz w:val="1"/>
                <w:szCs w:val="1"/>
                <w:color w:val="auto"/>
              </w:rPr>
            </w:pPr>
          </w:p>
        </w:tc>
        <w:tc>
          <w:tcPr>
            <w:tcW w:w="80" w:type="dxa"/>
            <w:vAlign w:val="bottom"/>
            <w:shd w:val="clear" w:color="auto" w:fill="DBDBDB"/>
          </w:tcPr>
          <w:p>
            <w:pPr>
              <w:spacing w:after="0" w:line="20" w:lineRule="exact"/>
              <w:rPr>
                <w:sz w:val="1"/>
                <w:szCs w:val="1"/>
                <w:color w:val="auto"/>
              </w:rPr>
            </w:pPr>
          </w:p>
        </w:tc>
        <w:tc>
          <w:tcPr>
            <w:tcW w:w="1360" w:type="dxa"/>
            <w:vAlign w:val="bottom"/>
            <w:shd w:val="clear" w:color="auto" w:fill="DBDBDB"/>
          </w:tcPr>
          <w:p>
            <w:pPr>
              <w:spacing w:after="0" w:line="20" w:lineRule="exact"/>
              <w:rPr>
                <w:sz w:val="1"/>
                <w:szCs w:val="1"/>
                <w:color w:val="auto"/>
              </w:rPr>
            </w:pPr>
          </w:p>
        </w:tc>
      </w:tr>
    </w:tbl>
    <w:p>
      <w:pPr>
        <w:spacing w:after="0" w:line="18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recorded $36.0 million in amortzaton expense during each of the years ended December 31, 2024 and 2023 related to the developed product rights for Auryxia. As of December 31, 2024, the intangible asset is fully amortzed.</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Goodwill</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As of December 31, 2024 and 2023, the Company had goodwill of $59.0 million recorded in connecton with the December 2018 merger with Keryx Biopharmaceutcals, Inc., or </w:t>
      </w:r>
      <w:r>
        <w:rPr>
          <w:rFonts w:ascii="Calibri" w:cs="Calibri" w:eastAsia="Calibri" w:hAnsi="Calibri"/>
          <w:sz w:val="18"/>
          <w:szCs w:val="18"/>
          <w:u w:val="single" w:color="auto"/>
          <w:color w:val="auto"/>
        </w:rPr>
        <w:t>Keryx</w:t>
      </w:r>
      <w:r>
        <w:rPr>
          <w:rFonts w:ascii="Calibri" w:cs="Calibri" w:eastAsia="Calibri" w:hAnsi="Calibri"/>
          <w:sz w:val="18"/>
          <w:szCs w:val="18"/>
          <w:color w:val="auto"/>
        </w:rPr>
        <w:t>. The Company has not identfed any goodwill impairment to date.</w:t>
      </w:r>
    </w:p>
    <w:p>
      <w:pPr>
        <w:spacing w:after="0" w:line="105" w:lineRule="exact"/>
        <w:rPr>
          <w:sz w:val="20"/>
          <w:szCs w:val="20"/>
          <w:color w:val="auto"/>
        </w:rPr>
      </w:pPr>
    </w:p>
    <w:p>
      <w:pPr>
        <w:spacing w:after="0"/>
        <w:tabs>
          <w:tab w:leader="none" w:pos="300" w:val="left"/>
        </w:tabs>
        <w:rPr>
          <w:sz w:val="20"/>
          <w:szCs w:val="20"/>
          <w:color w:val="auto"/>
        </w:rPr>
      </w:pPr>
      <w:r>
        <w:rPr>
          <w:rFonts w:ascii="Calibri" w:cs="Calibri" w:eastAsia="Calibri" w:hAnsi="Calibri"/>
          <w:sz w:val="18"/>
          <w:szCs w:val="18"/>
          <w:b w:val="1"/>
          <w:bCs w:val="1"/>
          <w:color w:val="auto"/>
        </w:rPr>
        <w:t>6.</w:t>
      </w:r>
      <w:r>
        <w:rPr>
          <w:sz w:val="20"/>
          <w:szCs w:val="20"/>
          <w:color w:val="auto"/>
        </w:rPr>
        <w:tab/>
      </w:r>
      <w:r>
        <w:rPr>
          <w:rFonts w:ascii="Calibri" w:cs="Calibri" w:eastAsia="Calibri" w:hAnsi="Calibri"/>
          <w:sz w:val="17"/>
          <w:szCs w:val="17"/>
          <w:b w:val="1"/>
          <w:bCs w:val="1"/>
          <w:color w:val="auto"/>
        </w:rPr>
        <w:t>ADDITIONAL BALANCE SHEET DETAIL</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Prepaid expenses and other current assets are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gridSpan w:val="3"/>
          </w:tcPr>
          <w:p>
            <w:pPr>
              <w:ind w:left="1020"/>
              <w:spacing w:after="0"/>
              <w:rPr>
                <w:sz w:val="20"/>
                <w:szCs w:val="20"/>
                <w:color w:val="auto"/>
              </w:rPr>
            </w:pPr>
            <w:r>
              <w:rPr>
                <w:rFonts w:ascii="Calibri" w:cs="Calibri" w:eastAsia="Calibri" w:hAnsi="Calibri"/>
                <w:sz w:val="16"/>
                <w:szCs w:val="16"/>
                <w:b w:val="1"/>
                <w:bCs w:val="1"/>
                <w:color w:val="auto"/>
              </w:rPr>
              <w:t>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8260" w:type="dxa"/>
            <w:vAlign w:val="bottom"/>
            <w:gridSpan w:val="2"/>
            <w:vMerge w:val="restart"/>
          </w:tcPr>
          <w:p>
            <w:pPr>
              <w:ind w:left="20"/>
              <w:spacing w:after="0"/>
              <w:rPr>
                <w:sz w:val="20"/>
                <w:szCs w:val="20"/>
                <w:color w:val="auto"/>
              </w:rPr>
            </w:pPr>
            <w:r>
              <w:rPr>
                <w:rFonts w:ascii="Calibri" w:cs="Calibri" w:eastAsia="Calibri" w:hAnsi="Calibri"/>
                <w:sz w:val="16"/>
                <w:szCs w:val="16"/>
                <w:b w:val="1"/>
                <w:bCs w:val="1"/>
                <w:color w:val="auto"/>
              </w:rPr>
              <w:t>Descripton</w:t>
            </w: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260" w:type="dxa"/>
            <w:vAlign w:val="bottom"/>
            <w:gridSpan w:val="2"/>
            <w:vMerge w:val="continue"/>
          </w:tcPr>
          <w:p>
            <w:pPr>
              <w:spacing w:after="0"/>
              <w:rPr>
                <w:sz w:val="16"/>
                <w:szCs w:val="16"/>
                <w:color w:val="auto"/>
              </w:rPr>
            </w:pPr>
          </w:p>
        </w:tc>
        <w:tc>
          <w:tcPr>
            <w:tcW w:w="1440" w:type="dxa"/>
            <w:vAlign w:val="bottom"/>
          </w:tcPr>
          <w:p>
            <w:pPr>
              <w:jc w:val="right"/>
              <w:ind w:right="479"/>
              <w:spacing w:after="0" w:line="187" w:lineRule="exact"/>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479"/>
              <w:spacing w:after="0" w:line="187" w:lineRule="exact"/>
              <w:rPr>
                <w:sz w:val="20"/>
                <w:szCs w:val="20"/>
                <w:color w:val="auto"/>
              </w:rPr>
            </w:pPr>
            <w:r>
              <w:rPr>
                <w:rFonts w:ascii="Calibri" w:cs="Calibri" w:eastAsia="Calibri" w:hAnsi="Calibri"/>
                <w:sz w:val="16"/>
                <w:szCs w:val="16"/>
                <w:b w:val="1"/>
                <w:bCs w:val="1"/>
                <w:color w:val="auto"/>
              </w:rPr>
              <w:t>2023</w:t>
            </w:r>
          </w:p>
        </w:tc>
        <w:tc>
          <w:tcPr>
            <w:tcW w:w="0" w:type="dxa"/>
            <w:vAlign w:val="bottom"/>
          </w:tcPr>
          <w:p>
            <w:pPr>
              <w:spacing w:after="0"/>
              <w:rPr>
                <w:sz w:val="1"/>
                <w:szCs w:val="1"/>
                <w:color w:val="auto"/>
              </w:rPr>
            </w:pPr>
          </w:p>
        </w:tc>
      </w:tr>
      <w:tr>
        <w:trPr>
          <w:trHeight w:val="23"/>
        </w:trPr>
        <w:tc>
          <w:tcPr>
            <w:tcW w:w="8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8180" w:type="dxa"/>
            <w:vAlign w:val="bottom"/>
            <w:tcBorders>
              <w:bottom w:val="single" w:sz="8" w:color="DBDBDB"/>
            </w:tcBorders>
            <w:shd w:val="clear" w:color="auto" w:fill="DBDBDB"/>
          </w:tcPr>
          <w:p>
            <w:pPr>
              <w:ind w:left="20"/>
              <w:spacing w:after="0" w:line="187" w:lineRule="exact"/>
              <w:rPr>
                <w:sz w:val="20"/>
                <w:szCs w:val="20"/>
                <w:color w:val="auto"/>
              </w:rPr>
            </w:pPr>
            <w:r>
              <w:rPr>
                <w:rFonts w:ascii="Calibri" w:cs="Calibri" w:eastAsia="Calibri" w:hAnsi="Calibri"/>
                <w:sz w:val="16"/>
                <w:szCs w:val="16"/>
                <w:color w:val="auto"/>
              </w:rPr>
              <w:t>Prepaid manufacturing</w:t>
            </w:r>
          </w:p>
        </w:tc>
        <w:tc>
          <w:tcPr>
            <w:tcW w:w="80" w:type="dxa"/>
            <w:vAlign w:val="bottom"/>
            <w:tcBorders>
              <w:bottom w:val="single" w:sz="8" w:color="DBDBDB"/>
            </w:tcBorders>
            <w:shd w:val="clear" w:color="auto" w:fill="DBDBDB"/>
          </w:tcPr>
          <w:p>
            <w:pPr>
              <w:spacing w:after="0"/>
              <w:rPr>
                <w:sz w:val="16"/>
                <w:szCs w:val="16"/>
                <w:color w:val="auto"/>
              </w:rPr>
            </w:pPr>
          </w:p>
        </w:tc>
        <w:tc>
          <w:tcPr>
            <w:tcW w:w="144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4,029</w:t>
            </w:r>
          </w:p>
        </w:tc>
        <w:tc>
          <w:tcPr>
            <w:tcW w:w="100" w:type="dxa"/>
            <w:vAlign w:val="bottom"/>
            <w:tcBorders>
              <w:bottom w:val="single" w:sz="8" w:color="DBDBDB"/>
            </w:tcBorders>
            <w:shd w:val="clear" w:color="auto" w:fill="DBDBDB"/>
          </w:tcPr>
          <w:p>
            <w:pPr>
              <w:spacing w:after="0"/>
              <w:rPr>
                <w:sz w:val="16"/>
                <w:szCs w:val="16"/>
                <w:color w:val="auto"/>
              </w:rPr>
            </w:pPr>
          </w:p>
        </w:tc>
        <w:tc>
          <w:tcPr>
            <w:tcW w:w="500" w:type="dxa"/>
            <w:vAlign w:val="bottom"/>
            <w:tcBorders>
              <w:bottom w:val="single" w:sz="8" w:color="DBDBDB"/>
            </w:tcBorders>
            <w:shd w:val="clear" w:color="auto" w:fill="DBDBDB"/>
          </w:tcPr>
          <w:p>
            <w:pPr>
              <w:spacing w:after="0"/>
              <w:rPr>
                <w:sz w:val="16"/>
                <w:szCs w:val="16"/>
                <w:color w:val="auto"/>
              </w:rPr>
            </w:pPr>
          </w:p>
        </w:tc>
        <w:tc>
          <w:tcPr>
            <w:tcW w:w="94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14,489</w:t>
            </w:r>
          </w:p>
        </w:tc>
        <w:tc>
          <w:tcPr>
            <w:tcW w:w="0" w:type="dxa"/>
            <w:vAlign w:val="bottom"/>
          </w:tcPr>
          <w:p>
            <w:pPr>
              <w:spacing w:after="0"/>
              <w:rPr>
                <w:sz w:val="1"/>
                <w:szCs w:val="1"/>
                <w:color w:val="auto"/>
              </w:rPr>
            </w:pPr>
          </w:p>
        </w:tc>
      </w:tr>
      <w:tr>
        <w:trPr>
          <w:trHeight w:val="193"/>
        </w:trPr>
        <w:tc>
          <w:tcPr>
            <w:tcW w:w="826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Other</w:t>
            </w:r>
          </w:p>
        </w:tc>
        <w:tc>
          <w:tcPr>
            <w:tcW w:w="1440" w:type="dxa"/>
            <w:vAlign w:val="bottom"/>
          </w:tcPr>
          <w:p>
            <w:pPr>
              <w:jc w:val="right"/>
              <w:spacing w:after="0" w:line="193" w:lineRule="exact"/>
              <w:rPr>
                <w:sz w:val="20"/>
                <w:szCs w:val="20"/>
                <w:color w:val="auto"/>
              </w:rPr>
            </w:pPr>
            <w:r>
              <w:rPr>
                <w:rFonts w:ascii="Calibri" w:cs="Calibri" w:eastAsia="Calibri" w:hAnsi="Calibri"/>
                <w:sz w:val="16"/>
                <w:szCs w:val="16"/>
                <w:color w:val="auto"/>
              </w:rPr>
              <w:t>7,321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5,754</w:t>
            </w:r>
          </w:p>
        </w:tc>
        <w:tc>
          <w:tcPr>
            <w:tcW w:w="0" w:type="dxa"/>
            <w:vAlign w:val="bottom"/>
          </w:tcPr>
          <w:p>
            <w:pPr>
              <w:spacing w:after="0"/>
              <w:rPr>
                <w:sz w:val="1"/>
                <w:szCs w:val="1"/>
                <w:color w:val="auto"/>
              </w:rPr>
            </w:pPr>
          </w:p>
        </w:tc>
      </w:tr>
      <w:tr>
        <w:trPr>
          <w:trHeight w:val="23"/>
        </w:trPr>
        <w:tc>
          <w:tcPr>
            <w:tcW w:w="8180" w:type="dxa"/>
            <w:vAlign w:val="bottom"/>
            <w:tcBorders>
              <w:bottom w:val="single" w:sz="8" w:color="DBDBDB"/>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8260" w:type="dxa"/>
            <w:vAlign w:val="bottom"/>
            <w:tcBorders>
              <w:bottom w:val="single" w:sz="8" w:color="DBDBDB"/>
            </w:tcBorders>
            <w:gridSpan w:val="2"/>
            <w:shd w:val="clear" w:color="auto" w:fill="DBDBDB"/>
          </w:tcPr>
          <w:p>
            <w:pPr>
              <w:ind w:left="140"/>
              <w:spacing w:after="0"/>
              <w:rPr>
                <w:sz w:val="20"/>
                <w:szCs w:val="20"/>
                <w:color w:val="auto"/>
              </w:rPr>
            </w:pPr>
            <w:r>
              <w:rPr>
                <w:rFonts w:ascii="Calibri" w:cs="Calibri" w:eastAsia="Calibri" w:hAnsi="Calibri"/>
                <w:sz w:val="16"/>
                <w:szCs w:val="16"/>
                <w:color w:val="auto"/>
              </w:rPr>
              <w:t>Total prepaid expenses and other current assets</w:t>
            </w:r>
          </w:p>
        </w:tc>
        <w:tc>
          <w:tcPr>
            <w:tcW w:w="1440" w:type="dxa"/>
            <w:vAlign w:val="bottom"/>
            <w:tcBorders>
              <w:bottom w:val="single" w:sz="8" w:color="auto"/>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11,350</w:t>
            </w:r>
          </w:p>
        </w:tc>
        <w:tc>
          <w:tcPr>
            <w:tcW w:w="100" w:type="dxa"/>
            <w:vAlign w:val="bottom"/>
            <w:tcBorders>
              <w:bottom w:val="single" w:sz="8" w:color="DBDBDB"/>
            </w:tcBorders>
            <w:shd w:val="clear" w:color="auto" w:fill="DBDBDB"/>
          </w:tcPr>
          <w:p>
            <w:pPr>
              <w:spacing w:after="0"/>
              <w:rPr>
                <w:sz w:val="19"/>
                <w:szCs w:val="19"/>
                <w:color w:val="auto"/>
              </w:rPr>
            </w:pPr>
          </w:p>
        </w:tc>
        <w:tc>
          <w:tcPr>
            <w:tcW w:w="500" w:type="dxa"/>
            <w:vAlign w:val="bottom"/>
            <w:tcBorders>
              <w:bottom w:val="single" w:sz="8" w:color="auto"/>
            </w:tcBorders>
            <w:shd w:val="clear" w:color="auto" w:fill="DBDBDB"/>
          </w:tcPr>
          <w:p>
            <w:pPr>
              <w:spacing w:after="0"/>
              <w:rPr>
                <w:sz w:val="19"/>
                <w:szCs w:val="19"/>
                <w:color w:val="auto"/>
              </w:rPr>
            </w:pPr>
          </w:p>
        </w:tc>
        <w:tc>
          <w:tcPr>
            <w:tcW w:w="940" w:type="dxa"/>
            <w:vAlign w:val="bottom"/>
            <w:tcBorders>
              <w:bottom w:val="single" w:sz="8" w:color="auto"/>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20,243</w:t>
            </w:r>
          </w:p>
        </w:tc>
        <w:tc>
          <w:tcPr>
            <w:tcW w:w="0" w:type="dxa"/>
            <w:vAlign w:val="bottom"/>
          </w:tcPr>
          <w:p>
            <w:pPr>
              <w:spacing w:after="0"/>
              <w:rPr>
                <w:sz w:val="1"/>
                <w:szCs w:val="1"/>
                <w:color w:val="auto"/>
              </w:rPr>
            </w:pPr>
          </w:p>
        </w:tc>
      </w:tr>
      <w:tr>
        <w:trPr>
          <w:trHeight w:val="20"/>
        </w:trPr>
        <w:tc>
          <w:tcPr>
            <w:tcW w:w="818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Prepaid manufacturing expenses include advance payments to contract manufacturing organizatons, or </w:t>
      </w:r>
      <w:r>
        <w:rPr>
          <w:rFonts w:ascii="Calibri" w:cs="Calibri" w:eastAsia="Calibri" w:hAnsi="Calibri"/>
          <w:sz w:val="18"/>
          <w:szCs w:val="18"/>
          <w:u w:val="single" w:color="auto"/>
          <w:color w:val="auto"/>
        </w:rPr>
        <w:t>CMOs</w:t>
      </w:r>
      <w:r>
        <w:rPr>
          <w:rFonts w:ascii="Calibri" w:cs="Calibri" w:eastAsia="Calibri" w:hAnsi="Calibri"/>
          <w:sz w:val="18"/>
          <w:szCs w:val="18"/>
          <w:color w:val="auto"/>
        </w:rPr>
        <w:t>, for actve pharmaceutcal ingredient or drug substance. Such amounts are reclassifed to work-in-process inventory upon the quality release of the batches and transfer of ttle to the Company from the CMO. Prior to receiving regulatory approval for Vafseo,</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4" w:name="page145"/>
    <w:bookmarkEnd w:id="14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 xml:space="preserve">such amounts were expensed to R&amp;D upon the quality release of the batches and transfer of ttle to the Company from the CMO. See Note 4, </w:t>
      </w:r>
      <w:r>
        <w:rPr>
          <w:rFonts w:ascii="Calibri" w:cs="Calibri" w:eastAsia="Calibri" w:hAnsi="Calibri"/>
          <w:sz w:val="18"/>
          <w:szCs w:val="18"/>
          <w:i w:val="1"/>
          <w:iCs w:val="1"/>
          <w:color w:val="auto"/>
        </w:rPr>
        <w:t>Inventories</w:t>
      </w:r>
      <w:r>
        <w:rPr>
          <w:rFonts w:ascii="Calibri" w:cs="Calibri" w:eastAsia="Calibri" w:hAnsi="Calibri"/>
          <w:sz w:val="18"/>
          <w:szCs w:val="18"/>
          <w:color w:val="auto"/>
        </w:rPr>
        <w:t>, for further informaton on inventories, including pre-launch inventory.</w:t>
      </w:r>
    </w:p>
    <w:p>
      <w:pPr>
        <w:sectPr>
          <w:pgSz w:w="11900" w:h="16838" w:orient="portrait"/>
          <w:cols w:equalWidth="0" w:num="1">
            <w:col w:w="11240"/>
          </w:cols>
          <w:pgMar w:left="320" w:top="328" w:right="339" w:bottom="1440" w:gutter="0" w:footer="0" w:header="0"/>
        </w:sectPr>
      </w:pPr>
    </w:p>
    <w:p>
      <w:pPr>
        <w:spacing w:after="0" w:line="110" w:lineRule="exact"/>
        <w:rPr>
          <w:sz w:val="20"/>
          <w:szCs w:val="20"/>
          <w:color w:val="auto"/>
        </w:rPr>
      </w:pPr>
    </w:p>
    <w:p>
      <w:pPr>
        <w:spacing w:after="0"/>
        <w:rPr>
          <w:sz w:val="20"/>
          <w:szCs w:val="20"/>
          <w:color w:val="auto"/>
        </w:rPr>
      </w:pPr>
      <w:r>
        <w:rPr>
          <w:rFonts w:ascii="Calibri" w:cs="Calibri" w:eastAsia="Calibri" w:hAnsi="Calibri"/>
          <w:sz w:val="17"/>
          <w:szCs w:val="17"/>
          <w:color w:val="auto"/>
        </w:rPr>
        <w:t>Other long-term assets are as follows (in thousands):</w:t>
      </w:r>
    </w:p>
    <w:p>
      <w:pPr>
        <w:spacing w:after="0" w:line="375"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auto"/>
        </w:rPr>
        <w:t>Descripton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45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Calibri" w:cs="Calibri" w:eastAsia="Calibri" w:hAnsi="Calibri"/>
          <w:sz w:val="16"/>
          <w:szCs w:val="16"/>
          <w:color w:val="auto"/>
        </w:rPr>
        <w:t>Long-term inventories</w:t>
      </w:r>
    </w:p>
    <w:p>
      <w:pPr>
        <w:spacing w:after="0" w:line="21" w:lineRule="exact"/>
        <w:rPr>
          <w:sz w:val="20"/>
          <w:szCs w:val="20"/>
          <w:color w:val="auto"/>
        </w:rPr>
      </w:pPr>
    </w:p>
    <w:p>
      <w:pPr>
        <w:ind w:left="20"/>
        <w:spacing w:after="0"/>
        <w:rPr>
          <w:sz w:val="20"/>
          <w:szCs w:val="20"/>
          <w:color w:val="auto"/>
        </w:rPr>
      </w:pPr>
      <w:r>
        <w:rPr>
          <w:rFonts w:ascii="Calibri" w:cs="Calibri" w:eastAsia="Calibri" w:hAnsi="Calibri"/>
          <w:sz w:val="16"/>
          <w:szCs w:val="16"/>
          <w:color w:val="auto"/>
        </w:rPr>
        <w:t>Restricted cash</w:t>
      </w:r>
    </w:p>
    <w:p>
      <w:pPr>
        <w:spacing w:after="0" w:line="21" w:lineRule="exact"/>
        <w:rPr>
          <w:sz w:val="20"/>
          <w:szCs w:val="20"/>
          <w:color w:val="auto"/>
        </w:rPr>
      </w:pPr>
    </w:p>
    <w:p>
      <w:pPr>
        <w:ind w:left="20"/>
        <w:spacing w:after="0"/>
        <w:rPr>
          <w:sz w:val="20"/>
          <w:szCs w:val="20"/>
          <w:color w:val="auto"/>
        </w:rPr>
      </w:pPr>
      <w:r>
        <w:rPr>
          <w:rFonts w:ascii="Calibri" w:cs="Calibri" w:eastAsia="Calibri" w:hAnsi="Calibri"/>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1" w:lineRule="exact"/>
        <w:rPr>
          <w:sz w:val="20"/>
          <w:szCs w:val="20"/>
          <w:color w:val="auto"/>
        </w:rPr>
      </w:pPr>
    </w:p>
    <w:p>
      <w:pPr>
        <w:ind w:left="140"/>
        <w:spacing w:after="0"/>
        <w:rPr>
          <w:sz w:val="20"/>
          <w:szCs w:val="20"/>
          <w:color w:val="auto"/>
        </w:rPr>
      </w:pPr>
      <w:r>
        <w:rPr>
          <w:rFonts w:ascii="Calibri" w:cs="Calibri" w:eastAsia="Calibri" w:hAnsi="Calibri"/>
          <w:sz w:val="16"/>
          <w:szCs w:val="16"/>
          <w:color w:val="auto"/>
        </w:rPr>
        <w:t>Total other long-term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ind w:left="1020"/>
        <w:spacing w:after="0"/>
        <w:rPr>
          <w:sz w:val="20"/>
          <w:szCs w:val="20"/>
          <w:color w:val="auto"/>
        </w:rPr>
      </w:pPr>
      <w:r>
        <w:rPr>
          <w:rFonts w:ascii="Calibri" w:cs="Calibri" w:eastAsia="Calibri" w:hAnsi="Calibri"/>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188595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40" w:type="dxa"/>
            <w:vAlign w:val="bottom"/>
          </w:tcPr>
          <w:p>
            <w:pPr>
              <w:spacing w:after="0"/>
              <w:rPr>
                <w:sz w:val="16"/>
                <w:szCs w:val="16"/>
                <w:color w:val="auto"/>
              </w:rPr>
            </w:pPr>
          </w:p>
        </w:tc>
        <w:tc>
          <w:tcPr>
            <w:tcW w:w="1100" w:type="dxa"/>
            <w:vAlign w:val="bottom"/>
          </w:tcPr>
          <w:p>
            <w:pPr>
              <w:jc w:val="right"/>
              <w:ind w:right="479"/>
              <w:spacing w:after="0"/>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9"/>
              <w:spacing w:after="0"/>
              <w:rPr>
                <w:sz w:val="20"/>
                <w:szCs w:val="20"/>
                <w:color w:val="auto"/>
              </w:rPr>
            </w:pPr>
            <w:r>
              <w:rPr>
                <w:rFonts w:ascii="Calibri" w:cs="Calibri" w:eastAsia="Calibri" w:hAnsi="Calibri"/>
                <w:sz w:val="16"/>
                <w:szCs w:val="16"/>
                <w:b w:val="1"/>
                <w:bCs w:val="1"/>
                <w:color w:val="auto"/>
              </w:rPr>
              <w:t>2023</w:t>
            </w:r>
          </w:p>
        </w:tc>
      </w:tr>
      <w:tr>
        <w:trPr>
          <w:trHeight w:val="28"/>
        </w:trPr>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7"/>
        </w:trPr>
        <w:tc>
          <w:tcPr>
            <w:tcW w:w="340" w:type="dxa"/>
            <w:vAlign w:val="bottom"/>
          </w:tcPr>
          <w:p>
            <w:pPr>
              <w:jc w:val="right"/>
              <w:ind w:right="139"/>
              <w:spacing w:after="0" w:line="187" w:lineRule="exact"/>
              <w:rPr>
                <w:sz w:val="20"/>
                <w:szCs w:val="20"/>
                <w:color w:val="auto"/>
              </w:rPr>
            </w:pPr>
            <w:r>
              <w:rPr>
                <w:rFonts w:ascii="Calibri" w:cs="Calibri" w:eastAsia="Calibri" w:hAnsi="Calibri"/>
                <w:sz w:val="16"/>
                <w:szCs w:val="16"/>
                <w:color w:val="auto"/>
              </w:rPr>
              <w:t>$</w:t>
            </w:r>
          </w:p>
        </w:tc>
        <w:tc>
          <w:tcPr>
            <w:tcW w:w="1100" w:type="dxa"/>
            <w:vAlign w:val="bottom"/>
          </w:tcPr>
          <w:p>
            <w:pPr>
              <w:jc w:val="right"/>
              <w:spacing w:after="0" w:line="187" w:lineRule="exact"/>
              <w:rPr>
                <w:sz w:val="20"/>
                <w:szCs w:val="20"/>
                <w:color w:val="auto"/>
              </w:rPr>
            </w:pPr>
            <w:r>
              <w:rPr>
                <w:rFonts w:ascii="Calibri" w:cs="Calibri" w:eastAsia="Calibri" w:hAnsi="Calibri"/>
                <w:sz w:val="16"/>
                <w:szCs w:val="16"/>
                <w:color w:val="auto"/>
              </w:rPr>
              <w:t>34,953</w:t>
            </w:r>
          </w:p>
        </w:tc>
        <w:tc>
          <w:tcPr>
            <w:tcW w:w="100" w:type="dxa"/>
            <w:vAlign w:val="bottom"/>
          </w:tcPr>
          <w:p>
            <w:pPr>
              <w:spacing w:after="0"/>
              <w:rPr>
                <w:sz w:val="16"/>
                <w:szCs w:val="16"/>
                <w:color w:val="auto"/>
              </w:rPr>
            </w:pPr>
          </w:p>
        </w:tc>
        <w:tc>
          <w:tcPr>
            <w:tcW w:w="340" w:type="dxa"/>
            <w:vAlign w:val="bottom"/>
          </w:tcPr>
          <w:p>
            <w:pPr>
              <w:jc w:val="right"/>
              <w:ind w:right="159"/>
              <w:spacing w:after="0" w:line="187" w:lineRule="exact"/>
              <w:rPr>
                <w:sz w:val="20"/>
                <w:szCs w:val="20"/>
                <w:color w:val="auto"/>
              </w:rPr>
            </w:pPr>
            <w:r>
              <w:rPr>
                <w:rFonts w:ascii="Calibri" w:cs="Calibri" w:eastAsia="Calibri" w:hAnsi="Calibri"/>
                <w:sz w:val="16"/>
                <w:szCs w:val="16"/>
                <w:color w:val="auto"/>
                <w:w w:val="97"/>
              </w:rPr>
              <w:t>$</w:t>
            </w:r>
          </w:p>
        </w:tc>
        <w:tc>
          <w:tcPr>
            <w:tcW w:w="1100" w:type="dxa"/>
            <w:vAlign w:val="bottom"/>
          </w:tcPr>
          <w:p>
            <w:pPr>
              <w:jc w:val="right"/>
              <w:spacing w:after="0" w:line="187" w:lineRule="exact"/>
              <w:rPr>
                <w:sz w:val="20"/>
                <w:szCs w:val="20"/>
                <w:color w:val="auto"/>
              </w:rPr>
            </w:pPr>
            <w:r>
              <w:rPr>
                <w:rFonts w:ascii="Calibri" w:cs="Calibri" w:eastAsia="Calibri" w:hAnsi="Calibri"/>
                <w:sz w:val="16"/>
                <w:szCs w:val="16"/>
                <w:color w:val="auto"/>
              </w:rPr>
              <w:t>9,403</w:t>
            </w:r>
          </w:p>
        </w:tc>
      </w:tr>
      <w:tr>
        <w:trPr>
          <w:trHeight w:val="211"/>
        </w:trPr>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Calibri" w:cs="Calibri" w:eastAsia="Calibri" w:hAnsi="Calibri"/>
                <w:sz w:val="16"/>
                <w:szCs w:val="16"/>
                <w:color w:val="auto"/>
              </w:rPr>
              <w:t>1,680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Calibri" w:cs="Calibri" w:eastAsia="Calibri" w:hAnsi="Calibri"/>
                <w:sz w:val="16"/>
                <w:szCs w:val="16"/>
                <w:color w:val="auto"/>
              </w:rPr>
              <w:t>1,654</w:t>
            </w:r>
          </w:p>
        </w:tc>
      </w:tr>
      <w:tr>
        <w:trPr>
          <w:trHeight w:val="216"/>
        </w:trPr>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Calibri" w:cs="Calibri" w:eastAsia="Calibri" w:hAnsi="Calibri"/>
                <w:sz w:val="16"/>
                <w:szCs w:val="16"/>
                <w:color w:val="auto"/>
              </w:rPr>
              <w:t>744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Calibri" w:cs="Calibri" w:eastAsia="Calibri" w:hAnsi="Calibri"/>
                <w:sz w:val="16"/>
                <w:szCs w:val="16"/>
                <w:color w:val="auto"/>
              </w:rPr>
              <w:t>1,366</w:t>
            </w:r>
          </w:p>
        </w:tc>
      </w:tr>
      <w:tr>
        <w:trPr>
          <w:trHeight w:val="28"/>
        </w:trPr>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7"/>
        </w:trPr>
        <w:tc>
          <w:tcPr>
            <w:tcW w:w="340" w:type="dxa"/>
            <w:vAlign w:val="bottom"/>
          </w:tcPr>
          <w:p>
            <w:pPr>
              <w:jc w:val="right"/>
              <w:ind w:right="139"/>
              <w:spacing w:after="0" w:line="187" w:lineRule="exact"/>
              <w:rPr>
                <w:sz w:val="20"/>
                <w:szCs w:val="20"/>
                <w:color w:val="auto"/>
              </w:rPr>
            </w:pPr>
            <w:r>
              <w:rPr>
                <w:rFonts w:ascii="Calibri" w:cs="Calibri" w:eastAsia="Calibri" w:hAnsi="Calibri"/>
                <w:sz w:val="16"/>
                <w:szCs w:val="16"/>
                <w:color w:val="auto"/>
              </w:rPr>
              <w:t>$</w:t>
            </w:r>
          </w:p>
        </w:tc>
        <w:tc>
          <w:tcPr>
            <w:tcW w:w="1100" w:type="dxa"/>
            <w:vAlign w:val="bottom"/>
          </w:tcPr>
          <w:p>
            <w:pPr>
              <w:jc w:val="right"/>
              <w:spacing w:after="0" w:line="187" w:lineRule="exact"/>
              <w:rPr>
                <w:sz w:val="20"/>
                <w:szCs w:val="20"/>
                <w:color w:val="auto"/>
              </w:rPr>
            </w:pPr>
            <w:r>
              <w:rPr>
                <w:rFonts w:ascii="Calibri" w:cs="Calibri" w:eastAsia="Calibri" w:hAnsi="Calibri"/>
                <w:sz w:val="16"/>
                <w:szCs w:val="16"/>
                <w:color w:val="auto"/>
              </w:rPr>
              <w:t>37,377</w:t>
            </w:r>
          </w:p>
        </w:tc>
        <w:tc>
          <w:tcPr>
            <w:tcW w:w="100" w:type="dxa"/>
            <w:vAlign w:val="bottom"/>
          </w:tcPr>
          <w:p>
            <w:pPr>
              <w:spacing w:after="0"/>
              <w:rPr>
                <w:sz w:val="16"/>
                <w:szCs w:val="16"/>
                <w:color w:val="auto"/>
              </w:rPr>
            </w:pPr>
          </w:p>
        </w:tc>
        <w:tc>
          <w:tcPr>
            <w:tcW w:w="340" w:type="dxa"/>
            <w:vAlign w:val="bottom"/>
          </w:tcPr>
          <w:p>
            <w:pPr>
              <w:jc w:val="right"/>
              <w:ind w:right="159"/>
              <w:spacing w:after="0" w:line="187" w:lineRule="exact"/>
              <w:rPr>
                <w:sz w:val="20"/>
                <w:szCs w:val="20"/>
                <w:color w:val="auto"/>
              </w:rPr>
            </w:pPr>
            <w:r>
              <w:rPr>
                <w:rFonts w:ascii="Calibri" w:cs="Calibri" w:eastAsia="Calibri" w:hAnsi="Calibri"/>
                <w:sz w:val="16"/>
                <w:szCs w:val="16"/>
                <w:color w:val="auto"/>
                <w:w w:val="97"/>
              </w:rPr>
              <w:t>$</w:t>
            </w:r>
          </w:p>
        </w:tc>
        <w:tc>
          <w:tcPr>
            <w:tcW w:w="1100" w:type="dxa"/>
            <w:vAlign w:val="bottom"/>
          </w:tcPr>
          <w:p>
            <w:pPr>
              <w:jc w:val="right"/>
              <w:spacing w:after="0" w:line="187" w:lineRule="exact"/>
              <w:rPr>
                <w:sz w:val="20"/>
                <w:szCs w:val="20"/>
                <w:color w:val="auto"/>
              </w:rPr>
            </w:pPr>
            <w:r>
              <w:rPr>
                <w:rFonts w:ascii="Calibri" w:cs="Calibri" w:eastAsia="Calibri" w:hAnsi="Calibri"/>
                <w:sz w:val="16"/>
                <w:szCs w:val="16"/>
                <w:color w:val="auto"/>
              </w:rPr>
              <w:t>12,423</w:t>
            </w:r>
          </w:p>
        </w:tc>
      </w:tr>
      <w:tr>
        <w:trPr>
          <w:trHeight w:val="23"/>
        </w:trPr>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ectPr>
          <w:pgSz w:w="11900" w:h="16838" w:orient="portrait"/>
          <w:cols w:equalWidth="0" w:num="2">
            <w:col w:w="7540" w:space="720"/>
            <w:col w:w="2980"/>
          </w:cols>
          <w:pgMar w:left="320" w:top="328" w:right="339" w:bottom="1440" w:gutter="0" w:footer="0" w:header="0"/>
          <w:type w:val="continuous"/>
        </w:sectPr>
      </w:pPr>
    </w:p>
    <w:p>
      <w:pPr>
        <w:spacing w:after="0"/>
        <w:rPr>
          <w:sz w:val="20"/>
          <w:szCs w:val="20"/>
          <w:color w:val="auto"/>
        </w:rPr>
      </w:pPr>
      <w:r>
        <w:rPr>
          <w:rFonts w:ascii="Calibri" w:cs="Calibri" w:eastAsia="Calibri" w:hAnsi="Calibri"/>
          <w:sz w:val="18"/>
          <w:szCs w:val="18"/>
          <w:color w:val="auto"/>
        </w:rPr>
        <w:t xml:space="preserve">See Note 4, </w:t>
      </w:r>
      <w:r>
        <w:rPr>
          <w:rFonts w:ascii="Calibri" w:cs="Calibri" w:eastAsia="Calibri" w:hAnsi="Calibri"/>
          <w:sz w:val="18"/>
          <w:szCs w:val="18"/>
          <w:i w:val="1"/>
          <w:iCs w:val="1"/>
          <w:color w:val="auto"/>
        </w:rPr>
        <w:t>Inventories</w:t>
      </w:r>
      <w:r>
        <w:rPr>
          <w:rFonts w:ascii="Calibri" w:cs="Calibri" w:eastAsia="Calibri" w:hAnsi="Calibri"/>
          <w:sz w:val="18"/>
          <w:szCs w:val="18"/>
          <w:color w:val="auto"/>
        </w:rPr>
        <w:t>, for further informaton on long-term inventories.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Accrued expenses and other current liabilites are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Calibri" w:cs="Calibri" w:eastAsia="Calibri" w:hAnsi="Calibri"/>
                <w:sz w:val="16"/>
                <w:szCs w:val="16"/>
                <w:b w:val="1"/>
                <w:bCs w:val="1"/>
                <w:color w:val="auto"/>
              </w:rPr>
              <w:t>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8260" w:type="dxa"/>
            <w:vAlign w:val="bottom"/>
            <w:vMerge w:val="restart"/>
          </w:tcPr>
          <w:p>
            <w:pPr>
              <w:ind w:left="20"/>
              <w:spacing w:after="0"/>
              <w:rPr>
                <w:sz w:val="20"/>
                <w:szCs w:val="20"/>
                <w:color w:val="auto"/>
              </w:rPr>
            </w:pPr>
            <w:r>
              <w:rPr>
                <w:rFonts w:ascii="Calibri" w:cs="Calibri" w:eastAsia="Calibri" w:hAnsi="Calibri"/>
                <w:sz w:val="16"/>
                <w:szCs w:val="16"/>
                <w:b w:val="1"/>
                <w:bCs w:val="1"/>
                <w:color w:val="auto"/>
              </w:rPr>
              <w:t>Descripton</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2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9"/>
              <w:spacing w:after="0" w:line="187" w:lineRule="exact"/>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479"/>
              <w:spacing w:after="0" w:line="187" w:lineRule="exact"/>
              <w:rPr>
                <w:sz w:val="20"/>
                <w:szCs w:val="20"/>
                <w:color w:val="auto"/>
              </w:rPr>
            </w:pPr>
            <w:r>
              <w:rPr>
                <w:rFonts w:ascii="Calibri" w:cs="Calibri" w:eastAsia="Calibri" w:hAnsi="Calibri"/>
                <w:sz w:val="16"/>
                <w:szCs w:val="16"/>
                <w:b w:val="1"/>
                <w:bCs w:val="1"/>
                <w:color w:val="auto"/>
              </w:rPr>
              <w:t>2023</w:t>
            </w:r>
          </w:p>
        </w:tc>
        <w:tc>
          <w:tcPr>
            <w:tcW w:w="0" w:type="dxa"/>
            <w:vAlign w:val="bottom"/>
          </w:tcPr>
          <w:p>
            <w:pPr>
              <w:spacing w:after="0"/>
              <w:rPr>
                <w:sz w:val="1"/>
                <w:szCs w:val="1"/>
                <w:color w:val="auto"/>
              </w:rPr>
            </w:pPr>
          </w:p>
        </w:tc>
      </w:tr>
      <w:tr>
        <w:trPr>
          <w:trHeight w:val="23"/>
        </w:trPr>
        <w:tc>
          <w:tcPr>
            <w:tcW w:w="826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8260" w:type="dxa"/>
            <w:vAlign w:val="bottom"/>
            <w:tcBorders>
              <w:bottom w:val="single" w:sz="8" w:color="DBDBDB"/>
            </w:tcBorders>
            <w:shd w:val="clear" w:color="auto" w:fill="DBDBDB"/>
          </w:tcPr>
          <w:p>
            <w:pPr>
              <w:ind w:left="20"/>
              <w:spacing w:after="0" w:line="182" w:lineRule="exact"/>
              <w:rPr>
                <w:sz w:val="20"/>
                <w:szCs w:val="20"/>
                <w:color w:val="auto"/>
              </w:rPr>
            </w:pPr>
            <w:r>
              <w:rPr>
                <w:rFonts w:ascii="Calibri" w:cs="Calibri" w:eastAsia="Calibri" w:hAnsi="Calibri"/>
                <w:sz w:val="16"/>
                <w:szCs w:val="16"/>
                <w:color w:val="auto"/>
              </w:rPr>
              <w:t>Product revenue allowances</w:t>
            </w:r>
          </w:p>
        </w:tc>
        <w:tc>
          <w:tcPr>
            <w:tcW w:w="340" w:type="dxa"/>
            <w:vAlign w:val="bottom"/>
            <w:tcBorders>
              <w:bottom w:val="single" w:sz="8" w:color="DBDBDB"/>
            </w:tcBorders>
            <w:shd w:val="clear" w:color="auto" w:fill="DBDBDB"/>
          </w:tcPr>
          <w:p>
            <w:pPr>
              <w:jc w:val="right"/>
              <w:ind w:right="139"/>
              <w:spacing w:after="0" w:line="187" w:lineRule="exact"/>
              <w:rPr>
                <w:sz w:val="20"/>
                <w:szCs w:val="20"/>
                <w:color w:val="auto"/>
              </w:rPr>
            </w:pPr>
            <w:r>
              <w:rPr>
                <w:rFonts w:ascii="Calibri" w:cs="Calibri" w:eastAsia="Calibri" w:hAnsi="Calibri"/>
                <w:sz w:val="16"/>
                <w:szCs w:val="16"/>
                <w:color w:val="auto"/>
              </w:rPr>
              <w:t>$</w:t>
            </w:r>
          </w:p>
        </w:tc>
        <w:tc>
          <w:tcPr>
            <w:tcW w:w="110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15,727</w:t>
            </w:r>
          </w:p>
        </w:tc>
        <w:tc>
          <w:tcPr>
            <w:tcW w:w="100" w:type="dxa"/>
            <w:vAlign w:val="bottom"/>
            <w:tcBorders>
              <w:bottom w:val="single" w:sz="8" w:color="DBDBDB"/>
            </w:tcBorders>
            <w:shd w:val="clear" w:color="auto" w:fill="DBDBDB"/>
          </w:tcPr>
          <w:p>
            <w:pPr>
              <w:spacing w:after="0"/>
              <w:rPr>
                <w:sz w:val="16"/>
                <w:szCs w:val="16"/>
                <w:color w:val="auto"/>
              </w:rPr>
            </w:pPr>
          </w:p>
        </w:tc>
        <w:tc>
          <w:tcPr>
            <w:tcW w:w="500" w:type="dxa"/>
            <w:vAlign w:val="bottom"/>
            <w:tcBorders>
              <w:bottom w:val="single" w:sz="8" w:color="DBDBDB"/>
            </w:tcBorders>
            <w:shd w:val="clear" w:color="auto" w:fill="DBDBDB"/>
          </w:tcPr>
          <w:p>
            <w:pPr>
              <w:jc w:val="right"/>
              <w:ind w:right="319"/>
              <w:spacing w:after="0" w:line="187" w:lineRule="exact"/>
              <w:rPr>
                <w:sz w:val="20"/>
                <w:szCs w:val="20"/>
                <w:color w:val="auto"/>
              </w:rPr>
            </w:pPr>
            <w:r>
              <w:rPr>
                <w:rFonts w:ascii="Calibri" w:cs="Calibri" w:eastAsia="Calibri" w:hAnsi="Calibri"/>
                <w:sz w:val="16"/>
                <w:szCs w:val="16"/>
                <w:color w:val="auto"/>
                <w:w w:val="97"/>
              </w:rPr>
              <w:t>$</w:t>
            </w:r>
          </w:p>
        </w:tc>
        <w:tc>
          <w:tcPr>
            <w:tcW w:w="94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22,940</w:t>
            </w:r>
          </w:p>
        </w:tc>
        <w:tc>
          <w:tcPr>
            <w:tcW w:w="0" w:type="dxa"/>
            <w:vAlign w:val="bottom"/>
          </w:tcPr>
          <w:p>
            <w:pPr>
              <w:spacing w:after="0"/>
              <w:rPr>
                <w:sz w:val="1"/>
                <w:szCs w:val="1"/>
                <w:color w:val="auto"/>
              </w:rPr>
            </w:pPr>
          </w:p>
        </w:tc>
      </w:tr>
      <w:tr>
        <w:trPr>
          <w:trHeight w:val="193"/>
        </w:trPr>
        <w:tc>
          <w:tcPr>
            <w:tcW w:w="8260" w:type="dxa"/>
            <w:vAlign w:val="bottom"/>
          </w:tcPr>
          <w:p>
            <w:pPr>
              <w:ind w:left="20"/>
              <w:spacing w:after="0" w:line="193" w:lineRule="exact"/>
              <w:rPr>
                <w:sz w:val="20"/>
                <w:szCs w:val="20"/>
                <w:color w:val="auto"/>
              </w:rPr>
            </w:pPr>
            <w:r>
              <w:rPr>
                <w:rFonts w:ascii="Calibri" w:cs="Calibri" w:eastAsia="Calibri" w:hAnsi="Calibri"/>
                <w:sz w:val="16"/>
                <w:szCs w:val="16"/>
                <w:color w:val="auto"/>
              </w:rPr>
              <w:t>Product return reserves, current porton</w:t>
            </w: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5,295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5,420</w:t>
            </w: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DBDBDB"/>
            </w:tcBorders>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Compensaton and related benefts</w:t>
            </w: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9,194</w:t>
            </w:r>
          </w:p>
        </w:tc>
        <w:tc>
          <w:tcPr>
            <w:tcW w:w="100" w:type="dxa"/>
            <w:vAlign w:val="bottom"/>
            <w:tcBorders>
              <w:bottom w:val="single" w:sz="8" w:color="DBDBDB"/>
            </w:tcBorders>
            <w:shd w:val="clear" w:color="auto" w:fill="DBDBDB"/>
          </w:tcPr>
          <w:p>
            <w:pPr>
              <w:spacing w:after="0"/>
              <w:rPr>
                <w:sz w:val="17"/>
                <w:szCs w:val="17"/>
                <w:color w:val="auto"/>
              </w:rPr>
            </w:pPr>
          </w:p>
        </w:tc>
        <w:tc>
          <w:tcPr>
            <w:tcW w:w="500" w:type="dxa"/>
            <w:vAlign w:val="bottom"/>
            <w:tcBorders>
              <w:bottom w:val="single" w:sz="8" w:color="DBDBDB"/>
            </w:tcBorders>
            <w:shd w:val="clear" w:color="auto" w:fill="DBDBDB"/>
          </w:tcPr>
          <w:p>
            <w:pPr>
              <w:spacing w:after="0"/>
              <w:rPr>
                <w:sz w:val="17"/>
                <w:szCs w:val="17"/>
                <w:color w:val="auto"/>
              </w:rPr>
            </w:pPr>
          </w:p>
        </w:tc>
        <w:tc>
          <w:tcPr>
            <w:tcW w:w="9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8,216</w:t>
            </w:r>
          </w:p>
        </w:tc>
        <w:tc>
          <w:tcPr>
            <w:tcW w:w="0" w:type="dxa"/>
            <w:vAlign w:val="bottom"/>
          </w:tcPr>
          <w:p>
            <w:pPr>
              <w:spacing w:after="0"/>
              <w:rPr>
                <w:sz w:val="1"/>
                <w:szCs w:val="1"/>
                <w:color w:val="auto"/>
              </w:rPr>
            </w:pPr>
          </w:p>
        </w:tc>
      </w:tr>
      <w:tr>
        <w:trPr>
          <w:trHeight w:val="193"/>
        </w:trPr>
        <w:tc>
          <w:tcPr>
            <w:tcW w:w="8260" w:type="dxa"/>
            <w:vAlign w:val="bottom"/>
          </w:tcPr>
          <w:p>
            <w:pPr>
              <w:ind w:left="20"/>
              <w:spacing w:after="0" w:line="193" w:lineRule="exact"/>
              <w:rPr>
                <w:sz w:val="20"/>
                <w:szCs w:val="20"/>
                <w:color w:val="auto"/>
              </w:rPr>
            </w:pPr>
            <w:r>
              <w:rPr>
                <w:rFonts w:ascii="Calibri" w:cs="Calibri" w:eastAsia="Calibri" w:hAnsi="Calibri"/>
                <w:sz w:val="16"/>
                <w:szCs w:val="16"/>
                <w:color w:val="auto"/>
              </w:rPr>
              <w:t>Operatng lease liabilites, current porton</w:t>
            </w: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5,400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4,491</w:t>
            </w: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DBDBDB"/>
            </w:tcBorders>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Royaltes due to Panion &amp; BF Biotech, Inc.</w:t>
            </w: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3,543</w:t>
            </w:r>
          </w:p>
        </w:tc>
        <w:tc>
          <w:tcPr>
            <w:tcW w:w="100" w:type="dxa"/>
            <w:vAlign w:val="bottom"/>
            <w:tcBorders>
              <w:bottom w:val="single" w:sz="8" w:color="DBDBDB"/>
            </w:tcBorders>
            <w:shd w:val="clear" w:color="auto" w:fill="DBDBDB"/>
          </w:tcPr>
          <w:p>
            <w:pPr>
              <w:spacing w:after="0"/>
              <w:rPr>
                <w:sz w:val="17"/>
                <w:szCs w:val="17"/>
                <w:color w:val="auto"/>
              </w:rPr>
            </w:pPr>
          </w:p>
        </w:tc>
        <w:tc>
          <w:tcPr>
            <w:tcW w:w="500" w:type="dxa"/>
            <w:vAlign w:val="bottom"/>
            <w:tcBorders>
              <w:bottom w:val="single" w:sz="8" w:color="DBDBDB"/>
            </w:tcBorders>
            <w:shd w:val="clear" w:color="auto" w:fill="DBDBDB"/>
          </w:tcPr>
          <w:p>
            <w:pPr>
              <w:spacing w:after="0"/>
              <w:rPr>
                <w:sz w:val="17"/>
                <w:szCs w:val="17"/>
                <w:color w:val="auto"/>
              </w:rPr>
            </w:pPr>
          </w:p>
        </w:tc>
        <w:tc>
          <w:tcPr>
            <w:tcW w:w="9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3,989</w:t>
            </w:r>
          </w:p>
        </w:tc>
        <w:tc>
          <w:tcPr>
            <w:tcW w:w="0" w:type="dxa"/>
            <w:vAlign w:val="bottom"/>
          </w:tcPr>
          <w:p>
            <w:pPr>
              <w:spacing w:after="0"/>
              <w:rPr>
                <w:sz w:val="1"/>
                <w:szCs w:val="1"/>
                <w:color w:val="auto"/>
              </w:rPr>
            </w:pPr>
          </w:p>
        </w:tc>
      </w:tr>
      <w:tr>
        <w:trPr>
          <w:trHeight w:val="193"/>
        </w:trPr>
        <w:tc>
          <w:tcPr>
            <w:tcW w:w="8260" w:type="dxa"/>
            <w:vAlign w:val="bottom"/>
          </w:tcPr>
          <w:p>
            <w:pPr>
              <w:ind w:left="20"/>
              <w:spacing w:after="0" w:line="193" w:lineRule="exact"/>
              <w:rPr>
                <w:sz w:val="20"/>
                <w:szCs w:val="20"/>
                <w:color w:val="auto"/>
              </w:rPr>
            </w:pPr>
            <w:r>
              <w:rPr>
                <w:rFonts w:ascii="Calibri" w:cs="Calibri" w:eastAsia="Calibri" w:hAnsi="Calibri"/>
                <w:sz w:val="16"/>
                <w:szCs w:val="16"/>
                <w:color w:val="auto"/>
              </w:rPr>
              <w:t>Liability related to sale of future royaltes, current porton</w:t>
            </w: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2,039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2,048</w:t>
            </w: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DBDBDB"/>
            </w:tcBorders>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Professional fees</w:t>
            </w: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1,452</w:t>
            </w:r>
          </w:p>
        </w:tc>
        <w:tc>
          <w:tcPr>
            <w:tcW w:w="100" w:type="dxa"/>
            <w:vAlign w:val="bottom"/>
            <w:tcBorders>
              <w:bottom w:val="single" w:sz="8" w:color="DBDBDB"/>
            </w:tcBorders>
            <w:shd w:val="clear" w:color="auto" w:fill="DBDBDB"/>
          </w:tcPr>
          <w:p>
            <w:pPr>
              <w:spacing w:after="0"/>
              <w:rPr>
                <w:sz w:val="17"/>
                <w:szCs w:val="17"/>
                <w:color w:val="auto"/>
              </w:rPr>
            </w:pPr>
          </w:p>
        </w:tc>
        <w:tc>
          <w:tcPr>
            <w:tcW w:w="500" w:type="dxa"/>
            <w:vAlign w:val="bottom"/>
            <w:tcBorders>
              <w:bottom w:val="single" w:sz="8" w:color="DBDBDB"/>
            </w:tcBorders>
            <w:shd w:val="clear" w:color="auto" w:fill="DBDBDB"/>
          </w:tcPr>
          <w:p>
            <w:pPr>
              <w:spacing w:after="0"/>
              <w:rPr>
                <w:sz w:val="17"/>
                <w:szCs w:val="17"/>
                <w:color w:val="auto"/>
              </w:rPr>
            </w:pPr>
          </w:p>
        </w:tc>
        <w:tc>
          <w:tcPr>
            <w:tcW w:w="9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1,909</w:t>
            </w:r>
          </w:p>
        </w:tc>
        <w:tc>
          <w:tcPr>
            <w:tcW w:w="0" w:type="dxa"/>
            <w:vAlign w:val="bottom"/>
          </w:tcPr>
          <w:p>
            <w:pPr>
              <w:spacing w:after="0"/>
              <w:rPr>
                <w:sz w:val="1"/>
                <w:szCs w:val="1"/>
                <w:color w:val="auto"/>
              </w:rPr>
            </w:pPr>
          </w:p>
        </w:tc>
      </w:tr>
      <w:tr>
        <w:trPr>
          <w:trHeight w:val="193"/>
        </w:trPr>
        <w:tc>
          <w:tcPr>
            <w:tcW w:w="8260" w:type="dxa"/>
            <w:vAlign w:val="bottom"/>
          </w:tcPr>
          <w:p>
            <w:pPr>
              <w:ind w:left="20"/>
              <w:spacing w:after="0" w:line="193" w:lineRule="exact"/>
              <w:rPr>
                <w:sz w:val="20"/>
                <w:szCs w:val="20"/>
                <w:color w:val="auto"/>
              </w:rPr>
            </w:pPr>
            <w:r>
              <w:rPr>
                <w:rFonts w:ascii="Calibri" w:cs="Calibri" w:eastAsia="Calibri" w:hAnsi="Calibri"/>
                <w:sz w:val="16"/>
                <w:szCs w:val="16"/>
                <w:color w:val="auto"/>
              </w:rPr>
              <w:t>Accrued manufacturing costs</w:t>
            </w: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1,468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5,555</w:t>
            </w: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DBDBDB"/>
            </w:tcBorders>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BioVectra, Inc. terminaton fees, current porton</w:t>
            </w: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7,204</w:t>
            </w:r>
          </w:p>
        </w:tc>
        <w:tc>
          <w:tcPr>
            <w:tcW w:w="100" w:type="dxa"/>
            <w:vAlign w:val="bottom"/>
            <w:tcBorders>
              <w:bottom w:val="single" w:sz="8" w:color="DBDBDB"/>
            </w:tcBorders>
            <w:shd w:val="clear" w:color="auto" w:fill="DBDBDB"/>
          </w:tcPr>
          <w:p>
            <w:pPr>
              <w:spacing w:after="0"/>
              <w:rPr>
                <w:sz w:val="17"/>
                <w:szCs w:val="17"/>
                <w:color w:val="auto"/>
              </w:rPr>
            </w:pPr>
          </w:p>
        </w:tc>
        <w:tc>
          <w:tcPr>
            <w:tcW w:w="500" w:type="dxa"/>
            <w:vAlign w:val="bottom"/>
            <w:tcBorders>
              <w:bottom w:val="single" w:sz="8" w:color="DBDBDB"/>
            </w:tcBorders>
            <w:shd w:val="clear" w:color="auto" w:fill="DBDBDB"/>
          </w:tcPr>
          <w:p>
            <w:pPr>
              <w:spacing w:after="0"/>
              <w:rPr>
                <w:sz w:val="17"/>
                <w:szCs w:val="17"/>
                <w:color w:val="auto"/>
              </w:rPr>
            </w:pPr>
          </w:p>
        </w:tc>
        <w:tc>
          <w:tcPr>
            <w:tcW w:w="9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7,500</w:t>
            </w:r>
          </w:p>
        </w:tc>
        <w:tc>
          <w:tcPr>
            <w:tcW w:w="0" w:type="dxa"/>
            <w:vAlign w:val="bottom"/>
          </w:tcPr>
          <w:p>
            <w:pPr>
              <w:spacing w:after="0"/>
              <w:rPr>
                <w:sz w:val="1"/>
                <w:szCs w:val="1"/>
                <w:color w:val="auto"/>
              </w:rPr>
            </w:pPr>
          </w:p>
        </w:tc>
      </w:tr>
      <w:tr>
        <w:trPr>
          <w:trHeight w:val="194"/>
        </w:trPr>
        <w:tc>
          <w:tcPr>
            <w:tcW w:w="8260" w:type="dxa"/>
            <w:vAlign w:val="bottom"/>
          </w:tcPr>
          <w:p>
            <w:pPr>
              <w:ind w:left="20"/>
              <w:spacing w:after="0" w:line="193" w:lineRule="exact"/>
              <w:rPr>
                <w:sz w:val="20"/>
                <w:szCs w:val="20"/>
                <w:color w:val="auto"/>
              </w:rPr>
            </w:pPr>
            <w:r>
              <w:rPr>
                <w:rFonts w:ascii="Calibri" w:cs="Calibri" w:eastAsia="Calibri" w:hAnsi="Calibri"/>
                <w:sz w:val="16"/>
                <w:szCs w:val="16"/>
                <w:color w:val="auto"/>
              </w:rPr>
              <w:t>Setlement royaltes liability, current porton</w:t>
            </w: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5,924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DBDBDB"/>
            </w:tcBorders>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Clinical trial costs</w:t>
            </w: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1,885</w:t>
            </w:r>
          </w:p>
        </w:tc>
        <w:tc>
          <w:tcPr>
            <w:tcW w:w="100" w:type="dxa"/>
            <w:vAlign w:val="bottom"/>
            <w:tcBorders>
              <w:bottom w:val="single" w:sz="8" w:color="DBDBDB"/>
            </w:tcBorders>
            <w:shd w:val="clear" w:color="auto" w:fill="DBDBDB"/>
          </w:tcPr>
          <w:p>
            <w:pPr>
              <w:spacing w:after="0"/>
              <w:rPr>
                <w:sz w:val="17"/>
                <w:szCs w:val="17"/>
                <w:color w:val="auto"/>
              </w:rPr>
            </w:pPr>
          </w:p>
        </w:tc>
        <w:tc>
          <w:tcPr>
            <w:tcW w:w="500" w:type="dxa"/>
            <w:vAlign w:val="bottom"/>
            <w:tcBorders>
              <w:bottom w:val="single" w:sz="8" w:color="DBDBDB"/>
            </w:tcBorders>
            <w:shd w:val="clear" w:color="auto" w:fill="DBDBDB"/>
          </w:tcPr>
          <w:p>
            <w:pPr>
              <w:spacing w:after="0"/>
              <w:rPr>
                <w:sz w:val="17"/>
                <w:szCs w:val="17"/>
                <w:color w:val="auto"/>
              </w:rPr>
            </w:pPr>
          </w:p>
        </w:tc>
        <w:tc>
          <w:tcPr>
            <w:tcW w:w="9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328</w:t>
            </w:r>
          </w:p>
        </w:tc>
        <w:tc>
          <w:tcPr>
            <w:tcW w:w="0" w:type="dxa"/>
            <w:vAlign w:val="bottom"/>
          </w:tcPr>
          <w:p>
            <w:pPr>
              <w:spacing w:after="0"/>
              <w:rPr>
                <w:sz w:val="1"/>
                <w:szCs w:val="1"/>
                <w:color w:val="auto"/>
              </w:rPr>
            </w:pPr>
          </w:p>
        </w:tc>
      </w:tr>
      <w:tr>
        <w:trPr>
          <w:trHeight w:val="194"/>
        </w:trPr>
        <w:tc>
          <w:tcPr>
            <w:tcW w:w="8260" w:type="dxa"/>
            <w:vAlign w:val="bottom"/>
          </w:tcPr>
          <w:p>
            <w:pPr>
              <w:ind w:left="20"/>
              <w:spacing w:after="0" w:line="193" w:lineRule="exact"/>
              <w:rPr>
                <w:sz w:val="20"/>
                <w:szCs w:val="20"/>
                <w:color w:val="auto"/>
              </w:rPr>
            </w:pPr>
            <w:r>
              <w:rPr>
                <w:rFonts w:ascii="Calibri" w:cs="Calibri" w:eastAsia="Calibri" w:hAnsi="Calibri"/>
                <w:sz w:val="16"/>
                <w:szCs w:val="16"/>
                <w:color w:val="auto"/>
              </w:rPr>
              <w:t>Restructuring costs, current porton</w:t>
            </w: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489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737</w:t>
            </w: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tcBorders>
              <w:bottom w:val="single" w:sz="8" w:color="DBDBDB"/>
            </w:tcBorders>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Other</w:t>
            </w:r>
          </w:p>
        </w:tc>
        <w:tc>
          <w:tcPr>
            <w:tcW w:w="34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3,840</w:t>
            </w:r>
          </w:p>
        </w:tc>
        <w:tc>
          <w:tcPr>
            <w:tcW w:w="100" w:type="dxa"/>
            <w:vAlign w:val="bottom"/>
            <w:tcBorders>
              <w:bottom w:val="single" w:sz="8" w:color="DBDBDB"/>
            </w:tcBorders>
            <w:shd w:val="clear" w:color="auto" w:fill="DBDBDB"/>
          </w:tcPr>
          <w:p>
            <w:pPr>
              <w:spacing w:after="0"/>
              <w:rPr>
                <w:sz w:val="18"/>
                <w:szCs w:val="18"/>
                <w:color w:val="auto"/>
              </w:rPr>
            </w:pPr>
          </w:p>
        </w:tc>
        <w:tc>
          <w:tcPr>
            <w:tcW w:w="500" w:type="dxa"/>
            <w:vAlign w:val="bottom"/>
            <w:tcBorders>
              <w:bottom w:val="single" w:sz="8" w:color="DBDBDB"/>
            </w:tcBorders>
            <w:shd w:val="clear" w:color="auto" w:fill="DBDBDB"/>
          </w:tcPr>
          <w:p>
            <w:pPr>
              <w:spacing w:after="0"/>
              <w:rPr>
                <w:sz w:val="18"/>
                <w:szCs w:val="18"/>
                <w:color w:val="auto"/>
              </w:rPr>
            </w:pPr>
          </w:p>
        </w:tc>
        <w:tc>
          <w:tcPr>
            <w:tcW w:w="9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4,602</w:t>
            </w:r>
          </w:p>
        </w:tc>
        <w:tc>
          <w:tcPr>
            <w:tcW w:w="0" w:type="dxa"/>
            <w:vAlign w:val="bottom"/>
          </w:tcPr>
          <w:p>
            <w:pPr>
              <w:spacing w:after="0"/>
              <w:rPr>
                <w:sz w:val="1"/>
                <w:szCs w:val="1"/>
                <w:color w:val="auto"/>
              </w:rPr>
            </w:pPr>
          </w:p>
        </w:tc>
      </w:tr>
      <w:tr>
        <w:trPr>
          <w:trHeight w:val="209"/>
        </w:trPr>
        <w:tc>
          <w:tcPr>
            <w:tcW w:w="8260" w:type="dxa"/>
            <w:vAlign w:val="bottom"/>
          </w:tcPr>
          <w:p>
            <w:pPr>
              <w:ind w:left="20"/>
              <w:spacing w:after="0"/>
              <w:rPr>
                <w:sz w:val="20"/>
                <w:szCs w:val="20"/>
                <w:color w:val="auto"/>
              </w:rPr>
            </w:pPr>
            <w:r>
              <w:rPr>
                <w:rFonts w:ascii="Calibri" w:cs="Calibri" w:eastAsia="Calibri" w:hAnsi="Calibri"/>
                <w:sz w:val="16"/>
                <w:szCs w:val="16"/>
                <w:color w:val="auto"/>
              </w:rPr>
              <w:t>Total accrued expenses and other current liabilites</w:t>
            </w:r>
          </w:p>
        </w:tc>
        <w:tc>
          <w:tcPr>
            <w:tcW w:w="340" w:type="dxa"/>
            <w:vAlign w:val="bottom"/>
            <w:tcBorders>
              <w:top w:val="single" w:sz="8" w:color="auto"/>
              <w:bottom w:val="single" w:sz="8" w:color="auto"/>
            </w:tcBorders>
          </w:tcPr>
          <w:p>
            <w:pPr>
              <w:jc w:val="right"/>
              <w:ind w:right="139"/>
              <w:spacing w:after="0" w:line="193" w:lineRule="exact"/>
              <w:rPr>
                <w:sz w:val="20"/>
                <w:szCs w:val="20"/>
                <w:color w:val="auto"/>
              </w:rPr>
            </w:pPr>
            <w:r>
              <w:rPr>
                <w:rFonts w:ascii="Calibri" w:cs="Calibri" w:eastAsia="Calibri" w:hAnsi="Calibri"/>
                <w:sz w:val="16"/>
                <w:szCs w:val="16"/>
                <w:color w:val="auto"/>
              </w:rPr>
              <w:t>$</w:t>
            </w:r>
          </w:p>
        </w:tc>
        <w:tc>
          <w:tcPr>
            <w:tcW w:w="110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63,460</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9"/>
              <w:spacing w:after="0" w:line="193" w:lineRule="exact"/>
              <w:rPr>
                <w:sz w:val="20"/>
                <w:szCs w:val="20"/>
                <w:color w:val="auto"/>
              </w:rPr>
            </w:pPr>
            <w:r>
              <w:rPr>
                <w:rFonts w:ascii="Calibri" w:cs="Calibri" w:eastAsia="Calibri" w:hAnsi="Calibri"/>
                <w:sz w:val="16"/>
                <w:szCs w:val="16"/>
                <w:color w:val="auto"/>
                <w:w w:val="97"/>
              </w:rPr>
              <w:t>$</w:t>
            </w:r>
          </w:p>
        </w:tc>
        <w:tc>
          <w:tcPr>
            <w:tcW w:w="940" w:type="dxa"/>
            <w:vAlign w:val="bottom"/>
            <w:tcBorders>
              <w:top w:val="single" w:sz="8" w:color="auto"/>
              <w:bottom w:val="single" w:sz="8" w:color="auto"/>
            </w:tcBorders>
          </w:tcPr>
          <w:p>
            <w:pPr>
              <w:jc w:val="right"/>
              <w:spacing w:after="0" w:line="193" w:lineRule="exact"/>
              <w:rPr>
                <w:sz w:val="20"/>
                <w:szCs w:val="20"/>
                <w:color w:val="auto"/>
              </w:rPr>
            </w:pPr>
            <w:r>
              <w:rPr>
                <w:rFonts w:ascii="Calibri" w:cs="Calibri" w:eastAsia="Calibri" w:hAnsi="Calibri"/>
                <w:sz w:val="16"/>
                <w:szCs w:val="16"/>
                <w:color w:val="auto"/>
              </w:rPr>
              <w:t>67,735</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tabs>
          <w:tab w:leader="none" w:pos="300" w:val="left"/>
        </w:tabs>
        <w:rPr>
          <w:sz w:val="20"/>
          <w:szCs w:val="20"/>
          <w:color w:val="auto"/>
        </w:rPr>
      </w:pPr>
      <w:r>
        <w:rPr>
          <w:rFonts w:ascii="Calibri" w:cs="Calibri" w:eastAsia="Calibri" w:hAnsi="Calibri"/>
          <w:sz w:val="18"/>
          <w:szCs w:val="18"/>
          <w:b w:val="1"/>
          <w:bCs w:val="1"/>
          <w:color w:val="auto"/>
        </w:rPr>
        <w:t>7.</w:t>
      </w:r>
      <w:r>
        <w:rPr>
          <w:sz w:val="20"/>
          <w:szCs w:val="20"/>
          <w:color w:val="auto"/>
        </w:rPr>
        <w:tab/>
      </w:r>
      <w:r>
        <w:rPr>
          <w:rFonts w:ascii="Calibri" w:cs="Calibri" w:eastAsia="Calibri" w:hAnsi="Calibri"/>
          <w:sz w:val="17"/>
          <w:szCs w:val="17"/>
          <w:b w:val="1"/>
          <w:bCs w:val="1"/>
          <w:color w:val="auto"/>
        </w:rPr>
        <w:t>INDEBTEDNESS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Entry into BlackRock Loan Facility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January 29, 2024, or the </w:t>
      </w:r>
      <w:r>
        <w:rPr>
          <w:rFonts w:ascii="Calibri" w:cs="Calibri" w:eastAsia="Calibri" w:hAnsi="Calibri"/>
          <w:sz w:val="18"/>
          <w:szCs w:val="18"/>
          <w:u w:val="single" w:color="auto"/>
          <w:color w:val="auto"/>
        </w:rPr>
        <w:t>Closing Date</w:t>
      </w:r>
      <w:r>
        <w:rPr>
          <w:rFonts w:ascii="Calibri" w:cs="Calibri" w:eastAsia="Calibri" w:hAnsi="Calibri"/>
          <w:sz w:val="18"/>
          <w:szCs w:val="18"/>
          <w:color w:val="auto"/>
        </w:rPr>
        <w:t xml:space="preserve">, the Company entered into the Agreement for the Provision of a Loan Facility, or the </w:t>
      </w:r>
      <w:r>
        <w:rPr>
          <w:rFonts w:ascii="Calibri" w:cs="Calibri" w:eastAsia="Calibri" w:hAnsi="Calibri"/>
          <w:sz w:val="18"/>
          <w:szCs w:val="18"/>
          <w:u w:val="single" w:color="auto"/>
          <w:color w:val="auto"/>
        </w:rPr>
        <w:t>BlackRock Credit Agreement,</w:t>
      </w:r>
      <w:r>
        <w:rPr>
          <w:rFonts w:ascii="Calibri" w:cs="Calibri" w:eastAsia="Calibri" w:hAnsi="Calibri"/>
          <w:sz w:val="18"/>
          <w:szCs w:val="18"/>
          <w:color w:val="auto"/>
        </w:rPr>
        <w:t xml:space="preserve"> with Kreos Capital VII (UK) Limited, or </w:t>
      </w:r>
      <w:r>
        <w:rPr>
          <w:rFonts w:ascii="Calibri" w:cs="Calibri" w:eastAsia="Calibri" w:hAnsi="Calibri"/>
          <w:sz w:val="18"/>
          <w:szCs w:val="18"/>
          <w:u w:val="single" w:color="auto"/>
          <w:color w:val="auto"/>
        </w:rPr>
        <w:t>Kreos</w:t>
      </w:r>
      <w:r>
        <w:rPr>
          <w:rFonts w:ascii="Calibri" w:cs="Calibri" w:eastAsia="Calibri" w:hAnsi="Calibri"/>
          <w:sz w:val="18"/>
          <w:szCs w:val="18"/>
          <w:color w:val="auto"/>
        </w:rPr>
        <w:t xml:space="preserve">, which are funds and accounts managed by BlackRock Inc., collectvely, </w:t>
      </w:r>
      <w:r>
        <w:rPr>
          <w:rFonts w:ascii="Calibri" w:cs="Calibri" w:eastAsia="Calibri" w:hAnsi="Calibri"/>
          <w:sz w:val="18"/>
          <w:szCs w:val="18"/>
          <w:u w:val="single" w:color="auto"/>
          <w:color w:val="auto"/>
        </w:rPr>
        <w:t>BlackRock</w:t>
      </w:r>
      <w:r>
        <w:rPr>
          <w:rFonts w:ascii="Calibri" w:cs="Calibri" w:eastAsia="Calibri" w:hAnsi="Calibri"/>
          <w:sz w:val="18"/>
          <w:szCs w:val="18"/>
          <w:color w:val="auto"/>
        </w:rPr>
        <w:t xml:space="preserve">, and provides for a senior secured term loan facility in the aggregate principal amount of up to $55.0 million, or the </w:t>
      </w:r>
      <w:r>
        <w:rPr>
          <w:rFonts w:ascii="Calibri" w:cs="Calibri" w:eastAsia="Calibri" w:hAnsi="Calibri"/>
          <w:sz w:val="18"/>
          <w:szCs w:val="18"/>
          <w:u w:val="single" w:color="auto"/>
          <w:color w:val="auto"/>
        </w:rPr>
        <w:t>Term Loan Facility</w:t>
      </w:r>
      <w:r>
        <w:rPr>
          <w:rFonts w:ascii="Calibri" w:cs="Calibri" w:eastAsia="Calibri" w:hAnsi="Calibri"/>
          <w:sz w:val="18"/>
          <w:szCs w:val="18"/>
          <w:color w:val="auto"/>
        </w:rPr>
        <w:t xml:space="preserve">. The Term Loan Facility was available in three tranches: (i) Tranche A — $37.0 million was funded on the Closing Date and used to repay the Pharmakon Term Loans; (ii) </w:t>
      </w:r>
      <w:r>
        <w:rPr>
          <w:rFonts w:ascii="Calibri" w:cs="Calibri" w:eastAsia="Calibri" w:hAnsi="Calibri"/>
          <w:sz w:val="18"/>
          <w:szCs w:val="18"/>
          <w:u w:val="single" w:color="auto"/>
          <w:color w:val="auto"/>
        </w:rPr>
        <w:t>Tranche B</w:t>
      </w:r>
      <w:r>
        <w:rPr>
          <w:rFonts w:ascii="Calibri" w:cs="Calibri" w:eastAsia="Calibri" w:hAnsi="Calibri"/>
          <w:sz w:val="18"/>
          <w:szCs w:val="18"/>
          <w:color w:val="auto"/>
        </w:rPr>
        <w:t xml:space="preserve"> — $8.0 million was funded on April 19, 2024, or the </w:t>
      </w:r>
      <w:r>
        <w:rPr>
          <w:rFonts w:ascii="Calibri" w:cs="Calibri" w:eastAsia="Calibri" w:hAnsi="Calibri"/>
          <w:sz w:val="18"/>
          <w:szCs w:val="18"/>
          <w:u w:val="single" w:color="auto"/>
          <w:color w:val="auto"/>
        </w:rPr>
        <w:t>Tranche B Closing Date</w:t>
      </w:r>
      <w:r>
        <w:rPr>
          <w:rFonts w:ascii="Calibri" w:cs="Calibri" w:eastAsia="Calibri" w:hAnsi="Calibri"/>
          <w:sz w:val="18"/>
          <w:szCs w:val="18"/>
          <w:color w:val="auto"/>
        </w:rPr>
        <w:t xml:space="preserve">, and (ii) Tranche C — $10.0 million was funded on February 3, 2025, or the </w:t>
      </w:r>
      <w:r>
        <w:rPr>
          <w:rFonts w:ascii="Calibri" w:cs="Calibri" w:eastAsia="Calibri" w:hAnsi="Calibri"/>
          <w:sz w:val="18"/>
          <w:szCs w:val="18"/>
          <w:u w:val="single" w:color="auto"/>
          <w:color w:val="auto"/>
        </w:rPr>
        <w:t>Tranche C Closing Date</w:t>
      </w:r>
      <w:r>
        <w:rPr>
          <w:rFonts w:ascii="Calibri" w:cs="Calibri" w:eastAsia="Calibri" w:hAnsi="Calibri"/>
          <w:sz w:val="18"/>
          <w:szCs w:val="18"/>
          <w:color w:val="auto"/>
        </w:rPr>
        <w:t xml:space="preserve">, collectvely the </w:t>
      </w:r>
      <w:r>
        <w:rPr>
          <w:rFonts w:ascii="Calibri" w:cs="Calibri" w:eastAsia="Calibri" w:hAnsi="Calibri"/>
          <w:sz w:val="18"/>
          <w:szCs w:val="18"/>
          <w:u w:val="single" w:color="auto"/>
          <w:color w:val="auto"/>
        </w:rPr>
        <w:t>Term Loans</w:t>
      </w:r>
      <w:r>
        <w:rPr>
          <w:rFonts w:ascii="Calibri" w:cs="Calibri" w:eastAsia="Calibri" w:hAnsi="Calibri"/>
          <w:sz w:val="18"/>
          <w:szCs w:val="18"/>
          <w:color w:val="auto"/>
        </w:rPr>
        <w:t>.</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February 3, 2025, the Company and Kreos entered into a Second Amendment to the Agreement for the Provision of a Loan Facility, or the </w:t>
      </w:r>
      <w:r>
        <w:rPr>
          <w:rFonts w:ascii="Calibri" w:cs="Calibri" w:eastAsia="Calibri" w:hAnsi="Calibri"/>
          <w:sz w:val="18"/>
          <w:szCs w:val="18"/>
          <w:u w:val="single" w:color="auto"/>
          <w:color w:val="auto"/>
        </w:rPr>
        <w:t>Second</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auto"/>
        </w:rPr>
        <w:t>Amendment</w:t>
      </w:r>
      <w:r>
        <w:rPr>
          <w:rFonts w:ascii="Calibri" w:cs="Calibri" w:eastAsia="Calibri" w:hAnsi="Calibri"/>
          <w:sz w:val="18"/>
          <w:szCs w:val="18"/>
          <w:color w:val="auto"/>
        </w:rPr>
        <w:t xml:space="preserve">, which, among other things, extended the expiry date of Tranche C from December 31, 2024 to the Tranche C Closing Date, or the </w:t>
      </w:r>
      <w:r>
        <w:rPr>
          <w:rFonts w:ascii="Calibri" w:cs="Calibri" w:eastAsia="Calibri" w:hAnsi="Calibri"/>
          <w:sz w:val="18"/>
          <w:szCs w:val="18"/>
          <w:u w:val="single" w:color="auto"/>
          <w:color w:val="auto"/>
        </w:rPr>
        <w:t>Extended</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auto"/>
        </w:rPr>
        <w:t>Tranche C</w:t>
      </w:r>
      <w:r>
        <w:rPr>
          <w:rFonts w:ascii="Calibri" w:cs="Calibri" w:eastAsia="Calibri" w:hAnsi="Calibri"/>
          <w:sz w:val="18"/>
          <w:szCs w:val="18"/>
          <w:color w:val="auto"/>
        </w:rPr>
        <w:t xml:space="preserve">. Tranche C was available subject to receipt of a certain amount of cumulatve gross cash proceeds afer the Closing Date in the form of equity or equity linked securites in one or more series of transactons. The terms of the Extended Tranche C are substantally similar to the terms of the original Tranche C, however, interest will accrue on the Extended Tranche C as if it was advanced on December 31, 2024. See Note 18, </w:t>
      </w:r>
      <w:r>
        <w:rPr>
          <w:rFonts w:ascii="Calibri" w:cs="Calibri" w:eastAsia="Calibri" w:hAnsi="Calibri"/>
          <w:sz w:val="18"/>
          <w:szCs w:val="18"/>
          <w:i w:val="1"/>
          <w:iCs w:val="1"/>
          <w:color w:val="auto"/>
        </w:rPr>
        <w:t>Subsequent Events</w:t>
      </w:r>
      <w:r>
        <w:rPr>
          <w:rFonts w:ascii="Calibri" w:cs="Calibri" w:eastAsia="Calibri" w:hAnsi="Calibri"/>
          <w:sz w:val="18"/>
          <w:szCs w:val="18"/>
          <w:color w:val="auto"/>
        </w:rPr>
        <w:t>, for further details on the Second Amendment.</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the Closing Date, the Company received $34.5 million on Tranche A, afer deductng debt issuance costs, fees and expenses. On the Tranche B Closing Date, the Company received $7.5 million, afer deductng debt issuance costs, fees and expenses. On the Tranche C Closing Date, the Company received $9.3 million, afer deductng debt issuance costs, interest, fees and expenses.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Akebia Therapeutcs, Inc. | Form 10-K | Page 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145" w:name="page146"/>
    <w:bookmarkEnd w:id="14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BlackRock Term Loan Facility had an inital maturity date of March 31, 2025, which was automatcally extended to January 29, 2028, or the </w:t>
      </w:r>
      <w:r>
        <w:rPr>
          <w:rFonts w:ascii="Calibri" w:cs="Calibri" w:eastAsia="Calibri" w:hAnsi="Calibri"/>
          <w:sz w:val="18"/>
          <w:szCs w:val="18"/>
          <w:u w:val="single" w:color="auto"/>
          <w:color w:val="auto"/>
        </w:rPr>
        <w:t>BlackRock</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auto"/>
        </w:rPr>
        <w:t>Maturity Date</w:t>
      </w:r>
      <w:r>
        <w:rPr>
          <w:rFonts w:ascii="Calibri" w:cs="Calibri" w:eastAsia="Calibri" w:hAnsi="Calibri"/>
          <w:sz w:val="18"/>
          <w:szCs w:val="18"/>
          <w:color w:val="auto"/>
        </w:rPr>
        <w:t xml:space="preserve">, afer the Company received FDA approval for Vafseo. The Company is required to make interest-only payments untl December 31, 2026, or the </w:t>
      </w:r>
      <w:r>
        <w:rPr>
          <w:rFonts w:ascii="Calibri" w:cs="Calibri" w:eastAsia="Calibri" w:hAnsi="Calibri"/>
          <w:sz w:val="18"/>
          <w:szCs w:val="18"/>
          <w:u w:val="single" w:color="auto"/>
          <w:color w:val="auto"/>
        </w:rPr>
        <w:t>BlackRock Interest Only Period</w:t>
      </w:r>
      <w:r>
        <w:rPr>
          <w:rFonts w:ascii="Calibri" w:cs="Calibri" w:eastAsia="Calibri" w:hAnsi="Calibri"/>
          <w:sz w:val="18"/>
          <w:szCs w:val="18"/>
          <w:color w:val="auto"/>
        </w:rPr>
        <w:t>, afer which the Company will begin paying equal monthly principal on the frst calendar day of each month. In the event of certain prespecifed events, the repayment schedule will be accelerated.</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Term Loan Facility will accrue interest at a foatng annual rate equal to the sum of (i) term Secured Overnight Financing Rate, or </w:t>
      </w:r>
      <w:r>
        <w:rPr>
          <w:rFonts w:ascii="Calibri" w:cs="Calibri" w:eastAsia="Calibri" w:hAnsi="Calibri"/>
          <w:sz w:val="18"/>
          <w:szCs w:val="18"/>
          <w:u w:val="single" w:color="auto"/>
          <w:color w:val="auto"/>
        </w:rPr>
        <w:t>SOFR</w:t>
      </w:r>
      <w:r>
        <w:rPr>
          <w:rFonts w:ascii="Calibri" w:cs="Calibri" w:eastAsia="Calibri" w:hAnsi="Calibri"/>
          <w:sz w:val="18"/>
          <w:szCs w:val="18"/>
          <w:color w:val="auto"/>
        </w:rPr>
        <w:t>, for a tenor of one month (subject to a foor of 4.25% per annum) plus (ii) a margin of 6.75% per annum (subject to an overall cap of 15.00% per annum on the all-in interest rate). As of December 31, 2024, the Company's interest rate was 11.09%. During the year ended December 31, 2024, the Company recognized interest expense of $7.1 million.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contnuance of any payment event of default under the BlackRock Credit Agreement, the interest rate on such overdue sum will automatcally increase by an additonal 3.0% per annum, and may be subject to an additonal late fee of 2.0% of such overdue sum. The Term Loan Facility also includes transacton fees ranging from 1.00% to 1.25% of the draw down amount as well exit fees of 0.75% of the amount funded to the relevant tranche.</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If the Company prepays the outstanding loan prior to maturity, it will be required to pay a prepayment fee ranging from 1.0% to 4.0% of the amount prepaid. If prepayment is made during the frst year, the Company also is required to pay the amount of otherwise due interest payments for the twelve-month period following prepayment.</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As of December 31, 2024, future principal payments under the BlackRock Credit Agreement are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00" w:type="dxa"/>
            <w:vAlign w:val="bottom"/>
            <w:gridSpan w:val="2"/>
          </w:tcPr>
          <w:p>
            <w:pPr>
              <w:ind w:left="20"/>
              <w:spacing w:after="0"/>
              <w:rPr>
                <w:sz w:val="20"/>
                <w:szCs w:val="20"/>
                <w:color w:val="auto"/>
              </w:rPr>
            </w:pPr>
            <w:r>
              <w:rPr>
                <w:rFonts w:ascii="Calibri" w:cs="Calibri" w:eastAsia="Calibri" w:hAnsi="Calibri"/>
                <w:sz w:val="16"/>
                <w:szCs w:val="16"/>
                <w:b w:val="1"/>
                <w:bCs w:val="1"/>
                <w:color w:val="auto"/>
              </w:rPr>
              <w:t>Years ended December 31,</w:t>
            </w:r>
          </w:p>
        </w:tc>
        <w:tc>
          <w:tcPr>
            <w:tcW w:w="460" w:type="dxa"/>
            <w:vAlign w:val="bottom"/>
          </w:tcPr>
          <w:p>
            <w:pPr>
              <w:spacing w:after="0"/>
              <w:rPr>
                <w:sz w:val="16"/>
                <w:szCs w:val="16"/>
                <w:color w:val="auto"/>
              </w:rPr>
            </w:pPr>
          </w:p>
        </w:tc>
        <w:tc>
          <w:tcPr>
            <w:tcW w:w="1780" w:type="dxa"/>
            <w:vAlign w:val="bottom"/>
          </w:tcPr>
          <w:p>
            <w:pPr>
              <w:jc w:val="right"/>
              <w:ind w:right="739"/>
              <w:spacing w:after="0"/>
              <w:rPr>
                <w:sz w:val="20"/>
                <w:szCs w:val="20"/>
                <w:color w:val="auto"/>
              </w:rPr>
            </w:pPr>
            <w:r>
              <w:rPr>
                <w:rFonts w:ascii="Calibri" w:cs="Calibri" w:eastAsia="Calibri" w:hAnsi="Calibri"/>
                <w:sz w:val="16"/>
                <w:szCs w:val="16"/>
                <w:b w:val="1"/>
                <w:bCs w:val="1"/>
                <w:color w:val="auto"/>
              </w:rPr>
              <w:t>Amounts</w:t>
            </w:r>
          </w:p>
        </w:tc>
      </w:tr>
      <w:tr>
        <w:trPr>
          <w:trHeight w:val="28"/>
        </w:trPr>
        <w:tc>
          <w:tcPr>
            <w:tcW w:w="89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89"/>
        </w:trPr>
        <w:tc>
          <w:tcPr>
            <w:tcW w:w="8900" w:type="dxa"/>
            <w:vAlign w:val="bottom"/>
            <w:tcBorders>
              <w:bottom w:val="single" w:sz="8" w:color="DBDBDB"/>
            </w:tcBorders>
            <w:shd w:val="clear" w:color="auto" w:fill="DBDBDB"/>
          </w:tcPr>
          <w:p>
            <w:pPr>
              <w:ind w:left="20"/>
              <w:spacing w:after="0" w:line="187" w:lineRule="exact"/>
              <w:rPr>
                <w:sz w:val="20"/>
                <w:szCs w:val="20"/>
                <w:color w:val="auto"/>
              </w:rPr>
            </w:pPr>
            <w:r>
              <w:rPr>
                <w:rFonts w:ascii="Calibri" w:cs="Calibri" w:eastAsia="Calibri" w:hAnsi="Calibri"/>
                <w:sz w:val="16"/>
                <w:szCs w:val="16"/>
                <w:color w:val="auto"/>
              </w:rPr>
              <w:t>2025</w:t>
            </w:r>
          </w:p>
        </w:tc>
        <w:tc>
          <w:tcPr>
            <w:tcW w:w="100" w:type="dxa"/>
            <w:vAlign w:val="bottom"/>
            <w:tcBorders>
              <w:bottom w:val="single" w:sz="8" w:color="DBDBDB"/>
            </w:tcBorders>
            <w:shd w:val="clear" w:color="auto" w:fill="DBDBDB"/>
          </w:tcPr>
          <w:p>
            <w:pPr>
              <w:spacing w:after="0"/>
              <w:rPr>
                <w:sz w:val="16"/>
                <w:szCs w:val="16"/>
                <w:color w:val="auto"/>
              </w:rPr>
            </w:pPr>
          </w:p>
        </w:tc>
        <w:tc>
          <w:tcPr>
            <w:tcW w:w="460" w:type="dxa"/>
            <w:vAlign w:val="bottom"/>
            <w:tcBorders>
              <w:bottom w:val="single" w:sz="8" w:color="DBDBDB"/>
            </w:tcBorders>
            <w:shd w:val="clear" w:color="auto" w:fill="DBDBDB"/>
          </w:tcPr>
          <w:p>
            <w:pPr>
              <w:spacing w:after="0"/>
              <w:rPr>
                <w:sz w:val="16"/>
                <w:szCs w:val="16"/>
                <w:color w:val="auto"/>
              </w:rPr>
            </w:pPr>
          </w:p>
        </w:tc>
        <w:tc>
          <w:tcPr>
            <w:tcW w:w="178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w:t>
            </w:r>
          </w:p>
        </w:tc>
      </w:tr>
      <w:tr>
        <w:trPr>
          <w:trHeight w:val="193"/>
        </w:trPr>
        <w:tc>
          <w:tcPr>
            <w:tcW w:w="8900" w:type="dxa"/>
            <w:vAlign w:val="bottom"/>
          </w:tcPr>
          <w:p>
            <w:pPr>
              <w:ind w:left="20"/>
              <w:spacing w:after="0" w:line="193" w:lineRule="exact"/>
              <w:rPr>
                <w:sz w:val="20"/>
                <w:szCs w:val="20"/>
                <w:color w:val="auto"/>
              </w:rPr>
            </w:pPr>
            <w:r>
              <w:rPr>
                <w:rFonts w:ascii="Calibri" w:cs="Calibri" w:eastAsia="Calibri" w:hAnsi="Calibri"/>
                <w:sz w:val="16"/>
                <w:szCs w:val="16"/>
                <w:color w:val="auto"/>
              </w:rPr>
              <w:t>2026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8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23"/>
        </w:trPr>
        <w:tc>
          <w:tcPr>
            <w:tcW w:w="8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8900" w:type="dxa"/>
            <w:vAlign w:val="bottom"/>
            <w:tcBorders>
              <w:bottom w:val="single" w:sz="8" w:color="DBDBDB"/>
            </w:tcBorders>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2027</w:t>
            </w:r>
          </w:p>
        </w:tc>
        <w:tc>
          <w:tcPr>
            <w:tcW w:w="100" w:type="dxa"/>
            <w:vAlign w:val="bottom"/>
            <w:tcBorders>
              <w:bottom w:val="single" w:sz="8" w:color="DBDBDB"/>
            </w:tcBorders>
            <w:shd w:val="clear" w:color="auto" w:fill="DBDBDB"/>
          </w:tcPr>
          <w:p>
            <w:pPr>
              <w:spacing w:after="0"/>
              <w:rPr>
                <w:sz w:val="17"/>
                <w:szCs w:val="17"/>
                <w:color w:val="auto"/>
              </w:rPr>
            </w:pPr>
          </w:p>
        </w:tc>
        <w:tc>
          <w:tcPr>
            <w:tcW w:w="460" w:type="dxa"/>
            <w:vAlign w:val="bottom"/>
            <w:tcBorders>
              <w:bottom w:val="single" w:sz="8" w:color="DBDBDB"/>
            </w:tcBorders>
            <w:shd w:val="clear" w:color="auto" w:fill="DBDBDB"/>
          </w:tcPr>
          <w:p>
            <w:pPr>
              <w:spacing w:after="0"/>
              <w:rPr>
                <w:sz w:val="17"/>
                <w:szCs w:val="17"/>
                <w:color w:val="auto"/>
              </w:rPr>
            </w:pPr>
          </w:p>
        </w:tc>
        <w:tc>
          <w:tcPr>
            <w:tcW w:w="178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41,363</w:t>
            </w:r>
          </w:p>
        </w:tc>
      </w:tr>
      <w:tr>
        <w:trPr>
          <w:trHeight w:val="193"/>
        </w:trPr>
        <w:tc>
          <w:tcPr>
            <w:tcW w:w="8900" w:type="dxa"/>
            <w:vAlign w:val="bottom"/>
          </w:tcPr>
          <w:p>
            <w:pPr>
              <w:ind w:left="20"/>
              <w:spacing w:after="0" w:line="193" w:lineRule="exact"/>
              <w:rPr>
                <w:sz w:val="20"/>
                <w:szCs w:val="20"/>
                <w:color w:val="auto"/>
              </w:rPr>
            </w:pPr>
            <w:r>
              <w:rPr>
                <w:rFonts w:ascii="Calibri" w:cs="Calibri" w:eastAsia="Calibri" w:hAnsi="Calibri"/>
                <w:sz w:val="16"/>
                <w:szCs w:val="16"/>
                <w:color w:val="auto"/>
              </w:rPr>
              <w:t>2028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80" w:type="dxa"/>
            <w:vAlign w:val="bottom"/>
          </w:tcPr>
          <w:p>
            <w:pPr>
              <w:jc w:val="right"/>
              <w:spacing w:after="0" w:line="193" w:lineRule="exact"/>
              <w:rPr>
                <w:sz w:val="20"/>
                <w:szCs w:val="20"/>
                <w:color w:val="auto"/>
              </w:rPr>
            </w:pPr>
            <w:r>
              <w:rPr>
                <w:rFonts w:ascii="Calibri" w:cs="Calibri" w:eastAsia="Calibri" w:hAnsi="Calibri"/>
                <w:sz w:val="16"/>
                <w:szCs w:val="16"/>
                <w:color w:val="auto"/>
              </w:rPr>
              <w:t>1,589</w:t>
            </w:r>
          </w:p>
        </w:tc>
      </w:tr>
      <w:tr>
        <w:trPr>
          <w:trHeight w:val="23"/>
        </w:trPr>
        <w:tc>
          <w:tcPr>
            <w:tcW w:w="89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89"/>
        </w:trPr>
        <w:tc>
          <w:tcPr>
            <w:tcW w:w="9000" w:type="dxa"/>
            <w:vAlign w:val="bottom"/>
            <w:tcBorders>
              <w:bottom w:val="single" w:sz="8" w:color="DBDBDB"/>
            </w:tcBorders>
            <w:gridSpan w:val="2"/>
            <w:shd w:val="clear" w:color="auto" w:fill="DBDBDB"/>
          </w:tcPr>
          <w:p>
            <w:pPr>
              <w:ind w:left="20"/>
              <w:spacing w:after="0" w:line="182" w:lineRule="exact"/>
              <w:rPr>
                <w:sz w:val="20"/>
                <w:szCs w:val="20"/>
                <w:color w:val="auto"/>
              </w:rPr>
            </w:pPr>
            <w:r>
              <w:rPr>
                <w:rFonts w:ascii="Calibri" w:cs="Calibri" w:eastAsia="Calibri" w:hAnsi="Calibri"/>
                <w:sz w:val="16"/>
                <w:szCs w:val="16"/>
                <w:color w:val="auto"/>
              </w:rPr>
              <w:t>Total before unamortzed discount and issuance costs</w:t>
            </w:r>
          </w:p>
        </w:tc>
        <w:tc>
          <w:tcPr>
            <w:tcW w:w="460" w:type="dxa"/>
            <w:vAlign w:val="bottom"/>
            <w:tcBorders>
              <w:bottom w:val="single" w:sz="8" w:color="DBDBDB"/>
            </w:tcBorders>
            <w:shd w:val="clear" w:color="auto" w:fill="DBDBDB"/>
          </w:tcPr>
          <w:p>
            <w:pPr>
              <w:spacing w:after="0"/>
              <w:rPr>
                <w:sz w:val="16"/>
                <w:szCs w:val="16"/>
                <w:color w:val="auto"/>
              </w:rPr>
            </w:pPr>
          </w:p>
        </w:tc>
        <w:tc>
          <w:tcPr>
            <w:tcW w:w="178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42,952</w:t>
            </w:r>
          </w:p>
        </w:tc>
      </w:tr>
      <w:tr>
        <w:trPr>
          <w:trHeight w:val="193"/>
        </w:trPr>
        <w:tc>
          <w:tcPr>
            <w:tcW w:w="9000" w:type="dxa"/>
            <w:vAlign w:val="bottom"/>
            <w:gridSpan w:val="2"/>
          </w:tcPr>
          <w:p>
            <w:pPr>
              <w:ind w:left="140"/>
              <w:spacing w:after="0" w:line="193" w:lineRule="exact"/>
              <w:rPr>
                <w:sz w:val="20"/>
                <w:szCs w:val="20"/>
                <w:color w:val="auto"/>
              </w:rPr>
            </w:pPr>
            <w:r>
              <w:rPr>
                <w:rFonts w:ascii="Calibri" w:cs="Calibri" w:eastAsia="Calibri" w:hAnsi="Calibri"/>
                <w:sz w:val="16"/>
                <w:szCs w:val="16"/>
                <w:color w:val="auto"/>
              </w:rPr>
              <w:t>Less: unamortzed discount and issuance costs</w:t>
            </w:r>
          </w:p>
        </w:tc>
        <w:tc>
          <w:tcPr>
            <w:tcW w:w="460" w:type="dxa"/>
            <w:vAlign w:val="bottom"/>
          </w:tcPr>
          <w:p>
            <w:pPr>
              <w:spacing w:after="0"/>
              <w:rPr>
                <w:sz w:val="16"/>
                <w:szCs w:val="16"/>
                <w:color w:val="auto"/>
              </w:rPr>
            </w:pPr>
          </w:p>
        </w:tc>
        <w:tc>
          <w:tcPr>
            <w:tcW w:w="1780" w:type="dxa"/>
            <w:vAlign w:val="bottom"/>
          </w:tcPr>
          <w:p>
            <w:pPr>
              <w:jc w:val="right"/>
              <w:spacing w:after="0" w:line="193" w:lineRule="exact"/>
              <w:rPr>
                <w:sz w:val="20"/>
                <w:szCs w:val="20"/>
                <w:color w:val="auto"/>
              </w:rPr>
            </w:pPr>
            <w:r>
              <w:rPr>
                <w:rFonts w:ascii="Calibri" w:cs="Calibri" w:eastAsia="Calibri" w:hAnsi="Calibri"/>
                <w:sz w:val="16"/>
                <w:szCs w:val="16"/>
                <w:color w:val="auto"/>
              </w:rPr>
              <w:t>(4,259)</w:t>
            </w:r>
          </w:p>
        </w:tc>
      </w:tr>
      <w:tr>
        <w:trPr>
          <w:trHeight w:val="23"/>
        </w:trPr>
        <w:tc>
          <w:tcPr>
            <w:tcW w:w="890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34"/>
        </w:trPr>
        <w:tc>
          <w:tcPr>
            <w:tcW w:w="9000" w:type="dxa"/>
            <w:vAlign w:val="bottom"/>
            <w:tcBorders>
              <w:bottom w:val="single" w:sz="8" w:color="DBDBDB"/>
            </w:tcBorders>
            <w:gridSpan w:val="2"/>
            <w:shd w:val="clear" w:color="auto" w:fill="DBDBDB"/>
          </w:tcPr>
          <w:p>
            <w:pPr>
              <w:ind w:left="20"/>
              <w:spacing w:after="0"/>
              <w:rPr>
                <w:sz w:val="20"/>
                <w:szCs w:val="20"/>
                <w:color w:val="auto"/>
              </w:rPr>
            </w:pPr>
            <w:r>
              <w:rPr>
                <w:rFonts w:ascii="Calibri" w:cs="Calibri" w:eastAsia="Calibri" w:hAnsi="Calibri"/>
                <w:sz w:val="16"/>
                <w:szCs w:val="16"/>
                <w:color w:val="auto"/>
              </w:rPr>
              <w:t>Total term loans</w:t>
            </w:r>
          </w:p>
        </w:tc>
        <w:tc>
          <w:tcPr>
            <w:tcW w:w="460" w:type="dxa"/>
            <w:vAlign w:val="bottom"/>
            <w:tcBorders>
              <w:bottom w:val="single" w:sz="8" w:color="auto"/>
            </w:tcBorders>
            <w:shd w:val="clear" w:color="auto" w:fill="DBDBDB"/>
          </w:tcPr>
          <w:p>
            <w:pPr>
              <w:jc w:val="right"/>
              <w:ind w:right="279"/>
              <w:spacing w:after="0" w:line="193" w:lineRule="exact"/>
              <w:rPr>
                <w:sz w:val="20"/>
                <w:szCs w:val="20"/>
                <w:color w:val="auto"/>
              </w:rPr>
            </w:pPr>
            <w:r>
              <w:rPr>
                <w:rFonts w:ascii="Calibri" w:cs="Calibri" w:eastAsia="Calibri" w:hAnsi="Calibri"/>
                <w:sz w:val="16"/>
                <w:szCs w:val="16"/>
                <w:color w:val="auto"/>
                <w:w w:val="97"/>
              </w:rPr>
              <w:t>$</w:t>
            </w:r>
          </w:p>
        </w:tc>
        <w:tc>
          <w:tcPr>
            <w:tcW w:w="1780" w:type="dxa"/>
            <w:vAlign w:val="bottom"/>
            <w:tcBorders>
              <w:bottom w:val="single" w:sz="8" w:color="auto"/>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38,693</w:t>
            </w:r>
          </w:p>
        </w:tc>
      </w:tr>
      <w:tr>
        <w:trPr>
          <w:trHeight w:val="20"/>
        </w:trPr>
        <w:tc>
          <w:tcPr>
            <w:tcW w:w="89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780" w:type="dxa"/>
            <w:vAlign w:val="bottom"/>
            <w:tcBorders>
              <w:top w:val="single" w:sz="8" w:color="DBDBDB"/>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spacing w:after="0" w:line="249" w:lineRule="auto"/>
        <w:rPr>
          <w:sz w:val="20"/>
          <w:szCs w:val="20"/>
          <w:color w:val="auto"/>
        </w:rPr>
      </w:pPr>
      <w:r>
        <w:rPr>
          <w:rFonts w:ascii="Calibri" w:cs="Calibri" w:eastAsia="Calibri" w:hAnsi="Calibri"/>
          <w:sz w:val="17"/>
          <w:szCs w:val="17"/>
          <w:color w:val="auto"/>
        </w:rPr>
        <w:t>The BlackRock Term Loan Facility is secured by substantally all of the existng and afer-acquired assets of the Company, including intellectual property. The BlackRock Credit Agreement requires the Company to (i) maintain a minimum aggregate cash balance of $15.0 million in one or more controlled accounts or</w:t>
      </w:r>
    </w:p>
    <w:p>
      <w:pPr>
        <w:spacing w:after="0" w:line="1" w:lineRule="exact"/>
        <w:rPr>
          <w:sz w:val="20"/>
          <w:szCs w:val="20"/>
          <w:color w:val="auto"/>
        </w:rPr>
      </w:pPr>
    </w:p>
    <w:p>
      <w:pPr>
        <w:jc w:val="both"/>
        <w:ind w:firstLine="8"/>
        <w:spacing w:after="0" w:line="235" w:lineRule="auto"/>
        <w:tabs>
          <w:tab w:leader="none" w:pos="234" w:val="left"/>
        </w:tabs>
        <w:numPr>
          <w:ilvl w:val="0"/>
          <w:numId w:val="69"/>
        </w:numPr>
        <w:rPr>
          <w:rFonts w:ascii="Calibri" w:cs="Calibri" w:eastAsia="Calibri" w:hAnsi="Calibri"/>
          <w:sz w:val="18"/>
          <w:szCs w:val="18"/>
          <w:color w:val="auto"/>
        </w:rPr>
      </w:pPr>
      <w:r>
        <w:rPr>
          <w:rFonts w:ascii="Calibri" w:cs="Calibri" w:eastAsia="Calibri" w:hAnsi="Calibri"/>
          <w:sz w:val="18"/>
          <w:szCs w:val="18"/>
          <w:color w:val="auto"/>
        </w:rPr>
        <w:t>trailing twelve-month revenue of $150.0 million, both of which are measured monthly. The BlackRock Credit Agreement contains certain representatons and warrantes, afrmatve and negatve covenants that limit the Company's ability to engage in specifed types of transactons and other provisions typical within a credit agreement. If an event of default occurs and is contnuing under the BlackRock Credit Agreement, BlackRock is enttled to take enforcement acton, including acceleraton of amounts due and it could limit the Company's ability to make certain payments under the Vifor Terminaton Agreement (as defned below).</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July 10, 2024, in connecton with the Vifor Terminaton and Setlement Agreement, or the </w:t>
      </w:r>
      <w:r>
        <w:rPr>
          <w:rFonts w:ascii="Calibri" w:cs="Calibri" w:eastAsia="Calibri" w:hAnsi="Calibri"/>
          <w:sz w:val="18"/>
          <w:szCs w:val="18"/>
          <w:u w:val="single" w:color="auto"/>
          <w:color w:val="auto"/>
        </w:rPr>
        <w:t>Vifor Terminaton Agreement</w:t>
      </w:r>
      <w:r>
        <w:rPr>
          <w:rFonts w:ascii="Calibri" w:cs="Calibri" w:eastAsia="Calibri" w:hAnsi="Calibri"/>
          <w:sz w:val="18"/>
          <w:szCs w:val="18"/>
          <w:color w:val="auto"/>
        </w:rPr>
        <w:t xml:space="preserve">, the Company and Kreos entered into a First Amendment to the BlackRock Credit Agreement, or the </w:t>
      </w:r>
      <w:r>
        <w:rPr>
          <w:rFonts w:ascii="Calibri" w:cs="Calibri" w:eastAsia="Calibri" w:hAnsi="Calibri"/>
          <w:sz w:val="18"/>
          <w:szCs w:val="18"/>
          <w:u w:val="single" w:color="auto"/>
          <w:color w:val="auto"/>
        </w:rPr>
        <w:t>BlackRock Credit Amendment</w:t>
      </w:r>
      <w:r>
        <w:rPr>
          <w:rFonts w:ascii="Calibri" w:cs="Calibri" w:eastAsia="Calibri" w:hAnsi="Calibri"/>
          <w:sz w:val="18"/>
          <w:szCs w:val="18"/>
          <w:color w:val="auto"/>
        </w:rPr>
        <w:t xml:space="preserve">, which amended certain provisions of the BlackRock Credit Agreement. See Note 8, </w:t>
      </w:r>
      <w:r>
        <w:rPr>
          <w:rFonts w:ascii="Calibri" w:cs="Calibri" w:eastAsia="Calibri" w:hAnsi="Calibri"/>
          <w:sz w:val="18"/>
          <w:szCs w:val="18"/>
          <w:i w:val="1"/>
          <w:iCs w:val="1"/>
          <w:color w:val="auto"/>
        </w:rPr>
        <w:t>Liability Related to Setlement Royaltes, Working Capital Fund Liability and Liability Related to Sale of Future Royaltes</w:t>
      </w:r>
      <w:r>
        <w:rPr>
          <w:rFonts w:ascii="Calibri" w:cs="Calibri" w:eastAsia="Calibri" w:hAnsi="Calibri"/>
          <w:sz w:val="18"/>
          <w:szCs w:val="18"/>
          <w:color w:val="auto"/>
        </w:rPr>
        <w:t>, for further informaton on the Vifor Terminaton Agreement.</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Warrant</w:t>
      </w:r>
    </w:p>
    <w:p>
      <w:pPr>
        <w:spacing w:after="0" w:line="109"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 xml:space="preserve">On the Closing Date, Kreos Capital VII Aggregator SCSp, an afliate of Kreos, or the </w:t>
      </w:r>
      <w:r>
        <w:rPr>
          <w:rFonts w:ascii="Calibri" w:cs="Calibri" w:eastAsia="Calibri" w:hAnsi="Calibri"/>
          <w:sz w:val="17"/>
          <w:szCs w:val="17"/>
          <w:u w:val="single" w:color="auto"/>
          <w:color w:val="auto"/>
        </w:rPr>
        <w:t>Warrant Holder</w:t>
      </w:r>
      <w:r>
        <w:rPr>
          <w:rFonts w:ascii="Calibri" w:cs="Calibri" w:eastAsia="Calibri" w:hAnsi="Calibri"/>
          <w:sz w:val="17"/>
          <w:szCs w:val="17"/>
          <w:color w:val="auto"/>
        </w:rPr>
        <w:t xml:space="preserve">, received a warrant to purchase 3,076,923 shares of the Company’s common stock, at an exercise price per share of $1.30, or the </w:t>
      </w:r>
      <w:r>
        <w:rPr>
          <w:rFonts w:ascii="Calibri" w:cs="Calibri" w:eastAsia="Calibri" w:hAnsi="Calibri"/>
          <w:sz w:val="17"/>
          <w:szCs w:val="17"/>
          <w:u w:val="single" w:color="auto"/>
          <w:color w:val="auto"/>
        </w:rPr>
        <w:t>Inital Warrant</w:t>
      </w:r>
      <w:r>
        <w:rPr>
          <w:rFonts w:ascii="Calibri" w:cs="Calibri" w:eastAsia="Calibri" w:hAnsi="Calibri"/>
          <w:sz w:val="17"/>
          <w:szCs w:val="17"/>
          <w:color w:val="auto"/>
        </w:rPr>
        <w:t xml:space="preserve">. On the Tranche C Closing Date, the Company issued the Warrant Holder additonal warrants to purchase 1,153,846 shares of the Company’s common stock at an exercise price per share of $1.30, or the </w:t>
      </w:r>
      <w:r>
        <w:rPr>
          <w:rFonts w:ascii="Calibri" w:cs="Calibri" w:eastAsia="Calibri" w:hAnsi="Calibri"/>
          <w:sz w:val="17"/>
          <w:szCs w:val="17"/>
          <w:u w:val="single" w:color="auto"/>
          <w:color w:val="auto"/>
        </w:rPr>
        <w:t>Tranche C Warrant</w:t>
      </w:r>
      <w:r>
        <w:rPr>
          <w:rFonts w:ascii="Calibri" w:cs="Calibri" w:eastAsia="Calibri" w:hAnsi="Calibri"/>
          <w:sz w:val="17"/>
          <w:szCs w:val="17"/>
          <w:color w:val="auto"/>
        </w:rPr>
        <w:t xml:space="preserve">. Each warrant is exercisable for eight years from the date of issuance. See Note 18, </w:t>
      </w:r>
      <w:r>
        <w:rPr>
          <w:rFonts w:ascii="Calibri" w:cs="Calibri" w:eastAsia="Calibri" w:hAnsi="Calibri"/>
          <w:sz w:val="17"/>
          <w:szCs w:val="17"/>
          <w:i w:val="1"/>
          <w:iCs w:val="1"/>
          <w:color w:val="auto"/>
        </w:rPr>
        <w:t>Subsequent Events</w:t>
      </w:r>
      <w:r>
        <w:rPr>
          <w:rFonts w:ascii="Calibri" w:cs="Calibri" w:eastAsia="Calibri" w:hAnsi="Calibri"/>
          <w:sz w:val="17"/>
          <w:szCs w:val="17"/>
          <w:color w:val="auto"/>
        </w:rPr>
        <w:t>, for further details on the Tranche C Warrant.</w:t>
      </w:r>
    </w:p>
    <w:p>
      <w:pPr>
        <w:spacing w:after="0" w:line="10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Inital Warrant is liability classifed under ASC 815, </w:t>
      </w:r>
      <w:r>
        <w:rPr>
          <w:rFonts w:ascii="Calibri" w:cs="Calibri" w:eastAsia="Calibri" w:hAnsi="Calibri"/>
          <w:sz w:val="18"/>
          <w:szCs w:val="18"/>
          <w:i w:val="1"/>
          <w:iCs w:val="1"/>
          <w:color w:val="auto"/>
        </w:rPr>
        <w:t>Derivatves and Hedging</w:t>
      </w:r>
      <w:r>
        <w:rPr>
          <w:rFonts w:ascii="Calibri" w:cs="Calibri" w:eastAsia="Calibri" w:hAnsi="Calibri"/>
          <w:sz w:val="18"/>
          <w:szCs w:val="18"/>
          <w:color w:val="auto"/>
        </w:rPr>
        <w:t xml:space="preserve">, as it could potentally require net cash setlement outside of the Company’s control. The Inital Warrant is measured at fair value each period with changes in fair value presented within the consolidated statements of operatons and comprehensive loss. The fair value of the warrant liability was $5.2 million as of December 31, 2024. See Note 3, </w:t>
      </w:r>
      <w:r>
        <w:rPr>
          <w:rFonts w:ascii="Calibri" w:cs="Calibri" w:eastAsia="Calibri" w:hAnsi="Calibri"/>
          <w:sz w:val="18"/>
          <w:szCs w:val="18"/>
          <w:i w:val="1"/>
          <w:iCs w:val="1"/>
          <w:color w:val="auto"/>
        </w:rPr>
        <w:t>Fair Value of Financial Instruments</w:t>
      </w:r>
      <w:r>
        <w:rPr>
          <w:rFonts w:ascii="Calibri" w:cs="Calibri" w:eastAsia="Calibri" w:hAnsi="Calibri"/>
          <w:sz w:val="18"/>
          <w:szCs w:val="18"/>
          <w:color w:val="auto"/>
        </w:rPr>
        <w:t>, for informaton on the fair value determinaton.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6" w:name="page147"/>
    <w:bookmarkEnd w:id="14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Other Agreements Accounted for as Debt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Company has a liability related to setlement royaltes and a Working Capital Fund liability with Vifor (Internatonal) Ltd. (now a part of CSL Limited), or </w:t>
      </w:r>
      <w:r>
        <w:rPr>
          <w:rFonts w:ascii="Calibri" w:cs="Calibri" w:eastAsia="Calibri" w:hAnsi="Calibri"/>
          <w:sz w:val="18"/>
          <w:szCs w:val="18"/>
          <w:u w:val="single" w:color="auto"/>
          <w:color w:val="auto"/>
        </w:rPr>
        <w:t>CSL Vifor</w:t>
      </w:r>
      <w:r>
        <w:rPr>
          <w:rFonts w:ascii="Calibri" w:cs="Calibri" w:eastAsia="Calibri" w:hAnsi="Calibri"/>
          <w:sz w:val="18"/>
          <w:szCs w:val="18"/>
          <w:color w:val="auto"/>
        </w:rPr>
        <w:t xml:space="preserve">, and a liability related to the sale of future royaltes, which are accounted for as debt arrangements. See Note 8, </w:t>
      </w:r>
      <w:r>
        <w:rPr>
          <w:rFonts w:ascii="Calibri" w:cs="Calibri" w:eastAsia="Calibri" w:hAnsi="Calibri"/>
          <w:sz w:val="18"/>
          <w:szCs w:val="18"/>
          <w:i w:val="1"/>
          <w:iCs w:val="1"/>
          <w:color w:val="auto"/>
        </w:rPr>
        <w:t>Liability Related to Setlement</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Royaltes, Working Capital Fund Liability and Liability Related to Sale of Future Royaltes</w:t>
      </w:r>
      <w:r>
        <w:rPr>
          <w:rFonts w:ascii="Calibri" w:cs="Calibri" w:eastAsia="Calibri" w:hAnsi="Calibri"/>
          <w:sz w:val="18"/>
          <w:szCs w:val="18"/>
          <w:color w:val="auto"/>
        </w:rPr>
        <w:t>, for further informaton.</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Pharmakon Term Loan (Extnguished January 29, 2024)</w:t>
      </w:r>
    </w:p>
    <w:p>
      <w:pPr>
        <w:spacing w:after="0" w:line="10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 xml:space="preserve">On November 11, 2019, the Company, with Keryx as guarantor, entered into a loan agreement, or the </w:t>
      </w:r>
      <w:r>
        <w:rPr>
          <w:rFonts w:ascii="Calibri" w:cs="Calibri" w:eastAsia="Calibri" w:hAnsi="Calibri"/>
          <w:sz w:val="17"/>
          <w:szCs w:val="17"/>
          <w:u w:val="single" w:color="auto"/>
          <w:color w:val="auto"/>
        </w:rPr>
        <w:t>Pharmakon Loan Agreement</w:t>
      </w:r>
      <w:r>
        <w:rPr>
          <w:rFonts w:ascii="Calibri" w:cs="Calibri" w:eastAsia="Calibri" w:hAnsi="Calibri"/>
          <w:sz w:val="17"/>
          <w:szCs w:val="17"/>
          <w:color w:val="auto"/>
        </w:rPr>
        <w:t xml:space="preserve">, with BioPharma Credit PLC as collateral agent and a lender, or the </w:t>
      </w:r>
      <w:r>
        <w:rPr>
          <w:rFonts w:ascii="Calibri" w:cs="Calibri" w:eastAsia="Calibri" w:hAnsi="Calibri"/>
          <w:sz w:val="17"/>
          <w:szCs w:val="17"/>
          <w:u w:val="single" w:color="auto"/>
          <w:color w:val="auto"/>
        </w:rPr>
        <w:t>Collateral Agent</w:t>
      </w:r>
      <w:r>
        <w:rPr>
          <w:rFonts w:ascii="Calibri" w:cs="Calibri" w:eastAsia="Calibri" w:hAnsi="Calibri"/>
          <w:sz w:val="17"/>
          <w:szCs w:val="17"/>
          <w:color w:val="auto"/>
        </w:rPr>
        <w:t xml:space="preserve">, and BioPharma Credit Investments V (Master) LP as a lender, and a Guaranty and Security Agreement with the Collateral Agent. BioPharma Credit PLC subsequently transferred its interest in the loans, solely in its capacity as a lender, to its afliate, BPCR Limited Partnership. The Collateral Agent and the lenders are collectvely referred to as </w:t>
      </w:r>
      <w:r>
        <w:rPr>
          <w:rFonts w:ascii="Calibri" w:cs="Calibri" w:eastAsia="Calibri" w:hAnsi="Calibri"/>
          <w:sz w:val="17"/>
          <w:szCs w:val="17"/>
          <w:u w:val="single" w:color="auto"/>
          <w:color w:val="auto"/>
        </w:rPr>
        <w:t>Pharmakon</w:t>
      </w:r>
      <w:r>
        <w:rPr>
          <w:rFonts w:ascii="Calibri" w:cs="Calibri" w:eastAsia="Calibri" w:hAnsi="Calibri"/>
          <w:sz w:val="17"/>
          <w:szCs w:val="17"/>
          <w:color w:val="auto"/>
        </w:rPr>
        <w:t xml:space="preserve">. The Pharmakon Loan Agreement, as amended, consisted of a secured term loan facility in an aggregate amount of up to $100.0 million, or </w:t>
      </w:r>
      <w:r>
        <w:rPr>
          <w:rFonts w:ascii="Calibri" w:cs="Calibri" w:eastAsia="Calibri" w:hAnsi="Calibri"/>
          <w:sz w:val="17"/>
          <w:szCs w:val="17"/>
          <w:u w:val="single" w:color="auto"/>
          <w:color w:val="auto"/>
        </w:rPr>
        <w:t>Pharmakon Term Loans</w:t>
      </w:r>
      <w:r>
        <w:rPr>
          <w:rFonts w:ascii="Calibri" w:cs="Calibri" w:eastAsia="Calibri" w:hAnsi="Calibri"/>
          <w:sz w:val="17"/>
          <w:szCs w:val="17"/>
          <w:color w:val="auto"/>
        </w:rPr>
        <w:t xml:space="preserve">, which was made available under two tranches: (i) </w:t>
      </w:r>
      <w:r>
        <w:rPr>
          <w:rFonts w:ascii="Calibri" w:cs="Calibri" w:eastAsia="Calibri" w:hAnsi="Calibri"/>
          <w:sz w:val="17"/>
          <w:szCs w:val="17"/>
          <w:u w:val="single" w:color="auto"/>
          <w:color w:val="auto"/>
        </w:rPr>
        <w:t>Tranche A</w:t>
      </w:r>
      <w:r>
        <w:rPr>
          <w:rFonts w:ascii="Calibri" w:cs="Calibri" w:eastAsia="Calibri" w:hAnsi="Calibri"/>
          <w:sz w:val="17"/>
          <w:szCs w:val="17"/>
          <w:color w:val="auto"/>
        </w:rPr>
        <w:t xml:space="preserve"> — $80.0 million and (ii) </w:t>
      </w:r>
      <w:r>
        <w:rPr>
          <w:rFonts w:ascii="Calibri" w:cs="Calibri" w:eastAsia="Calibri" w:hAnsi="Calibri"/>
          <w:sz w:val="17"/>
          <w:szCs w:val="17"/>
          <w:u w:val="single" w:color="auto"/>
          <w:color w:val="auto"/>
        </w:rPr>
        <w:t>Tranche B</w:t>
      </w:r>
      <w:r>
        <w:rPr>
          <w:rFonts w:ascii="Calibri" w:cs="Calibri" w:eastAsia="Calibri" w:hAnsi="Calibri"/>
          <w:sz w:val="17"/>
          <w:szCs w:val="17"/>
          <w:color w:val="auto"/>
        </w:rPr>
        <w:t xml:space="preserve"> — $20.0 million. On November 25, 2019, the Company drew $77.3 million on Tranche A, net of fees and expenses of $2.7 million. On December 10, 2020, the Company drew $20.0 million on Tranche B, net of immaterial lender expenses and issuance costs.</w:t>
      </w:r>
    </w:p>
    <w:p>
      <w:pPr>
        <w:spacing w:after="0" w:line="10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the Closing Date, using the proceeds from the BlackRock Credit Agreement, the Company paid the then outstanding principal balance on the Pharmakon Term Loans of $35.0 million, plus the outstanding interest and a prepayment fee of $0.2 million. During the year ended December 31, 2024, the Company recorded a debt extnguishment loss of $0.5 million.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Pharmakon Term Loans, as amended, bore interest through maturity at a variable rate based on the three month SOFR plus a SOFR adjustment of 0.30% plus 7.50%. The SOFR interest rate was capped at 3.35% through October 31, 2023, the date of the Fourth Amendment to the Pharmakon Loan Agreement, or </w:t>
      </w:r>
      <w:r>
        <w:rPr>
          <w:rFonts w:ascii="Calibri" w:cs="Calibri" w:eastAsia="Calibri" w:hAnsi="Calibri"/>
          <w:sz w:val="18"/>
          <w:szCs w:val="18"/>
          <w:u w:val="single" w:color="auto"/>
          <w:color w:val="auto"/>
        </w:rPr>
        <w:t>Fourth Amendment</w:t>
      </w:r>
      <w:r>
        <w:rPr>
          <w:rFonts w:ascii="Calibri" w:cs="Calibri" w:eastAsia="Calibri" w:hAnsi="Calibri"/>
          <w:sz w:val="18"/>
          <w:szCs w:val="18"/>
          <w:color w:val="auto"/>
        </w:rPr>
        <w:t>. The Company recognized immaterial interest expense and $6.0 million of interest expense related to the Pharmakon Loan Agreement during the years ended December 31, 2024 and 2023, respectvely.</w:t>
      </w:r>
    </w:p>
    <w:p>
      <w:pPr>
        <w:spacing w:after="0" w:line="107" w:lineRule="exact"/>
        <w:rPr>
          <w:sz w:val="20"/>
          <w:szCs w:val="20"/>
          <w:color w:val="auto"/>
        </w:rPr>
      </w:pPr>
    </w:p>
    <w:p>
      <w:pPr>
        <w:spacing w:after="0"/>
        <w:tabs>
          <w:tab w:leader="none" w:pos="300" w:val="left"/>
        </w:tabs>
        <w:rPr>
          <w:sz w:val="20"/>
          <w:szCs w:val="20"/>
          <w:color w:val="auto"/>
        </w:rPr>
      </w:pPr>
      <w:r>
        <w:rPr>
          <w:rFonts w:ascii="Calibri" w:cs="Calibri" w:eastAsia="Calibri" w:hAnsi="Calibri"/>
          <w:sz w:val="18"/>
          <w:szCs w:val="18"/>
          <w:b w:val="1"/>
          <w:bCs w:val="1"/>
          <w:color w:val="auto"/>
        </w:rPr>
        <w:t>8.</w:t>
      </w:r>
      <w:r>
        <w:rPr>
          <w:sz w:val="20"/>
          <w:szCs w:val="20"/>
          <w:color w:val="auto"/>
        </w:rPr>
        <w:tab/>
      </w:r>
      <w:r>
        <w:rPr>
          <w:rFonts w:ascii="Calibri" w:cs="Calibri" w:eastAsia="Calibri" w:hAnsi="Calibri"/>
          <w:sz w:val="17"/>
          <w:szCs w:val="17"/>
          <w:b w:val="1"/>
          <w:bCs w:val="1"/>
          <w:color w:val="auto"/>
        </w:rPr>
        <w:t>LIABILITY RELATED TO SETTLEMENT ROYALTIES, WORKING CAPITAL FUND LIABILITY AND LIABILITY RELATED TO SALE OF FUTURE ROYALTIES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Vifor License Agreement</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Summary of Agreement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February 18, 2022, the Company entered into a Second Amended and Restated License Agreement, or the </w:t>
      </w:r>
      <w:r>
        <w:rPr>
          <w:rFonts w:ascii="Calibri" w:cs="Calibri" w:eastAsia="Calibri" w:hAnsi="Calibri"/>
          <w:sz w:val="18"/>
          <w:szCs w:val="18"/>
          <w:u w:val="single" w:color="auto"/>
          <w:color w:val="auto"/>
        </w:rPr>
        <w:t>Vifor License Agreement</w:t>
      </w:r>
      <w:r>
        <w:rPr>
          <w:rFonts w:ascii="Calibri" w:cs="Calibri" w:eastAsia="Calibri" w:hAnsi="Calibri"/>
          <w:sz w:val="18"/>
          <w:szCs w:val="18"/>
          <w:color w:val="auto"/>
        </w:rPr>
        <w:t xml:space="preserve">, with CSL Vifor, which amended and restated the License Agreement dated as of May 12, 2017, or the </w:t>
      </w:r>
      <w:r>
        <w:rPr>
          <w:rFonts w:ascii="Calibri" w:cs="Calibri" w:eastAsia="Calibri" w:hAnsi="Calibri"/>
          <w:sz w:val="18"/>
          <w:szCs w:val="18"/>
          <w:u w:val="single" w:color="auto"/>
          <w:color w:val="auto"/>
        </w:rPr>
        <w:t>Original License Agreement</w:t>
      </w:r>
      <w:r>
        <w:rPr>
          <w:rFonts w:ascii="Calibri" w:cs="Calibri" w:eastAsia="Calibri" w:hAnsi="Calibri"/>
          <w:sz w:val="18"/>
          <w:szCs w:val="18"/>
          <w:color w:val="auto"/>
        </w:rPr>
        <w:t xml:space="preserve">. The Vifor License Agreement granted CSL Vifor an exclusive license to sell Vafseo to Fresenius Medical Care North America and its afliates, including Fresenius Kidney Care Group LLC, to certain third-party dialysis organizatons approved by the Company, to independent dialysis organizatons that were members of certain group purchasing organizatons and certain non-retail specialty pharmacies, collectvely, the </w:t>
      </w:r>
      <w:r>
        <w:rPr>
          <w:rFonts w:ascii="Calibri" w:cs="Calibri" w:eastAsia="Calibri" w:hAnsi="Calibri"/>
          <w:sz w:val="18"/>
          <w:szCs w:val="18"/>
          <w:u w:val="single" w:color="auto"/>
          <w:color w:val="auto"/>
        </w:rPr>
        <w:t>Supply Group</w:t>
      </w:r>
      <w:r>
        <w:rPr>
          <w:rFonts w:ascii="Calibri" w:cs="Calibri" w:eastAsia="Calibri" w:hAnsi="Calibri"/>
          <w:sz w:val="18"/>
          <w:szCs w:val="18"/>
          <w:color w:val="auto"/>
        </w:rPr>
        <w:t>, in the U.S.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Vifor License Agreement was structured as a proft share arrangement between the Company and CSL Vifor in which the Company would receive approximately 66% of the proft, net of certain pre-specifed costs. In additon, CSL Vifor made an upfront payment to the Company of $25.0 million in February 2022 in connecton with the amendment and restatement of the Vifor License Agreement, which was previously recorded as long-term deferred revenue in the consolidated balance sheets.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Investment Agreements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connecton with the Original License Agreement, in May 2017, the Company sold an aggregate of 3,571,429 shares of the Company’s common stock, or </w:t>
      </w:r>
      <w:r>
        <w:rPr>
          <w:rFonts w:ascii="Calibri" w:cs="Calibri" w:eastAsia="Calibri" w:hAnsi="Calibri"/>
          <w:sz w:val="18"/>
          <w:szCs w:val="18"/>
          <w:u w:val="single" w:color="auto"/>
          <w:color w:val="auto"/>
        </w:rPr>
        <w:t>2017 Shares</w:t>
      </w:r>
      <w:r>
        <w:rPr>
          <w:rFonts w:ascii="Calibri" w:cs="Calibri" w:eastAsia="Calibri" w:hAnsi="Calibri"/>
          <w:sz w:val="18"/>
          <w:szCs w:val="18"/>
          <w:color w:val="auto"/>
        </w:rPr>
        <w:t>, to CSL Vifor at a price per share of $14.00 for a total of $50.0 million.</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February 2022, in connecton with the Vifor License Agreement, the Company sold an aggregate of 4,000,000 shares of its common stock, or </w:t>
      </w:r>
      <w:r>
        <w:rPr>
          <w:rFonts w:ascii="Calibri" w:cs="Calibri" w:eastAsia="Calibri" w:hAnsi="Calibri"/>
          <w:sz w:val="18"/>
          <w:szCs w:val="18"/>
          <w:u w:val="single" w:color="auto"/>
          <w:color w:val="auto"/>
        </w:rPr>
        <w:t>2022 Shares</w:t>
      </w:r>
      <w:r>
        <w:rPr>
          <w:rFonts w:ascii="Calibri" w:cs="Calibri" w:eastAsia="Calibri" w:hAnsi="Calibri"/>
          <w:sz w:val="18"/>
          <w:szCs w:val="18"/>
          <w:color w:val="auto"/>
        </w:rPr>
        <w:t>, to CSL Vifor at a price per share of $5.00 for a total of $20.0 million.</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$18.3 million, which represented the premiums over the closing stock price, or $4.7 million for the 2017 Shares and $13.6 million for the 2022 Shares, was previously recorded as long-term deferred revenue in the consolidated balance sheets as it represented consideraton related to the Vifor License Agreement.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2017 Shares and 2022 Shares are subject to standstll agreement and are subject to votng agreements. The 2017 Shares and 2022 Shares have not been registered pursuant to the Securites Act of 1933, as amended, or the </w:t>
      </w:r>
      <w:r>
        <w:rPr>
          <w:rFonts w:ascii="Calibri" w:cs="Calibri" w:eastAsia="Calibri" w:hAnsi="Calibri"/>
          <w:sz w:val="18"/>
          <w:szCs w:val="18"/>
          <w:u w:val="single" w:color="auto"/>
          <w:color w:val="auto"/>
        </w:rPr>
        <w:t>Securites Act</w:t>
      </w:r>
      <w:r>
        <w:rPr>
          <w:rFonts w:ascii="Calibri" w:cs="Calibri" w:eastAsia="Calibri" w:hAnsi="Calibri"/>
          <w:sz w:val="18"/>
          <w:szCs w:val="18"/>
          <w:color w:val="auto"/>
        </w:rPr>
        <w:t>, and were issued and sold in reliance upon the exempton from registraton contained in Secton 4(a)(2) of the Securites Act and Rule 506 promulgated thereunder as the transacton did not involve any public ofering within the meaning of Secton 4(a)(2) of the Securites Act.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7" w:name="page148"/>
    <w:bookmarkEnd w:id="14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Vifor Terminaton Agreement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July 10, 2024, the Company and CSL Vifor entered into the Vifor Terminaton Agreement, pursuant to which the Company and CSL Vifor agreed, among other things, to terminate, efectve immediately, the Vifor License Agreement.</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Pursuant to the terms of the Vifor Terminaton Agreement, the Company will pay CSL Vifor decreasing quarterly tered royalty payments ranging from a high single-digit percentage of the Company’s net sales of Vafseo up to $450.0 million to mid-single digit percentage of the Company’s net sales of Vafseo above $450.0 million, in each case, in the U.S. during a calendar year, or the </w:t>
      </w:r>
      <w:r>
        <w:rPr>
          <w:rFonts w:ascii="Calibri" w:cs="Calibri" w:eastAsia="Calibri" w:hAnsi="Calibri"/>
          <w:sz w:val="18"/>
          <w:szCs w:val="18"/>
          <w:u w:val="single" w:color="auto"/>
          <w:color w:val="auto"/>
        </w:rPr>
        <w:t>Setlement Royalty Payments</w:t>
      </w:r>
      <w:r>
        <w:rPr>
          <w:rFonts w:ascii="Calibri" w:cs="Calibri" w:eastAsia="Calibri" w:hAnsi="Calibri"/>
          <w:sz w:val="18"/>
          <w:szCs w:val="18"/>
          <w:color w:val="auto"/>
        </w:rPr>
        <w:t xml:space="preserve">. The Setlement Royalty Payments will commence upon the frst sale of Vafseo by the Company, its afliates or third-party licensees to a third party for use in the U.S., and will contnue untl the later of the (i) expiraton of the last-to-expire valid claim listed in the FDA Orange Book that would be infringed by the making, using, selling or importng of Vafseo in the U.S. or (ii) the expiraton of marketng or regulatory exclusivity for Vafseo in the U.S., or the </w:t>
      </w:r>
      <w:r>
        <w:rPr>
          <w:rFonts w:ascii="Calibri" w:cs="Calibri" w:eastAsia="Calibri" w:hAnsi="Calibri"/>
          <w:sz w:val="18"/>
          <w:szCs w:val="18"/>
          <w:u w:val="single" w:color="auto"/>
          <w:color w:val="auto"/>
        </w:rPr>
        <w:t>Setlement Royalty Term</w:t>
      </w:r>
      <w:r>
        <w:rPr>
          <w:rFonts w:ascii="Calibri" w:cs="Calibri" w:eastAsia="Calibri" w:hAnsi="Calibri"/>
          <w:sz w:val="18"/>
          <w:szCs w:val="18"/>
          <w:color w:val="auto"/>
        </w:rPr>
        <w:t xml:space="preserve">. Beginning on July 1, 2027 and throughout the Setlement Royalty Term, the Company has the opton to make a one-tme payment to CSL Vifor, or the </w:t>
      </w:r>
      <w:r>
        <w:rPr>
          <w:rFonts w:ascii="Calibri" w:cs="Calibri" w:eastAsia="Calibri" w:hAnsi="Calibri"/>
          <w:sz w:val="18"/>
          <w:szCs w:val="18"/>
          <w:u w:val="single" w:color="auto"/>
          <w:color w:val="auto"/>
        </w:rPr>
        <w:t>Royalty Buy-Down Opton</w:t>
      </w:r>
      <w:r>
        <w:rPr>
          <w:rFonts w:ascii="Calibri" w:cs="Calibri" w:eastAsia="Calibri" w:hAnsi="Calibri"/>
          <w:sz w:val="18"/>
          <w:szCs w:val="18"/>
          <w:color w:val="auto"/>
        </w:rPr>
        <w:t>, upon which the Setlement Royalty Payments will be adjusted as of the date of exercise of the Royalty Buy-Down Opton such that the Company will then only pay CSL Vifor quarterly royalty payments based on a mid-single digit percentage of the Company’s net sales of Vafseo up to $450.0 million in the U.S. during a calendar year in lieu of the above Setlement Royalty Payments. If the Company exercises the Royalty Buy-Down Opton, the WCF Royalty Payments, as described below, will contnue as described above.</w:t>
      </w:r>
    </w:p>
    <w:p>
      <w:pPr>
        <w:spacing w:after="0" w:line="1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WCF Royalty Payments, as described below, the Setlement Royalty Payments and the Royalty Buy-Down Opton are in consideraton for the terminaton of the Vifor License Agreement and all obligatons thereunder, and the covenants and agreements set forth in the Vifor Terminaton Agreement, including the setlement and release of all disputes and claims arising from the Vifor License Agreement.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At incepton, the Company evaluated the elements of the Vifor License Agreement in accordance with the provisions of ASC 606, </w:t>
      </w:r>
      <w:r>
        <w:rPr>
          <w:rFonts w:ascii="Calibri" w:cs="Calibri" w:eastAsia="Calibri" w:hAnsi="Calibri"/>
          <w:sz w:val="18"/>
          <w:szCs w:val="18"/>
          <w:i w:val="1"/>
          <w:iCs w:val="1"/>
          <w:color w:val="auto"/>
        </w:rPr>
        <w:t>Revenue from Contracts with</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Customers, </w:t>
      </w:r>
      <w:r>
        <w:rPr>
          <w:rFonts w:ascii="Calibri" w:cs="Calibri" w:eastAsia="Calibri" w:hAnsi="Calibri"/>
          <w:sz w:val="18"/>
          <w:szCs w:val="18"/>
          <w:color w:val="auto"/>
        </w:rPr>
        <w:t>and concluded that CSL Vifor, was a customer. Furthermore, the Company identfed one performance obligaton under the Vifor License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Agreement, which was the non-sublicensable, non-transferrable license under certain of the Company’s intellectual property to (i) sell Vafseo solely to the Supply Group, (ii) sell Vafseo to Designated Wholesalers solely for resale to members of the Supply Group, (iii) conduct medical afairs with respect to Vafseo in the U.S. in the feld during the term of the Vifor License Agreement and (iv) use the Akebia Trademark solely in connecton with the sale of Vafseo. The transacton price of $43.3 million comprised of the $25.0 million upfront payment and the premiums paid by CSL Vifor for the 2017 Shares and 2022 Shares of $4.7 million and $13.6 million, respectvely, was constrained at incepton and recorded as long-term deferred revenue due to certain conditons in which the Company would be required to repay the consideraton received from CSL Vifor.</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a result of the Vifor Terminaton Agreement, the Company reassessed whether the Vifor License Agreement stll met the criteria to be considered a contract within the scope of ASC 606 and concluded that the arrangement should not be considered a revenue contract with a customer under ASC 606 as CSL Vifor no longer met the defniton of a customer. Furthermore, the Company determined that the consideraton received from CSL Vifor of $43.3 million should be classifed as debt. Accordingly, the Company recorded the $43.3 million as a liability and is amortzing such amount using the efectve interest method over the Setlement Royalty Term. The liability related to setlement royaltes and the amortzaton are based on the Company’s current estmates of future royaltes expected to be paid over the life of the arrangement. To the extent the Company’s estmates of future royalty payments are greater or less than previous estmates or the estmated tming of such payments is materially diferent than previous estmates, the Company will adjust the efectve interest rate and recognize the related non-cash interest expense on a prospectve basis. On a quarterly basis, the Company reassesses the expected royalty payments.</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annual efectve interest rate as of December 31, 2024 was 41.0% which is refected as interest expense in the consolidated statements of operatons and comprehensive loss. The Company recognized interest expense of $9.3 million for the year ended December 31, 2024. As of December 31, 2024 and 2023, the balances related to the setlement royaltes liability were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ind w:right="19"/>
              <w:spacing w:after="0"/>
              <w:rPr>
                <w:sz w:val="20"/>
                <w:szCs w:val="20"/>
                <w:color w:val="auto"/>
              </w:rPr>
            </w:pPr>
            <w:r>
              <w:rPr>
                <w:rFonts w:ascii="Calibri" w:cs="Calibri" w:eastAsia="Calibri" w:hAnsi="Calibri"/>
                <w:sz w:val="16"/>
                <w:szCs w:val="16"/>
                <w:b w:val="1"/>
                <w:bCs w:val="1"/>
                <w:color w:val="auto"/>
              </w:rPr>
              <w:t>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8060" w:type="dxa"/>
            <w:vAlign w:val="bottom"/>
            <w:gridSpan w:val="2"/>
            <w:vMerge w:val="restart"/>
          </w:tcPr>
          <w:p>
            <w:pPr>
              <w:ind w:left="20"/>
              <w:spacing w:after="0"/>
              <w:rPr>
                <w:sz w:val="20"/>
                <w:szCs w:val="20"/>
                <w:color w:val="auto"/>
              </w:rPr>
            </w:pPr>
            <w:r>
              <w:rPr>
                <w:rFonts w:ascii="Calibri" w:cs="Calibri" w:eastAsia="Calibri" w:hAnsi="Calibri"/>
                <w:sz w:val="16"/>
                <w:szCs w:val="16"/>
                <w:b w:val="1"/>
                <w:bCs w:val="1"/>
                <w:color w:val="auto"/>
              </w:rPr>
              <w:t>Descripton</w:t>
            </w: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0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19"/>
              <w:spacing w:after="0" w:line="187" w:lineRule="exact"/>
              <w:rPr>
                <w:sz w:val="20"/>
                <w:szCs w:val="20"/>
                <w:color w:val="auto"/>
              </w:rPr>
            </w:pPr>
            <w:r>
              <w:rPr>
                <w:rFonts w:ascii="Calibri" w:cs="Calibri" w:eastAsia="Calibri" w:hAnsi="Calibri"/>
                <w:sz w:val="16"/>
                <w:szCs w:val="16"/>
                <w:b w:val="1"/>
                <w:bCs w:val="1"/>
                <w:color w:val="auto"/>
              </w:rPr>
              <w:t>2024</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ind w:right="519"/>
              <w:spacing w:after="0" w:line="187" w:lineRule="exact"/>
              <w:rPr>
                <w:sz w:val="20"/>
                <w:szCs w:val="20"/>
                <w:color w:val="auto"/>
              </w:rPr>
            </w:pPr>
            <w:r>
              <w:rPr>
                <w:rFonts w:ascii="Calibri" w:cs="Calibri" w:eastAsia="Calibri" w:hAnsi="Calibri"/>
                <w:sz w:val="16"/>
                <w:szCs w:val="16"/>
                <w:b w:val="1"/>
                <w:bCs w:val="1"/>
                <w:color w:val="auto"/>
              </w:rPr>
              <w:t>2023</w:t>
            </w:r>
          </w:p>
        </w:tc>
        <w:tc>
          <w:tcPr>
            <w:tcW w:w="0" w:type="dxa"/>
            <w:vAlign w:val="bottom"/>
          </w:tcPr>
          <w:p>
            <w:pPr>
              <w:spacing w:after="0"/>
              <w:rPr>
                <w:sz w:val="1"/>
                <w:szCs w:val="1"/>
                <w:color w:val="auto"/>
              </w:rPr>
            </w:pPr>
          </w:p>
        </w:tc>
      </w:tr>
      <w:tr>
        <w:trPr>
          <w:trHeight w:val="23"/>
        </w:trPr>
        <w:tc>
          <w:tcPr>
            <w:tcW w:w="7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DBDBDB"/>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7940" w:type="dxa"/>
            <w:vAlign w:val="bottom"/>
            <w:tcBorders>
              <w:bottom w:val="single" w:sz="8" w:color="DBDBDB"/>
            </w:tcBorders>
            <w:shd w:val="clear" w:color="auto" w:fill="DBDBDB"/>
          </w:tcPr>
          <w:p>
            <w:pPr>
              <w:ind w:left="20"/>
              <w:spacing w:after="0" w:line="187" w:lineRule="exact"/>
              <w:rPr>
                <w:sz w:val="20"/>
                <w:szCs w:val="20"/>
                <w:color w:val="auto"/>
              </w:rPr>
            </w:pPr>
            <w:r>
              <w:rPr>
                <w:rFonts w:ascii="Calibri" w:cs="Calibri" w:eastAsia="Calibri" w:hAnsi="Calibri"/>
                <w:sz w:val="16"/>
                <w:szCs w:val="16"/>
                <w:color w:val="auto"/>
              </w:rPr>
              <w:t>Current porton (included in accrued expenses and other current liabilites)</w:t>
            </w:r>
          </w:p>
        </w:tc>
        <w:tc>
          <w:tcPr>
            <w:tcW w:w="12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DBDBDB"/>
            </w:tcBorders>
            <w:shd w:val="clear" w:color="auto" w:fill="DBDBDB"/>
          </w:tcPr>
          <w:p>
            <w:pPr>
              <w:jc w:val="right"/>
              <w:ind w:right="159"/>
              <w:spacing w:after="0" w:line="187" w:lineRule="exact"/>
              <w:rPr>
                <w:sz w:val="20"/>
                <w:szCs w:val="20"/>
                <w:color w:val="auto"/>
              </w:rPr>
            </w:pPr>
            <w:r>
              <w:rPr>
                <w:rFonts w:ascii="Calibri" w:cs="Calibri" w:eastAsia="Calibri" w:hAnsi="Calibri"/>
                <w:sz w:val="16"/>
                <w:szCs w:val="16"/>
                <w:color w:val="auto"/>
                <w:w w:val="97"/>
              </w:rPr>
              <w:t>$</w:t>
            </w:r>
          </w:p>
        </w:tc>
        <w:tc>
          <w:tcPr>
            <w:tcW w:w="118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5,924</w:t>
            </w:r>
          </w:p>
        </w:tc>
        <w:tc>
          <w:tcPr>
            <w:tcW w:w="140" w:type="dxa"/>
            <w:vAlign w:val="bottom"/>
            <w:tcBorders>
              <w:bottom w:val="single" w:sz="8" w:color="DBDBDB"/>
            </w:tcBorders>
            <w:shd w:val="clear" w:color="auto" w:fill="DBDBDB"/>
          </w:tcPr>
          <w:p>
            <w:pPr>
              <w:spacing w:after="0"/>
              <w:rPr>
                <w:sz w:val="16"/>
                <w:szCs w:val="16"/>
                <w:color w:val="auto"/>
              </w:rPr>
            </w:pPr>
          </w:p>
        </w:tc>
        <w:tc>
          <w:tcPr>
            <w:tcW w:w="500" w:type="dxa"/>
            <w:vAlign w:val="bottom"/>
            <w:tcBorders>
              <w:bottom w:val="single" w:sz="8" w:color="DBDBDB"/>
            </w:tcBorders>
            <w:shd w:val="clear" w:color="auto" w:fill="DBDBDB"/>
          </w:tcPr>
          <w:p>
            <w:pPr>
              <w:jc w:val="right"/>
              <w:ind w:right="319"/>
              <w:spacing w:after="0" w:line="187" w:lineRule="exact"/>
              <w:rPr>
                <w:sz w:val="20"/>
                <w:szCs w:val="20"/>
                <w:color w:val="auto"/>
              </w:rPr>
            </w:pPr>
            <w:r>
              <w:rPr>
                <w:rFonts w:ascii="Calibri" w:cs="Calibri" w:eastAsia="Calibri" w:hAnsi="Calibri"/>
                <w:sz w:val="16"/>
                <w:szCs w:val="16"/>
                <w:color w:val="auto"/>
                <w:w w:val="97"/>
              </w:rPr>
              <w:t>$</w:t>
            </w:r>
          </w:p>
        </w:tc>
        <w:tc>
          <w:tcPr>
            <w:tcW w:w="1020" w:type="dxa"/>
            <w:vAlign w:val="bottom"/>
            <w:tcBorders>
              <w:bottom w:val="single" w:sz="8" w:color="DBDBDB"/>
            </w:tcBorders>
            <w:shd w:val="clear" w:color="auto" w:fill="DBDBDB"/>
          </w:tcPr>
          <w:p>
            <w:pPr>
              <w:ind w:left="820"/>
              <w:spacing w:after="0" w:line="187"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193"/>
        </w:trPr>
        <w:tc>
          <w:tcPr>
            <w:tcW w:w="806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Long-term porton</w:t>
            </w:r>
          </w:p>
        </w:tc>
        <w:tc>
          <w:tcPr>
            <w:tcW w:w="3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46,697</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ind w:left="820"/>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
        </w:trPr>
        <w:tc>
          <w:tcPr>
            <w:tcW w:w="79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DBDBDB"/>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8060" w:type="dxa"/>
            <w:vAlign w:val="bottom"/>
            <w:tcBorders>
              <w:bottom w:val="single" w:sz="8" w:color="DBDBDB"/>
            </w:tcBorders>
            <w:gridSpan w:val="2"/>
            <w:shd w:val="clear" w:color="auto" w:fill="DBDBDB"/>
          </w:tcPr>
          <w:p>
            <w:pPr>
              <w:ind w:left="20"/>
              <w:spacing w:after="0"/>
              <w:rPr>
                <w:sz w:val="20"/>
                <w:szCs w:val="20"/>
                <w:color w:val="auto"/>
              </w:rPr>
            </w:pPr>
            <w:r>
              <w:rPr>
                <w:rFonts w:ascii="Calibri" w:cs="Calibri" w:eastAsia="Calibri" w:hAnsi="Calibri"/>
                <w:sz w:val="16"/>
                <w:szCs w:val="16"/>
                <w:color w:val="auto"/>
              </w:rPr>
              <w:t>Total setlement royaltes liability</w:t>
            </w:r>
          </w:p>
        </w:tc>
        <w:tc>
          <w:tcPr>
            <w:tcW w:w="340" w:type="dxa"/>
            <w:vAlign w:val="bottom"/>
            <w:tcBorders>
              <w:bottom w:val="single" w:sz="8" w:color="auto"/>
            </w:tcBorders>
            <w:shd w:val="clear" w:color="auto" w:fill="DBDBDB"/>
          </w:tcPr>
          <w:p>
            <w:pPr>
              <w:jc w:val="right"/>
              <w:ind w:right="159"/>
              <w:spacing w:after="0" w:line="193" w:lineRule="exact"/>
              <w:rPr>
                <w:sz w:val="20"/>
                <w:szCs w:val="20"/>
                <w:color w:val="auto"/>
              </w:rPr>
            </w:pPr>
            <w:r>
              <w:rPr>
                <w:rFonts w:ascii="Calibri" w:cs="Calibri" w:eastAsia="Calibri" w:hAnsi="Calibri"/>
                <w:sz w:val="16"/>
                <w:szCs w:val="16"/>
                <w:color w:val="auto"/>
                <w:w w:val="97"/>
              </w:rPr>
              <w:t>$</w:t>
            </w:r>
          </w:p>
        </w:tc>
        <w:tc>
          <w:tcPr>
            <w:tcW w:w="1180" w:type="dxa"/>
            <w:vAlign w:val="bottom"/>
            <w:tcBorders>
              <w:bottom w:val="single" w:sz="8" w:color="auto"/>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52,621</w:t>
            </w:r>
          </w:p>
        </w:tc>
        <w:tc>
          <w:tcPr>
            <w:tcW w:w="140" w:type="dxa"/>
            <w:vAlign w:val="bottom"/>
            <w:tcBorders>
              <w:bottom w:val="single" w:sz="8" w:color="DBDBDB"/>
            </w:tcBorders>
            <w:shd w:val="clear" w:color="auto" w:fill="DBDBDB"/>
          </w:tcPr>
          <w:p>
            <w:pPr>
              <w:spacing w:after="0"/>
              <w:rPr>
                <w:sz w:val="19"/>
                <w:szCs w:val="19"/>
                <w:color w:val="auto"/>
              </w:rPr>
            </w:pPr>
          </w:p>
        </w:tc>
        <w:tc>
          <w:tcPr>
            <w:tcW w:w="500" w:type="dxa"/>
            <w:vAlign w:val="bottom"/>
            <w:tcBorders>
              <w:bottom w:val="single" w:sz="8" w:color="auto"/>
            </w:tcBorders>
            <w:shd w:val="clear" w:color="auto" w:fill="DBDBDB"/>
          </w:tcPr>
          <w:p>
            <w:pPr>
              <w:jc w:val="right"/>
              <w:ind w:right="319"/>
              <w:spacing w:after="0" w:line="193" w:lineRule="exact"/>
              <w:rPr>
                <w:sz w:val="20"/>
                <w:szCs w:val="20"/>
                <w:color w:val="auto"/>
              </w:rPr>
            </w:pPr>
            <w:r>
              <w:rPr>
                <w:rFonts w:ascii="Calibri" w:cs="Calibri" w:eastAsia="Calibri" w:hAnsi="Calibri"/>
                <w:sz w:val="16"/>
                <w:szCs w:val="16"/>
                <w:color w:val="auto"/>
                <w:w w:val="97"/>
              </w:rPr>
              <w:t>$</w:t>
            </w:r>
          </w:p>
        </w:tc>
        <w:tc>
          <w:tcPr>
            <w:tcW w:w="1020" w:type="dxa"/>
            <w:vAlign w:val="bottom"/>
            <w:tcBorders>
              <w:bottom w:val="single" w:sz="8" w:color="auto"/>
            </w:tcBorders>
            <w:shd w:val="clear" w:color="auto" w:fill="DBDBDB"/>
          </w:tcPr>
          <w:p>
            <w:pPr>
              <w:ind w:left="820"/>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0"/>
        </w:trPr>
        <w:tc>
          <w:tcPr>
            <w:tcW w:w="79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Working Capital Fund Liability (Previously Referred to as Refund Liability to Customer)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8" w:name="page149"/>
    <w:bookmarkEnd w:id="14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Pursuant to the Vifor License Agreement, CSL Vifor contributed $40.0 million to a working capital fund, or </w:t>
      </w:r>
      <w:r>
        <w:rPr>
          <w:rFonts w:ascii="Calibri" w:cs="Calibri" w:eastAsia="Calibri" w:hAnsi="Calibri"/>
          <w:sz w:val="18"/>
          <w:szCs w:val="18"/>
          <w:u w:val="single" w:color="auto"/>
          <w:color w:val="auto"/>
        </w:rPr>
        <w:t>Working Capital Fund</w:t>
      </w:r>
      <w:r>
        <w:rPr>
          <w:rFonts w:ascii="Calibri" w:cs="Calibri" w:eastAsia="Calibri" w:hAnsi="Calibri"/>
          <w:sz w:val="18"/>
          <w:szCs w:val="18"/>
          <w:color w:val="auto"/>
        </w:rPr>
        <w:t>, established to partally fund the Company’s costs of purchasing Vafseo from its contract manufacturers.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Working Capital Fund is considered a debt arrangement with zero coupon interest and the Company imputes interest on the Working Capital Fund liability at a rate of 15.0% per annum, which was determined based on certain factors, including the Company's credit ratng, comparable securites yield and the expected repayment period. On March 18, 2022, when the $40.0 million was received from CSL Vifor, the Company recorded an inital discount on the Working Capital Fund liability and a corresponding deferred gain to the Working Capital Fund liability in the consolidated balance sheet.</w:t>
      </w:r>
    </w:p>
    <w:p>
      <w:pPr>
        <w:spacing w:after="0" w:line="111"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color w:val="auto"/>
        </w:rPr>
        <w:t xml:space="preserve">On May 3, 2024, the Company and CSL Vifor entered into Amendment #1 to the Vifor License Agreement, or the </w:t>
      </w:r>
      <w:r>
        <w:rPr>
          <w:rFonts w:ascii="Calibri" w:cs="Calibri" w:eastAsia="Calibri" w:hAnsi="Calibri"/>
          <w:sz w:val="18"/>
          <w:szCs w:val="18"/>
          <w:u w:val="single" w:color="auto"/>
          <w:color w:val="auto"/>
        </w:rPr>
        <w:t>Amendment</w:t>
      </w:r>
      <w:r>
        <w:rPr>
          <w:rFonts w:ascii="Calibri" w:cs="Calibri" w:eastAsia="Calibri" w:hAnsi="Calibri"/>
          <w:sz w:val="18"/>
          <w:szCs w:val="18"/>
          <w:color w:val="auto"/>
        </w:rPr>
        <w:t xml:space="preserve">. Pursuant to the Amendment, and as modifed by the Vifor Terminaton Agreement, the Company and CSL Vifor agreed to modify the method of repayment of the Working Capital Fund such that the Working Capital Fund will be repaid through quarterly tered royalty payments ranging from 8% to 14% of the Company's net sales of Vafseo in the U.S., or the </w:t>
      </w:r>
      <w:r>
        <w:rPr>
          <w:rFonts w:ascii="Calibri" w:cs="Calibri" w:eastAsia="Calibri" w:hAnsi="Calibri"/>
          <w:sz w:val="18"/>
          <w:szCs w:val="18"/>
          <w:u w:val="single" w:color="auto"/>
          <w:color w:val="auto"/>
        </w:rPr>
        <w:t>WCF Royalty Payments</w:t>
      </w:r>
      <w:r>
        <w:rPr>
          <w:rFonts w:ascii="Calibri" w:cs="Calibri" w:eastAsia="Calibri" w:hAnsi="Calibri"/>
          <w:sz w:val="18"/>
          <w:szCs w:val="18"/>
          <w:color w:val="auto"/>
        </w:rPr>
        <w:t xml:space="preserve">. The WCF Royalty Payments will commence on July 1, 2025, and will contnue untl the earlier of (i) the cumulatve total of the WCF Royalty Payments equals $40.0 million, or (ii) May 31, 2028, or the </w:t>
      </w:r>
      <w:r>
        <w:rPr>
          <w:rFonts w:ascii="Calibri" w:cs="Calibri" w:eastAsia="Calibri" w:hAnsi="Calibri"/>
          <w:sz w:val="18"/>
          <w:szCs w:val="18"/>
          <w:u w:val="single" w:color="auto"/>
          <w:color w:val="auto"/>
        </w:rPr>
        <w:t>WCF Royalty Term</w:t>
      </w:r>
      <w:r>
        <w:rPr>
          <w:rFonts w:ascii="Calibri" w:cs="Calibri" w:eastAsia="Calibri" w:hAnsi="Calibri"/>
          <w:sz w:val="18"/>
          <w:szCs w:val="18"/>
          <w:color w:val="auto"/>
        </w:rPr>
        <w:t xml:space="preserve">. The WCF Royalty Payments are subject to minimum true-up milestones of $10.0 million, $20.0 million and $40.0 million, or the </w:t>
      </w:r>
      <w:r>
        <w:rPr>
          <w:rFonts w:ascii="Calibri" w:cs="Calibri" w:eastAsia="Calibri" w:hAnsi="Calibri"/>
          <w:sz w:val="18"/>
          <w:szCs w:val="18"/>
          <w:u w:val="single" w:color="auto"/>
          <w:color w:val="auto"/>
        </w:rPr>
        <w:t>WCF Royalty True-Up Payments</w:t>
      </w:r>
      <w:r>
        <w:rPr>
          <w:rFonts w:ascii="Calibri" w:cs="Calibri" w:eastAsia="Calibri" w:hAnsi="Calibri"/>
          <w:sz w:val="18"/>
          <w:szCs w:val="18"/>
          <w:color w:val="auto"/>
        </w:rPr>
        <w:t xml:space="preserve">, on each of May 31, 2026, May 31, 2027 and May 31, 2028, respectvely, or the </w:t>
      </w:r>
      <w:r>
        <w:rPr>
          <w:rFonts w:ascii="Calibri" w:cs="Calibri" w:eastAsia="Calibri" w:hAnsi="Calibri"/>
          <w:sz w:val="18"/>
          <w:szCs w:val="18"/>
          <w:u w:val="single" w:color="auto"/>
          <w:color w:val="auto"/>
        </w:rPr>
        <w:t>WCF Royalty True-Up Dates</w:t>
      </w:r>
      <w:r>
        <w:rPr>
          <w:rFonts w:ascii="Calibri" w:cs="Calibri" w:eastAsia="Calibri" w:hAnsi="Calibri"/>
          <w:sz w:val="18"/>
          <w:szCs w:val="18"/>
          <w:color w:val="auto"/>
        </w:rPr>
        <w:t>. If the cumulatve total of the WCF Royalty Payments paid to CSL Vifor on any given WCF Royalty True-Up Date is less than the respectve WCF Royalty True-Up Payment, the Company will pay CSL Vifor a one-tme payment equal to the diference between the WCF Royalty True-Up Payment and the cumulatve total of the WCF Royalty Payments paid by the Company through such WCF Royalty True-Up Date. The Company determined that the terms of the Amendment are not substantally diferent than the terms of the Vifor License Agreement, and therefore the Amendment was accounted for as a modifcaton. The Company concluded that the 15% discount rate remains appropriate. On a quarterly basis, the Company reassesses the efectve rate and will adjust the rate prospectvely, if needed.</w:t>
      </w:r>
    </w:p>
    <w:p>
      <w:pPr>
        <w:spacing w:after="0" w:line="1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discount on the Working Capital Fund liability is being amortzed to interest expense using the efectve interest method over the WCF Royalty Term. The deferred gain is being amortzed to interest income on a straight-line basis over the WCF Royalty Term. The amortzaton of the discount was $3.8 million and $3.1 million for the years ended December 31, 2024 and 2023, respectvely. The amortzaton of the deferred gain was $3.6 million and $4.0 million for the years ended December 31, 2024 and 2023, respectvely.</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As of December 31, 2024 and 2023, the balances related to the Working Capital Fund liability were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ind w:right="19"/>
              <w:spacing w:after="0"/>
              <w:rPr>
                <w:sz w:val="20"/>
                <w:szCs w:val="20"/>
                <w:color w:val="auto"/>
              </w:rPr>
            </w:pPr>
            <w:r>
              <w:rPr>
                <w:rFonts w:ascii="Calibri" w:cs="Calibri" w:eastAsia="Calibri" w:hAnsi="Calibri"/>
                <w:sz w:val="16"/>
                <w:szCs w:val="16"/>
                <w:b w:val="1"/>
                <w:bCs w:val="1"/>
                <w:color w:val="auto"/>
              </w:rPr>
              <w:t>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8060" w:type="dxa"/>
            <w:vAlign w:val="bottom"/>
            <w:gridSpan w:val="2"/>
            <w:vMerge w:val="restart"/>
          </w:tcPr>
          <w:p>
            <w:pPr>
              <w:ind w:left="20"/>
              <w:spacing w:after="0"/>
              <w:rPr>
                <w:sz w:val="20"/>
                <w:szCs w:val="20"/>
                <w:color w:val="auto"/>
              </w:rPr>
            </w:pPr>
            <w:r>
              <w:rPr>
                <w:rFonts w:ascii="Calibri" w:cs="Calibri" w:eastAsia="Calibri" w:hAnsi="Calibri"/>
                <w:sz w:val="16"/>
                <w:szCs w:val="16"/>
                <w:b w:val="1"/>
                <w:bCs w:val="1"/>
                <w:color w:val="auto"/>
              </w:rPr>
              <w:t>Descripton</w:t>
            </w: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0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19"/>
              <w:spacing w:after="0" w:line="187" w:lineRule="exact"/>
              <w:rPr>
                <w:sz w:val="20"/>
                <w:szCs w:val="20"/>
                <w:color w:val="auto"/>
              </w:rPr>
            </w:pPr>
            <w:r>
              <w:rPr>
                <w:rFonts w:ascii="Calibri" w:cs="Calibri" w:eastAsia="Calibri" w:hAnsi="Calibri"/>
                <w:sz w:val="16"/>
                <w:szCs w:val="16"/>
                <w:b w:val="1"/>
                <w:bCs w:val="1"/>
                <w:color w:val="auto"/>
              </w:rPr>
              <w:t>2024</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ind w:right="519"/>
              <w:spacing w:after="0" w:line="187" w:lineRule="exact"/>
              <w:rPr>
                <w:sz w:val="20"/>
                <w:szCs w:val="20"/>
                <w:color w:val="auto"/>
              </w:rPr>
            </w:pPr>
            <w:r>
              <w:rPr>
                <w:rFonts w:ascii="Calibri" w:cs="Calibri" w:eastAsia="Calibri" w:hAnsi="Calibri"/>
                <w:sz w:val="16"/>
                <w:szCs w:val="16"/>
                <w:b w:val="1"/>
                <w:bCs w:val="1"/>
                <w:color w:val="auto"/>
              </w:rPr>
              <w:t>2023</w:t>
            </w:r>
          </w:p>
        </w:tc>
        <w:tc>
          <w:tcPr>
            <w:tcW w:w="0" w:type="dxa"/>
            <w:vAlign w:val="bottom"/>
          </w:tcPr>
          <w:p>
            <w:pPr>
              <w:spacing w:after="0"/>
              <w:rPr>
                <w:sz w:val="1"/>
                <w:szCs w:val="1"/>
                <w:color w:val="auto"/>
              </w:rPr>
            </w:pPr>
          </w:p>
        </w:tc>
      </w:tr>
      <w:tr>
        <w:trPr>
          <w:trHeight w:val="22"/>
        </w:trPr>
        <w:tc>
          <w:tcPr>
            <w:tcW w:w="7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DBDBDB"/>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7940" w:type="dxa"/>
            <w:vAlign w:val="bottom"/>
            <w:tcBorders>
              <w:bottom w:val="single" w:sz="8" w:color="DBDBDB"/>
            </w:tcBorders>
            <w:shd w:val="clear" w:color="auto" w:fill="DBDBDB"/>
          </w:tcPr>
          <w:p>
            <w:pPr>
              <w:ind w:left="20"/>
              <w:spacing w:after="0" w:line="187" w:lineRule="exact"/>
              <w:rPr>
                <w:sz w:val="20"/>
                <w:szCs w:val="20"/>
                <w:color w:val="auto"/>
              </w:rPr>
            </w:pPr>
            <w:r>
              <w:rPr>
                <w:rFonts w:ascii="Calibri" w:cs="Calibri" w:eastAsia="Calibri" w:hAnsi="Calibri"/>
                <w:sz w:val="16"/>
                <w:szCs w:val="16"/>
                <w:color w:val="auto"/>
              </w:rPr>
              <w:t>Current porton</w:t>
            </w:r>
          </w:p>
        </w:tc>
        <w:tc>
          <w:tcPr>
            <w:tcW w:w="12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DBDBDB"/>
            </w:tcBorders>
            <w:shd w:val="clear" w:color="auto" w:fill="DBDBDB"/>
          </w:tcPr>
          <w:p>
            <w:pPr>
              <w:jc w:val="right"/>
              <w:ind w:right="159"/>
              <w:spacing w:after="0" w:line="187" w:lineRule="exact"/>
              <w:rPr>
                <w:sz w:val="20"/>
                <w:szCs w:val="20"/>
                <w:color w:val="auto"/>
              </w:rPr>
            </w:pPr>
            <w:r>
              <w:rPr>
                <w:rFonts w:ascii="Calibri" w:cs="Calibri" w:eastAsia="Calibri" w:hAnsi="Calibri"/>
                <w:sz w:val="16"/>
                <w:szCs w:val="16"/>
                <w:color w:val="auto"/>
                <w:w w:val="97"/>
              </w:rPr>
              <w:t>$</w:t>
            </w:r>
          </w:p>
        </w:tc>
        <w:tc>
          <w:tcPr>
            <w:tcW w:w="118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2,274</w:t>
            </w:r>
          </w:p>
        </w:tc>
        <w:tc>
          <w:tcPr>
            <w:tcW w:w="140" w:type="dxa"/>
            <w:vAlign w:val="bottom"/>
            <w:tcBorders>
              <w:bottom w:val="single" w:sz="8" w:color="DBDBDB"/>
            </w:tcBorders>
            <w:shd w:val="clear" w:color="auto" w:fill="DBDBDB"/>
          </w:tcPr>
          <w:p>
            <w:pPr>
              <w:spacing w:after="0"/>
              <w:rPr>
                <w:sz w:val="16"/>
                <w:szCs w:val="16"/>
                <w:color w:val="auto"/>
              </w:rPr>
            </w:pPr>
          </w:p>
        </w:tc>
        <w:tc>
          <w:tcPr>
            <w:tcW w:w="500" w:type="dxa"/>
            <w:vAlign w:val="bottom"/>
            <w:tcBorders>
              <w:bottom w:val="single" w:sz="8" w:color="DBDBDB"/>
            </w:tcBorders>
            <w:shd w:val="clear" w:color="auto" w:fill="DBDBDB"/>
          </w:tcPr>
          <w:p>
            <w:pPr>
              <w:jc w:val="right"/>
              <w:ind w:right="319"/>
              <w:spacing w:after="0" w:line="187" w:lineRule="exact"/>
              <w:rPr>
                <w:sz w:val="20"/>
                <w:szCs w:val="20"/>
                <w:color w:val="auto"/>
              </w:rPr>
            </w:pPr>
            <w:r>
              <w:rPr>
                <w:rFonts w:ascii="Calibri" w:cs="Calibri" w:eastAsia="Calibri" w:hAnsi="Calibri"/>
                <w:sz w:val="16"/>
                <w:szCs w:val="16"/>
                <w:color w:val="auto"/>
                <w:w w:val="97"/>
              </w:rPr>
              <w:t>$</w:t>
            </w:r>
          </w:p>
        </w:tc>
        <w:tc>
          <w:tcPr>
            <w:tcW w:w="102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193"/>
        </w:trPr>
        <w:tc>
          <w:tcPr>
            <w:tcW w:w="806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Long-term porton</w:t>
            </w:r>
          </w:p>
        </w:tc>
        <w:tc>
          <w:tcPr>
            <w:tcW w:w="3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38,013</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spacing w:after="0" w:line="193" w:lineRule="exact"/>
              <w:rPr>
                <w:sz w:val="20"/>
                <w:szCs w:val="20"/>
                <w:color w:val="auto"/>
              </w:rPr>
            </w:pPr>
            <w:r>
              <w:rPr>
                <w:rFonts w:ascii="Calibri" w:cs="Calibri" w:eastAsia="Calibri" w:hAnsi="Calibri"/>
                <w:sz w:val="16"/>
                <w:szCs w:val="16"/>
                <w:color w:val="auto"/>
              </w:rPr>
              <w:t>40,093</w:t>
            </w:r>
          </w:p>
        </w:tc>
        <w:tc>
          <w:tcPr>
            <w:tcW w:w="0" w:type="dxa"/>
            <w:vAlign w:val="bottom"/>
          </w:tcPr>
          <w:p>
            <w:pPr>
              <w:spacing w:after="0"/>
              <w:rPr>
                <w:sz w:val="1"/>
                <w:szCs w:val="1"/>
                <w:color w:val="auto"/>
              </w:rPr>
            </w:pPr>
          </w:p>
        </w:tc>
      </w:tr>
      <w:tr>
        <w:trPr>
          <w:trHeight w:val="23"/>
        </w:trPr>
        <w:tc>
          <w:tcPr>
            <w:tcW w:w="79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DBDBDB"/>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8060" w:type="dxa"/>
            <w:vAlign w:val="bottom"/>
            <w:tcBorders>
              <w:bottom w:val="single" w:sz="8" w:color="DBDBDB"/>
            </w:tcBorders>
            <w:gridSpan w:val="2"/>
            <w:shd w:val="clear" w:color="auto" w:fill="DBDBDB"/>
          </w:tcPr>
          <w:p>
            <w:pPr>
              <w:ind w:left="20"/>
              <w:spacing w:after="0"/>
              <w:rPr>
                <w:sz w:val="20"/>
                <w:szCs w:val="20"/>
                <w:color w:val="auto"/>
              </w:rPr>
            </w:pPr>
            <w:r>
              <w:rPr>
                <w:rFonts w:ascii="Calibri" w:cs="Calibri" w:eastAsia="Calibri" w:hAnsi="Calibri"/>
                <w:sz w:val="16"/>
                <w:szCs w:val="16"/>
                <w:color w:val="auto"/>
              </w:rPr>
              <w:t>Total Working Capital Fund liability</w:t>
            </w:r>
          </w:p>
        </w:tc>
        <w:tc>
          <w:tcPr>
            <w:tcW w:w="340" w:type="dxa"/>
            <w:vAlign w:val="bottom"/>
            <w:tcBorders>
              <w:bottom w:val="single" w:sz="8" w:color="auto"/>
            </w:tcBorders>
            <w:shd w:val="clear" w:color="auto" w:fill="DBDBDB"/>
          </w:tcPr>
          <w:p>
            <w:pPr>
              <w:jc w:val="right"/>
              <w:ind w:right="159"/>
              <w:spacing w:after="0" w:line="193" w:lineRule="exact"/>
              <w:rPr>
                <w:sz w:val="20"/>
                <w:szCs w:val="20"/>
                <w:color w:val="auto"/>
              </w:rPr>
            </w:pPr>
            <w:r>
              <w:rPr>
                <w:rFonts w:ascii="Calibri" w:cs="Calibri" w:eastAsia="Calibri" w:hAnsi="Calibri"/>
                <w:sz w:val="16"/>
                <w:szCs w:val="16"/>
                <w:color w:val="auto"/>
                <w:w w:val="97"/>
              </w:rPr>
              <w:t>$</w:t>
            </w:r>
          </w:p>
        </w:tc>
        <w:tc>
          <w:tcPr>
            <w:tcW w:w="1180" w:type="dxa"/>
            <w:vAlign w:val="bottom"/>
            <w:tcBorders>
              <w:bottom w:val="single" w:sz="8" w:color="auto"/>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40,287</w:t>
            </w:r>
          </w:p>
        </w:tc>
        <w:tc>
          <w:tcPr>
            <w:tcW w:w="140" w:type="dxa"/>
            <w:vAlign w:val="bottom"/>
            <w:tcBorders>
              <w:bottom w:val="single" w:sz="8" w:color="DBDBDB"/>
            </w:tcBorders>
            <w:shd w:val="clear" w:color="auto" w:fill="DBDBDB"/>
          </w:tcPr>
          <w:p>
            <w:pPr>
              <w:spacing w:after="0"/>
              <w:rPr>
                <w:sz w:val="19"/>
                <w:szCs w:val="19"/>
                <w:color w:val="auto"/>
              </w:rPr>
            </w:pPr>
          </w:p>
        </w:tc>
        <w:tc>
          <w:tcPr>
            <w:tcW w:w="500" w:type="dxa"/>
            <w:vAlign w:val="bottom"/>
            <w:tcBorders>
              <w:bottom w:val="single" w:sz="8" w:color="auto"/>
            </w:tcBorders>
            <w:shd w:val="clear" w:color="auto" w:fill="DBDBDB"/>
          </w:tcPr>
          <w:p>
            <w:pPr>
              <w:jc w:val="right"/>
              <w:ind w:right="319"/>
              <w:spacing w:after="0" w:line="193" w:lineRule="exact"/>
              <w:rPr>
                <w:sz w:val="20"/>
                <w:szCs w:val="20"/>
                <w:color w:val="auto"/>
              </w:rPr>
            </w:pPr>
            <w:r>
              <w:rPr>
                <w:rFonts w:ascii="Calibri" w:cs="Calibri" w:eastAsia="Calibri" w:hAnsi="Calibri"/>
                <w:sz w:val="16"/>
                <w:szCs w:val="16"/>
                <w:color w:val="auto"/>
                <w:w w:val="97"/>
              </w:rPr>
              <w:t>$</w:t>
            </w:r>
          </w:p>
        </w:tc>
        <w:tc>
          <w:tcPr>
            <w:tcW w:w="1020" w:type="dxa"/>
            <w:vAlign w:val="bottom"/>
            <w:tcBorders>
              <w:bottom w:val="single" w:sz="8" w:color="auto"/>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40,093</w:t>
            </w:r>
          </w:p>
        </w:tc>
        <w:tc>
          <w:tcPr>
            <w:tcW w:w="0" w:type="dxa"/>
            <w:vAlign w:val="bottom"/>
          </w:tcPr>
          <w:p>
            <w:pPr>
              <w:spacing w:after="0"/>
              <w:rPr>
                <w:sz w:val="1"/>
                <w:szCs w:val="1"/>
                <w:color w:val="auto"/>
              </w:rPr>
            </w:pPr>
          </w:p>
        </w:tc>
      </w:tr>
      <w:tr>
        <w:trPr>
          <w:trHeight w:val="20"/>
        </w:trPr>
        <w:tc>
          <w:tcPr>
            <w:tcW w:w="79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Liability Related to Sale of Future Royaltes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February 2021, the Company entered into a royalty interest acquisiton agreement, or the </w:t>
      </w:r>
      <w:r>
        <w:rPr>
          <w:rFonts w:ascii="Calibri" w:cs="Calibri" w:eastAsia="Calibri" w:hAnsi="Calibri"/>
          <w:sz w:val="18"/>
          <w:szCs w:val="18"/>
          <w:u w:val="single" w:color="auto"/>
          <w:color w:val="auto"/>
        </w:rPr>
        <w:t>Royalty Agreement</w:t>
      </w:r>
      <w:r>
        <w:rPr>
          <w:rFonts w:ascii="Calibri" w:cs="Calibri" w:eastAsia="Calibri" w:hAnsi="Calibri"/>
          <w:sz w:val="18"/>
          <w:szCs w:val="18"/>
          <w:color w:val="auto"/>
        </w:rPr>
        <w:t xml:space="preserve">, with HealthCare Royalty Partners IV, L.P., or </w:t>
      </w:r>
      <w:r>
        <w:rPr>
          <w:rFonts w:ascii="Calibri" w:cs="Calibri" w:eastAsia="Calibri" w:hAnsi="Calibri"/>
          <w:sz w:val="18"/>
          <w:szCs w:val="18"/>
          <w:u w:val="single" w:color="auto"/>
          <w:color w:val="auto"/>
        </w:rPr>
        <w:t>HCR</w:t>
      </w:r>
      <w:r>
        <w:rPr>
          <w:rFonts w:ascii="Calibri" w:cs="Calibri" w:eastAsia="Calibri" w:hAnsi="Calibri"/>
          <w:sz w:val="18"/>
          <w:szCs w:val="18"/>
          <w:color w:val="auto"/>
        </w:rPr>
        <w:t xml:space="preserve">, pursuant to which the Company sold to HCR its right to receive royaltes and sales milestones for Vafseo in Japan and certain other Asian countries, such countries collectvely, the </w:t>
      </w:r>
      <w:r>
        <w:rPr>
          <w:rFonts w:ascii="Calibri" w:cs="Calibri" w:eastAsia="Calibri" w:hAnsi="Calibri"/>
          <w:sz w:val="18"/>
          <w:szCs w:val="18"/>
          <w:u w:val="single" w:color="auto"/>
          <w:color w:val="auto"/>
        </w:rPr>
        <w:t>MTPC Territory</w:t>
      </w:r>
      <w:r>
        <w:rPr>
          <w:rFonts w:ascii="Calibri" w:cs="Calibri" w:eastAsia="Calibri" w:hAnsi="Calibri"/>
          <w:sz w:val="18"/>
          <w:szCs w:val="18"/>
          <w:color w:val="auto"/>
        </w:rPr>
        <w:t xml:space="preserve">, and such payments collectvely the </w:t>
      </w:r>
      <w:r>
        <w:rPr>
          <w:rFonts w:ascii="Calibri" w:cs="Calibri" w:eastAsia="Calibri" w:hAnsi="Calibri"/>
          <w:sz w:val="18"/>
          <w:szCs w:val="18"/>
          <w:u w:val="single" w:color="auto"/>
          <w:color w:val="auto"/>
        </w:rPr>
        <w:t>Royalty Interest Payments</w:t>
      </w:r>
      <w:r>
        <w:rPr>
          <w:rFonts w:ascii="Calibri" w:cs="Calibri" w:eastAsia="Calibri" w:hAnsi="Calibri"/>
          <w:sz w:val="18"/>
          <w:szCs w:val="18"/>
          <w:color w:val="auto"/>
        </w:rPr>
        <w:t xml:space="preserve">, in each case, payable to the Company under the Company's Collaboraton Agreement, or the </w:t>
      </w:r>
      <w:r>
        <w:rPr>
          <w:rFonts w:ascii="Calibri" w:cs="Calibri" w:eastAsia="Calibri" w:hAnsi="Calibri"/>
          <w:sz w:val="18"/>
          <w:szCs w:val="18"/>
          <w:u w:val="single" w:color="auto"/>
          <w:color w:val="auto"/>
        </w:rPr>
        <w:t>MTPC Agreement,</w:t>
      </w:r>
      <w:r>
        <w:rPr>
          <w:rFonts w:ascii="Calibri" w:cs="Calibri" w:eastAsia="Calibri" w:hAnsi="Calibri"/>
          <w:sz w:val="18"/>
          <w:szCs w:val="18"/>
          <w:color w:val="auto"/>
        </w:rPr>
        <w:t xml:space="preserve"> with Mitsubishi Tanabe Pharma Corporaton, or </w:t>
      </w:r>
      <w:r>
        <w:rPr>
          <w:rFonts w:ascii="Calibri" w:cs="Calibri" w:eastAsia="Calibri" w:hAnsi="Calibri"/>
          <w:sz w:val="18"/>
          <w:szCs w:val="18"/>
          <w:u w:val="single" w:color="auto"/>
          <w:color w:val="auto"/>
        </w:rPr>
        <w:t>MTPC</w:t>
      </w:r>
      <w:r>
        <w:rPr>
          <w:rFonts w:ascii="Calibri" w:cs="Calibri" w:eastAsia="Calibri" w:hAnsi="Calibri"/>
          <w:sz w:val="18"/>
          <w:szCs w:val="18"/>
          <w:color w:val="auto"/>
        </w:rPr>
        <w:t>. The Royalty Interest Payments are subject to an annual maximum “cap” of $13.0 million, afer which the Company will receive 85% of the Royalty Interest Payments for the remainder of that year. The Royalty Interest Payments are also subject to an aggregate maximum “cap” of $150.0 million, afer which the Royalty Interest Payments will revert back to the Company.</w:t>
      </w:r>
    </w:p>
    <w:p>
      <w:pPr>
        <w:spacing w:after="0" w:line="114"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retains the right to receive all potental future regulatory milestones for Vafseo under the MTPC Agreement. The Royalty Agreement will terminate on the earlier of the date on which HCR has received (i) the last Royalty Interest Payment or (ii) payment by the Company of an amount equal to the Aggregate Cap minus the aggregate amount of all Royalty Interest Payments actually received by HCR.</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At the transacton date, the Company recognized the proceeds received from HCR of $44.8 million (net of certain transacton expenses) as a liability and is amortzing it using the efectve interest method over the life of the arrangement. The liability related to sale of future royaltes and the debt amortzaton are based on the Company’s current estmates of future royaltes expected to be paid over the life of the arrangement. To the extent the Company’s estmates of future royalty payments are greater or less than previous estmates or the estmated tming of such payments is materially diferent than previous estmates, the Company will adjust the efectve interest rate and recognize related non-cash interest expense on a</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9" w:name="page150"/>
    <w:bookmarkEnd w:id="14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prospectve basis. In the event the Company's estmates of future royaltes are less than the proceeds from the sale of future royaltes, the Company will not recognize related non-cash interest expense. On a quarterly basis, the Company assesses the expected royalty payments. The annual efectve interest rate as of December 31, 2024 was 0% and, therefore the Company did not recognize any non-cash interest expense in the consolidated statements of operatons and comprehensive loss. As a result of the Company's ongoing involvement in the cash fows related to the royaltes and sales milestones in the MTPC Territory, the Company will contnue to account for the royaltes received as non-cash royalty revenue which is refected within license, collaboraton and other revenue in the consolidated statements of operatons and comprehensive loss.</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each of the years ended December 31, 2024 and 2023, the Company paid $2.0 million of royaltes to HCR. As of December 31, 2024 and 2023, the balances related to the liability related to the sale of future royaltes were as follows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ind w:right="19"/>
              <w:spacing w:after="0"/>
              <w:rPr>
                <w:sz w:val="20"/>
                <w:szCs w:val="20"/>
                <w:color w:val="auto"/>
              </w:rPr>
            </w:pPr>
            <w:r>
              <w:rPr>
                <w:rFonts w:ascii="Calibri" w:cs="Calibri" w:eastAsia="Calibri" w:hAnsi="Calibri"/>
                <w:sz w:val="16"/>
                <w:szCs w:val="16"/>
                <w:b w:val="1"/>
                <w:bCs w:val="1"/>
                <w:color w:val="auto"/>
              </w:rPr>
              <w:t>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8060" w:type="dxa"/>
            <w:vAlign w:val="bottom"/>
            <w:gridSpan w:val="2"/>
            <w:vMerge w:val="restart"/>
          </w:tcPr>
          <w:p>
            <w:pPr>
              <w:ind w:left="20"/>
              <w:spacing w:after="0"/>
              <w:rPr>
                <w:sz w:val="20"/>
                <w:szCs w:val="20"/>
                <w:color w:val="auto"/>
              </w:rPr>
            </w:pPr>
            <w:r>
              <w:rPr>
                <w:rFonts w:ascii="Calibri" w:cs="Calibri" w:eastAsia="Calibri" w:hAnsi="Calibri"/>
                <w:sz w:val="16"/>
                <w:szCs w:val="16"/>
                <w:b w:val="1"/>
                <w:bCs w:val="1"/>
                <w:color w:val="auto"/>
              </w:rPr>
              <w:t>Descripton</w:t>
            </w: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0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19"/>
              <w:spacing w:after="0" w:line="187" w:lineRule="exact"/>
              <w:rPr>
                <w:sz w:val="20"/>
                <w:szCs w:val="20"/>
                <w:color w:val="auto"/>
              </w:rPr>
            </w:pPr>
            <w:r>
              <w:rPr>
                <w:rFonts w:ascii="Calibri" w:cs="Calibri" w:eastAsia="Calibri" w:hAnsi="Calibri"/>
                <w:sz w:val="16"/>
                <w:szCs w:val="16"/>
                <w:b w:val="1"/>
                <w:bCs w:val="1"/>
                <w:color w:val="auto"/>
              </w:rPr>
              <w:t>2024</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ind w:right="519"/>
              <w:spacing w:after="0" w:line="187" w:lineRule="exact"/>
              <w:rPr>
                <w:sz w:val="20"/>
                <w:szCs w:val="20"/>
                <w:color w:val="auto"/>
              </w:rPr>
            </w:pPr>
            <w:r>
              <w:rPr>
                <w:rFonts w:ascii="Calibri" w:cs="Calibri" w:eastAsia="Calibri" w:hAnsi="Calibri"/>
                <w:sz w:val="16"/>
                <w:szCs w:val="16"/>
                <w:b w:val="1"/>
                <w:bCs w:val="1"/>
                <w:color w:val="auto"/>
              </w:rPr>
              <w:t>2023</w:t>
            </w:r>
          </w:p>
        </w:tc>
        <w:tc>
          <w:tcPr>
            <w:tcW w:w="0" w:type="dxa"/>
            <w:vAlign w:val="bottom"/>
          </w:tcPr>
          <w:p>
            <w:pPr>
              <w:spacing w:after="0"/>
              <w:rPr>
                <w:sz w:val="1"/>
                <w:szCs w:val="1"/>
                <w:color w:val="auto"/>
              </w:rPr>
            </w:pPr>
          </w:p>
        </w:tc>
      </w:tr>
      <w:tr>
        <w:trPr>
          <w:trHeight w:val="23"/>
        </w:trPr>
        <w:tc>
          <w:tcPr>
            <w:tcW w:w="7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DBDBDB"/>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7940" w:type="dxa"/>
            <w:vAlign w:val="bottom"/>
            <w:tcBorders>
              <w:bottom w:val="single" w:sz="8" w:color="DBDBDB"/>
            </w:tcBorders>
            <w:shd w:val="clear" w:color="auto" w:fill="DBDBDB"/>
          </w:tcPr>
          <w:p>
            <w:pPr>
              <w:ind w:left="20"/>
              <w:spacing w:after="0" w:line="187" w:lineRule="exact"/>
              <w:rPr>
                <w:sz w:val="20"/>
                <w:szCs w:val="20"/>
                <w:color w:val="auto"/>
              </w:rPr>
            </w:pPr>
            <w:r>
              <w:rPr>
                <w:rFonts w:ascii="Calibri" w:cs="Calibri" w:eastAsia="Calibri" w:hAnsi="Calibri"/>
                <w:sz w:val="16"/>
                <w:szCs w:val="16"/>
                <w:color w:val="auto"/>
              </w:rPr>
              <w:t>Current porton (included in accrued expenses and other current liabilites)</w:t>
            </w:r>
          </w:p>
        </w:tc>
        <w:tc>
          <w:tcPr>
            <w:tcW w:w="12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DBDBDB"/>
            </w:tcBorders>
            <w:shd w:val="clear" w:color="auto" w:fill="DBDBDB"/>
          </w:tcPr>
          <w:p>
            <w:pPr>
              <w:jc w:val="right"/>
              <w:ind w:right="159"/>
              <w:spacing w:after="0" w:line="187" w:lineRule="exact"/>
              <w:rPr>
                <w:sz w:val="20"/>
                <w:szCs w:val="20"/>
                <w:color w:val="auto"/>
              </w:rPr>
            </w:pPr>
            <w:r>
              <w:rPr>
                <w:rFonts w:ascii="Calibri" w:cs="Calibri" w:eastAsia="Calibri" w:hAnsi="Calibri"/>
                <w:sz w:val="16"/>
                <w:szCs w:val="16"/>
                <w:color w:val="auto"/>
                <w:w w:val="97"/>
              </w:rPr>
              <w:t>$</w:t>
            </w:r>
          </w:p>
        </w:tc>
        <w:tc>
          <w:tcPr>
            <w:tcW w:w="118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2,039</w:t>
            </w:r>
          </w:p>
        </w:tc>
        <w:tc>
          <w:tcPr>
            <w:tcW w:w="140" w:type="dxa"/>
            <w:vAlign w:val="bottom"/>
            <w:tcBorders>
              <w:bottom w:val="single" w:sz="8" w:color="DBDBDB"/>
            </w:tcBorders>
            <w:shd w:val="clear" w:color="auto" w:fill="DBDBDB"/>
          </w:tcPr>
          <w:p>
            <w:pPr>
              <w:spacing w:after="0"/>
              <w:rPr>
                <w:sz w:val="16"/>
                <w:szCs w:val="16"/>
                <w:color w:val="auto"/>
              </w:rPr>
            </w:pPr>
          </w:p>
        </w:tc>
        <w:tc>
          <w:tcPr>
            <w:tcW w:w="500" w:type="dxa"/>
            <w:vAlign w:val="bottom"/>
            <w:tcBorders>
              <w:bottom w:val="single" w:sz="8" w:color="DBDBDB"/>
            </w:tcBorders>
            <w:shd w:val="clear" w:color="auto" w:fill="DBDBDB"/>
          </w:tcPr>
          <w:p>
            <w:pPr>
              <w:jc w:val="right"/>
              <w:ind w:right="319"/>
              <w:spacing w:after="0" w:line="187" w:lineRule="exact"/>
              <w:rPr>
                <w:sz w:val="20"/>
                <w:szCs w:val="20"/>
                <w:color w:val="auto"/>
              </w:rPr>
            </w:pPr>
            <w:r>
              <w:rPr>
                <w:rFonts w:ascii="Calibri" w:cs="Calibri" w:eastAsia="Calibri" w:hAnsi="Calibri"/>
                <w:sz w:val="16"/>
                <w:szCs w:val="16"/>
                <w:color w:val="auto"/>
                <w:w w:val="97"/>
              </w:rPr>
              <w:t>$</w:t>
            </w:r>
          </w:p>
        </w:tc>
        <w:tc>
          <w:tcPr>
            <w:tcW w:w="102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2,048</w:t>
            </w:r>
          </w:p>
        </w:tc>
        <w:tc>
          <w:tcPr>
            <w:tcW w:w="0" w:type="dxa"/>
            <w:vAlign w:val="bottom"/>
          </w:tcPr>
          <w:p>
            <w:pPr>
              <w:spacing w:after="0"/>
              <w:rPr>
                <w:sz w:val="1"/>
                <w:szCs w:val="1"/>
                <w:color w:val="auto"/>
              </w:rPr>
            </w:pPr>
          </w:p>
        </w:tc>
      </w:tr>
      <w:tr>
        <w:trPr>
          <w:trHeight w:val="193"/>
        </w:trPr>
        <w:tc>
          <w:tcPr>
            <w:tcW w:w="806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Long-term porton</w:t>
            </w:r>
          </w:p>
        </w:tc>
        <w:tc>
          <w:tcPr>
            <w:tcW w:w="34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52,066</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jc w:val="right"/>
              <w:spacing w:after="0" w:line="193" w:lineRule="exact"/>
              <w:rPr>
                <w:sz w:val="20"/>
                <w:szCs w:val="20"/>
                <w:color w:val="auto"/>
              </w:rPr>
            </w:pPr>
            <w:r>
              <w:rPr>
                <w:rFonts w:ascii="Calibri" w:cs="Calibri" w:eastAsia="Calibri" w:hAnsi="Calibri"/>
                <w:sz w:val="16"/>
                <w:szCs w:val="16"/>
                <w:color w:val="auto"/>
              </w:rPr>
              <w:t>54,013</w:t>
            </w:r>
          </w:p>
        </w:tc>
        <w:tc>
          <w:tcPr>
            <w:tcW w:w="0" w:type="dxa"/>
            <w:vAlign w:val="bottom"/>
          </w:tcPr>
          <w:p>
            <w:pPr>
              <w:spacing w:after="0"/>
              <w:rPr>
                <w:sz w:val="1"/>
                <w:szCs w:val="1"/>
                <w:color w:val="auto"/>
              </w:rPr>
            </w:pPr>
          </w:p>
        </w:tc>
      </w:tr>
      <w:tr>
        <w:trPr>
          <w:trHeight w:val="23"/>
        </w:trPr>
        <w:tc>
          <w:tcPr>
            <w:tcW w:w="79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DBDBDB"/>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8060" w:type="dxa"/>
            <w:vAlign w:val="bottom"/>
            <w:tcBorders>
              <w:bottom w:val="single" w:sz="8" w:color="DBDBDB"/>
            </w:tcBorders>
            <w:gridSpan w:val="2"/>
            <w:shd w:val="clear" w:color="auto" w:fill="DBDBDB"/>
          </w:tcPr>
          <w:p>
            <w:pPr>
              <w:ind w:left="20"/>
              <w:spacing w:after="0"/>
              <w:rPr>
                <w:sz w:val="20"/>
                <w:szCs w:val="20"/>
                <w:color w:val="auto"/>
              </w:rPr>
            </w:pPr>
            <w:r>
              <w:rPr>
                <w:rFonts w:ascii="Calibri" w:cs="Calibri" w:eastAsia="Calibri" w:hAnsi="Calibri"/>
                <w:sz w:val="16"/>
                <w:szCs w:val="16"/>
                <w:color w:val="auto"/>
              </w:rPr>
              <w:t>Total liability related to sale of future royaltes</w:t>
            </w:r>
          </w:p>
        </w:tc>
        <w:tc>
          <w:tcPr>
            <w:tcW w:w="340" w:type="dxa"/>
            <w:vAlign w:val="bottom"/>
            <w:tcBorders>
              <w:bottom w:val="single" w:sz="8" w:color="auto"/>
            </w:tcBorders>
            <w:shd w:val="clear" w:color="auto" w:fill="DBDBDB"/>
          </w:tcPr>
          <w:p>
            <w:pPr>
              <w:jc w:val="right"/>
              <w:ind w:right="159"/>
              <w:spacing w:after="0" w:line="193" w:lineRule="exact"/>
              <w:rPr>
                <w:sz w:val="20"/>
                <w:szCs w:val="20"/>
                <w:color w:val="auto"/>
              </w:rPr>
            </w:pPr>
            <w:r>
              <w:rPr>
                <w:rFonts w:ascii="Calibri" w:cs="Calibri" w:eastAsia="Calibri" w:hAnsi="Calibri"/>
                <w:sz w:val="16"/>
                <w:szCs w:val="16"/>
                <w:color w:val="auto"/>
                <w:w w:val="97"/>
              </w:rPr>
              <w:t>$</w:t>
            </w:r>
          </w:p>
        </w:tc>
        <w:tc>
          <w:tcPr>
            <w:tcW w:w="1180" w:type="dxa"/>
            <w:vAlign w:val="bottom"/>
            <w:tcBorders>
              <w:bottom w:val="single" w:sz="8" w:color="auto"/>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54,105</w:t>
            </w:r>
          </w:p>
        </w:tc>
        <w:tc>
          <w:tcPr>
            <w:tcW w:w="140" w:type="dxa"/>
            <w:vAlign w:val="bottom"/>
            <w:tcBorders>
              <w:bottom w:val="single" w:sz="8" w:color="DBDBDB"/>
            </w:tcBorders>
            <w:shd w:val="clear" w:color="auto" w:fill="DBDBDB"/>
          </w:tcPr>
          <w:p>
            <w:pPr>
              <w:spacing w:after="0"/>
              <w:rPr>
                <w:sz w:val="19"/>
                <w:szCs w:val="19"/>
                <w:color w:val="auto"/>
              </w:rPr>
            </w:pPr>
          </w:p>
        </w:tc>
        <w:tc>
          <w:tcPr>
            <w:tcW w:w="500" w:type="dxa"/>
            <w:vAlign w:val="bottom"/>
            <w:tcBorders>
              <w:bottom w:val="single" w:sz="8" w:color="auto"/>
            </w:tcBorders>
            <w:shd w:val="clear" w:color="auto" w:fill="DBDBDB"/>
          </w:tcPr>
          <w:p>
            <w:pPr>
              <w:jc w:val="right"/>
              <w:ind w:right="319"/>
              <w:spacing w:after="0" w:line="193" w:lineRule="exact"/>
              <w:rPr>
                <w:sz w:val="20"/>
                <w:szCs w:val="20"/>
                <w:color w:val="auto"/>
              </w:rPr>
            </w:pPr>
            <w:r>
              <w:rPr>
                <w:rFonts w:ascii="Calibri" w:cs="Calibri" w:eastAsia="Calibri" w:hAnsi="Calibri"/>
                <w:sz w:val="16"/>
                <w:szCs w:val="16"/>
                <w:color w:val="auto"/>
                <w:w w:val="97"/>
              </w:rPr>
              <w:t>$</w:t>
            </w:r>
          </w:p>
        </w:tc>
        <w:tc>
          <w:tcPr>
            <w:tcW w:w="1020" w:type="dxa"/>
            <w:vAlign w:val="bottom"/>
            <w:tcBorders>
              <w:bottom w:val="single" w:sz="8" w:color="auto"/>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56,061</w:t>
            </w:r>
          </w:p>
        </w:tc>
        <w:tc>
          <w:tcPr>
            <w:tcW w:w="0" w:type="dxa"/>
            <w:vAlign w:val="bottom"/>
          </w:tcPr>
          <w:p>
            <w:pPr>
              <w:spacing w:after="0"/>
              <w:rPr>
                <w:sz w:val="1"/>
                <w:szCs w:val="1"/>
                <w:color w:val="auto"/>
              </w:rPr>
            </w:pPr>
          </w:p>
        </w:tc>
      </w:tr>
      <w:tr>
        <w:trPr>
          <w:trHeight w:val="20"/>
        </w:trPr>
        <w:tc>
          <w:tcPr>
            <w:tcW w:w="794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Royalty Agreement requires the Company to take certain actons, including actons with respect to the Royalty Interest Payments, the MTPC Agreement, and the Company's intellectual property. The Royalty Agreement also contains certain representatons and warrantes, covenants, indemnifcaton obligatons, events of default and other provisions that are customary for a royalty monetzaton transacton of this nature. In additon, the Company granted HCR a precautonary security interest in connecton with the Royalty Interest Payments.</w:t>
      </w:r>
    </w:p>
    <w:p>
      <w:pPr>
        <w:spacing w:after="0" w:line="107" w:lineRule="exact"/>
        <w:rPr>
          <w:sz w:val="20"/>
          <w:szCs w:val="20"/>
          <w:color w:val="auto"/>
        </w:rPr>
      </w:pPr>
    </w:p>
    <w:p>
      <w:pPr>
        <w:ind w:left="340" w:hanging="332"/>
        <w:spacing w:after="0"/>
        <w:tabs>
          <w:tab w:leader="none" w:pos="340" w:val="left"/>
        </w:tabs>
        <w:numPr>
          <w:ilvl w:val="0"/>
          <w:numId w:val="70"/>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LEASES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Cambridge Leases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Under the Cambridge Lease, the Company leases approximately 65,167 square feet of ofce, storage and laboratory space in Cambridge, Massachusets. The term of the Cambridge Lease with respect to the 59,216 square feet of ofce and storage space expires on September 11, 2026, with one fve-year extension opton available. The term of the Cambridge Lease with respect to the 5,951 square feet of the laboratory space expires on September 11, 2026, with one two-year extension opton available. In additon to rent, the Company is required to pay additonal amounts for taxes, insurance, maintenance, and other operatng expenses.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Cambridge Lease is non-cancelable and is classifed as an operatng lease. The renewal optons with respect to the ofce, storage and the lab space of the Cambridge Lease were not included in the calculaton of the right-of-use asset and operatng lease liability as the renewals are not reasonably certain. The Cambridge Lease does not contain residual value guarantees. The components of lease right-of-use assets and lease liabilites are included in the consolidated balance sheets. Operatng lease liabilites are based on the net present value of the remaining lease payments over the remaining lease term. In determining the present value of lease payments, the Company used its incremental borrowing rate when measuring operatng lease liabilites. In arriving at the operatng lease liabilites, the Company applied incremental borrowing rates ranging from 6.65% to 6.94%, which were based on the remaining lease term at either the date of adopton of ASC 842, </w:t>
      </w:r>
      <w:r>
        <w:rPr>
          <w:rFonts w:ascii="Calibri" w:cs="Calibri" w:eastAsia="Calibri" w:hAnsi="Calibri"/>
          <w:sz w:val="18"/>
          <w:szCs w:val="18"/>
          <w:i w:val="1"/>
          <w:iCs w:val="1"/>
          <w:color w:val="auto"/>
        </w:rPr>
        <w:t>Leases</w:t>
      </w:r>
      <w:r>
        <w:rPr>
          <w:rFonts w:ascii="Calibri" w:cs="Calibri" w:eastAsia="Calibri" w:hAnsi="Calibri"/>
          <w:sz w:val="18"/>
          <w:szCs w:val="18"/>
          <w:color w:val="auto"/>
        </w:rPr>
        <w:t>, or the efectve date of any subsequent lease term extensions. As of December 31, 2024, the remaining lease term for the Cambridge Leases was 1.70 years.</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Operatng lease costs were $5.0 million and $5.7 million for the years ended December 31, 2024 and 2023, respectvely. Cash paid for amounts included in the measurement of operatng lease liabilites were $5.7 million and $5.9 million for the years ended December 31, 2024 and 2023, respectvely. The security deposit in connecton with the Cambridge Lease is $1.7 million in the form of a leter of credit, which is included as restricted cash in other long-term assets in the Company's consolidated balance sheet as of December 31, 2024 and 2023.</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Sublease and Former Boston Lease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Previously, the Company leased 27,924 square feet of ofce space in Boston, Massachusets, or the </w:t>
      </w:r>
      <w:r>
        <w:rPr>
          <w:rFonts w:ascii="Calibri" w:cs="Calibri" w:eastAsia="Calibri" w:hAnsi="Calibri"/>
          <w:sz w:val="18"/>
          <w:szCs w:val="18"/>
          <w:u w:val="single" w:color="auto"/>
          <w:color w:val="auto"/>
        </w:rPr>
        <w:t>Boston Lease</w:t>
      </w:r>
      <w:r>
        <w:rPr>
          <w:rFonts w:ascii="Calibri" w:cs="Calibri" w:eastAsia="Calibri" w:hAnsi="Calibri"/>
          <w:sz w:val="18"/>
          <w:szCs w:val="18"/>
          <w:color w:val="auto"/>
        </w:rPr>
        <w:t>, under a non-cancelable operatng lease that was set to expire in July 2031. The Company subleased the entre Boston Lease, efectve October 2019 through February 2023. The Company recorded no rental income and $0.3 million in rental income as other income in the consolidated statements of operatons and comprehensive loss during the years ended December 31, 2024 and 2023, respectvely.</w:t>
      </w:r>
    </w:p>
    <w:p>
      <w:pPr>
        <w:spacing w:after="0" w:line="98" w:lineRule="exact"/>
        <w:rPr>
          <w:sz w:val="20"/>
          <w:szCs w:val="20"/>
          <w:color w:val="auto"/>
        </w:rPr>
      </w:pPr>
    </w:p>
    <w:p>
      <w:pPr>
        <w:ind w:right="40"/>
        <w:spacing w:after="0" w:line="225" w:lineRule="auto"/>
        <w:rPr>
          <w:sz w:val="20"/>
          <w:szCs w:val="20"/>
          <w:color w:val="auto"/>
        </w:rPr>
      </w:pPr>
      <w:r>
        <w:rPr>
          <w:rFonts w:ascii="Calibri" w:cs="Calibri" w:eastAsia="Calibri" w:hAnsi="Calibri"/>
          <w:sz w:val="18"/>
          <w:szCs w:val="18"/>
          <w:color w:val="auto"/>
        </w:rPr>
        <w:t xml:space="preserve">In May 2023, pursuant to a Lease Assignment Agreement, or the </w:t>
      </w:r>
      <w:r>
        <w:rPr>
          <w:rFonts w:ascii="Calibri" w:cs="Calibri" w:eastAsia="Calibri" w:hAnsi="Calibri"/>
          <w:sz w:val="18"/>
          <w:szCs w:val="18"/>
          <w:u w:val="single" w:color="auto"/>
          <w:color w:val="auto"/>
        </w:rPr>
        <w:t>Lease Assignment Agreement</w:t>
      </w:r>
      <w:r>
        <w:rPr>
          <w:rFonts w:ascii="Calibri" w:cs="Calibri" w:eastAsia="Calibri" w:hAnsi="Calibri"/>
          <w:sz w:val="18"/>
          <w:szCs w:val="18"/>
          <w:color w:val="auto"/>
        </w:rPr>
        <w:t xml:space="preserve">, the Company assigned all of its rights, ttle, and interest in, to, and under the Boston Lease to LG Chem Life Sciences Innovaton Center, Inc., or </w:t>
      </w:r>
      <w:r>
        <w:rPr>
          <w:rFonts w:ascii="Calibri" w:cs="Calibri" w:eastAsia="Calibri" w:hAnsi="Calibri"/>
          <w:sz w:val="18"/>
          <w:szCs w:val="18"/>
          <w:u w:val="single" w:color="auto"/>
          <w:color w:val="auto"/>
        </w:rPr>
        <w:t>LG Chem</w:t>
      </w:r>
      <w:r>
        <w:rPr>
          <w:rFonts w:ascii="Calibri" w:cs="Calibri" w:eastAsia="Calibri" w:hAnsi="Calibri"/>
          <w:sz w:val="18"/>
          <w:szCs w:val="18"/>
          <w:color w:val="auto"/>
        </w:rPr>
        <w:t>, and made a payment to LG Chem of $1.3 million. As of May 2023, LG Chem assumed all of the rights and obligatons of the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0" w:name="page151"/>
    <w:bookmarkEnd w:id="15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right="260"/>
        <w:spacing w:after="0" w:line="224" w:lineRule="auto"/>
        <w:rPr>
          <w:sz w:val="20"/>
          <w:szCs w:val="20"/>
          <w:color w:val="auto"/>
        </w:rPr>
      </w:pPr>
      <w:r>
        <w:rPr>
          <w:rFonts w:ascii="Calibri" w:cs="Calibri" w:eastAsia="Calibri" w:hAnsi="Calibri"/>
          <w:sz w:val="18"/>
          <w:szCs w:val="18"/>
          <w:color w:val="auto"/>
        </w:rPr>
        <w:t xml:space="preserve">Company under the Boston Lease and the Company has no further obligatons for rent or other payments under the Boston Lease. In accordance with ASC 842, </w:t>
      </w:r>
      <w:r>
        <w:rPr>
          <w:rFonts w:ascii="Calibri" w:cs="Calibri" w:eastAsia="Calibri" w:hAnsi="Calibri"/>
          <w:sz w:val="18"/>
          <w:szCs w:val="18"/>
          <w:i w:val="1"/>
          <w:iCs w:val="1"/>
          <w:color w:val="auto"/>
        </w:rPr>
        <w:t>Leases</w:t>
      </w:r>
      <w:r>
        <w:rPr>
          <w:rFonts w:ascii="Calibri" w:cs="Calibri" w:eastAsia="Calibri" w:hAnsi="Calibri"/>
          <w:sz w:val="18"/>
          <w:szCs w:val="18"/>
          <w:color w:val="auto"/>
        </w:rPr>
        <w:t>, the Company wrote of the right-of-use asset and lease liability associated with the Boston Lease, and recognized the diference between the right-of-use asset and the lease liability ofset by the $1.3 million payment as a loss on lease terminaton in the consolidated statements of operatons and comprehensive loss of $0.5 million during the year ended December 31, 2023.</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Future Lease Commitments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Future commitments under non-cancelable Cambridge Leases are as follows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Operatng</w:t>
            </w:r>
          </w:p>
        </w:tc>
      </w:tr>
      <w:tr>
        <w:trPr>
          <w:trHeight w:val="193"/>
        </w:trPr>
        <w:tc>
          <w:tcPr>
            <w:tcW w:w="9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tcPr>
          <w:p>
            <w:pPr>
              <w:jc w:val="right"/>
              <w:ind w:right="659"/>
              <w:spacing w:after="0" w:line="193" w:lineRule="exact"/>
              <w:rPr>
                <w:sz w:val="20"/>
                <w:szCs w:val="20"/>
                <w:color w:val="auto"/>
              </w:rPr>
            </w:pPr>
            <w:r>
              <w:rPr>
                <w:rFonts w:ascii="Calibri" w:cs="Calibri" w:eastAsia="Calibri" w:hAnsi="Calibri"/>
                <w:sz w:val="16"/>
                <w:szCs w:val="16"/>
                <w:b w:val="1"/>
                <w:bCs w:val="1"/>
                <w:color w:val="auto"/>
              </w:rPr>
              <w:t>Leases</w:t>
            </w:r>
          </w:p>
        </w:tc>
      </w:tr>
      <w:tr>
        <w:trPr>
          <w:trHeight w:val="28"/>
        </w:trPr>
        <w:tc>
          <w:tcPr>
            <w:tcW w:w="9300" w:type="dxa"/>
            <w:vAlign w:val="bottom"/>
            <w:tcBorders>
              <w:bottom w:val="single" w:sz="8" w:color="DBDBDB"/>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9300" w:type="dxa"/>
            <w:vAlign w:val="bottom"/>
            <w:tcBorders>
              <w:bottom w:val="single" w:sz="8" w:color="DBDBDB"/>
            </w:tcBorders>
            <w:shd w:val="clear" w:color="auto" w:fill="DBDBDB"/>
          </w:tcPr>
          <w:p>
            <w:pPr>
              <w:ind w:left="20"/>
              <w:spacing w:after="0" w:line="174" w:lineRule="exact"/>
              <w:rPr>
                <w:sz w:val="20"/>
                <w:szCs w:val="20"/>
                <w:color w:val="auto"/>
              </w:rPr>
            </w:pPr>
            <w:r>
              <w:rPr>
                <w:rFonts w:ascii="Calibri" w:cs="Calibri" w:eastAsia="Calibri" w:hAnsi="Calibri"/>
                <w:sz w:val="16"/>
                <w:szCs w:val="16"/>
                <w:color w:val="auto"/>
              </w:rPr>
              <w:t>2025</w:t>
            </w:r>
          </w:p>
        </w:tc>
        <w:tc>
          <w:tcPr>
            <w:tcW w:w="380" w:type="dxa"/>
            <w:vAlign w:val="bottom"/>
            <w:tcBorders>
              <w:bottom w:val="single" w:sz="8" w:color="DBDBDB"/>
            </w:tcBorders>
            <w:shd w:val="clear" w:color="auto" w:fill="DBDBDB"/>
          </w:tcPr>
          <w:p>
            <w:pPr>
              <w:jc w:val="right"/>
              <w:ind w:right="199"/>
              <w:spacing w:after="0" w:line="187" w:lineRule="exact"/>
              <w:rPr>
                <w:sz w:val="20"/>
                <w:szCs w:val="20"/>
                <w:color w:val="auto"/>
              </w:rPr>
            </w:pPr>
            <w:r>
              <w:rPr>
                <w:rFonts w:ascii="Calibri" w:cs="Calibri" w:eastAsia="Calibri" w:hAnsi="Calibri"/>
                <w:sz w:val="16"/>
                <w:szCs w:val="16"/>
                <w:color w:val="auto"/>
                <w:w w:val="97"/>
              </w:rPr>
              <w:t>$</w:t>
            </w:r>
          </w:p>
        </w:tc>
        <w:tc>
          <w:tcPr>
            <w:tcW w:w="156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5,819</w:t>
            </w:r>
          </w:p>
        </w:tc>
      </w:tr>
      <w:tr>
        <w:trPr>
          <w:trHeight w:val="193"/>
        </w:trPr>
        <w:tc>
          <w:tcPr>
            <w:tcW w:w="9300" w:type="dxa"/>
            <w:vAlign w:val="bottom"/>
          </w:tcPr>
          <w:p>
            <w:pPr>
              <w:ind w:left="20"/>
              <w:spacing w:after="0" w:line="193" w:lineRule="exact"/>
              <w:rPr>
                <w:sz w:val="20"/>
                <w:szCs w:val="20"/>
                <w:color w:val="auto"/>
              </w:rPr>
            </w:pPr>
            <w:r>
              <w:rPr>
                <w:rFonts w:ascii="Calibri" w:cs="Calibri" w:eastAsia="Calibri" w:hAnsi="Calibri"/>
                <w:sz w:val="16"/>
                <w:szCs w:val="16"/>
                <w:color w:val="auto"/>
              </w:rPr>
              <w:t>2026</w:t>
            </w:r>
          </w:p>
        </w:tc>
        <w:tc>
          <w:tcPr>
            <w:tcW w:w="380" w:type="dxa"/>
            <w:vAlign w:val="bottom"/>
          </w:tcPr>
          <w:p>
            <w:pPr>
              <w:spacing w:after="0"/>
              <w:rPr>
                <w:sz w:val="16"/>
                <w:szCs w:val="16"/>
                <w:color w:val="auto"/>
              </w:rPr>
            </w:pPr>
          </w:p>
        </w:tc>
        <w:tc>
          <w:tcPr>
            <w:tcW w:w="1560" w:type="dxa"/>
            <w:vAlign w:val="bottom"/>
          </w:tcPr>
          <w:p>
            <w:pPr>
              <w:jc w:val="right"/>
              <w:spacing w:after="0" w:line="193" w:lineRule="exact"/>
              <w:rPr>
                <w:sz w:val="20"/>
                <w:szCs w:val="20"/>
                <w:color w:val="auto"/>
              </w:rPr>
            </w:pPr>
            <w:r>
              <w:rPr>
                <w:rFonts w:ascii="Calibri" w:cs="Calibri" w:eastAsia="Calibri" w:hAnsi="Calibri"/>
                <w:sz w:val="16"/>
                <w:szCs w:val="16"/>
                <w:color w:val="auto"/>
              </w:rPr>
              <w:t>3,613</w:t>
            </w:r>
          </w:p>
        </w:tc>
      </w:tr>
      <w:tr>
        <w:trPr>
          <w:trHeight w:val="23"/>
        </w:trPr>
        <w:tc>
          <w:tcPr>
            <w:tcW w:w="930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9"/>
        </w:trPr>
        <w:tc>
          <w:tcPr>
            <w:tcW w:w="9300" w:type="dxa"/>
            <w:vAlign w:val="bottom"/>
            <w:tcBorders>
              <w:bottom w:val="single" w:sz="8" w:color="DBDBDB"/>
            </w:tcBorders>
            <w:shd w:val="clear" w:color="auto" w:fill="DBDBDB"/>
          </w:tcPr>
          <w:p>
            <w:pPr>
              <w:ind w:left="20"/>
              <w:spacing w:after="0" w:line="174" w:lineRule="exact"/>
              <w:rPr>
                <w:sz w:val="20"/>
                <w:szCs w:val="20"/>
                <w:color w:val="auto"/>
              </w:rPr>
            </w:pPr>
            <w:r>
              <w:rPr>
                <w:rFonts w:ascii="Calibri" w:cs="Calibri" w:eastAsia="Calibri" w:hAnsi="Calibri"/>
                <w:sz w:val="16"/>
                <w:szCs w:val="16"/>
                <w:color w:val="auto"/>
              </w:rPr>
              <w:t>Total lease commitments</w:t>
            </w:r>
          </w:p>
        </w:tc>
        <w:tc>
          <w:tcPr>
            <w:tcW w:w="380" w:type="dxa"/>
            <w:vAlign w:val="bottom"/>
            <w:tcBorders>
              <w:bottom w:val="single" w:sz="8" w:color="DBDBDB"/>
            </w:tcBorders>
            <w:shd w:val="clear" w:color="auto" w:fill="DBDBDB"/>
          </w:tcPr>
          <w:p>
            <w:pPr>
              <w:jc w:val="right"/>
              <w:ind w:right="199"/>
              <w:spacing w:after="0" w:line="187" w:lineRule="exact"/>
              <w:rPr>
                <w:sz w:val="20"/>
                <w:szCs w:val="20"/>
                <w:color w:val="auto"/>
              </w:rPr>
            </w:pPr>
            <w:r>
              <w:rPr>
                <w:rFonts w:ascii="Calibri" w:cs="Calibri" w:eastAsia="Calibri" w:hAnsi="Calibri"/>
                <w:sz w:val="16"/>
                <w:szCs w:val="16"/>
                <w:color w:val="auto"/>
                <w:w w:val="97"/>
              </w:rPr>
              <w:t>$</w:t>
            </w:r>
          </w:p>
        </w:tc>
        <w:tc>
          <w:tcPr>
            <w:tcW w:w="156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9,432</w:t>
            </w:r>
          </w:p>
        </w:tc>
      </w:tr>
      <w:tr>
        <w:trPr>
          <w:trHeight w:val="193"/>
        </w:trPr>
        <w:tc>
          <w:tcPr>
            <w:tcW w:w="9300" w:type="dxa"/>
            <w:vAlign w:val="bottom"/>
          </w:tcPr>
          <w:p>
            <w:pPr>
              <w:ind w:left="20"/>
              <w:spacing w:after="0" w:line="193" w:lineRule="exact"/>
              <w:rPr>
                <w:sz w:val="20"/>
                <w:szCs w:val="20"/>
                <w:color w:val="auto"/>
              </w:rPr>
            </w:pPr>
            <w:r>
              <w:rPr>
                <w:rFonts w:ascii="Calibri" w:cs="Calibri" w:eastAsia="Calibri" w:hAnsi="Calibri"/>
                <w:sz w:val="16"/>
                <w:szCs w:val="16"/>
                <w:color w:val="auto"/>
              </w:rPr>
              <w:t>Less: present value adjustment</w:t>
            </w:r>
          </w:p>
        </w:tc>
        <w:tc>
          <w:tcPr>
            <w:tcW w:w="380" w:type="dxa"/>
            <w:vAlign w:val="bottom"/>
          </w:tcPr>
          <w:p>
            <w:pPr>
              <w:spacing w:after="0"/>
              <w:rPr>
                <w:sz w:val="16"/>
                <w:szCs w:val="16"/>
                <w:color w:val="auto"/>
              </w:rPr>
            </w:pPr>
          </w:p>
        </w:tc>
        <w:tc>
          <w:tcPr>
            <w:tcW w:w="1560" w:type="dxa"/>
            <w:vAlign w:val="bottom"/>
          </w:tcPr>
          <w:p>
            <w:pPr>
              <w:jc w:val="right"/>
              <w:spacing w:after="0" w:line="193" w:lineRule="exact"/>
              <w:rPr>
                <w:sz w:val="20"/>
                <w:szCs w:val="20"/>
                <w:color w:val="auto"/>
              </w:rPr>
            </w:pPr>
            <w:r>
              <w:rPr>
                <w:rFonts w:ascii="Calibri" w:cs="Calibri" w:eastAsia="Calibri" w:hAnsi="Calibri"/>
                <w:sz w:val="16"/>
                <w:szCs w:val="16"/>
                <w:color w:val="auto"/>
              </w:rPr>
              <w:t>(485)</w:t>
            </w:r>
          </w:p>
        </w:tc>
      </w:tr>
      <w:tr>
        <w:trPr>
          <w:trHeight w:val="23"/>
        </w:trPr>
        <w:tc>
          <w:tcPr>
            <w:tcW w:w="9300" w:type="dxa"/>
            <w:vAlign w:val="bottom"/>
            <w:tcBorders>
              <w:bottom w:val="single" w:sz="8" w:color="DBDBDB"/>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34"/>
        </w:trPr>
        <w:tc>
          <w:tcPr>
            <w:tcW w:w="9300" w:type="dxa"/>
            <w:vAlign w:val="bottom"/>
            <w:tcBorders>
              <w:bottom w:val="single" w:sz="8" w:color="DBDBDB"/>
            </w:tcBorders>
            <w:shd w:val="clear" w:color="auto" w:fill="DBDBDB"/>
          </w:tcPr>
          <w:p>
            <w:pPr>
              <w:ind w:left="20"/>
              <w:spacing w:after="0" w:line="182" w:lineRule="exact"/>
              <w:rPr>
                <w:sz w:val="20"/>
                <w:szCs w:val="20"/>
                <w:color w:val="auto"/>
              </w:rPr>
            </w:pPr>
            <w:r>
              <w:rPr>
                <w:rFonts w:ascii="Calibri" w:cs="Calibri" w:eastAsia="Calibri" w:hAnsi="Calibri"/>
                <w:sz w:val="16"/>
                <w:szCs w:val="16"/>
                <w:color w:val="auto"/>
              </w:rPr>
              <w:t>Current and long-term operatng lease liabilites</w:t>
            </w:r>
          </w:p>
        </w:tc>
        <w:tc>
          <w:tcPr>
            <w:tcW w:w="380" w:type="dxa"/>
            <w:vAlign w:val="bottom"/>
            <w:tcBorders>
              <w:bottom w:val="single" w:sz="8" w:color="DBDBDB"/>
            </w:tcBorders>
            <w:shd w:val="clear" w:color="auto" w:fill="DBDBDB"/>
          </w:tcPr>
          <w:p>
            <w:pPr>
              <w:jc w:val="right"/>
              <w:ind w:right="199"/>
              <w:spacing w:after="0" w:line="187" w:lineRule="exact"/>
              <w:rPr>
                <w:sz w:val="20"/>
                <w:szCs w:val="20"/>
                <w:color w:val="auto"/>
              </w:rPr>
            </w:pPr>
            <w:r>
              <w:rPr>
                <w:rFonts w:ascii="Calibri" w:cs="Calibri" w:eastAsia="Calibri" w:hAnsi="Calibri"/>
                <w:sz w:val="16"/>
                <w:szCs w:val="16"/>
                <w:color w:val="auto"/>
                <w:w w:val="97"/>
              </w:rPr>
              <w:t>$</w:t>
            </w:r>
          </w:p>
        </w:tc>
        <w:tc>
          <w:tcPr>
            <w:tcW w:w="156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8,947</w:t>
            </w:r>
          </w:p>
        </w:tc>
      </w:tr>
      <w:tr>
        <w:trPr>
          <w:trHeight w:val="20"/>
        </w:trPr>
        <w:tc>
          <w:tcPr>
            <w:tcW w:w="93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10. COMMITMENTS AND CONTINGENCIES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Manufacturing and Unconditonal Purchase Commitment Agreements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Siegfried Manufacturing</w:t>
      </w:r>
    </w:p>
    <w:p>
      <w:pPr>
        <w:spacing w:after="0" w:line="96" w:lineRule="exact"/>
        <w:rPr>
          <w:sz w:val="20"/>
          <w:szCs w:val="20"/>
          <w:color w:val="auto"/>
        </w:rPr>
      </w:pPr>
    </w:p>
    <w:p>
      <w:pPr>
        <w:ind w:right="20"/>
        <w:spacing w:after="0" w:line="237" w:lineRule="auto"/>
        <w:rPr>
          <w:sz w:val="20"/>
          <w:szCs w:val="20"/>
          <w:color w:val="auto"/>
        </w:rPr>
      </w:pPr>
      <w:r>
        <w:rPr>
          <w:rFonts w:ascii="Calibri" w:cs="Calibri" w:eastAsia="Calibri" w:hAnsi="Calibri"/>
          <w:sz w:val="17"/>
          <w:szCs w:val="17"/>
          <w:color w:val="auto"/>
        </w:rPr>
        <w:t xml:space="preserve">The Company's contractual obligatons include a commercial supply agreement with Siegfried Evionnaz, or </w:t>
      </w:r>
      <w:r>
        <w:rPr>
          <w:rFonts w:ascii="Calibri" w:cs="Calibri" w:eastAsia="Calibri" w:hAnsi="Calibri"/>
          <w:sz w:val="17"/>
          <w:szCs w:val="17"/>
          <w:u w:val="single" w:color="auto"/>
          <w:color w:val="auto"/>
        </w:rPr>
        <w:t>Siegfried</w:t>
      </w:r>
      <w:r>
        <w:rPr>
          <w:rFonts w:ascii="Calibri" w:cs="Calibri" w:eastAsia="Calibri" w:hAnsi="Calibri"/>
          <w:sz w:val="17"/>
          <w:szCs w:val="17"/>
          <w:color w:val="auto"/>
        </w:rPr>
        <w:t xml:space="preserve">, to supply commercial drug substance for Auryxia. The Company and Siegfried entered into a Master Manufacturing Services and Supply Agreement, most recently amended in February 2023, or the </w:t>
      </w:r>
      <w:r>
        <w:rPr>
          <w:rFonts w:ascii="Calibri" w:cs="Calibri" w:eastAsia="Calibri" w:hAnsi="Calibri"/>
          <w:sz w:val="17"/>
          <w:szCs w:val="17"/>
          <w:u w:val="single" w:color="auto"/>
          <w:color w:val="auto"/>
        </w:rPr>
        <w:t>Siegfried Agreement</w:t>
      </w:r>
      <w:r>
        <w:rPr>
          <w:rFonts w:ascii="Calibri" w:cs="Calibri" w:eastAsia="Calibri" w:hAnsi="Calibri"/>
          <w:sz w:val="17"/>
          <w:szCs w:val="17"/>
          <w:color w:val="auto"/>
        </w:rPr>
        <w:t>, under which the Company has agreed to purchase a minimum quantty of drug substance of Auryxia, annually at a predetermined price. As of December 31, 2024, the Company had a minimum total commitment of approximately $15.0 million through the end of 2026.</w:t>
      </w:r>
    </w:p>
    <w:p>
      <w:pPr>
        <w:spacing w:after="0" w:line="112" w:lineRule="exact"/>
        <w:rPr>
          <w:sz w:val="20"/>
          <w:szCs w:val="20"/>
          <w:color w:val="auto"/>
        </w:rPr>
      </w:pPr>
    </w:p>
    <w:p>
      <w:pPr>
        <w:ind w:right="660"/>
        <w:spacing w:after="0" w:line="235" w:lineRule="auto"/>
        <w:rPr>
          <w:sz w:val="20"/>
          <w:szCs w:val="20"/>
          <w:color w:val="auto"/>
        </w:rPr>
      </w:pPr>
      <w:r>
        <w:rPr>
          <w:rFonts w:ascii="Calibri" w:cs="Calibri" w:eastAsia="Calibri" w:hAnsi="Calibri"/>
          <w:sz w:val="18"/>
          <w:szCs w:val="18"/>
          <w:color w:val="auto"/>
        </w:rPr>
        <w:t>The term of the Siegfried Agreement expires on December 31, 2026. The Siegfried Agreement provides the Company and Siegfried with certain early terminaton rights.</w:t>
      </w:r>
    </w:p>
    <w:p>
      <w:pPr>
        <w:spacing w:after="0" w:line="110"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color w:val="auto"/>
        </w:rPr>
        <w:t>The Company regularly reviews its estmate of the excess frm purchase commitment liability which relates to the amount of minimum purchase commitments under the Siegfried Agreement that exceed the current forecast, including review of assumptons of expected future demand and expiry of inventory. The excess frm purchase commitment liability was $3.6 million and $1.5 million as of December 31, 2024 and 2023, respectvely. During the years ended December 31, 2024 and 2023, the Company recorded $2.1 million and $1.5 million, respectvely, to costs of product and other revenue related to the change in the excess frm purchase commitment liability.</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Patheon Manufacturing</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March 2020, the Company entered into a Supply Agreement with Patheon Inc., or </w:t>
      </w:r>
      <w:r>
        <w:rPr>
          <w:rFonts w:ascii="Calibri" w:cs="Calibri" w:eastAsia="Calibri" w:hAnsi="Calibri"/>
          <w:sz w:val="18"/>
          <w:szCs w:val="18"/>
          <w:u w:val="single" w:color="auto"/>
          <w:color w:val="auto"/>
        </w:rPr>
        <w:t>Patheon</w:t>
      </w:r>
      <w:r>
        <w:rPr>
          <w:rFonts w:ascii="Calibri" w:cs="Calibri" w:eastAsia="Calibri" w:hAnsi="Calibri"/>
          <w:sz w:val="18"/>
          <w:szCs w:val="18"/>
          <w:color w:val="auto"/>
        </w:rPr>
        <w:t xml:space="preserve">, or the </w:t>
      </w:r>
      <w:r>
        <w:rPr>
          <w:rFonts w:ascii="Calibri" w:cs="Calibri" w:eastAsia="Calibri" w:hAnsi="Calibri"/>
          <w:sz w:val="18"/>
          <w:szCs w:val="18"/>
          <w:u w:val="single" w:color="auto"/>
          <w:color w:val="auto"/>
        </w:rPr>
        <w:t>Patheon Agreement</w:t>
      </w:r>
      <w:r>
        <w:rPr>
          <w:rFonts w:ascii="Calibri" w:cs="Calibri" w:eastAsia="Calibri" w:hAnsi="Calibri"/>
          <w:sz w:val="18"/>
          <w:szCs w:val="18"/>
          <w:color w:val="auto"/>
        </w:rPr>
        <w:t>, under which Patheon will manufacture Vafseo drug product for commercial use under a volume-based pricing structure through June 30, 2025, renewing annually unless either party gives the other party eighteen months' prior writen notce. Under the Patheon Agreement, the Company agreed to purchase from Patheon a certain percentage of the estmated global demand for Vafseo drug product based on certain quarterly and annual forecasts provided by the Company. As of December 31, 2024, the Company has commited to purchase $1.1 million of Vafseo drug product from Patheon through the end of 2026, however, as estmated global demand fuctuates, the Company may have additonal future obligatons under the Patheon Agreement.</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WuXi STA Manufacturing</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April 2020, the Company entered into a Supply Agreement with STA Pharmaceutcal Hong Kong Limited, a subsidiary of WuXi AppTec, or </w:t>
      </w:r>
      <w:r>
        <w:rPr>
          <w:rFonts w:ascii="Calibri" w:cs="Calibri" w:eastAsia="Calibri" w:hAnsi="Calibri"/>
          <w:sz w:val="18"/>
          <w:szCs w:val="18"/>
          <w:u w:val="single" w:color="auto"/>
          <w:color w:val="auto"/>
        </w:rPr>
        <w:t>WuXi STA</w:t>
      </w:r>
      <w:r>
        <w:rPr>
          <w:rFonts w:ascii="Calibri" w:cs="Calibri" w:eastAsia="Calibri" w:hAnsi="Calibri"/>
          <w:sz w:val="18"/>
          <w:szCs w:val="18"/>
          <w:color w:val="auto"/>
        </w:rPr>
        <w:t xml:space="preserve">, or, as amended, the </w:t>
      </w:r>
      <w:r>
        <w:rPr>
          <w:rFonts w:ascii="Calibri" w:cs="Calibri" w:eastAsia="Calibri" w:hAnsi="Calibri"/>
          <w:sz w:val="18"/>
          <w:szCs w:val="18"/>
          <w:u w:val="single" w:color="auto"/>
          <w:color w:val="auto"/>
        </w:rPr>
        <w:t>WuXi STA DS Agreement</w:t>
      </w:r>
      <w:r>
        <w:rPr>
          <w:rFonts w:ascii="Calibri" w:cs="Calibri" w:eastAsia="Calibri" w:hAnsi="Calibri"/>
          <w:sz w:val="18"/>
          <w:szCs w:val="18"/>
          <w:color w:val="auto"/>
        </w:rPr>
        <w:t>. Under the WuXi STA DS Agreement, WuXi STA will manufacture Vafseo drug substance for commercial use under a volume-based pricing structure through April 2, 2029. Pursuant to the WuXi STA DS Agreement, the Company has agreed to purchase a certain percentage of the global demand for Vafseo drug substance from WuXi STA. As of December 31, 2024, the Company has commited to purchase $4.6 million of Vafseo drug substance from WuXi STA through the frst half of 2025, however, as estmated global demand fuctuates, the Company may have additonal future obligatons under the WuXi STA DS Agreement.</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February 10, 2021, the Company entered into a Supply Agreement with WuXi STA, which was amended on October 15, 2024, or the </w:t>
      </w:r>
      <w:r>
        <w:rPr>
          <w:rFonts w:ascii="Calibri" w:cs="Calibri" w:eastAsia="Calibri" w:hAnsi="Calibri"/>
          <w:sz w:val="18"/>
          <w:szCs w:val="18"/>
          <w:u w:val="single" w:color="auto"/>
          <w:color w:val="auto"/>
        </w:rPr>
        <w:t>WuXi STA DP</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auto"/>
        </w:rPr>
        <w:t>Agreement</w:t>
      </w:r>
      <w:r>
        <w:rPr>
          <w:rFonts w:ascii="Calibri" w:cs="Calibri" w:eastAsia="Calibri" w:hAnsi="Calibri"/>
          <w:sz w:val="18"/>
          <w:szCs w:val="18"/>
          <w:color w:val="auto"/>
        </w:rPr>
        <w:t>, under which WuXi STA will manufacture and supply Vafseo drug product for commercial purposes under a volume-based pricing structure through January 1, 2032. The Vafseo drug product price is reviewed annually by the Company and WuXi STA. The Company also reimburses WuXi STA for certain reasonable expenses.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1" w:name="page152"/>
    <w:bookmarkEnd w:id="15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Pursuant to the WuXi STA DP Agreement, the Company has agreed to purchase a certain percentage of global demand for Vafseo drug product from WuXi STA. The WuXi STA DP Agreement may be renewed or extended by mutual agreement of the Company and WuXi STA with at least eighteen months’ prior writen notce. The WuXi STA DP Agreement allows the Company to terminate the relatonship on 180 calendar days’ prior writen notce to WuXi STA for any reason. In additon, each party has the ability to terminate the WuXi STA DP Agreement upon the occurrence of certain conditons. As of December 31, 2024, the Company has commited to purchase $0.9 million of Vafseo drug product from WuXi STA through the frst half of 2025, however, as estmated global demand fuctuates, the Company may have additonal future obligatons under the WuXi STA DP Agreement.</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Esteve - Assigned Supply Agreement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April 9, 2019, the Company and Esteve Química, S.A., or Esteve, entered into a Supply Agreement, or the </w:t>
      </w:r>
      <w:r>
        <w:rPr>
          <w:rFonts w:ascii="Calibri" w:cs="Calibri" w:eastAsia="Calibri" w:hAnsi="Calibri"/>
          <w:sz w:val="18"/>
          <w:szCs w:val="18"/>
          <w:u w:val="single" w:color="auto"/>
          <w:color w:val="auto"/>
        </w:rPr>
        <w:t>Esteve Agreement</w:t>
      </w:r>
      <w:r>
        <w:rPr>
          <w:rFonts w:ascii="Calibri" w:cs="Calibri" w:eastAsia="Calibri" w:hAnsi="Calibri"/>
          <w:sz w:val="18"/>
          <w:szCs w:val="18"/>
          <w:color w:val="auto"/>
        </w:rPr>
        <w:t>, which included the terms and conditons under which Esteve would manufacture Vafseo drug substance for commercial use under a volume-based pricing structure. On December 16, 2022, the Company, MTPC, and Esteve executed the Esteve Assignment Agreement, pursuant to which the Esteve Agreement was assigned to MTPC. The Esteve Assignment Agreement transferred the rights and obligatons of the Esteve Agreement to MTPC, specifcally including the obligatons under certain purchase orders issued by the Company and accepted by Esteve.</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Although the Esteve Agreement was assigned to MTPC in December 2022, the Company and Esteve have agreed to negotate the terms of a new commercial supply relatonship. As of December 31, 2024, the Company has commited to purchase $7.6 million of Vafseo drug substance from Esteve through the end of 2025.</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BioVectra - Former Manufacturing and Unconditonal Purchase Commitments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Under the Manufacture and Supply Agreement with BioVectra and the Amended and Restated Product Manufacture and Supply and Facility Constructon Agreement with BioVectra, the Company agreed to purchase minimum quanttes of Auryxia drug substance annually at predetermined prices as well as reimburse BioVectra for certain costs in connecton with constructon of a new facility for the manufacture and supply of Auryxia drug substance.</w:t>
      </w:r>
    </w:p>
    <w:p>
      <w:pPr>
        <w:spacing w:after="0" w:line="111"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 xml:space="preserve">On December 22, 2022, the Company and BioVectra entered into a terminaton agreement, under which the partes agreed, among other things, to terminate, efectve immediately, any and all existng agreements entered into between the partes in connecton with the manufacture and supply, by BioVectra to the Company, of Auryxia drug substance. In the terminaton agreement, the Company and BioVectra released one another from all existng and future claims and liabilites and the return of certain materials and documents. In additon, the Company agreed to pay BioVectra a total of $32.5 million consistng of (i) an upfront payment of $17.5 million and (ii) six quarterly payments of $2.5 million commencing in April 2024, totaling $15.0 million. The upfront payment of $17.5 million was made during the quarter ended December 31, 2022 and was recorded in cost of product and other revenue. In accordance with ASC 420, </w:t>
      </w:r>
      <w:r>
        <w:rPr>
          <w:rFonts w:ascii="Calibri" w:cs="Calibri" w:eastAsia="Calibri" w:hAnsi="Calibri"/>
          <w:sz w:val="17"/>
          <w:szCs w:val="17"/>
          <w:i w:val="1"/>
          <w:iCs w:val="1"/>
          <w:color w:val="auto"/>
        </w:rPr>
        <w:t>Exit or Disposal Cost Obligatons</w:t>
      </w:r>
      <w:r>
        <w:rPr>
          <w:rFonts w:ascii="Calibri" w:cs="Calibri" w:eastAsia="Calibri" w:hAnsi="Calibri"/>
          <w:sz w:val="17"/>
          <w:szCs w:val="17"/>
          <w:color w:val="auto"/>
        </w:rPr>
        <w:t>, the Company recognized a liability and corresponding expense for the remaining terminaton fees based on estmated fair value as of December 22, 2022. The Company imputed interest on the liability for the remaining terminaton fees at a rate of 17.0% per annum, which was determined based on certain factors, including the Company's credit ratng, comparable securites yield and expected repayment period of the remaining terminaton fees. The Company recorded an inital discount on the remaining terminaton fees in the consolidated balance sheet on the date of the terminaton. This resulted in the recording of a liability and corresponding charge to cost of goods sold of $11.2 million during the quarter ended December 31, 2022. The discount on the liability balance is being amortzed to interest expense using the efectve interest rate method over the term of the liability. The amortzaton of the discount was $1.6 million and $1.9 million for the years ended December 31, 2024 and 2023, respectvely.</w:t>
      </w:r>
    </w:p>
    <w:p>
      <w:pPr>
        <w:spacing w:after="0" w:line="10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License Agreements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Panion License Agreement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April 17, 2019, the Company and Panion &amp; BF Biotech, Inc., or </w:t>
      </w:r>
      <w:r>
        <w:rPr>
          <w:rFonts w:ascii="Calibri" w:cs="Calibri" w:eastAsia="Calibri" w:hAnsi="Calibri"/>
          <w:sz w:val="18"/>
          <w:szCs w:val="18"/>
          <w:u w:val="single" w:color="auto"/>
          <w:color w:val="auto"/>
        </w:rPr>
        <w:t>Panion</w:t>
      </w:r>
      <w:r>
        <w:rPr>
          <w:rFonts w:ascii="Calibri" w:cs="Calibri" w:eastAsia="Calibri" w:hAnsi="Calibri"/>
          <w:sz w:val="18"/>
          <w:szCs w:val="18"/>
          <w:color w:val="auto"/>
        </w:rPr>
        <w:t xml:space="preserve">, entered into a second amended and restated license agreement, or </w:t>
      </w:r>
      <w:r>
        <w:rPr>
          <w:rFonts w:ascii="Calibri" w:cs="Calibri" w:eastAsia="Calibri" w:hAnsi="Calibri"/>
          <w:sz w:val="18"/>
          <w:szCs w:val="18"/>
          <w:u w:val="single" w:color="auto"/>
          <w:color w:val="auto"/>
        </w:rPr>
        <w:t>Panion</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auto"/>
        </w:rPr>
        <w:t>Amended License Agreement</w:t>
      </w:r>
      <w:r>
        <w:rPr>
          <w:rFonts w:ascii="Calibri" w:cs="Calibri" w:eastAsia="Calibri" w:hAnsi="Calibri"/>
          <w:sz w:val="18"/>
          <w:szCs w:val="18"/>
          <w:color w:val="auto"/>
        </w:rPr>
        <w:t xml:space="preserve">, which amended and restated in full the license agreement between the Company and Panion. The Panion Amended License Agreement provides the Company with an exclusive license under Panion-owned know-how and patents covering the rights to sublicense, develop, make, use, sell, ofer for sale, import and export ferric citrate worldwide, excluding certain Asian-Pacifc countries, or the </w:t>
      </w:r>
      <w:r>
        <w:rPr>
          <w:rFonts w:ascii="Calibri" w:cs="Calibri" w:eastAsia="Calibri" w:hAnsi="Calibri"/>
          <w:sz w:val="18"/>
          <w:szCs w:val="18"/>
          <w:u w:val="single" w:color="auto"/>
          <w:color w:val="auto"/>
        </w:rPr>
        <w:t>Licensor Territory</w:t>
      </w:r>
      <w:r>
        <w:rPr>
          <w:rFonts w:ascii="Calibri" w:cs="Calibri" w:eastAsia="Calibri" w:hAnsi="Calibri"/>
          <w:sz w:val="18"/>
          <w:szCs w:val="18"/>
          <w:color w:val="auto"/>
        </w:rPr>
        <w:t>. The Panion Amended License Agreement also provides Panion with an exclusive license under Company-owned patents covering the rights to sublicense (with the Company’s writen consent), develop, make, use, sell, ofer for sale, import and export ferric citrate in certain countries in the Licensor Territory. Under the Panion Amended License Agreement, Panion is eligible to receive from the Company or any sublicensee royalty payments based on a mid-single digit percentage of sales of ferric citrate in the Company’s licensed territories. The Company is eligible to receive from Panion or any sublicensee royalty payments based on a mid-single digit percentage of net sales of ferric citrate in Panion’s licensed territories.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2" w:name="page153"/>
    <w:bookmarkEnd w:id="15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Panion Amended License Agreement terminates upon the expiraton of each of the Company’s and Panion’s obligatons to pay royaltes thereunder. In additon, the Company may terminate the Panion Amended License Agreement (i) in its entrety or (ii) with respect to one or more countries in the Company’s licensed territory, in either case upon ninety days’ notce. The Company and Panion also each have the right to terminate the Panion Amended License Agreement upon the occurrence of a material breach of the Panion Amended License Agreement by the other party, subject to certain cure provisions, or certain insolvency events. The Panion Amended License Agreement also provides that, on a country-by-country basis, untl the second anniversary of the expiraton of the obligaton of the Company or Panion, as applicable, to pay royaltes in a country in which such party has ferric citrate for sale on the date of such expiraton, neither the other party nor its afliates will, directly or indirectly, sell, distribute or otherwise commercialize or supply or cause to supply ferric citrate to a third party for sale or distributon in such country.</w:t>
      </w:r>
    </w:p>
    <w:p>
      <w:pPr>
        <w:spacing w:after="0" w:line="115"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Panion Amended License Agreement includes customary terms relatng to, among others, indemnifcaton, confdentality, remedies, and representatons and warrantes. In additon, the Panion Amended License Agreement provides that each of the Company and Panion has the right, but not the obligaton, to conduct litgaton against any infringer of certain patent rights under the Panion Amended License Agreement in certain territories.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years ended December 31, 2024 and 2023, the Company incurred approximately $9.1 million and $10.0 million, respectvely, in royalty payments due to Panion relatng to the Company’s sales of Auryxia in the U.S. and JT and Torii’s net sales of Riona in Japan.</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Cyclerion Agreement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June 2021, the Company entered into a license agreement, or </w:t>
      </w:r>
      <w:r>
        <w:rPr>
          <w:rFonts w:ascii="Calibri" w:cs="Calibri" w:eastAsia="Calibri" w:hAnsi="Calibri"/>
          <w:sz w:val="18"/>
          <w:szCs w:val="18"/>
          <w:u w:val="single" w:color="auto"/>
          <w:color w:val="auto"/>
        </w:rPr>
        <w:t>Cyclerion Agreement</w:t>
      </w:r>
      <w:r>
        <w:rPr>
          <w:rFonts w:ascii="Calibri" w:cs="Calibri" w:eastAsia="Calibri" w:hAnsi="Calibri"/>
          <w:sz w:val="18"/>
          <w:szCs w:val="18"/>
          <w:color w:val="auto"/>
        </w:rPr>
        <w:t xml:space="preserve">, with Cyclerion Therapeutcs Inc., or </w:t>
      </w:r>
      <w:r>
        <w:rPr>
          <w:rFonts w:ascii="Calibri" w:cs="Calibri" w:eastAsia="Calibri" w:hAnsi="Calibri"/>
          <w:sz w:val="18"/>
          <w:szCs w:val="18"/>
          <w:u w:val="single" w:color="auto"/>
          <w:color w:val="auto"/>
        </w:rPr>
        <w:t>Cyclerion</w:t>
      </w:r>
      <w:r>
        <w:rPr>
          <w:rFonts w:ascii="Calibri" w:cs="Calibri" w:eastAsia="Calibri" w:hAnsi="Calibri"/>
          <w:sz w:val="18"/>
          <w:szCs w:val="18"/>
          <w:color w:val="auto"/>
        </w:rPr>
        <w:t>, under which the Company obtained an exclusive global license under certain intellectual property rights to research, develop and commercialize praliciguat, an investgatonal oral soluble guanylate cyclase stmulator.</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Under the terms of the Cyclerion Agreement, the Company made an upfront payment of $3.0 million to Cyclerion, which was paid during the second quarter of 2021. Substantally all of the fair value of the assets acquired in conjuncton with the Cyclerion Agreement was concentrated in the acquired license. As a result, the Company accounted for this transacton as an asset acquisiton under ASU No. 2017-01, </w:t>
      </w:r>
      <w:r>
        <w:rPr>
          <w:rFonts w:ascii="Calibri" w:cs="Calibri" w:eastAsia="Calibri" w:hAnsi="Calibri"/>
          <w:sz w:val="18"/>
          <w:szCs w:val="18"/>
          <w:i w:val="1"/>
          <w:iCs w:val="1"/>
          <w:color w:val="auto"/>
        </w:rPr>
        <w:t>Business Combinatons (Topic 805): Clarifying the</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Defniton of a Business</w:t>
      </w:r>
      <w:r>
        <w:rPr>
          <w:rFonts w:ascii="Calibri" w:cs="Calibri" w:eastAsia="Calibri" w:hAnsi="Calibri"/>
          <w:sz w:val="18"/>
          <w:szCs w:val="18"/>
          <w:color w:val="auto"/>
        </w:rPr>
        <w:t>. The $3.0 million upfront payment was charged to research and development expense at acquisiton in June of 2021, as it relates to a</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development stage compound with no alternatve future use.</w:t>
      </w:r>
    </w:p>
    <w:p>
      <w:pPr>
        <w:spacing w:after="0" w:line="112"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 xml:space="preserve">In December 2024, the Company and Cyclerion entered into Amendment #1 to the License Agreement, or the </w:t>
      </w:r>
      <w:r>
        <w:rPr>
          <w:rFonts w:ascii="Calibri" w:cs="Calibri" w:eastAsia="Calibri" w:hAnsi="Calibri"/>
          <w:sz w:val="17"/>
          <w:szCs w:val="17"/>
          <w:u w:val="single" w:color="auto"/>
          <w:color w:val="auto"/>
        </w:rPr>
        <w:t>Cyclerion Amendment</w:t>
      </w:r>
      <w:r>
        <w:rPr>
          <w:rFonts w:ascii="Calibri" w:cs="Calibri" w:eastAsia="Calibri" w:hAnsi="Calibri"/>
          <w:sz w:val="17"/>
          <w:szCs w:val="17"/>
          <w:color w:val="auto"/>
        </w:rPr>
        <w:t>, pursuant to which the Company agreed to pay Cyclerion (i) $1.25 million, which was paid in December 2024, and (ii) $0.5 million on or before September 30, 2025. In additon, the partes agreed to the reducton of certain development milestones and the increase of certain royalty rates on net sales and sublicense income. During the year ended December 31, 2024, the Company recorded the $1.25 million payment and $0.5 million future payment to research and development expense in accordance with ASC 730, Research and Development, as praliciguat remains a development stage compound with no alternatve future use. Furthermore, the only contngency as it relates to the $0.5 million payment due on or before September 30, 2025 is the passage of tme.</w:t>
      </w:r>
    </w:p>
    <w:p>
      <w:pPr>
        <w:spacing w:after="0" w:line="10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Under the Cyclerion Agreement, as amended, Cyclerion is eligible to receive up to an aggregate of $198.5 million from the Company in specifed development and regulatory milestone payments on a product-by-product basis. Cyclerion will also be eligible to receive specifed commercial milestones as well as tered royaltes ranging from a mid-single-digit percentage to twenty percent of net sales, on a product-by-product basis, and subject to reducton upon expiraton of patent rights or the launch of a generic product in the territory.</w:t>
      </w:r>
    </w:p>
    <w:p>
      <w:pPr>
        <w:spacing w:after="0" w:line="111"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Unless earlier terminated, the Cyclerion Agreement will expire on a product-by-product and country-by-country basis upon the expiraton of the last royalty term, which ends upon the longest of (i) the expiraton of the patents licensed under the Cyclerion Agreement, (ii) the expiraton of regulatory exclusivity for such product and (iii) ten years from frst commercial sale of such product. The Company may terminate the Cyclerion Agreement in its entrety or only with respect to a partcular licensed compound or product upon 180 days' prior writen notce to Cyclerion. The partes also have customary terminaton rights, subject to a cure period, in the event of the other party’s material breach of the Cyclerion Agreement or in the event of certain additonal circumstances.</w:t>
      </w:r>
    </w:p>
    <w:p>
      <w:pPr>
        <w:spacing w:after="0" w:line="9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Other Third Party Contracts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contracts with various organizatons to conduct R&amp;D actvites with remaining contract costs to the Company of approximately $48.0 million at December 31, 2024. The scope of the services under these R&amp;D contracts can be modifed and the contracts cancelled by the Company upon writen notce. In some instances, the contracts may be cancelled by the third party upon writen notce.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3" w:name="page154"/>
    <w:bookmarkEnd w:id="15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Litgaton and Related Maters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is involved from tme to tme in various legal proceedings arising in the normal course of business. The Company provides disclosure when a loss in excess of any reserve is reasonably possible, and if estmable, the Company discloses the potental loss or range of possible loss. Signifcant judgment is required to assess the likelihood of various potental outcomes and the quantfcaton of loss in those scenarios. Changes in the Company’s estmates could have a material impact and are recorded as litgaton progresses and new informaton comes to light. Although the outcomes of potental legal proceedings are inherently difcult to predict, the Company does not expect the resoluton of current legal proceedings to have a material adverse efect on its fnancial positon, results of operatons or cash fows of the Company.</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Guarantees and Indemnifcatons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permited under Delaware law, the Company may indemnify its ofcers, directors and employees for certain events or occurrences that happen by reason of their relatonship with, or positon held at, the Company. The Company may also be subject to indemnifcaton obligatons by law with respect to the actons of its employees under certain circumstances and in certain jurisdictons. The Company maintains director and ofcer liability insurance coverage that is intended to cover a porton of amounts that may be due with respect to indemnifcaton afer a deductble is met. Further, the Company is a party to a variety of agreements in the ordinary course of business under which it may be obligated to indemnify third partes with respect to certain maters. For the years ended December 31, 2024 and 2023, the Company did not experience any losses related to these indemnifcaton obligatons, and no claims were outstanding as of December 31, 2024. The Company does not have any claims related to these indemnifcaton obligatons and consequently concluded that the fair value of these obligatons is negligible and no related accruals were recorded.</w:t>
      </w:r>
    </w:p>
    <w:p>
      <w:pPr>
        <w:spacing w:after="0" w:line="11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11. PRODUCT REVENUE AND RESERVES FOR VARIABLE CONSIDERATION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Untl the Vafseo U.S. launch in January 2025, the Company’s only source of product revenue has been from the U.S. sales of Auryxia. Total net product revenue was $152.2 million and $170.3 million for the years ended December 31, 2024 and 2023, respectvely. Product revenue allowance and reserve categories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Calibri" w:cs="Calibri" w:eastAsia="Calibri" w:hAnsi="Calibri"/>
                <w:sz w:val="16"/>
                <w:szCs w:val="16"/>
                <w:b w:val="1"/>
                <w:bCs w:val="1"/>
                <w:color w:val="auto"/>
              </w:rPr>
              <w:t>Chargebacks</w:t>
            </w: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Calibri" w:cs="Calibri" w:eastAsia="Calibri" w:hAnsi="Calibri"/>
                <w:sz w:val="16"/>
                <w:szCs w:val="16"/>
                <w:b w:val="1"/>
                <w:bCs w:val="1"/>
                <w:color w:val="auto"/>
              </w:rPr>
              <w:t>Rebates, Fees</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20"/>
              <w:spacing w:after="0" w:line="162" w:lineRule="exact"/>
              <w:rPr>
                <w:sz w:val="20"/>
                <w:szCs w:val="20"/>
                <w:color w:val="auto"/>
              </w:rPr>
            </w:pPr>
            <w:r>
              <w:rPr>
                <w:rFonts w:ascii="Calibri" w:cs="Calibri" w:eastAsia="Calibri" w:hAnsi="Calibri"/>
                <w:sz w:val="16"/>
                <w:szCs w:val="16"/>
                <w:b w:val="1"/>
                <w:bCs w:val="1"/>
                <w:color w:val="auto"/>
              </w:rPr>
              <w:t>and</w:t>
            </w:r>
          </w:p>
        </w:tc>
        <w:tc>
          <w:tcPr>
            <w:tcW w:w="160" w:type="dxa"/>
            <w:vAlign w:val="bottom"/>
          </w:tcPr>
          <w:p>
            <w:pPr>
              <w:spacing w:after="0"/>
              <w:rPr>
                <w:sz w:val="14"/>
                <w:szCs w:val="14"/>
                <w:color w:val="auto"/>
              </w:rPr>
            </w:pPr>
          </w:p>
        </w:tc>
        <w:tc>
          <w:tcPr>
            <w:tcW w:w="1360" w:type="dxa"/>
            <w:vAlign w:val="bottom"/>
            <w:gridSpan w:val="2"/>
          </w:tcPr>
          <w:p>
            <w:pPr>
              <w:jc w:val="center"/>
              <w:ind w:right="260"/>
              <w:spacing w:after="0" w:line="162" w:lineRule="exact"/>
              <w:rPr>
                <w:sz w:val="20"/>
                <w:szCs w:val="20"/>
                <w:color w:val="auto"/>
              </w:rPr>
            </w:pPr>
            <w:r>
              <w:rPr>
                <w:rFonts w:ascii="Calibri" w:cs="Calibri" w:eastAsia="Calibri" w:hAnsi="Calibri"/>
                <w:sz w:val="16"/>
                <w:szCs w:val="16"/>
                <w:b w:val="1"/>
                <w:bCs w:val="1"/>
                <w:color w:val="auto"/>
              </w:rPr>
              <w:t>and other</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240" w:type="dxa"/>
            <w:vAlign w:val="bottom"/>
            <w:gridSpan w:val="2"/>
          </w:tcPr>
          <w:p>
            <w:pPr>
              <w:ind w:left="20"/>
              <w:spacing w:after="0" w:line="193" w:lineRule="exact"/>
              <w:rPr>
                <w:sz w:val="20"/>
                <w:szCs w:val="20"/>
                <w:color w:val="auto"/>
              </w:rPr>
            </w:pPr>
            <w:r>
              <w:rPr>
                <w:rFonts w:ascii="Calibri" w:cs="Calibri" w:eastAsia="Calibri" w:hAnsi="Calibri"/>
                <w:sz w:val="16"/>
                <w:szCs w:val="16"/>
                <w:i w:val="1"/>
                <w:iCs w:val="1"/>
                <w:color w:val="auto"/>
              </w:rPr>
              <w:t>(in thousands)</w:t>
            </w:r>
          </w:p>
        </w:tc>
        <w:tc>
          <w:tcPr>
            <w:tcW w:w="200" w:type="dxa"/>
            <w:vAlign w:val="bottom"/>
          </w:tcPr>
          <w:p>
            <w:pPr>
              <w:spacing w:after="0"/>
              <w:rPr>
                <w:sz w:val="16"/>
                <w:szCs w:val="16"/>
                <w:color w:val="auto"/>
              </w:rPr>
            </w:pPr>
          </w:p>
        </w:tc>
        <w:tc>
          <w:tcPr>
            <w:tcW w:w="1340" w:type="dxa"/>
            <w:vAlign w:val="bottom"/>
            <w:gridSpan w:val="2"/>
          </w:tcPr>
          <w:p>
            <w:pPr>
              <w:jc w:val="center"/>
              <w:ind w:right="320"/>
              <w:spacing w:after="0" w:line="193" w:lineRule="exact"/>
              <w:rPr>
                <w:sz w:val="20"/>
                <w:szCs w:val="20"/>
                <w:color w:val="auto"/>
              </w:rPr>
            </w:pPr>
            <w:r>
              <w:rPr>
                <w:rFonts w:ascii="Calibri" w:cs="Calibri" w:eastAsia="Calibri" w:hAnsi="Calibri"/>
                <w:sz w:val="16"/>
                <w:szCs w:val="16"/>
                <w:b w:val="1"/>
                <w:bCs w:val="1"/>
                <w:color w:val="auto"/>
              </w:rPr>
              <w:t>Discounts</w:t>
            </w:r>
          </w:p>
        </w:tc>
        <w:tc>
          <w:tcPr>
            <w:tcW w:w="160" w:type="dxa"/>
            <w:vAlign w:val="bottom"/>
          </w:tcPr>
          <w:p>
            <w:pPr>
              <w:spacing w:after="0"/>
              <w:rPr>
                <w:sz w:val="16"/>
                <w:szCs w:val="16"/>
                <w:color w:val="auto"/>
              </w:rPr>
            </w:pPr>
          </w:p>
        </w:tc>
        <w:tc>
          <w:tcPr>
            <w:tcW w:w="1360" w:type="dxa"/>
            <w:vAlign w:val="bottom"/>
            <w:gridSpan w:val="2"/>
          </w:tcPr>
          <w:p>
            <w:pPr>
              <w:jc w:val="center"/>
              <w:ind w:right="280"/>
              <w:spacing w:after="0" w:line="193" w:lineRule="exact"/>
              <w:rPr>
                <w:sz w:val="20"/>
                <w:szCs w:val="20"/>
                <w:color w:val="auto"/>
              </w:rPr>
            </w:pPr>
            <w:r>
              <w:rPr>
                <w:rFonts w:ascii="Calibri" w:cs="Calibri" w:eastAsia="Calibri" w:hAnsi="Calibri"/>
                <w:sz w:val="16"/>
                <w:szCs w:val="16"/>
                <w:b w:val="1"/>
                <w:bCs w:val="1"/>
                <w:color w:val="auto"/>
              </w:rPr>
              <w:t>Deductons</w:t>
            </w:r>
          </w:p>
        </w:tc>
        <w:tc>
          <w:tcPr>
            <w:tcW w:w="280" w:type="dxa"/>
            <w:vAlign w:val="bottom"/>
          </w:tcPr>
          <w:p>
            <w:pPr>
              <w:spacing w:after="0"/>
              <w:rPr>
                <w:sz w:val="16"/>
                <w:szCs w:val="16"/>
                <w:color w:val="auto"/>
              </w:rPr>
            </w:pPr>
          </w:p>
        </w:tc>
        <w:tc>
          <w:tcPr>
            <w:tcW w:w="1240" w:type="dxa"/>
            <w:vAlign w:val="bottom"/>
            <w:gridSpan w:val="2"/>
          </w:tcPr>
          <w:p>
            <w:pPr>
              <w:ind w:left="160"/>
              <w:spacing w:after="0" w:line="193" w:lineRule="exact"/>
              <w:rPr>
                <w:sz w:val="20"/>
                <w:szCs w:val="20"/>
                <w:color w:val="auto"/>
              </w:rPr>
            </w:pPr>
            <w:r>
              <w:rPr>
                <w:rFonts w:ascii="Calibri" w:cs="Calibri" w:eastAsia="Calibri" w:hAnsi="Calibri"/>
                <w:sz w:val="16"/>
                <w:szCs w:val="16"/>
                <w:b w:val="1"/>
                <w:bCs w:val="1"/>
                <w:color w:val="auto"/>
              </w:rPr>
              <w:t>Returns</w:t>
            </w:r>
          </w:p>
        </w:tc>
        <w:tc>
          <w:tcPr>
            <w:tcW w:w="320" w:type="dxa"/>
            <w:vAlign w:val="bottom"/>
          </w:tcPr>
          <w:p>
            <w:pPr>
              <w:spacing w:after="0"/>
              <w:rPr>
                <w:sz w:val="16"/>
                <w:szCs w:val="16"/>
                <w:color w:val="auto"/>
              </w:rPr>
            </w:pPr>
          </w:p>
        </w:tc>
        <w:tc>
          <w:tcPr>
            <w:tcW w:w="1100" w:type="dxa"/>
            <w:vAlign w:val="bottom"/>
          </w:tcPr>
          <w:p>
            <w:pPr>
              <w:jc w:val="right"/>
              <w:ind w:right="459"/>
              <w:spacing w:after="0" w:line="193" w:lineRule="exact"/>
              <w:rPr>
                <w:sz w:val="20"/>
                <w:szCs w:val="20"/>
                <w:color w:val="auto"/>
              </w:rPr>
            </w:pPr>
            <w:r>
              <w:rPr>
                <w:rFonts w:ascii="Calibri" w:cs="Calibri" w:eastAsia="Calibri" w:hAnsi="Calibri"/>
                <w:sz w:val="16"/>
                <w:szCs w:val="16"/>
                <w:b w:val="1"/>
                <w:bCs w:val="1"/>
                <w:color w:val="auto"/>
              </w:rPr>
              <w:t>Total</w:t>
            </w:r>
          </w:p>
        </w:tc>
        <w:tc>
          <w:tcPr>
            <w:tcW w:w="0" w:type="dxa"/>
            <w:vAlign w:val="bottom"/>
          </w:tcPr>
          <w:p>
            <w:pPr>
              <w:spacing w:after="0"/>
              <w:rPr>
                <w:sz w:val="1"/>
                <w:szCs w:val="1"/>
                <w:color w:val="auto"/>
              </w:rPr>
            </w:pPr>
          </w:p>
        </w:tc>
      </w:tr>
      <w:tr>
        <w:trPr>
          <w:trHeight w:val="28"/>
        </w:trPr>
        <w:tc>
          <w:tcPr>
            <w:tcW w:w="51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40" w:type="dxa"/>
            <w:vAlign w:val="bottom"/>
            <w:tcBorders>
              <w:bottom w:val="single" w:sz="8" w:color="DBDBDB"/>
            </w:tcBorders>
            <w:shd w:val="clear" w:color="auto" w:fill="DBDBDB"/>
          </w:tcPr>
          <w:p>
            <w:pPr>
              <w:ind w:left="20"/>
              <w:spacing w:after="0" w:line="187" w:lineRule="exact"/>
              <w:rPr>
                <w:sz w:val="20"/>
                <w:szCs w:val="20"/>
                <w:color w:val="auto"/>
              </w:rPr>
            </w:pPr>
            <w:r>
              <w:rPr>
                <w:rFonts w:ascii="Calibri" w:cs="Calibri" w:eastAsia="Calibri" w:hAnsi="Calibri"/>
                <w:sz w:val="16"/>
                <w:szCs w:val="16"/>
                <w:color w:val="auto"/>
              </w:rPr>
              <w:t>Balance at December 31, 2022</w:t>
            </w:r>
          </w:p>
        </w:tc>
        <w:tc>
          <w:tcPr>
            <w:tcW w:w="10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DBDBDB"/>
            </w:tcBorders>
            <w:shd w:val="clear" w:color="auto" w:fill="DBDBDB"/>
          </w:tcPr>
          <w:p>
            <w:pPr>
              <w:jc w:val="right"/>
              <w:ind w:right="19"/>
              <w:spacing w:after="0" w:line="187" w:lineRule="exact"/>
              <w:rPr>
                <w:sz w:val="20"/>
                <w:szCs w:val="20"/>
                <w:color w:val="auto"/>
              </w:rPr>
            </w:pPr>
            <w:r>
              <w:rPr>
                <w:rFonts w:ascii="Calibri" w:cs="Calibri" w:eastAsia="Calibri" w:hAnsi="Calibri"/>
                <w:sz w:val="16"/>
                <w:szCs w:val="16"/>
                <w:color w:val="auto"/>
                <w:w w:val="97"/>
              </w:rPr>
              <w:t>$</w:t>
            </w:r>
          </w:p>
        </w:tc>
        <w:tc>
          <w:tcPr>
            <w:tcW w:w="122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1,259</w:t>
            </w:r>
          </w:p>
        </w:tc>
        <w:tc>
          <w:tcPr>
            <w:tcW w:w="12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24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26,252</w:t>
            </w:r>
          </w:p>
        </w:tc>
        <w:tc>
          <w:tcPr>
            <w:tcW w:w="120" w:type="dxa"/>
            <w:vAlign w:val="bottom"/>
            <w:tcBorders>
              <w:bottom w:val="single" w:sz="8" w:color="DBDBDB"/>
            </w:tcBorders>
            <w:shd w:val="clear" w:color="auto" w:fill="DBDBDB"/>
          </w:tcPr>
          <w:p>
            <w:pPr>
              <w:spacing w:after="0"/>
              <w:rPr>
                <w:sz w:val="16"/>
                <w:szCs w:val="16"/>
                <w:color w:val="auto"/>
              </w:rPr>
            </w:pPr>
          </w:p>
        </w:tc>
        <w:tc>
          <w:tcPr>
            <w:tcW w:w="280" w:type="dxa"/>
            <w:vAlign w:val="bottom"/>
            <w:tcBorders>
              <w:bottom w:val="single" w:sz="8" w:color="DBDBDB"/>
            </w:tcBorders>
            <w:shd w:val="clear" w:color="auto" w:fill="DBDBDB"/>
          </w:tcPr>
          <w:p>
            <w:pPr>
              <w:jc w:val="right"/>
              <w:ind w:right="99"/>
              <w:spacing w:after="0" w:line="187" w:lineRule="exact"/>
              <w:rPr>
                <w:sz w:val="20"/>
                <w:szCs w:val="20"/>
                <w:color w:val="auto"/>
              </w:rPr>
            </w:pPr>
            <w:r>
              <w:rPr>
                <w:rFonts w:ascii="Calibri" w:cs="Calibri" w:eastAsia="Calibri" w:hAnsi="Calibri"/>
                <w:sz w:val="16"/>
                <w:szCs w:val="16"/>
                <w:color w:val="auto"/>
                <w:w w:val="97"/>
              </w:rPr>
              <w:t>$</w:t>
            </w:r>
          </w:p>
        </w:tc>
        <w:tc>
          <w:tcPr>
            <w:tcW w:w="114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10,923</w:t>
            </w:r>
          </w:p>
        </w:tc>
        <w:tc>
          <w:tcPr>
            <w:tcW w:w="100" w:type="dxa"/>
            <w:vAlign w:val="bottom"/>
            <w:tcBorders>
              <w:bottom w:val="single" w:sz="8" w:color="DBDBDB"/>
            </w:tcBorders>
            <w:shd w:val="clear" w:color="auto" w:fill="DBDBDB"/>
          </w:tcPr>
          <w:p>
            <w:pPr>
              <w:spacing w:after="0"/>
              <w:rPr>
                <w:sz w:val="16"/>
                <w:szCs w:val="16"/>
                <w:color w:val="auto"/>
              </w:rPr>
            </w:pPr>
          </w:p>
        </w:tc>
        <w:tc>
          <w:tcPr>
            <w:tcW w:w="320" w:type="dxa"/>
            <w:vAlign w:val="bottom"/>
            <w:tcBorders>
              <w:bottom w:val="single" w:sz="8" w:color="DBDBDB"/>
            </w:tcBorders>
            <w:shd w:val="clear" w:color="auto" w:fill="DBDBDB"/>
          </w:tcPr>
          <w:p>
            <w:pPr>
              <w:jc w:val="right"/>
              <w:ind w:right="139"/>
              <w:spacing w:after="0" w:line="187" w:lineRule="exact"/>
              <w:rPr>
                <w:sz w:val="20"/>
                <w:szCs w:val="20"/>
                <w:color w:val="auto"/>
              </w:rPr>
            </w:pPr>
            <w:r>
              <w:rPr>
                <w:rFonts w:ascii="Calibri" w:cs="Calibri" w:eastAsia="Calibri" w:hAnsi="Calibri"/>
                <w:sz w:val="16"/>
                <w:szCs w:val="16"/>
                <w:color w:val="auto"/>
                <w:w w:val="97"/>
              </w:rPr>
              <w:t>$</w:t>
            </w:r>
          </w:p>
        </w:tc>
        <w:tc>
          <w:tcPr>
            <w:tcW w:w="110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38,434</w:t>
            </w:r>
          </w:p>
        </w:tc>
        <w:tc>
          <w:tcPr>
            <w:tcW w:w="0" w:type="dxa"/>
            <w:vAlign w:val="bottom"/>
          </w:tcPr>
          <w:p>
            <w:pPr>
              <w:spacing w:after="0"/>
              <w:rPr>
                <w:sz w:val="1"/>
                <w:szCs w:val="1"/>
                <w:color w:val="auto"/>
              </w:rPr>
            </w:pPr>
          </w:p>
        </w:tc>
      </w:tr>
      <w:tr>
        <w:trPr>
          <w:trHeight w:val="193"/>
        </w:trPr>
        <w:tc>
          <w:tcPr>
            <w:tcW w:w="5240" w:type="dxa"/>
            <w:vAlign w:val="bottom"/>
            <w:gridSpan w:val="2"/>
          </w:tcPr>
          <w:p>
            <w:pPr>
              <w:ind w:left="220"/>
              <w:spacing w:after="0" w:line="193" w:lineRule="exact"/>
              <w:rPr>
                <w:sz w:val="20"/>
                <w:szCs w:val="20"/>
                <w:color w:val="auto"/>
              </w:rPr>
            </w:pPr>
            <w:r>
              <w:rPr>
                <w:rFonts w:ascii="Calibri" w:cs="Calibri" w:eastAsia="Calibri" w:hAnsi="Calibri"/>
                <w:sz w:val="16"/>
                <w:szCs w:val="16"/>
                <w:color w:val="auto"/>
              </w:rPr>
              <w:t>Current provisions related to sales in current year</w:t>
            </w:r>
          </w:p>
        </w:tc>
        <w:tc>
          <w:tcPr>
            <w:tcW w:w="200" w:type="dxa"/>
            <w:vAlign w:val="bottom"/>
          </w:tcPr>
          <w:p>
            <w:pPr>
              <w:spacing w:after="0"/>
              <w:rPr>
                <w:sz w:val="16"/>
                <w:szCs w:val="16"/>
                <w:color w:val="auto"/>
              </w:rPr>
            </w:pPr>
          </w:p>
        </w:tc>
        <w:tc>
          <w:tcPr>
            <w:tcW w:w="1220" w:type="dxa"/>
            <w:vAlign w:val="bottom"/>
          </w:tcPr>
          <w:p>
            <w:pPr>
              <w:jc w:val="right"/>
              <w:spacing w:after="0" w:line="193" w:lineRule="exact"/>
              <w:rPr>
                <w:sz w:val="20"/>
                <w:szCs w:val="20"/>
                <w:color w:val="auto"/>
              </w:rPr>
            </w:pPr>
            <w:r>
              <w:rPr>
                <w:rFonts w:ascii="Calibri" w:cs="Calibri" w:eastAsia="Calibri" w:hAnsi="Calibri"/>
                <w:sz w:val="16"/>
                <w:szCs w:val="16"/>
                <w:color w:val="auto"/>
              </w:rPr>
              <w:t>11,138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line="193" w:lineRule="exact"/>
              <w:rPr>
                <w:sz w:val="20"/>
                <w:szCs w:val="20"/>
                <w:color w:val="auto"/>
              </w:rPr>
            </w:pPr>
            <w:r>
              <w:rPr>
                <w:rFonts w:ascii="Calibri" w:cs="Calibri" w:eastAsia="Calibri" w:hAnsi="Calibri"/>
                <w:sz w:val="16"/>
                <w:szCs w:val="16"/>
                <w:color w:val="auto"/>
              </w:rPr>
              <w:t>79,648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6,181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96,967</w:t>
            </w:r>
          </w:p>
        </w:tc>
        <w:tc>
          <w:tcPr>
            <w:tcW w:w="0" w:type="dxa"/>
            <w:vAlign w:val="bottom"/>
          </w:tcPr>
          <w:p>
            <w:pPr>
              <w:spacing w:after="0"/>
              <w:rPr>
                <w:sz w:val="1"/>
                <w:szCs w:val="1"/>
                <w:color w:val="auto"/>
              </w:rPr>
            </w:pPr>
          </w:p>
        </w:tc>
      </w:tr>
      <w:tr>
        <w:trPr>
          <w:trHeight w:val="23"/>
        </w:trPr>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tcBorders>
              <w:bottom w:val="single" w:sz="8" w:color="DBDBDB"/>
            </w:tcBorders>
            <w:gridSpan w:val="2"/>
            <w:shd w:val="clear" w:color="auto" w:fill="DBDBDB"/>
          </w:tcPr>
          <w:p>
            <w:pPr>
              <w:ind w:left="220"/>
              <w:spacing w:after="0" w:line="193" w:lineRule="exact"/>
              <w:rPr>
                <w:sz w:val="20"/>
                <w:szCs w:val="20"/>
                <w:color w:val="auto"/>
              </w:rPr>
            </w:pPr>
            <w:r>
              <w:rPr>
                <w:rFonts w:ascii="Calibri" w:cs="Calibri" w:eastAsia="Calibri" w:hAnsi="Calibri"/>
                <w:sz w:val="16"/>
                <w:szCs w:val="16"/>
                <w:color w:val="auto"/>
              </w:rPr>
              <w:t>Adjustments related to prior year sales</w:t>
            </w:r>
          </w:p>
        </w:tc>
        <w:tc>
          <w:tcPr>
            <w:tcW w:w="200" w:type="dxa"/>
            <w:vAlign w:val="bottom"/>
            <w:tcBorders>
              <w:bottom w:val="single" w:sz="8" w:color="DBDBDB"/>
            </w:tcBorders>
            <w:shd w:val="clear" w:color="auto" w:fill="DBDBDB"/>
          </w:tcPr>
          <w:p>
            <w:pPr>
              <w:spacing w:after="0"/>
              <w:rPr>
                <w:sz w:val="17"/>
                <w:szCs w:val="17"/>
                <w:color w:val="auto"/>
              </w:rPr>
            </w:pPr>
          </w:p>
        </w:tc>
        <w:tc>
          <w:tcPr>
            <w:tcW w:w="122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(304)</w:t>
            </w:r>
          </w:p>
        </w:tc>
        <w:tc>
          <w:tcPr>
            <w:tcW w:w="120" w:type="dxa"/>
            <w:vAlign w:val="bottom"/>
            <w:tcBorders>
              <w:bottom w:val="single" w:sz="8" w:color="DBDBDB"/>
            </w:tcBorders>
            <w:shd w:val="clear" w:color="auto" w:fill="DBDBDB"/>
          </w:tcPr>
          <w:p>
            <w:pPr>
              <w:spacing w:after="0"/>
              <w:rPr>
                <w:sz w:val="17"/>
                <w:szCs w:val="17"/>
                <w:color w:val="auto"/>
              </w:rPr>
            </w:pPr>
          </w:p>
        </w:tc>
        <w:tc>
          <w:tcPr>
            <w:tcW w:w="160" w:type="dxa"/>
            <w:vAlign w:val="bottom"/>
            <w:tcBorders>
              <w:bottom w:val="single" w:sz="8" w:color="DBDBDB"/>
            </w:tcBorders>
            <w:shd w:val="clear" w:color="auto" w:fill="DBDBDB"/>
          </w:tcPr>
          <w:p>
            <w:pPr>
              <w:spacing w:after="0"/>
              <w:rPr>
                <w:sz w:val="17"/>
                <w:szCs w:val="17"/>
                <w:color w:val="auto"/>
              </w:rPr>
            </w:pPr>
          </w:p>
        </w:tc>
        <w:tc>
          <w:tcPr>
            <w:tcW w:w="12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(1,506)</w:t>
            </w:r>
          </w:p>
        </w:tc>
        <w:tc>
          <w:tcPr>
            <w:tcW w:w="120" w:type="dxa"/>
            <w:vAlign w:val="bottom"/>
            <w:tcBorders>
              <w:bottom w:val="single" w:sz="8" w:color="DBDBDB"/>
            </w:tcBorders>
            <w:shd w:val="clear" w:color="auto" w:fill="DBDBDB"/>
          </w:tcPr>
          <w:p>
            <w:pPr>
              <w:spacing w:after="0"/>
              <w:rPr>
                <w:sz w:val="17"/>
                <w:szCs w:val="17"/>
                <w:color w:val="auto"/>
              </w:rPr>
            </w:pPr>
          </w:p>
        </w:tc>
        <w:tc>
          <w:tcPr>
            <w:tcW w:w="280" w:type="dxa"/>
            <w:vAlign w:val="bottom"/>
            <w:tcBorders>
              <w:bottom w:val="single" w:sz="8" w:color="DBDBDB"/>
            </w:tcBorders>
            <w:shd w:val="clear" w:color="auto" w:fill="DBDBDB"/>
          </w:tcPr>
          <w:p>
            <w:pPr>
              <w:spacing w:after="0"/>
              <w:rPr>
                <w:sz w:val="17"/>
                <w:szCs w:val="17"/>
                <w:color w:val="auto"/>
              </w:rPr>
            </w:pPr>
          </w:p>
        </w:tc>
        <w:tc>
          <w:tcPr>
            <w:tcW w:w="11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1,648</w:t>
            </w:r>
          </w:p>
        </w:tc>
        <w:tc>
          <w:tcPr>
            <w:tcW w:w="100" w:type="dxa"/>
            <w:vAlign w:val="bottom"/>
            <w:tcBorders>
              <w:bottom w:val="single" w:sz="8" w:color="DBDBDB"/>
            </w:tcBorders>
            <w:shd w:val="clear" w:color="auto" w:fill="DBDBDB"/>
          </w:tcPr>
          <w:p>
            <w:pPr>
              <w:spacing w:after="0"/>
              <w:rPr>
                <w:sz w:val="17"/>
                <w:szCs w:val="17"/>
                <w:color w:val="auto"/>
              </w:rPr>
            </w:pPr>
          </w:p>
        </w:tc>
        <w:tc>
          <w:tcPr>
            <w:tcW w:w="3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(162)</w:t>
            </w:r>
          </w:p>
        </w:tc>
        <w:tc>
          <w:tcPr>
            <w:tcW w:w="0" w:type="dxa"/>
            <w:vAlign w:val="bottom"/>
          </w:tcPr>
          <w:p>
            <w:pPr>
              <w:spacing w:after="0"/>
              <w:rPr>
                <w:sz w:val="1"/>
                <w:szCs w:val="1"/>
                <w:color w:val="auto"/>
              </w:rPr>
            </w:pPr>
          </w:p>
        </w:tc>
      </w:tr>
      <w:tr>
        <w:trPr>
          <w:trHeight w:val="194"/>
        </w:trPr>
        <w:tc>
          <w:tcPr>
            <w:tcW w:w="5240" w:type="dxa"/>
            <w:vAlign w:val="bottom"/>
            <w:gridSpan w:val="2"/>
          </w:tcPr>
          <w:p>
            <w:pPr>
              <w:ind w:left="220"/>
              <w:spacing w:after="0" w:line="193" w:lineRule="exact"/>
              <w:rPr>
                <w:sz w:val="20"/>
                <w:szCs w:val="20"/>
                <w:color w:val="auto"/>
              </w:rPr>
            </w:pPr>
            <w:r>
              <w:rPr>
                <w:rFonts w:ascii="Calibri" w:cs="Calibri" w:eastAsia="Calibri" w:hAnsi="Calibri"/>
                <w:sz w:val="16"/>
                <w:szCs w:val="16"/>
                <w:color w:val="auto"/>
              </w:rPr>
              <w:t>Credits/payments made</w:t>
            </w:r>
          </w:p>
        </w:tc>
        <w:tc>
          <w:tcPr>
            <w:tcW w:w="200" w:type="dxa"/>
            <w:vAlign w:val="bottom"/>
          </w:tcPr>
          <w:p>
            <w:pPr>
              <w:spacing w:after="0"/>
              <w:rPr>
                <w:sz w:val="16"/>
                <w:szCs w:val="16"/>
                <w:color w:val="auto"/>
              </w:rPr>
            </w:pPr>
          </w:p>
        </w:tc>
        <w:tc>
          <w:tcPr>
            <w:tcW w:w="1220" w:type="dxa"/>
            <w:vAlign w:val="bottom"/>
          </w:tcPr>
          <w:p>
            <w:pPr>
              <w:jc w:val="right"/>
              <w:spacing w:after="0" w:line="193" w:lineRule="exact"/>
              <w:rPr>
                <w:sz w:val="20"/>
                <w:szCs w:val="20"/>
                <w:color w:val="auto"/>
              </w:rPr>
            </w:pPr>
            <w:r>
              <w:rPr>
                <w:rFonts w:ascii="Calibri" w:cs="Calibri" w:eastAsia="Calibri" w:hAnsi="Calibri"/>
                <w:sz w:val="16"/>
                <w:szCs w:val="16"/>
                <w:color w:val="auto"/>
              </w:rPr>
              <w:t>(10,486)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line="193" w:lineRule="exact"/>
              <w:rPr>
                <w:sz w:val="20"/>
                <w:szCs w:val="20"/>
                <w:color w:val="auto"/>
              </w:rPr>
            </w:pPr>
            <w:r>
              <w:rPr>
                <w:rFonts w:ascii="Calibri" w:cs="Calibri" w:eastAsia="Calibri" w:hAnsi="Calibri"/>
                <w:sz w:val="16"/>
                <w:szCs w:val="16"/>
                <w:color w:val="auto"/>
              </w:rPr>
              <w:t>(81,403)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(11,836)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(103,725)</w:t>
            </w:r>
          </w:p>
        </w:tc>
        <w:tc>
          <w:tcPr>
            <w:tcW w:w="0" w:type="dxa"/>
            <w:vAlign w:val="bottom"/>
          </w:tcPr>
          <w:p>
            <w:pPr>
              <w:spacing w:after="0"/>
              <w:rPr>
                <w:sz w:val="1"/>
                <w:szCs w:val="1"/>
                <w:color w:val="auto"/>
              </w:rPr>
            </w:pPr>
          </w:p>
        </w:tc>
      </w:tr>
      <w:tr>
        <w:trPr>
          <w:trHeight w:val="22"/>
        </w:trPr>
        <w:tc>
          <w:tcPr>
            <w:tcW w:w="51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5240" w:type="dxa"/>
            <w:vAlign w:val="bottom"/>
            <w:tcBorders>
              <w:bottom w:val="single" w:sz="8" w:color="DBDBDB"/>
            </w:tcBorders>
            <w:gridSpan w:val="2"/>
            <w:shd w:val="clear" w:color="auto" w:fill="DBDBDB"/>
          </w:tcPr>
          <w:p>
            <w:pPr>
              <w:ind w:left="20"/>
              <w:spacing w:after="0" w:line="174" w:lineRule="exact"/>
              <w:rPr>
                <w:sz w:val="20"/>
                <w:szCs w:val="20"/>
                <w:color w:val="auto"/>
              </w:rPr>
            </w:pPr>
            <w:r>
              <w:rPr>
                <w:rFonts w:ascii="Calibri" w:cs="Calibri" w:eastAsia="Calibri" w:hAnsi="Calibri"/>
                <w:sz w:val="16"/>
                <w:szCs w:val="16"/>
                <w:color w:val="auto"/>
              </w:rPr>
              <w:t>Balance at December 31, 2023</w:t>
            </w:r>
          </w:p>
        </w:tc>
        <w:tc>
          <w:tcPr>
            <w:tcW w:w="200" w:type="dxa"/>
            <w:vAlign w:val="bottom"/>
            <w:tcBorders>
              <w:bottom w:val="single" w:sz="8" w:color="DBDBDB"/>
            </w:tcBorders>
            <w:shd w:val="clear" w:color="auto" w:fill="DBDBDB"/>
          </w:tcPr>
          <w:p>
            <w:pPr>
              <w:jc w:val="right"/>
              <w:ind w:right="19"/>
              <w:spacing w:after="0" w:line="187" w:lineRule="exact"/>
              <w:rPr>
                <w:sz w:val="20"/>
                <w:szCs w:val="20"/>
                <w:color w:val="auto"/>
              </w:rPr>
            </w:pPr>
            <w:r>
              <w:rPr>
                <w:rFonts w:ascii="Calibri" w:cs="Calibri" w:eastAsia="Calibri" w:hAnsi="Calibri"/>
                <w:sz w:val="16"/>
                <w:szCs w:val="16"/>
                <w:color w:val="auto"/>
                <w:w w:val="97"/>
              </w:rPr>
              <w:t>$</w:t>
            </w:r>
          </w:p>
        </w:tc>
        <w:tc>
          <w:tcPr>
            <w:tcW w:w="122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1,607</w:t>
            </w:r>
          </w:p>
        </w:tc>
        <w:tc>
          <w:tcPr>
            <w:tcW w:w="120" w:type="dxa"/>
            <w:vAlign w:val="bottom"/>
            <w:tcBorders>
              <w:bottom w:val="single" w:sz="8" w:color="DBDBDB"/>
            </w:tcBorders>
            <w:shd w:val="clear" w:color="auto" w:fill="DBDBDB"/>
          </w:tcPr>
          <w:p>
            <w:pPr>
              <w:spacing w:after="0"/>
              <w:rPr>
                <w:sz w:val="19"/>
                <w:szCs w:val="19"/>
                <w:color w:val="auto"/>
              </w:rPr>
            </w:pPr>
          </w:p>
        </w:tc>
        <w:tc>
          <w:tcPr>
            <w:tcW w:w="16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24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22,991</w:t>
            </w:r>
          </w:p>
        </w:tc>
        <w:tc>
          <w:tcPr>
            <w:tcW w:w="120" w:type="dxa"/>
            <w:vAlign w:val="bottom"/>
            <w:tcBorders>
              <w:bottom w:val="single" w:sz="8" w:color="DBDBDB"/>
            </w:tcBorders>
            <w:shd w:val="clear" w:color="auto" w:fill="DBDBDB"/>
          </w:tcPr>
          <w:p>
            <w:pPr>
              <w:spacing w:after="0"/>
              <w:rPr>
                <w:sz w:val="19"/>
                <w:szCs w:val="19"/>
                <w:color w:val="auto"/>
              </w:rPr>
            </w:pPr>
          </w:p>
        </w:tc>
        <w:tc>
          <w:tcPr>
            <w:tcW w:w="280" w:type="dxa"/>
            <w:vAlign w:val="bottom"/>
            <w:tcBorders>
              <w:bottom w:val="single" w:sz="8" w:color="DBDBDB"/>
            </w:tcBorders>
            <w:shd w:val="clear" w:color="auto" w:fill="DBDBDB"/>
          </w:tcPr>
          <w:p>
            <w:pPr>
              <w:jc w:val="right"/>
              <w:ind w:right="99"/>
              <w:spacing w:after="0" w:line="187" w:lineRule="exact"/>
              <w:rPr>
                <w:sz w:val="20"/>
                <w:szCs w:val="20"/>
                <w:color w:val="auto"/>
              </w:rPr>
            </w:pPr>
            <w:r>
              <w:rPr>
                <w:rFonts w:ascii="Calibri" w:cs="Calibri" w:eastAsia="Calibri" w:hAnsi="Calibri"/>
                <w:sz w:val="16"/>
                <w:szCs w:val="16"/>
                <w:color w:val="auto"/>
                <w:w w:val="97"/>
              </w:rPr>
              <w:t>$</w:t>
            </w:r>
          </w:p>
        </w:tc>
        <w:tc>
          <w:tcPr>
            <w:tcW w:w="114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6,916</w:t>
            </w:r>
          </w:p>
        </w:tc>
        <w:tc>
          <w:tcPr>
            <w:tcW w:w="100" w:type="dxa"/>
            <w:vAlign w:val="bottom"/>
            <w:tcBorders>
              <w:bottom w:val="single" w:sz="8" w:color="DBDBDB"/>
            </w:tcBorders>
            <w:shd w:val="clear" w:color="auto" w:fill="DBDBDB"/>
          </w:tcPr>
          <w:p>
            <w:pPr>
              <w:spacing w:after="0"/>
              <w:rPr>
                <w:sz w:val="19"/>
                <w:szCs w:val="19"/>
                <w:color w:val="auto"/>
              </w:rPr>
            </w:pPr>
          </w:p>
        </w:tc>
        <w:tc>
          <w:tcPr>
            <w:tcW w:w="320" w:type="dxa"/>
            <w:vAlign w:val="bottom"/>
            <w:tcBorders>
              <w:bottom w:val="single" w:sz="8" w:color="DBDBDB"/>
            </w:tcBorders>
            <w:shd w:val="clear" w:color="auto" w:fill="DBDBDB"/>
          </w:tcPr>
          <w:p>
            <w:pPr>
              <w:jc w:val="right"/>
              <w:ind w:right="139"/>
              <w:spacing w:after="0" w:line="187" w:lineRule="exact"/>
              <w:rPr>
                <w:sz w:val="20"/>
                <w:szCs w:val="20"/>
                <w:color w:val="auto"/>
              </w:rPr>
            </w:pPr>
            <w:r>
              <w:rPr>
                <w:rFonts w:ascii="Calibri" w:cs="Calibri" w:eastAsia="Calibri" w:hAnsi="Calibri"/>
                <w:sz w:val="16"/>
                <w:szCs w:val="16"/>
                <w:color w:val="auto"/>
                <w:w w:val="97"/>
              </w:rPr>
              <w:t>$</w:t>
            </w:r>
          </w:p>
        </w:tc>
        <w:tc>
          <w:tcPr>
            <w:tcW w:w="110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31,514</w:t>
            </w:r>
          </w:p>
        </w:tc>
        <w:tc>
          <w:tcPr>
            <w:tcW w:w="0" w:type="dxa"/>
            <w:vAlign w:val="bottom"/>
          </w:tcPr>
          <w:p>
            <w:pPr>
              <w:spacing w:after="0"/>
              <w:rPr>
                <w:sz w:val="1"/>
                <w:szCs w:val="1"/>
                <w:color w:val="auto"/>
              </w:rPr>
            </w:pPr>
          </w:p>
        </w:tc>
      </w:tr>
      <w:tr>
        <w:trPr>
          <w:trHeight w:val="20"/>
        </w:trPr>
        <w:tc>
          <w:tcPr>
            <w:tcW w:w="5240" w:type="dxa"/>
            <w:vAlign w:val="bottom"/>
            <w:tcBorders>
              <w:top w:val="single" w:sz="8" w:color="DBDBDB"/>
              <w:bottom w:val="single" w:sz="8" w:color="DBDBDB"/>
            </w:tcBorders>
            <w:gridSpan w:val="2"/>
            <w:vMerge w:val="restart"/>
          </w:tcPr>
          <w:p>
            <w:pPr>
              <w:ind w:left="220"/>
              <w:spacing w:after="0" w:line="193" w:lineRule="exact"/>
              <w:rPr>
                <w:sz w:val="20"/>
                <w:szCs w:val="20"/>
                <w:color w:val="auto"/>
              </w:rPr>
            </w:pPr>
            <w:r>
              <w:rPr>
                <w:rFonts w:ascii="Calibri" w:cs="Calibri" w:eastAsia="Calibri" w:hAnsi="Calibri"/>
                <w:sz w:val="16"/>
                <w:szCs w:val="16"/>
                <w:color w:val="auto"/>
              </w:rPr>
              <w:t>Current provisions related to sales in current year</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2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spacing w:after="0" w:line="167" w:lineRule="exact"/>
              <w:rPr>
                <w:sz w:val="20"/>
                <w:szCs w:val="20"/>
                <w:color w:val="auto"/>
              </w:rPr>
            </w:pPr>
            <w:r>
              <w:rPr>
                <w:rFonts w:ascii="Calibri" w:cs="Calibri" w:eastAsia="Calibri" w:hAnsi="Calibri"/>
                <w:sz w:val="16"/>
                <w:szCs w:val="16"/>
                <w:color w:val="auto"/>
              </w:rPr>
              <w:t>9,225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right"/>
              <w:spacing w:after="0" w:line="167" w:lineRule="exact"/>
              <w:rPr>
                <w:sz w:val="20"/>
                <w:szCs w:val="20"/>
                <w:color w:val="auto"/>
              </w:rPr>
            </w:pPr>
            <w:r>
              <w:rPr>
                <w:rFonts w:ascii="Calibri" w:cs="Calibri" w:eastAsia="Calibri" w:hAnsi="Calibri"/>
                <w:sz w:val="16"/>
                <w:szCs w:val="16"/>
                <w:color w:val="auto"/>
              </w:rPr>
              <w:t>44,914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line="167" w:lineRule="exact"/>
              <w:rPr>
                <w:sz w:val="20"/>
                <w:szCs w:val="20"/>
                <w:color w:val="auto"/>
              </w:rPr>
            </w:pPr>
            <w:r>
              <w:rPr>
                <w:rFonts w:ascii="Calibri" w:cs="Calibri" w:eastAsia="Calibri" w:hAnsi="Calibri"/>
                <w:sz w:val="16"/>
                <w:szCs w:val="16"/>
                <w:color w:val="auto"/>
              </w:rPr>
              <w:t>4,862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line="167" w:lineRule="exact"/>
              <w:rPr>
                <w:sz w:val="20"/>
                <w:szCs w:val="20"/>
                <w:color w:val="auto"/>
              </w:rPr>
            </w:pPr>
            <w:r>
              <w:rPr>
                <w:rFonts w:ascii="Calibri" w:cs="Calibri" w:eastAsia="Calibri" w:hAnsi="Calibri"/>
                <w:sz w:val="16"/>
                <w:szCs w:val="16"/>
                <w:color w:val="auto"/>
              </w:rPr>
              <w:t>59,001</w:t>
            </w:r>
          </w:p>
        </w:tc>
        <w:tc>
          <w:tcPr>
            <w:tcW w:w="0" w:type="dxa"/>
            <w:vAlign w:val="bottom"/>
          </w:tcPr>
          <w:p>
            <w:pPr>
              <w:spacing w:after="0"/>
              <w:rPr>
                <w:sz w:val="1"/>
                <w:szCs w:val="1"/>
                <w:color w:val="auto"/>
              </w:rPr>
            </w:pPr>
          </w:p>
        </w:tc>
      </w:tr>
      <w:tr>
        <w:trPr>
          <w:trHeight w:val="23"/>
        </w:trPr>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tcBorders>
              <w:bottom w:val="single" w:sz="8" w:color="DBDBDB"/>
            </w:tcBorders>
            <w:gridSpan w:val="2"/>
            <w:shd w:val="clear" w:color="auto" w:fill="DBDBDB"/>
          </w:tcPr>
          <w:p>
            <w:pPr>
              <w:ind w:left="220"/>
              <w:spacing w:after="0" w:line="193" w:lineRule="exact"/>
              <w:rPr>
                <w:sz w:val="20"/>
                <w:szCs w:val="20"/>
                <w:color w:val="auto"/>
              </w:rPr>
            </w:pPr>
            <w:r>
              <w:rPr>
                <w:rFonts w:ascii="Calibri" w:cs="Calibri" w:eastAsia="Calibri" w:hAnsi="Calibri"/>
                <w:sz w:val="16"/>
                <w:szCs w:val="16"/>
                <w:color w:val="auto"/>
              </w:rPr>
              <w:t>Adjustments related to prior year sales</w:t>
            </w:r>
          </w:p>
        </w:tc>
        <w:tc>
          <w:tcPr>
            <w:tcW w:w="200" w:type="dxa"/>
            <w:vAlign w:val="bottom"/>
            <w:tcBorders>
              <w:bottom w:val="single" w:sz="8" w:color="DBDBDB"/>
            </w:tcBorders>
            <w:shd w:val="clear" w:color="auto" w:fill="DBDBDB"/>
          </w:tcPr>
          <w:p>
            <w:pPr>
              <w:spacing w:after="0"/>
              <w:rPr>
                <w:sz w:val="17"/>
                <w:szCs w:val="17"/>
                <w:color w:val="auto"/>
              </w:rPr>
            </w:pPr>
          </w:p>
        </w:tc>
        <w:tc>
          <w:tcPr>
            <w:tcW w:w="122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(94)</w:t>
            </w:r>
          </w:p>
        </w:tc>
        <w:tc>
          <w:tcPr>
            <w:tcW w:w="120" w:type="dxa"/>
            <w:vAlign w:val="bottom"/>
            <w:tcBorders>
              <w:bottom w:val="single" w:sz="8" w:color="DBDBDB"/>
            </w:tcBorders>
            <w:shd w:val="clear" w:color="auto" w:fill="DBDBDB"/>
          </w:tcPr>
          <w:p>
            <w:pPr>
              <w:spacing w:after="0"/>
              <w:rPr>
                <w:sz w:val="17"/>
                <w:szCs w:val="17"/>
                <w:color w:val="auto"/>
              </w:rPr>
            </w:pPr>
          </w:p>
        </w:tc>
        <w:tc>
          <w:tcPr>
            <w:tcW w:w="160" w:type="dxa"/>
            <w:vAlign w:val="bottom"/>
            <w:tcBorders>
              <w:bottom w:val="single" w:sz="8" w:color="DBDBDB"/>
            </w:tcBorders>
            <w:shd w:val="clear" w:color="auto" w:fill="DBDBDB"/>
          </w:tcPr>
          <w:p>
            <w:pPr>
              <w:spacing w:after="0"/>
              <w:rPr>
                <w:sz w:val="17"/>
                <w:szCs w:val="17"/>
                <w:color w:val="auto"/>
              </w:rPr>
            </w:pPr>
          </w:p>
        </w:tc>
        <w:tc>
          <w:tcPr>
            <w:tcW w:w="12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(2,056)</w:t>
            </w:r>
          </w:p>
        </w:tc>
        <w:tc>
          <w:tcPr>
            <w:tcW w:w="120" w:type="dxa"/>
            <w:vAlign w:val="bottom"/>
            <w:tcBorders>
              <w:bottom w:val="single" w:sz="8" w:color="DBDBDB"/>
            </w:tcBorders>
            <w:shd w:val="clear" w:color="auto" w:fill="DBDBDB"/>
          </w:tcPr>
          <w:p>
            <w:pPr>
              <w:spacing w:after="0"/>
              <w:rPr>
                <w:sz w:val="17"/>
                <w:szCs w:val="17"/>
                <w:color w:val="auto"/>
              </w:rPr>
            </w:pPr>
          </w:p>
        </w:tc>
        <w:tc>
          <w:tcPr>
            <w:tcW w:w="280" w:type="dxa"/>
            <w:vAlign w:val="bottom"/>
            <w:tcBorders>
              <w:bottom w:val="single" w:sz="8" w:color="DBDBDB"/>
            </w:tcBorders>
            <w:shd w:val="clear" w:color="auto" w:fill="DBDBDB"/>
          </w:tcPr>
          <w:p>
            <w:pPr>
              <w:spacing w:after="0"/>
              <w:rPr>
                <w:sz w:val="17"/>
                <w:szCs w:val="17"/>
                <w:color w:val="auto"/>
              </w:rPr>
            </w:pPr>
          </w:p>
        </w:tc>
        <w:tc>
          <w:tcPr>
            <w:tcW w:w="11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(540)</w:t>
            </w:r>
          </w:p>
        </w:tc>
        <w:tc>
          <w:tcPr>
            <w:tcW w:w="100" w:type="dxa"/>
            <w:vAlign w:val="bottom"/>
            <w:tcBorders>
              <w:bottom w:val="single" w:sz="8" w:color="DBDBDB"/>
            </w:tcBorders>
            <w:shd w:val="clear" w:color="auto" w:fill="DBDBDB"/>
          </w:tcPr>
          <w:p>
            <w:pPr>
              <w:spacing w:after="0"/>
              <w:rPr>
                <w:sz w:val="17"/>
                <w:szCs w:val="17"/>
                <w:color w:val="auto"/>
              </w:rPr>
            </w:pPr>
          </w:p>
        </w:tc>
        <w:tc>
          <w:tcPr>
            <w:tcW w:w="32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(2,690)</w:t>
            </w:r>
          </w:p>
        </w:tc>
        <w:tc>
          <w:tcPr>
            <w:tcW w:w="0" w:type="dxa"/>
            <w:vAlign w:val="bottom"/>
          </w:tcPr>
          <w:p>
            <w:pPr>
              <w:spacing w:after="0"/>
              <w:rPr>
                <w:sz w:val="1"/>
                <w:szCs w:val="1"/>
                <w:color w:val="auto"/>
              </w:rPr>
            </w:pPr>
          </w:p>
        </w:tc>
      </w:tr>
      <w:tr>
        <w:trPr>
          <w:trHeight w:val="193"/>
        </w:trPr>
        <w:tc>
          <w:tcPr>
            <w:tcW w:w="5240" w:type="dxa"/>
            <w:vAlign w:val="bottom"/>
            <w:gridSpan w:val="2"/>
          </w:tcPr>
          <w:p>
            <w:pPr>
              <w:ind w:left="220"/>
              <w:spacing w:after="0" w:line="193" w:lineRule="exact"/>
              <w:rPr>
                <w:sz w:val="20"/>
                <w:szCs w:val="20"/>
                <w:color w:val="auto"/>
              </w:rPr>
            </w:pPr>
            <w:r>
              <w:rPr>
                <w:rFonts w:ascii="Calibri" w:cs="Calibri" w:eastAsia="Calibri" w:hAnsi="Calibri"/>
                <w:sz w:val="16"/>
                <w:szCs w:val="16"/>
                <w:color w:val="auto"/>
              </w:rPr>
              <w:t>Credits/payments made</w:t>
            </w:r>
          </w:p>
        </w:tc>
        <w:tc>
          <w:tcPr>
            <w:tcW w:w="200" w:type="dxa"/>
            <w:vAlign w:val="bottom"/>
          </w:tcPr>
          <w:p>
            <w:pPr>
              <w:spacing w:after="0"/>
              <w:rPr>
                <w:sz w:val="16"/>
                <w:szCs w:val="16"/>
                <w:color w:val="auto"/>
              </w:rPr>
            </w:pPr>
          </w:p>
        </w:tc>
        <w:tc>
          <w:tcPr>
            <w:tcW w:w="1220" w:type="dxa"/>
            <w:vAlign w:val="bottom"/>
          </w:tcPr>
          <w:p>
            <w:pPr>
              <w:jc w:val="right"/>
              <w:spacing w:after="0" w:line="193" w:lineRule="exact"/>
              <w:rPr>
                <w:sz w:val="20"/>
                <w:szCs w:val="20"/>
                <w:color w:val="auto"/>
              </w:rPr>
            </w:pPr>
            <w:r>
              <w:rPr>
                <w:rFonts w:ascii="Calibri" w:cs="Calibri" w:eastAsia="Calibri" w:hAnsi="Calibri"/>
                <w:sz w:val="16"/>
                <w:szCs w:val="16"/>
                <w:color w:val="auto"/>
              </w:rPr>
              <w:t>(9,302)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line="193" w:lineRule="exact"/>
              <w:rPr>
                <w:sz w:val="20"/>
                <w:szCs w:val="20"/>
                <w:color w:val="auto"/>
              </w:rPr>
            </w:pPr>
            <w:r>
              <w:rPr>
                <w:rFonts w:ascii="Calibri" w:cs="Calibri" w:eastAsia="Calibri" w:hAnsi="Calibri"/>
                <w:sz w:val="16"/>
                <w:szCs w:val="16"/>
                <w:color w:val="auto"/>
              </w:rPr>
              <w:t>(50,123)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(4,796)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(64,221)</w:t>
            </w:r>
          </w:p>
        </w:tc>
        <w:tc>
          <w:tcPr>
            <w:tcW w:w="0" w:type="dxa"/>
            <w:vAlign w:val="bottom"/>
          </w:tcPr>
          <w:p>
            <w:pPr>
              <w:spacing w:after="0"/>
              <w:rPr>
                <w:sz w:val="1"/>
                <w:szCs w:val="1"/>
                <w:color w:val="auto"/>
              </w:rPr>
            </w:pPr>
          </w:p>
        </w:tc>
      </w:tr>
      <w:tr>
        <w:trPr>
          <w:trHeight w:val="23"/>
        </w:trPr>
        <w:tc>
          <w:tcPr>
            <w:tcW w:w="514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5240" w:type="dxa"/>
            <w:vAlign w:val="bottom"/>
            <w:tcBorders>
              <w:bottom w:val="single" w:sz="8" w:color="DBDBDB"/>
            </w:tcBorders>
            <w:gridSpan w:val="2"/>
            <w:shd w:val="clear" w:color="auto" w:fill="DBDBDB"/>
          </w:tcPr>
          <w:p>
            <w:pPr>
              <w:ind w:left="20"/>
              <w:spacing w:after="0" w:line="174" w:lineRule="exact"/>
              <w:rPr>
                <w:sz w:val="20"/>
                <w:szCs w:val="20"/>
                <w:color w:val="auto"/>
              </w:rPr>
            </w:pPr>
            <w:r>
              <w:rPr>
                <w:rFonts w:ascii="Calibri" w:cs="Calibri" w:eastAsia="Calibri" w:hAnsi="Calibri"/>
                <w:sz w:val="16"/>
                <w:szCs w:val="16"/>
                <w:color w:val="auto"/>
              </w:rPr>
              <w:t>Balance at December 31, 2024</w:t>
            </w:r>
          </w:p>
        </w:tc>
        <w:tc>
          <w:tcPr>
            <w:tcW w:w="200" w:type="dxa"/>
            <w:vAlign w:val="bottom"/>
            <w:tcBorders>
              <w:bottom w:val="single" w:sz="8" w:color="DBDBDB"/>
            </w:tcBorders>
            <w:shd w:val="clear" w:color="auto" w:fill="DBDBDB"/>
          </w:tcPr>
          <w:p>
            <w:pPr>
              <w:jc w:val="right"/>
              <w:ind w:right="19"/>
              <w:spacing w:after="0" w:line="187" w:lineRule="exact"/>
              <w:rPr>
                <w:sz w:val="20"/>
                <w:szCs w:val="20"/>
                <w:color w:val="auto"/>
              </w:rPr>
            </w:pPr>
            <w:r>
              <w:rPr>
                <w:rFonts w:ascii="Calibri" w:cs="Calibri" w:eastAsia="Calibri" w:hAnsi="Calibri"/>
                <w:sz w:val="16"/>
                <w:szCs w:val="16"/>
                <w:color w:val="auto"/>
                <w:w w:val="97"/>
              </w:rPr>
              <w:t>$</w:t>
            </w:r>
          </w:p>
        </w:tc>
        <w:tc>
          <w:tcPr>
            <w:tcW w:w="122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1,436</w:t>
            </w:r>
          </w:p>
        </w:tc>
        <w:tc>
          <w:tcPr>
            <w:tcW w:w="120" w:type="dxa"/>
            <w:vAlign w:val="bottom"/>
            <w:tcBorders>
              <w:bottom w:val="single" w:sz="8" w:color="DBDBDB"/>
            </w:tcBorders>
            <w:shd w:val="clear" w:color="auto" w:fill="DBDBDB"/>
          </w:tcPr>
          <w:p>
            <w:pPr>
              <w:spacing w:after="0"/>
              <w:rPr>
                <w:sz w:val="19"/>
                <w:szCs w:val="19"/>
                <w:color w:val="auto"/>
              </w:rPr>
            </w:pPr>
          </w:p>
        </w:tc>
        <w:tc>
          <w:tcPr>
            <w:tcW w:w="16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24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15,726</w:t>
            </w:r>
          </w:p>
        </w:tc>
        <w:tc>
          <w:tcPr>
            <w:tcW w:w="120" w:type="dxa"/>
            <w:vAlign w:val="bottom"/>
            <w:tcBorders>
              <w:bottom w:val="single" w:sz="8" w:color="DBDBDB"/>
            </w:tcBorders>
            <w:shd w:val="clear" w:color="auto" w:fill="DBDBDB"/>
          </w:tcPr>
          <w:p>
            <w:pPr>
              <w:spacing w:after="0"/>
              <w:rPr>
                <w:sz w:val="19"/>
                <w:szCs w:val="19"/>
                <w:color w:val="auto"/>
              </w:rPr>
            </w:pPr>
          </w:p>
        </w:tc>
        <w:tc>
          <w:tcPr>
            <w:tcW w:w="280" w:type="dxa"/>
            <w:vAlign w:val="bottom"/>
            <w:tcBorders>
              <w:bottom w:val="single" w:sz="8" w:color="DBDBDB"/>
            </w:tcBorders>
            <w:shd w:val="clear" w:color="auto" w:fill="DBDBDB"/>
          </w:tcPr>
          <w:p>
            <w:pPr>
              <w:jc w:val="right"/>
              <w:ind w:right="99"/>
              <w:spacing w:after="0" w:line="187" w:lineRule="exact"/>
              <w:rPr>
                <w:sz w:val="20"/>
                <w:szCs w:val="20"/>
                <w:color w:val="auto"/>
              </w:rPr>
            </w:pPr>
            <w:r>
              <w:rPr>
                <w:rFonts w:ascii="Calibri" w:cs="Calibri" w:eastAsia="Calibri" w:hAnsi="Calibri"/>
                <w:sz w:val="16"/>
                <w:szCs w:val="16"/>
                <w:color w:val="auto"/>
                <w:w w:val="97"/>
              </w:rPr>
              <w:t>$</w:t>
            </w:r>
          </w:p>
        </w:tc>
        <w:tc>
          <w:tcPr>
            <w:tcW w:w="114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6,442</w:t>
            </w:r>
          </w:p>
        </w:tc>
        <w:tc>
          <w:tcPr>
            <w:tcW w:w="100" w:type="dxa"/>
            <w:vAlign w:val="bottom"/>
            <w:tcBorders>
              <w:bottom w:val="single" w:sz="8" w:color="DBDBDB"/>
            </w:tcBorders>
            <w:shd w:val="clear" w:color="auto" w:fill="DBDBDB"/>
          </w:tcPr>
          <w:p>
            <w:pPr>
              <w:spacing w:after="0"/>
              <w:rPr>
                <w:sz w:val="19"/>
                <w:szCs w:val="19"/>
                <w:color w:val="auto"/>
              </w:rPr>
            </w:pPr>
          </w:p>
        </w:tc>
        <w:tc>
          <w:tcPr>
            <w:tcW w:w="320" w:type="dxa"/>
            <w:vAlign w:val="bottom"/>
            <w:tcBorders>
              <w:bottom w:val="single" w:sz="8" w:color="DBDBDB"/>
            </w:tcBorders>
            <w:shd w:val="clear" w:color="auto" w:fill="DBDBDB"/>
          </w:tcPr>
          <w:p>
            <w:pPr>
              <w:jc w:val="right"/>
              <w:ind w:right="139"/>
              <w:spacing w:after="0" w:line="187" w:lineRule="exact"/>
              <w:rPr>
                <w:sz w:val="20"/>
                <w:szCs w:val="20"/>
                <w:color w:val="auto"/>
              </w:rPr>
            </w:pPr>
            <w:r>
              <w:rPr>
                <w:rFonts w:ascii="Calibri" w:cs="Calibri" w:eastAsia="Calibri" w:hAnsi="Calibri"/>
                <w:sz w:val="16"/>
                <w:szCs w:val="16"/>
                <w:color w:val="auto"/>
                <w:w w:val="97"/>
              </w:rPr>
              <w:t>$</w:t>
            </w:r>
          </w:p>
        </w:tc>
        <w:tc>
          <w:tcPr>
            <w:tcW w:w="110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23,604</w:t>
            </w:r>
          </w:p>
        </w:tc>
        <w:tc>
          <w:tcPr>
            <w:tcW w:w="0" w:type="dxa"/>
            <w:vAlign w:val="bottom"/>
          </w:tcPr>
          <w:p>
            <w:pPr>
              <w:spacing w:after="0"/>
              <w:rPr>
                <w:sz w:val="1"/>
                <w:szCs w:val="1"/>
                <w:color w:val="auto"/>
              </w:rPr>
            </w:pPr>
          </w:p>
        </w:tc>
      </w:tr>
      <w:tr>
        <w:trPr>
          <w:trHeight w:val="20"/>
        </w:trPr>
        <w:tc>
          <w:tcPr>
            <w:tcW w:w="51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Chargebacks, discounts and estmated product returns are recorded as a reducton of revenue in the period the related product revenue is recognized in the consolidated statements of operatons and comprehensive loss. Chargebacks are recorded as a reducton to accounts receivable while discounts, rebates, fees and other deductons are recorded with a corresponding increase to accrued expenses and other current liabilites or accounts payable in the consolidated balance sheets. Estmated product returns on product sales that are not expected to be returned within one year are recorded as other long-term liabilites in the consolidated balance sheets.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Accounts receivable, net related to product sales was approximately $32.4 million and $35.9 million as of December 31, 2024 and 2023, respectvely.</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12.  LICENSE, COLLABORATION AND OTHER REVENUE</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 recognized the following revenues from its license, collaboraton and other revenue agreements (in thousands):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4" w:name="page155"/>
    <w:bookmarkEnd w:id="15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519"/>
              <w:spacing w:after="0"/>
              <w:rPr>
                <w:sz w:val="20"/>
                <w:szCs w:val="20"/>
                <w:color w:val="auto"/>
              </w:rPr>
            </w:pPr>
            <w:r>
              <w:rPr>
                <w:rFonts w:ascii="Calibri" w:cs="Calibri" w:eastAsia="Calibri" w:hAnsi="Calibri"/>
                <w:sz w:val="16"/>
                <w:szCs w:val="16"/>
                <w:b w:val="1"/>
                <w:bCs w:val="1"/>
                <w:color w:val="auto"/>
              </w:rPr>
              <w:t>Years Ended December 31,</w:t>
            </w:r>
          </w:p>
        </w:tc>
        <w:tc>
          <w:tcPr>
            <w:tcW w:w="0" w:type="dxa"/>
            <w:vAlign w:val="bottom"/>
          </w:tcPr>
          <w:p>
            <w:pPr>
              <w:spacing w:after="0"/>
              <w:rPr>
                <w:sz w:val="1"/>
                <w:szCs w:val="1"/>
                <w:color w:val="auto"/>
              </w:rPr>
            </w:pPr>
          </w:p>
        </w:tc>
      </w:tr>
      <w:tr>
        <w:trPr>
          <w:trHeight w:val="28"/>
        </w:trPr>
        <w:tc>
          <w:tcPr>
            <w:tcW w:w="2440" w:type="dxa"/>
            <w:vAlign w:val="bottom"/>
            <w:gridSpan w:val="2"/>
            <w:vMerge w:val="restart"/>
          </w:tcPr>
          <w:p>
            <w:pPr>
              <w:ind w:left="20"/>
              <w:spacing w:after="0"/>
              <w:rPr>
                <w:sz w:val="20"/>
                <w:szCs w:val="20"/>
                <w:color w:val="auto"/>
              </w:rPr>
            </w:pPr>
            <w:r>
              <w:rPr>
                <w:rFonts w:ascii="Calibri" w:cs="Calibri" w:eastAsia="Calibri" w:hAnsi="Calibri"/>
                <w:sz w:val="16"/>
                <w:szCs w:val="16"/>
                <w:b w:val="1"/>
                <w:bCs w:val="1"/>
                <w:color w:val="auto"/>
              </w:rPr>
              <w:t>Entty</w:t>
            </w:r>
          </w:p>
        </w:tc>
        <w:tc>
          <w:tcPr>
            <w:tcW w:w="5820" w:type="dxa"/>
            <w:vAlign w:val="bottom"/>
            <w:gridSpan w:val="2"/>
            <w:vMerge w:val="restart"/>
          </w:tcPr>
          <w:p>
            <w:pPr>
              <w:ind w:left="20"/>
              <w:spacing w:after="0"/>
              <w:rPr>
                <w:sz w:val="20"/>
                <w:szCs w:val="20"/>
                <w:color w:val="auto"/>
              </w:rPr>
            </w:pPr>
            <w:r>
              <w:rPr>
                <w:rFonts w:ascii="Calibri" w:cs="Calibri" w:eastAsia="Calibri" w:hAnsi="Calibri"/>
                <w:sz w:val="16"/>
                <w:szCs w:val="16"/>
                <w:b w:val="1"/>
                <w:bCs w:val="1"/>
                <w:color w:val="auto"/>
              </w:rPr>
              <w:t>Descripton</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440" w:type="dxa"/>
            <w:vAlign w:val="bottom"/>
            <w:gridSpan w:val="2"/>
            <w:vMerge w:val="continue"/>
          </w:tcPr>
          <w:p>
            <w:pPr>
              <w:spacing w:after="0"/>
              <w:rPr>
                <w:sz w:val="16"/>
                <w:szCs w:val="16"/>
                <w:color w:val="auto"/>
              </w:rPr>
            </w:pPr>
          </w:p>
        </w:tc>
        <w:tc>
          <w:tcPr>
            <w:tcW w:w="58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9"/>
              <w:spacing w:after="0" w:line="187" w:lineRule="exact"/>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9"/>
              <w:spacing w:after="0" w:line="187" w:lineRule="exact"/>
              <w:rPr>
                <w:sz w:val="20"/>
                <w:szCs w:val="20"/>
                <w:color w:val="auto"/>
              </w:rPr>
            </w:pPr>
            <w:r>
              <w:rPr>
                <w:rFonts w:ascii="Calibri" w:cs="Calibri" w:eastAsia="Calibri" w:hAnsi="Calibri"/>
                <w:sz w:val="16"/>
                <w:szCs w:val="16"/>
                <w:b w:val="1"/>
                <w:bCs w:val="1"/>
                <w:color w:val="auto"/>
              </w:rPr>
              <w:t>2023</w:t>
            </w:r>
          </w:p>
        </w:tc>
        <w:tc>
          <w:tcPr>
            <w:tcW w:w="0" w:type="dxa"/>
            <w:vAlign w:val="bottom"/>
          </w:tcPr>
          <w:p>
            <w:pPr>
              <w:spacing w:after="0"/>
              <w:rPr>
                <w:sz w:val="1"/>
                <w:szCs w:val="1"/>
                <w:color w:val="auto"/>
              </w:rPr>
            </w:pPr>
          </w:p>
        </w:tc>
      </w:tr>
      <w:tr>
        <w:trPr>
          <w:trHeight w:val="23"/>
        </w:trPr>
        <w:tc>
          <w:tcPr>
            <w:tcW w:w="2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340" w:type="dxa"/>
            <w:vAlign w:val="bottom"/>
            <w:tcBorders>
              <w:bottom w:val="single" w:sz="8" w:color="DBDBDB"/>
            </w:tcBorders>
            <w:shd w:val="clear" w:color="auto" w:fill="DBDBDB"/>
          </w:tcPr>
          <w:p>
            <w:pPr>
              <w:ind w:left="20"/>
              <w:spacing w:after="0" w:line="187" w:lineRule="exact"/>
              <w:rPr>
                <w:sz w:val="20"/>
                <w:szCs w:val="20"/>
                <w:color w:val="auto"/>
              </w:rPr>
            </w:pPr>
            <w:r>
              <w:rPr>
                <w:rFonts w:ascii="Calibri" w:cs="Calibri" w:eastAsia="Calibri" w:hAnsi="Calibri"/>
                <w:sz w:val="16"/>
                <w:szCs w:val="16"/>
                <w:color w:val="auto"/>
              </w:rPr>
              <w:t>Medice</w:t>
            </w:r>
          </w:p>
        </w:tc>
        <w:tc>
          <w:tcPr>
            <w:tcW w:w="100" w:type="dxa"/>
            <w:vAlign w:val="bottom"/>
            <w:tcBorders>
              <w:bottom w:val="single" w:sz="8" w:color="DBDBDB"/>
            </w:tcBorders>
            <w:shd w:val="clear" w:color="auto" w:fill="DBDBDB"/>
          </w:tcPr>
          <w:p>
            <w:pPr>
              <w:spacing w:after="0"/>
              <w:rPr>
                <w:sz w:val="16"/>
                <w:szCs w:val="16"/>
                <w:color w:val="auto"/>
              </w:rPr>
            </w:pPr>
          </w:p>
        </w:tc>
        <w:tc>
          <w:tcPr>
            <w:tcW w:w="5740" w:type="dxa"/>
            <w:vAlign w:val="bottom"/>
            <w:tcBorders>
              <w:bottom w:val="single" w:sz="8" w:color="DBDBDB"/>
            </w:tcBorders>
            <w:shd w:val="clear" w:color="auto" w:fill="DBDBDB"/>
          </w:tcPr>
          <w:p>
            <w:pPr>
              <w:ind w:left="20"/>
              <w:spacing w:after="0" w:line="187" w:lineRule="exact"/>
              <w:rPr>
                <w:sz w:val="20"/>
                <w:szCs w:val="20"/>
                <w:color w:val="auto"/>
              </w:rPr>
            </w:pPr>
            <w:r>
              <w:rPr>
                <w:rFonts w:ascii="Calibri" w:cs="Calibri" w:eastAsia="Calibri" w:hAnsi="Calibri"/>
                <w:sz w:val="16"/>
                <w:szCs w:val="16"/>
                <w:color w:val="auto"/>
              </w:rPr>
              <w:t>License and Product Supply of Vafseo in EU</w:t>
            </w:r>
          </w:p>
        </w:tc>
        <w:tc>
          <w:tcPr>
            <w:tcW w:w="8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DBDBDB"/>
            </w:tcBorders>
            <w:shd w:val="clear" w:color="auto" w:fill="DBDBDB"/>
          </w:tcPr>
          <w:p>
            <w:pPr>
              <w:jc w:val="right"/>
              <w:ind w:right="139"/>
              <w:spacing w:after="0" w:line="187" w:lineRule="exact"/>
              <w:rPr>
                <w:sz w:val="20"/>
                <w:szCs w:val="20"/>
                <w:color w:val="auto"/>
              </w:rPr>
            </w:pPr>
            <w:r>
              <w:rPr>
                <w:rFonts w:ascii="Calibri" w:cs="Calibri" w:eastAsia="Calibri" w:hAnsi="Calibri"/>
                <w:sz w:val="16"/>
                <w:szCs w:val="16"/>
                <w:color w:val="auto"/>
              </w:rPr>
              <w:t>$</w:t>
            </w:r>
          </w:p>
        </w:tc>
        <w:tc>
          <w:tcPr>
            <w:tcW w:w="110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22</w:t>
            </w:r>
          </w:p>
        </w:tc>
        <w:tc>
          <w:tcPr>
            <w:tcW w:w="10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DBDBDB"/>
            </w:tcBorders>
            <w:shd w:val="clear" w:color="auto" w:fill="DBDBDB"/>
          </w:tcPr>
          <w:p>
            <w:pPr>
              <w:jc w:val="right"/>
              <w:ind w:right="159"/>
              <w:spacing w:after="0" w:line="187" w:lineRule="exact"/>
              <w:rPr>
                <w:sz w:val="20"/>
                <w:szCs w:val="20"/>
                <w:color w:val="auto"/>
              </w:rPr>
            </w:pPr>
            <w:r>
              <w:rPr>
                <w:rFonts w:ascii="Calibri" w:cs="Calibri" w:eastAsia="Calibri" w:hAnsi="Calibri"/>
                <w:sz w:val="16"/>
                <w:szCs w:val="16"/>
                <w:color w:val="auto"/>
                <w:w w:val="97"/>
              </w:rPr>
              <w:t>$</w:t>
            </w:r>
          </w:p>
        </w:tc>
        <w:tc>
          <w:tcPr>
            <w:tcW w:w="110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10,968</w:t>
            </w:r>
          </w:p>
        </w:tc>
        <w:tc>
          <w:tcPr>
            <w:tcW w:w="0" w:type="dxa"/>
            <w:vAlign w:val="bottom"/>
          </w:tcPr>
          <w:p>
            <w:pPr>
              <w:spacing w:after="0"/>
              <w:rPr>
                <w:sz w:val="1"/>
                <w:szCs w:val="1"/>
                <w:color w:val="auto"/>
              </w:rPr>
            </w:pPr>
          </w:p>
        </w:tc>
      </w:tr>
      <w:tr>
        <w:trPr>
          <w:trHeight w:val="193"/>
        </w:trPr>
        <w:tc>
          <w:tcPr>
            <w:tcW w:w="244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MTPC</w:t>
            </w:r>
          </w:p>
        </w:tc>
        <w:tc>
          <w:tcPr>
            <w:tcW w:w="582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License and Product Supply of Vafseo in Japan</w:t>
            </w: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2,612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5,735</w:t>
            </w:r>
          </w:p>
        </w:tc>
        <w:tc>
          <w:tcPr>
            <w:tcW w:w="0" w:type="dxa"/>
            <w:vAlign w:val="bottom"/>
          </w:tcPr>
          <w:p>
            <w:pPr>
              <w:spacing w:after="0"/>
              <w:rPr>
                <w:sz w:val="1"/>
                <w:szCs w:val="1"/>
                <w:color w:val="auto"/>
              </w:rPr>
            </w:pPr>
          </w:p>
        </w:tc>
      </w:tr>
      <w:tr>
        <w:trPr>
          <w:trHeight w:val="23"/>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JT and Torii</w:t>
            </w:r>
          </w:p>
        </w:tc>
        <w:tc>
          <w:tcPr>
            <w:tcW w:w="582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License and royaltes related to the sale of Riona in Japan</w:t>
            </w: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5,366</w:t>
            </w:r>
          </w:p>
        </w:tc>
        <w:tc>
          <w:tcPr>
            <w:tcW w:w="10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5,394</w:t>
            </w:r>
          </w:p>
        </w:tc>
        <w:tc>
          <w:tcPr>
            <w:tcW w:w="0" w:type="dxa"/>
            <w:vAlign w:val="bottom"/>
          </w:tcPr>
          <w:p>
            <w:pPr>
              <w:spacing w:after="0"/>
              <w:rPr>
                <w:sz w:val="1"/>
                <w:szCs w:val="1"/>
                <w:color w:val="auto"/>
              </w:rPr>
            </w:pPr>
          </w:p>
        </w:tc>
      </w:tr>
      <w:tr>
        <w:trPr>
          <w:trHeight w:val="193"/>
        </w:trPr>
        <w:tc>
          <w:tcPr>
            <w:tcW w:w="244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Otsuka</w:t>
            </w:r>
          </w:p>
        </w:tc>
        <w:tc>
          <w:tcPr>
            <w:tcW w:w="582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Terminated U.S. and Internatonal Agreements</w:t>
            </w:r>
          </w:p>
        </w:tc>
        <w:tc>
          <w:tcPr>
            <w:tcW w:w="340" w:type="dxa"/>
            <w:vAlign w:val="bottom"/>
          </w:tcPr>
          <w:p>
            <w:pPr>
              <w:spacing w:after="0"/>
              <w:rPr>
                <w:sz w:val="16"/>
                <w:szCs w:val="16"/>
                <w:color w:val="auto"/>
              </w:rPr>
            </w:pPr>
          </w:p>
        </w:tc>
        <w:tc>
          <w:tcPr>
            <w:tcW w:w="12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2,225</w:t>
            </w:r>
          </w:p>
        </w:tc>
        <w:tc>
          <w:tcPr>
            <w:tcW w:w="0" w:type="dxa"/>
            <w:vAlign w:val="bottom"/>
          </w:tcPr>
          <w:p>
            <w:pPr>
              <w:spacing w:after="0"/>
              <w:rPr>
                <w:sz w:val="1"/>
                <w:szCs w:val="1"/>
                <w:color w:val="auto"/>
              </w:rPr>
            </w:pPr>
          </w:p>
        </w:tc>
      </w:tr>
      <w:tr>
        <w:trPr>
          <w:trHeight w:val="23"/>
        </w:trPr>
        <w:tc>
          <w:tcPr>
            <w:tcW w:w="2340" w:type="dxa"/>
            <w:vAlign w:val="bottom"/>
            <w:tcBorders>
              <w:bottom w:val="single" w:sz="8" w:color="DBDBDB"/>
            </w:tcBorders>
          </w:tcPr>
          <w:p>
            <w:pPr>
              <w:spacing w:after="0" w:line="20" w:lineRule="exact"/>
              <w:rPr>
                <w:sz w:val="1"/>
                <w:szCs w:val="1"/>
                <w:color w:val="auto"/>
              </w:rPr>
            </w:pPr>
          </w:p>
        </w:tc>
        <w:tc>
          <w:tcPr>
            <w:tcW w:w="5840" w:type="dxa"/>
            <w:vAlign w:val="bottom"/>
            <w:tcBorders>
              <w:bottom w:val="single" w:sz="8" w:color="DBDBDB"/>
            </w:tcBorders>
            <w:gridSpan w:val="2"/>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8260" w:type="dxa"/>
            <w:vAlign w:val="bottom"/>
            <w:tcBorders>
              <w:bottom w:val="single" w:sz="8" w:color="DBDBDB"/>
            </w:tcBorders>
            <w:gridSpan w:val="4"/>
            <w:shd w:val="clear" w:color="auto" w:fill="DBDBDB"/>
          </w:tcPr>
          <w:p>
            <w:pPr>
              <w:ind w:left="20"/>
              <w:spacing w:after="0"/>
              <w:rPr>
                <w:sz w:val="20"/>
                <w:szCs w:val="20"/>
                <w:color w:val="auto"/>
              </w:rPr>
            </w:pPr>
            <w:r>
              <w:rPr>
                <w:rFonts w:ascii="Calibri" w:cs="Calibri" w:eastAsia="Calibri" w:hAnsi="Calibri"/>
                <w:sz w:val="16"/>
                <w:szCs w:val="16"/>
                <w:color w:val="auto"/>
              </w:rPr>
              <w:t>Total License, Collaboraton and Other Revenue</w:t>
            </w:r>
          </w:p>
        </w:tc>
        <w:tc>
          <w:tcPr>
            <w:tcW w:w="340" w:type="dxa"/>
            <w:vAlign w:val="bottom"/>
            <w:tcBorders>
              <w:bottom w:val="single" w:sz="8" w:color="auto"/>
            </w:tcBorders>
            <w:shd w:val="clear" w:color="auto" w:fill="DBDBDB"/>
          </w:tcPr>
          <w:p>
            <w:pPr>
              <w:jc w:val="right"/>
              <w:ind w:right="139"/>
              <w:spacing w:after="0" w:line="193" w:lineRule="exact"/>
              <w:rPr>
                <w:sz w:val="20"/>
                <w:szCs w:val="20"/>
                <w:color w:val="auto"/>
              </w:rPr>
            </w:pPr>
            <w:r>
              <w:rPr>
                <w:rFonts w:ascii="Calibri" w:cs="Calibri" w:eastAsia="Calibri" w:hAnsi="Calibri"/>
                <w:sz w:val="16"/>
                <w:szCs w:val="16"/>
                <w:color w:val="auto"/>
              </w:rPr>
              <w:t>$</w:t>
            </w:r>
          </w:p>
        </w:tc>
        <w:tc>
          <w:tcPr>
            <w:tcW w:w="1100" w:type="dxa"/>
            <w:vAlign w:val="bottom"/>
            <w:tcBorders>
              <w:bottom w:val="single" w:sz="8" w:color="auto"/>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8,000</w:t>
            </w:r>
          </w:p>
        </w:tc>
        <w:tc>
          <w:tcPr>
            <w:tcW w:w="100" w:type="dxa"/>
            <w:vAlign w:val="bottom"/>
            <w:tcBorders>
              <w:bottom w:val="single" w:sz="8" w:color="DBDBDB"/>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jc w:val="right"/>
              <w:ind w:right="159"/>
              <w:spacing w:after="0" w:line="193" w:lineRule="exact"/>
              <w:rPr>
                <w:sz w:val="20"/>
                <w:szCs w:val="20"/>
                <w:color w:val="auto"/>
              </w:rPr>
            </w:pPr>
            <w:r>
              <w:rPr>
                <w:rFonts w:ascii="Calibri" w:cs="Calibri" w:eastAsia="Calibri" w:hAnsi="Calibri"/>
                <w:sz w:val="16"/>
                <w:szCs w:val="16"/>
                <w:color w:val="auto"/>
                <w:w w:val="97"/>
              </w:rPr>
              <w:t>$</w:t>
            </w:r>
          </w:p>
        </w:tc>
        <w:tc>
          <w:tcPr>
            <w:tcW w:w="1100" w:type="dxa"/>
            <w:vAlign w:val="bottom"/>
            <w:tcBorders>
              <w:bottom w:val="single" w:sz="8" w:color="auto"/>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24,322</w:t>
            </w:r>
          </w:p>
        </w:tc>
        <w:tc>
          <w:tcPr>
            <w:tcW w:w="0" w:type="dxa"/>
            <w:vAlign w:val="bottom"/>
          </w:tcPr>
          <w:p>
            <w:pPr>
              <w:spacing w:after="0"/>
              <w:rPr>
                <w:sz w:val="1"/>
                <w:szCs w:val="1"/>
                <w:color w:val="auto"/>
              </w:rPr>
            </w:pPr>
          </w:p>
        </w:tc>
      </w:tr>
      <w:tr>
        <w:trPr>
          <w:trHeight w:val="20"/>
        </w:trPr>
        <w:tc>
          <w:tcPr>
            <w:tcW w:w="23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74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table presents changes in the Company’s contract assets and liabilites related to license, collaboraton and other revenue agreements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60" w:type="dxa"/>
            <w:vAlign w:val="bottom"/>
            <w:gridSpan w:val="6"/>
          </w:tcPr>
          <w:p>
            <w:pPr>
              <w:ind w:left="60"/>
              <w:spacing w:after="0"/>
              <w:rPr>
                <w:sz w:val="20"/>
                <w:szCs w:val="20"/>
                <w:color w:val="auto"/>
              </w:rPr>
            </w:pPr>
            <w:r>
              <w:rPr>
                <w:rFonts w:ascii="Calibri" w:cs="Calibri" w:eastAsia="Calibri" w:hAnsi="Calibri"/>
                <w:sz w:val="16"/>
                <w:szCs w:val="16"/>
                <w:b w:val="1"/>
                <w:bCs w:val="1"/>
                <w:color w:val="auto"/>
              </w:rPr>
              <w:t>Twelve Months Ended December 31, 2024</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5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5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300"/>
              <w:spacing w:after="0" w:line="150" w:lineRule="exact"/>
              <w:rPr>
                <w:sz w:val="20"/>
                <w:szCs w:val="20"/>
                <w:color w:val="auto"/>
              </w:rPr>
            </w:pPr>
            <w:r>
              <w:rPr>
                <w:rFonts w:ascii="Calibri" w:cs="Calibri" w:eastAsia="Calibri" w:hAnsi="Calibri"/>
                <w:sz w:val="16"/>
                <w:szCs w:val="16"/>
                <w:b w:val="1"/>
                <w:bCs w:val="1"/>
                <w:color w:val="auto"/>
              </w:rPr>
              <w:t>Balance at</w:t>
            </w: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320"/>
              <w:spacing w:after="0" w:line="162" w:lineRule="exact"/>
              <w:rPr>
                <w:sz w:val="20"/>
                <w:szCs w:val="20"/>
                <w:color w:val="auto"/>
              </w:rPr>
            </w:pPr>
            <w:r>
              <w:rPr>
                <w:rFonts w:ascii="Calibri" w:cs="Calibri" w:eastAsia="Calibri" w:hAnsi="Calibri"/>
                <w:sz w:val="16"/>
                <w:szCs w:val="16"/>
                <w:b w:val="1"/>
                <w:bCs w:val="1"/>
                <w:color w:val="auto"/>
              </w:rPr>
              <w:t>Beginning of</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59"/>
              <w:spacing w:after="0" w:line="162" w:lineRule="exact"/>
              <w:rPr>
                <w:sz w:val="20"/>
                <w:szCs w:val="20"/>
                <w:color w:val="auto"/>
              </w:rPr>
            </w:pPr>
            <w:r>
              <w:rPr>
                <w:rFonts w:ascii="Calibri" w:cs="Calibri" w:eastAsia="Calibri" w:hAnsi="Calibri"/>
                <w:sz w:val="16"/>
                <w:szCs w:val="16"/>
                <w:b w:val="1"/>
                <w:bCs w:val="1"/>
                <w:color w:val="auto"/>
              </w:rPr>
              <w:t>Balance at End</w:t>
            </w:r>
          </w:p>
        </w:tc>
        <w:tc>
          <w:tcPr>
            <w:tcW w:w="0" w:type="dxa"/>
            <w:vAlign w:val="bottom"/>
          </w:tcPr>
          <w:p>
            <w:pPr>
              <w:spacing w:after="0"/>
              <w:rPr>
                <w:sz w:val="1"/>
                <w:szCs w:val="1"/>
                <w:color w:val="auto"/>
              </w:rPr>
            </w:pPr>
          </w:p>
        </w:tc>
      </w:tr>
      <w:tr>
        <w:trPr>
          <w:trHeight w:val="193"/>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20"/>
              <w:spacing w:after="0" w:line="193" w:lineRule="exact"/>
              <w:rPr>
                <w:sz w:val="20"/>
                <w:szCs w:val="20"/>
                <w:color w:val="auto"/>
              </w:rPr>
            </w:pPr>
            <w:r>
              <w:rPr>
                <w:rFonts w:ascii="Calibri" w:cs="Calibri" w:eastAsia="Calibri" w:hAnsi="Calibri"/>
                <w:sz w:val="16"/>
                <w:szCs w:val="16"/>
                <w:b w:val="1"/>
                <w:bCs w:val="1"/>
                <w:color w:val="auto"/>
              </w:rPr>
              <w:t>Period</w:t>
            </w:r>
          </w:p>
        </w:tc>
        <w:tc>
          <w:tcPr>
            <w:tcW w:w="240" w:type="dxa"/>
            <w:vAlign w:val="bottom"/>
          </w:tcPr>
          <w:p>
            <w:pPr>
              <w:spacing w:after="0"/>
              <w:rPr>
                <w:sz w:val="16"/>
                <w:szCs w:val="16"/>
                <w:color w:val="auto"/>
              </w:rPr>
            </w:pPr>
          </w:p>
        </w:tc>
        <w:tc>
          <w:tcPr>
            <w:tcW w:w="1280" w:type="dxa"/>
            <w:vAlign w:val="bottom"/>
            <w:gridSpan w:val="2"/>
          </w:tcPr>
          <w:p>
            <w:pPr>
              <w:ind w:left="140"/>
              <w:spacing w:after="0" w:line="193" w:lineRule="exact"/>
              <w:rPr>
                <w:sz w:val="20"/>
                <w:szCs w:val="20"/>
                <w:color w:val="auto"/>
              </w:rPr>
            </w:pPr>
            <w:r>
              <w:rPr>
                <w:rFonts w:ascii="Calibri" w:cs="Calibri" w:eastAsia="Calibri" w:hAnsi="Calibri"/>
                <w:sz w:val="16"/>
                <w:szCs w:val="16"/>
                <w:b w:val="1"/>
                <w:bCs w:val="1"/>
                <w:color w:val="auto"/>
              </w:rPr>
              <w:t>Additons</w:t>
            </w:r>
          </w:p>
        </w:tc>
        <w:tc>
          <w:tcPr>
            <w:tcW w:w="220" w:type="dxa"/>
            <w:vAlign w:val="bottom"/>
          </w:tcPr>
          <w:p>
            <w:pPr>
              <w:spacing w:after="0"/>
              <w:rPr>
                <w:sz w:val="16"/>
                <w:szCs w:val="16"/>
                <w:color w:val="auto"/>
              </w:rPr>
            </w:pPr>
          </w:p>
        </w:tc>
        <w:tc>
          <w:tcPr>
            <w:tcW w:w="1320" w:type="dxa"/>
            <w:vAlign w:val="bottom"/>
            <w:gridSpan w:val="2"/>
          </w:tcPr>
          <w:p>
            <w:pPr>
              <w:ind w:left="120"/>
              <w:spacing w:after="0" w:line="193" w:lineRule="exact"/>
              <w:rPr>
                <w:sz w:val="20"/>
                <w:szCs w:val="20"/>
                <w:color w:val="auto"/>
              </w:rPr>
            </w:pPr>
            <w:r>
              <w:rPr>
                <w:rFonts w:ascii="Calibri" w:cs="Calibri" w:eastAsia="Calibri" w:hAnsi="Calibri"/>
                <w:sz w:val="16"/>
                <w:szCs w:val="16"/>
                <w:b w:val="1"/>
                <w:bCs w:val="1"/>
                <w:color w:val="auto"/>
              </w:rPr>
              <w:t>Deductons</w:t>
            </w:r>
          </w:p>
        </w:tc>
        <w:tc>
          <w:tcPr>
            <w:tcW w:w="160" w:type="dxa"/>
            <w:vAlign w:val="bottom"/>
          </w:tcPr>
          <w:p>
            <w:pPr>
              <w:spacing w:after="0"/>
              <w:rPr>
                <w:sz w:val="16"/>
                <w:szCs w:val="16"/>
                <w:color w:val="auto"/>
              </w:rPr>
            </w:pPr>
          </w:p>
        </w:tc>
        <w:tc>
          <w:tcPr>
            <w:tcW w:w="1280" w:type="dxa"/>
            <w:vAlign w:val="bottom"/>
          </w:tcPr>
          <w:p>
            <w:pPr>
              <w:jc w:val="center"/>
              <w:ind w:right="59"/>
              <w:spacing w:after="0" w:line="193" w:lineRule="exact"/>
              <w:rPr>
                <w:sz w:val="20"/>
                <w:szCs w:val="20"/>
                <w:color w:val="auto"/>
              </w:rPr>
            </w:pPr>
            <w:r>
              <w:rPr>
                <w:rFonts w:ascii="Calibri" w:cs="Calibri" w:eastAsia="Calibri" w:hAnsi="Calibri"/>
                <w:sz w:val="16"/>
                <w:szCs w:val="16"/>
                <w:b w:val="1"/>
                <w:bCs w:val="1"/>
                <w:color w:val="auto"/>
              </w:rPr>
              <w:t>of Period</w:t>
            </w:r>
          </w:p>
        </w:tc>
        <w:tc>
          <w:tcPr>
            <w:tcW w:w="0" w:type="dxa"/>
            <w:vAlign w:val="bottom"/>
          </w:tcPr>
          <w:p>
            <w:pPr>
              <w:spacing w:after="0"/>
              <w:rPr>
                <w:sz w:val="1"/>
                <w:szCs w:val="1"/>
                <w:color w:val="auto"/>
              </w:rPr>
            </w:pPr>
          </w:p>
        </w:tc>
      </w:tr>
      <w:tr>
        <w:trPr>
          <w:trHeight w:val="28"/>
        </w:trPr>
        <w:tc>
          <w:tcPr>
            <w:tcW w:w="5200" w:type="dxa"/>
            <w:vAlign w:val="bottom"/>
            <w:vMerge w:val="restart"/>
          </w:tcPr>
          <w:p>
            <w:pPr>
              <w:ind w:left="20"/>
              <w:spacing w:after="0"/>
              <w:rPr>
                <w:sz w:val="20"/>
                <w:szCs w:val="20"/>
                <w:color w:val="auto"/>
              </w:rPr>
            </w:pPr>
            <w:r>
              <w:rPr>
                <w:rFonts w:ascii="Calibri" w:cs="Calibri" w:eastAsia="Calibri" w:hAnsi="Calibri"/>
                <w:sz w:val="16"/>
                <w:szCs w:val="16"/>
                <w:b w:val="1"/>
                <w:bCs w:val="1"/>
                <w:color w:val="auto"/>
              </w:rPr>
              <w:t>Contract assets:</w:t>
            </w: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52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5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DBDBDB"/>
          </w:tcPr>
          <w:p>
            <w:pPr>
              <w:ind w:left="360"/>
              <w:spacing w:after="0" w:line="216" w:lineRule="exact"/>
              <w:rPr>
                <w:sz w:val="20"/>
                <w:szCs w:val="20"/>
                <w:color w:val="auto"/>
              </w:rPr>
            </w:pPr>
            <w:r>
              <w:rPr>
                <w:rFonts w:ascii="Calibri" w:cs="Calibri" w:eastAsia="Calibri" w:hAnsi="Calibri"/>
                <w:sz w:val="16"/>
                <w:szCs w:val="16"/>
                <w:color w:val="auto"/>
              </w:rPr>
              <w:t>Accounts receivable</w:t>
            </w:r>
            <w:r>
              <w:rPr>
                <w:rFonts w:ascii="Calibri" w:cs="Calibri" w:eastAsia="Calibri" w:hAnsi="Calibri"/>
                <w:sz w:val="21"/>
                <w:szCs w:val="21"/>
                <w:color w:val="auto"/>
                <w:vertAlign w:val="superscript"/>
              </w:rPr>
              <w:t>(1)</w:t>
            </w:r>
          </w:p>
        </w:tc>
        <w:tc>
          <w:tcPr>
            <w:tcW w:w="180" w:type="dxa"/>
            <w:vAlign w:val="bottom"/>
            <w:shd w:val="clear" w:color="auto" w:fill="DBDBDB"/>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240" w:type="dxa"/>
            <w:vAlign w:val="bottom"/>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3,333</w:t>
            </w:r>
          </w:p>
        </w:tc>
        <w:tc>
          <w:tcPr>
            <w:tcW w:w="120" w:type="dxa"/>
            <w:vAlign w:val="bottom"/>
            <w:shd w:val="clear" w:color="auto" w:fill="DBDBDB"/>
          </w:tcPr>
          <w:p>
            <w:pPr>
              <w:spacing w:after="0"/>
              <w:rPr>
                <w:sz w:val="18"/>
                <w:szCs w:val="18"/>
                <w:color w:val="auto"/>
              </w:rPr>
            </w:pPr>
          </w:p>
        </w:tc>
        <w:tc>
          <w:tcPr>
            <w:tcW w:w="240" w:type="dxa"/>
            <w:vAlign w:val="bottom"/>
            <w:shd w:val="clear" w:color="auto" w:fill="DBDBDB"/>
          </w:tcPr>
          <w:p>
            <w:pPr>
              <w:jc w:val="right"/>
              <w:ind w:right="59"/>
              <w:spacing w:after="0" w:line="193" w:lineRule="exact"/>
              <w:rPr>
                <w:sz w:val="20"/>
                <w:szCs w:val="20"/>
                <w:color w:val="auto"/>
              </w:rPr>
            </w:pPr>
            <w:r>
              <w:rPr>
                <w:rFonts w:ascii="Calibri" w:cs="Calibri" w:eastAsia="Calibri" w:hAnsi="Calibri"/>
                <w:sz w:val="16"/>
                <w:szCs w:val="16"/>
                <w:color w:val="auto"/>
                <w:w w:val="97"/>
              </w:rPr>
              <w:t>$</w:t>
            </w:r>
          </w:p>
        </w:tc>
        <w:tc>
          <w:tcPr>
            <w:tcW w:w="1180" w:type="dxa"/>
            <w:vAlign w:val="bottom"/>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8,562</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19"/>
              <w:spacing w:after="0" w:line="193" w:lineRule="exact"/>
              <w:rPr>
                <w:sz w:val="20"/>
                <w:szCs w:val="20"/>
                <w:color w:val="auto"/>
              </w:rPr>
            </w:pPr>
            <w:r>
              <w:rPr>
                <w:rFonts w:ascii="Calibri" w:cs="Calibri" w:eastAsia="Calibri" w:hAnsi="Calibri"/>
                <w:sz w:val="16"/>
                <w:szCs w:val="16"/>
                <w:color w:val="auto"/>
              </w:rPr>
              <w:t>$</w:t>
            </w:r>
          </w:p>
        </w:tc>
        <w:tc>
          <w:tcPr>
            <w:tcW w:w="1220" w:type="dxa"/>
            <w:vAlign w:val="bottom"/>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(9,885)</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280" w:type="dxa"/>
            <w:vAlign w:val="bottom"/>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2,010</w:t>
            </w:r>
          </w:p>
        </w:tc>
        <w:tc>
          <w:tcPr>
            <w:tcW w:w="0" w:type="dxa"/>
            <w:vAlign w:val="bottom"/>
          </w:tcPr>
          <w:p>
            <w:pPr>
              <w:spacing w:after="0"/>
              <w:rPr>
                <w:sz w:val="1"/>
                <w:szCs w:val="1"/>
                <w:color w:val="auto"/>
              </w:rPr>
            </w:pPr>
          </w:p>
        </w:tc>
      </w:tr>
      <w:tr>
        <w:trPr>
          <w:trHeight w:val="193"/>
        </w:trPr>
        <w:tc>
          <w:tcPr>
            <w:tcW w:w="5200" w:type="dxa"/>
            <w:vAlign w:val="bottom"/>
          </w:tcPr>
          <w:p>
            <w:pPr>
              <w:ind w:left="20"/>
              <w:spacing w:after="0" w:line="193" w:lineRule="exact"/>
              <w:rPr>
                <w:sz w:val="20"/>
                <w:szCs w:val="20"/>
                <w:color w:val="auto"/>
              </w:rPr>
            </w:pPr>
            <w:r>
              <w:rPr>
                <w:rFonts w:ascii="Calibri" w:cs="Calibri" w:eastAsia="Calibri" w:hAnsi="Calibri"/>
                <w:sz w:val="16"/>
                <w:szCs w:val="16"/>
                <w:b w:val="1"/>
                <w:bCs w:val="1"/>
                <w:color w:val="auto"/>
              </w:rPr>
              <w:t>Contract liability:</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DBDBDB"/>
          </w:tcPr>
          <w:p>
            <w:pPr>
              <w:ind w:left="360"/>
              <w:spacing w:after="0" w:line="216" w:lineRule="exact"/>
              <w:rPr>
                <w:sz w:val="20"/>
                <w:szCs w:val="20"/>
                <w:color w:val="auto"/>
              </w:rPr>
            </w:pPr>
            <w:r>
              <w:rPr>
                <w:rFonts w:ascii="Calibri" w:cs="Calibri" w:eastAsia="Calibri" w:hAnsi="Calibri"/>
                <w:sz w:val="16"/>
                <w:szCs w:val="16"/>
                <w:color w:val="auto"/>
              </w:rPr>
              <w:t>Deferred revenue (long-term)</w:t>
            </w:r>
            <w:r>
              <w:rPr>
                <w:rFonts w:ascii="Calibri" w:cs="Calibri" w:eastAsia="Calibri" w:hAnsi="Calibri"/>
                <w:sz w:val="21"/>
                <w:szCs w:val="21"/>
                <w:color w:val="auto"/>
                <w:vertAlign w:val="superscript"/>
              </w:rPr>
              <w:t>(2)</w:t>
            </w:r>
          </w:p>
        </w:tc>
        <w:tc>
          <w:tcPr>
            <w:tcW w:w="180" w:type="dxa"/>
            <w:vAlign w:val="bottom"/>
            <w:shd w:val="clear" w:color="auto" w:fill="DBDBDB"/>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240" w:type="dxa"/>
            <w:vAlign w:val="bottom"/>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43,296</w:t>
            </w:r>
          </w:p>
        </w:tc>
        <w:tc>
          <w:tcPr>
            <w:tcW w:w="120" w:type="dxa"/>
            <w:vAlign w:val="bottom"/>
            <w:shd w:val="clear" w:color="auto" w:fill="DBDBDB"/>
          </w:tcPr>
          <w:p>
            <w:pPr>
              <w:spacing w:after="0"/>
              <w:rPr>
                <w:sz w:val="18"/>
                <w:szCs w:val="18"/>
                <w:color w:val="auto"/>
              </w:rPr>
            </w:pPr>
          </w:p>
        </w:tc>
        <w:tc>
          <w:tcPr>
            <w:tcW w:w="240" w:type="dxa"/>
            <w:vAlign w:val="bottom"/>
            <w:shd w:val="clear" w:color="auto" w:fill="DBDBDB"/>
          </w:tcPr>
          <w:p>
            <w:pPr>
              <w:jc w:val="right"/>
              <w:ind w:right="59"/>
              <w:spacing w:after="0" w:line="193" w:lineRule="exact"/>
              <w:rPr>
                <w:sz w:val="20"/>
                <w:szCs w:val="20"/>
                <w:color w:val="auto"/>
              </w:rPr>
            </w:pPr>
            <w:r>
              <w:rPr>
                <w:rFonts w:ascii="Calibri" w:cs="Calibri" w:eastAsia="Calibri" w:hAnsi="Calibri"/>
                <w:sz w:val="16"/>
                <w:szCs w:val="16"/>
                <w:color w:val="auto"/>
                <w:w w:val="97"/>
              </w:rPr>
              <w:t>$</w:t>
            </w:r>
          </w:p>
        </w:tc>
        <w:tc>
          <w:tcPr>
            <w:tcW w:w="1280" w:type="dxa"/>
            <w:vAlign w:val="bottom"/>
            <w:gridSpan w:val="2"/>
            <w:shd w:val="clear" w:color="auto" w:fill="DBDBDB"/>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20" w:type="dxa"/>
            <w:vAlign w:val="bottom"/>
            <w:shd w:val="clear" w:color="auto" w:fill="DBDBDB"/>
          </w:tcPr>
          <w:p>
            <w:pPr>
              <w:jc w:val="right"/>
              <w:ind w:right="19"/>
              <w:spacing w:after="0" w:line="193" w:lineRule="exact"/>
              <w:rPr>
                <w:sz w:val="20"/>
                <w:szCs w:val="20"/>
                <w:color w:val="auto"/>
              </w:rPr>
            </w:pPr>
            <w:r>
              <w:rPr>
                <w:rFonts w:ascii="Calibri" w:cs="Calibri" w:eastAsia="Calibri" w:hAnsi="Calibri"/>
                <w:sz w:val="16"/>
                <w:szCs w:val="16"/>
                <w:color w:val="auto"/>
              </w:rPr>
              <w:t>$</w:t>
            </w:r>
          </w:p>
        </w:tc>
        <w:tc>
          <w:tcPr>
            <w:tcW w:w="1220" w:type="dxa"/>
            <w:vAlign w:val="bottom"/>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(43,296)</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280" w:type="dxa"/>
            <w:vAlign w:val="bottom"/>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458"/>
        </w:trPr>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60" w:type="dxa"/>
            <w:vAlign w:val="bottom"/>
            <w:gridSpan w:val="6"/>
          </w:tcPr>
          <w:p>
            <w:pPr>
              <w:ind w:left="60"/>
              <w:spacing w:after="0"/>
              <w:rPr>
                <w:sz w:val="20"/>
                <w:szCs w:val="20"/>
                <w:color w:val="auto"/>
              </w:rPr>
            </w:pPr>
            <w:r>
              <w:rPr>
                <w:rFonts w:ascii="Calibri" w:cs="Calibri" w:eastAsia="Calibri" w:hAnsi="Calibri"/>
                <w:sz w:val="16"/>
                <w:szCs w:val="16"/>
                <w:b w:val="1"/>
                <w:bCs w:val="1"/>
                <w:color w:val="auto"/>
              </w:rPr>
              <w:t>Twelve Months Ended December 31, 2023</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5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5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300"/>
              <w:spacing w:after="0" w:line="150" w:lineRule="exact"/>
              <w:rPr>
                <w:sz w:val="20"/>
                <w:szCs w:val="20"/>
                <w:color w:val="auto"/>
              </w:rPr>
            </w:pPr>
            <w:r>
              <w:rPr>
                <w:rFonts w:ascii="Calibri" w:cs="Calibri" w:eastAsia="Calibri" w:hAnsi="Calibri"/>
                <w:sz w:val="16"/>
                <w:szCs w:val="16"/>
                <w:b w:val="1"/>
                <w:bCs w:val="1"/>
                <w:color w:val="auto"/>
              </w:rPr>
              <w:t>Balance at</w:t>
            </w: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320"/>
              <w:spacing w:after="0" w:line="162" w:lineRule="exact"/>
              <w:rPr>
                <w:sz w:val="20"/>
                <w:szCs w:val="20"/>
                <w:color w:val="auto"/>
              </w:rPr>
            </w:pPr>
            <w:r>
              <w:rPr>
                <w:rFonts w:ascii="Calibri" w:cs="Calibri" w:eastAsia="Calibri" w:hAnsi="Calibri"/>
                <w:sz w:val="16"/>
                <w:szCs w:val="16"/>
                <w:b w:val="1"/>
                <w:bCs w:val="1"/>
                <w:color w:val="auto"/>
              </w:rPr>
              <w:t>Beginning of</w:t>
            </w: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59"/>
              <w:spacing w:after="0" w:line="162" w:lineRule="exact"/>
              <w:rPr>
                <w:sz w:val="20"/>
                <w:szCs w:val="20"/>
                <w:color w:val="auto"/>
              </w:rPr>
            </w:pPr>
            <w:r>
              <w:rPr>
                <w:rFonts w:ascii="Calibri" w:cs="Calibri" w:eastAsia="Calibri" w:hAnsi="Calibri"/>
                <w:sz w:val="16"/>
                <w:szCs w:val="16"/>
                <w:b w:val="1"/>
                <w:bCs w:val="1"/>
                <w:color w:val="auto"/>
              </w:rPr>
              <w:t>Balance at End</w:t>
            </w:r>
          </w:p>
        </w:tc>
        <w:tc>
          <w:tcPr>
            <w:tcW w:w="0" w:type="dxa"/>
            <w:vAlign w:val="bottom"/>
          </w:tcPr>
          <w:p>
            <w:pPr>
              <w:spacing w:after="0"/>
              <w:rPr>
                <w:sz w:val="1"/>
                <w:szCs w:val="1"/>
                <w:color w:val="auto"/>
              </w:rPr>
            </w:pPr>
          </w:p>
        </w:tc>
      </w:tr>
      <w:tr>
        <w:trPr>
          <w:trHeight w:val="193"/>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20"/>
              <w:spacing w:after="0" w:line="193" w:lineRule="exact"/>
              <w:rPr>
                <w:sz w:val="20"/>
                <w:szCs w:val="20"/>
                <w:color w:val="auto"/>
              </w:rPr>
            </w:pPr>
            <w:r>
              <w:rPr>
                <w:rFonts w:ascii="Calibri" w:cs="Calibri" w:eastAsia="Calibri" w:hAnsi="Calibri"/>
                <w:sz w:val="16"/>
                <w:szCs w:val="16"/>
                <w:b w:val="1"/>
                <w:bCs w:val="1"/>
                <w:color w:val="auto"/>
              </w:rPr>
              <w:t>Period</w:t>
            </w:r>
          </w:p>
        </w:tc>
        <w:tc>
          <w:tcPr>
            <w:tcW w:w="240" w:type="dxa"/>
            <w:vAlign w:val="bottom"/>
          </w:tcPr>
          <w:p>
            <w:pPr>
              <w:spacing w:after="0"/>
              <w:rPr>
                <w:sz w:val="16"/>
                <w:szCs w:val="16"/>
                <w:color w:val="auto"/>
              </w:rPr>
            </w:pPr>
          </w:p>
        </w:tc>
        <w:tc>
          <w:tcPr>
            <w:tcW w:w="1280" w:type="dxa"/>
            <w:vAlign w:val="bottom"/>
            <w:gridSpan w:val="2"/>
          </w:tcPr>
          <w:p>
            <w:pPr>
              <w:ind w:left="140"/>
              <w:spacing w:after="0" w:line="193" w:lineRule="exact"/>
              <w:rPr>
                <w:sz w:val="20"/>
                <w:szCs w:val="20"/>
                <w:color w:val="auto"/>
              </w:rPr>
            </w:pPr>
            <w:r>
              <w:rPr>
                <w:rFonts w:ascii="Calibri" w:cs="Calibri" w:eastAsia="Calibri" w:hAnsi="Calibri"/>
                <w:sz w:val="16"/>
                <w:szCs w:val="16"/>
                <w:b w:val="1"/>
                <w:bCs w:val="1"/>
                <w:color w:val="auto"/>
              </w:rPr>
              <w:t>Additons</w:t>
            </w:r>
          </w:p>
        </w:tc>
        <w:tc>
          <w:tcPr>
            <w:tcW w:w="220" w:type="dxa"/>
            <w:vAlign w:val="bottom"/>
          </w:tcPr>
          <w:p>
            <w:pPr>
              <w:spacing w:after="0"/>
              <w:rPr>
                <w:sz w:val="16"/>
                <w:szCs w:val="16"/>
                <w:color w:val="auto"/>
              </w:rPr>
            </w:pPr>
          </w:p>
        </w:tc>
        <w:tc>
          <w:tcPr>
            <w:tcW w:w="1320" w:type="dxa"/>
            <w:vAlign w:val="bottom"/>
            <w:gridSpan w:val="2"/>
          </w:tcPr>
          <w:p>
            <w:pPr>
              <w:ind w:left="120"/>
              <w:spacing w:after="0" w:line="193" w:lineRule="exact"/>
              <w:rPr>
                <w:sz w:val="20"/>
                <w:szCs w:val="20"/>
                <w:color w:val="auto"/>
              </w:rPr>
            </w:pPr>
            <w:r>
              <w:rPr>
                <w:rFonts w:ascii="Calibri" w:cs="Calibri" w:eastAsia="Calibri" w:hAnsi="Calibri"/>
                <w:sz w:val="16"/>
                <w:szCs w:val="16"/>
                <w:b w:val="1"/>
                <w:bCs w:val="1"/>
                <w:color w:val="auto"/>
              </w:rPr>
              <w:t>Deductons</w:t>
            </w:r>
          </w:p>
        </w:tc>
        <w:tc>
          <w:tcPr>
            <w:tcW w:w="160" w:type="dxa"/>
            <w:vAlign w:val="bottom"/>
          </w:tcPr>
          <w:p>
            <w:pPr>
              <w:spacing w:after="0"/>
              <w:rPr>
                <w:sz w:val="16"/>
                <w:szCs w:val="16"/>
                <w:color w:val="auto"/>
              </w:rPr>
            </w:pPr>
          </w:p>
        </w:tc>
        <w:tc>
          <w:tcPr>
            <w:tcW w:w="1280" w:type="dxa"/>
            <w:vAlign w:val="bottom"/>
          </w:tcPr>
          <w:p>
            <w:pPr>
              <w:jc w:val="center"/>
              <w:ind w:right="59"/>
              <w:spacing w:after="0" w:line="193" w:lineRule="exact"/>
              <w:rPr>
                <w:sz w:val="20"/>
                <w:szCs w:val="20"/>
                <w:color w:val="auto"/>
              </w:rPr>
            </w:pPr>
            <w:r>
              <w:rPr>
                <w:rFonts w:ascii="Calibri" w:cs="Calibri" w:eastAsia="Calibri" w:hAnsi="Calibri"/>
                <w:sz w:val="16"/>
                <w:szCs w:val="16"/>
                <w:b w:val="1"/>
                <w:bCs w:val="1"/>
                <w:color w:val="auto"/>
              </w:rPr>
              <w:t>of Period</w:t>
            </w:r>
          </w:p>
        </w:tc>
        <w:tc>
          <w:tcPr>
            <w:tcW w:w="0" w:type="dxa"/>
            <w:vAlign w:val="bottom"/>
          </w:tcPr>
          <w:p>
            <w:pPr>
              <w:spacing w:after="0"/>
              <w:rPr>
                <w:sz w:val="1"/>
                <w:szCs w:val="1"/>
                <w:color w:val="auto"/>
              </w:rPr>
            </w:pPr>
          </w:p>
        </w:tc>
      </w:tr>
      <w:tr>
        <w:trPr>
          <w:trHeight w:val="28"/>
        </w:trPr>
        <w:tc>
          <w:tcPr>
            <w:tcW w:w="5200" w:type="dxa"/>
            <w:vAlign w:val="bottom"/>
            <w:vMerge w:val="restart"/>
          </w:tcPr>
          <w:p>
            <w:pPr>
              <w:ind w:left="20"/>
              <w:spacing w:after="0"/>
              <w:rPr>
                <w:sz w:val="20"/>
                <w:szCs w:val="20"/>
                <w:color w:val="auto"/>
              </w:rPr>
            </w:pPr>
            <w:r>
              <w:rPr>
                <w:rFonts w:ascii="Calibri" w:cs="Calibri" w:eastAsia="Calibri" w:hAnsi="Calibri"/>
                <w:sz w:val="16"/>
                <w:szCs w:val="16"/>
                <w:b w:val="1"/>
                <w:bCs w:val="1"/>
                <w:color w:val="auto"/>
              </w:rPr>
              <w:t>Contract assets:</w:t>
            </w: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52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DBDBDB"/>
          </w:tcPr>
          <w:p>
            <w:pPr>
              <w:ind w:left="360"/>
              <w:spacing w:after="0" w:line="216" w:lineRule="exact"/>
              <w:rPr>
                <w:sz w:val="20"/>
                <w:szCs w:val="20"/>
                <w:color w:val="auto"/>
              </w:rPr>
            </w:pPr>
            <w:r>
              <w:rPr>
                <w:rFonts w:ascii="Calibri" w:cs="Calibri" w:eastAsia="Calibri" w:hAnsi="Calibri"/>
                <w:sz w:val="16"/>
                <w:szCs w:val="16"/>
                <w:color w:val="auto"/>
              </w:rPr>
              <w:t>Accounts receivable</w:t>
            </w:r>
            <w:r>
              <w:rPr>
                <w:rFonts w:ascii="Calibri" w:cs="Calibri" w:eastAsia="Calibri" w:hAnsi="Calibri"/>
                <w:sz w:val="21"/>
                <w:szCs w:val="21"/>
                <w:color w:val="auto"/>
                <w:vertAlign w:val="superscript"/>
              </w:rPr>
              <w:t>(1)</w:t>
            </w:r>
          </w:p>
        </w:tc>
        <w:tc>
          <w:tcPr>
            <w:tcW w:w="180" w:type="dxa"/>
            <w:vAlign w:val="bottom"/>
            <w:shd w:val="clear" w:color="auto" w:fill="DBDBDB"/>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240" w:type="dxa"/>
            <w:vAlign w:val="bottom"/>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1,901</w:t>
            </w:r>
          </w:p>
        </w:tc>
        <w:tc>
          <w:tcPr>
            <w:tcW w:w="120" w:type="dxa"/>
            <w:vAlign w:val="bottom"/>
            <w:shd w:val="clear" w:color="auto" w:fill="DBDBDB"/>
          </w:tcPr>
          <w:p>
            <w:pPr>
              <w:spacing w:after="0"/>
              <w:rPr>
                <w:sz w:val="18"/>
                <w:szCs w:val="18"/>
                <w:color w:val="auto"/>
              </w:rPr>
            </w:pPr>
          </w:p>
        </w:tc>
        <w:tc>
          <w:tcPr>
            <w:tcW w:w="240" w:type="dxa"/>
            <w:vAlign w:val="bottom"/>
            <w:shd w:val="clear" w:color="auto" w:fill="DBDBDB"/>
          </w:tcPr>
          <w:p>
            <w:pPr>
              <w:jc w:val="right"/>
              <w:ind w:right="59"/>
              <w:spacing w:after="0" w:line="193" w:lineRule="exact"/>
              <w:rPr>
                <w:sz w:val="20"/>
                <w:szCs w:val="20"/>
                <w:color w:val="auto"/>
              </w:rPr>
            </w:pPr>
            <w:r>
              <w:rPr>
                <w:rFonts w:ascii="Calibri" w:cs="Calibri" w:eastAsia="Calibri" w:hAnsi="Calibri"/>
                <w:sz w:val="16"/>
                <w:szCs w:val="16"/>
                <w:color w:val="auto"/>
                <w:w w:val="97"/>
              </w:rPr>
              <w:t>$</w:t>
            </w:r>
          </w:p>
        </w:tc>
        <w:tc>
          <w:tcPr>
            <w:tcW w:w="1180" w:type="dxa"/>
            <w:vAlign w:val="bottom"/>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10,088</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jc w:val="right"/>
              <w:ind w:right="19"/>
              <w:spacing w:after="0" w:line="193" w:lineRule="exact"/>
              <w:rPr>
                <w:sz w:val="20"/>
                <w:szCs w:val="20"/>
                <w:color w:val="auto"/>
              </w:rPr>
            </w:pPr>
            <w:r>
              <w:rPr>
                <w:rFonts w:ascii="Calibri" w:cs="Calibri" w:eastAsia="Calibri" w:hAnsi="Calibri"/>
                <w:sz w:val="16"/>
                <w:szCs w:val="16"/>
                <w:color w:val="auto"/>
              </w:rPr>
              <w:t>$</w:t>
            </w:r>
          </w:p>
        </w:tc>
        <w:tc>
          <w:tcPr>
            <w:tcW w:w="1220" w:type="dxa"/>
            <w:vAlign w:val="bottom"/>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(8,656)</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280" w:type="dxa"/>
            <w:vAlign w:val="bottom"/>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3,333</w:t>
            </w:r>
          </w:p>
        </w:tc>
        <w:tc>
          <w:tcPr>
            <w:tcW w:w="0" w:type="dxa"/>
            <w:vAlign w:val="bottom"/>
          </w:tcPr>
          <w:p>
            <w:pPr>
              <w:spacing w:after="0"/>
              <w:rPr>
                <w:sz w:val="1"/>
                <w:szCs w:val="1"/>
                <w:color w:val="auto"/>
              </w:rPr>
            </w:pPr>
          </w:p>
        </w:tc>
      </w:tr>
      <w:tr>
        <w:trPr>
          <w:trHeight w:val="193"/>
        </w:trPr>
        <w:tc>
          <w:tcPr>
            <w:tcW w:w="5200" w:type="dxa"/>
            <w:vAlign w:val="bottom"/>
          </w:tcPr>
          <w:p>
            <w:pPr>
              <w:ind w:left="360"/>
              <w:spacing w:after="0" w:line="193" w:lineRule="exact"/>
              <w:rPr>
                <w:sz w:val="20"/>
                <w:szCs w:val="20"/>
                <w:color w:val="auto"/>
              </w:rPr>
            </w:pPr>
            <w:r>
              <w:rPr>
                <w:rFonts w:ascii="Calibri" w:cs="Calibri" w:eastAsia="Calibri" w:hAnsi="Calibri"/>
                <w:sz w:val="16"/>
                <w:szCs w:val="16"/>
                <w:color w:val="auto"/>
              </w:rPr>
              <w:t>Prepaid expenses and other current assets</w:t>
            </w:r>
          </w:p>
        </w:tc>
        <w:tc>
          <w:tcPr>
            <w:tcW w:w="180" w:type="dxa"/>
            <w:vAlign w:val="bottom"/>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240" w:type="dxa"/>
            <w:vAlign w:val="bottom"/>
          </w:tcPr>
          <w:p>
            <w:pPr>
              <w:jc w:val="right"/>
              <w:spacing w:after="0" w:line="193" w:lineRule="exact"/>
              <w:rPr>
                <w:sz w:val="20"/>
                <w:szCs w:val="20"/>
                <w:color w:val="auto"/>
              </w:rPr>
            </w:pPr>
            <w:r>
              <w:rPr>
                <w:rFonts w:ascii="Calibri" w:cs="Calibri" w:eastAsia="Calibri" w:hAnsi="Calibri"/>
                <w:sz w:val="16"/>
                <w:szCs w:val="16"/>
                <w:color w:val="auto"/>
              </w:rPr>
              <w:t>781</w:t>
            </w:r>
          </w:p>
        </w:tc>
        <w:tc>
          <w:tcPr>
            <w:tcW w:w="120" w:type="dxa"/>
            <w:vAlign w:val="bottom"/>
          </w:tcPr>
          <w:p>
            <w:pPr>
              <w:spacing w:after="0"/>
              <w:rPr>
                <w:sz w:val="16"/>
                <w:szCs w:val="16"/>
                <w:color w:val="auto"/>
              </w:rPr>
            </w:pPr>
          </w:p>
        </w:tc>
        <w:tc>
          <w:tcPr>
            <w:tcW w:w="24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w w:val="97"/>
              </w:rPr>
              <w:t>$</w:t>
            </w:r>
          </w:p>
        </w:tc>
        <w:tc>
          <w:tcPr>
            <w:tcW w:w="128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w:t>
            </w:r>
          </w:p>
        </w:tc>
        <w:tc>
          <w:tcPr>
            <w:tcW w:w="1220" w:type="dxa"/>
            <w:vAlign w:val="bottom"/>
          </w:tcPr>
          <w:p>
            <w:pPr>
              <w:jc w:val="right"/>
              <w:spacing w:after="0" w:line="193" w:lineRule="exact"/>
              <w:rPr>
                <w:sz w:val="20"/>
                <w:szCs w:val="20"/>
                <w:color w:val="auto"/>
              </w:rPr>
            </w:pPr>
            <w:r>
              <w:rPr>
                <w:rFonts w:ascii="Calibri" w:cs="Calibri" w:eastAsia="Calibri" w:hAnsi="Calibri"/>
                <w:sz w:val="16"/>
                <w:szCs w:val="16"/>
                <w:color w:val="auto"/>
              </w:rPr>
              <w:t>(781)</w:t>
            </w:r>
          </w:p>
        </w:tc>
        <w:tc>
          <w:tcPr>
            <w:tcW w:w="100" w:type="dxa"/>
            <w:vAlign w:val="bottom"/>
          </w:tcPr>
          <w:p>
            <w:pPr>
              <w:spacing w:after="0"/>
              <w:rPr>
                <w:sz w:val="16"/>
                <w:szCs w:val="16"/>
                <w:color w:val="auto"/>
              </w:rPr>
            </w:pPr>
          </w:p>
        </w:tc>
        <w:tc>
          <w:tcPr>
            <w:tcW w:w="160" w:type="dxa"/>
            <w:vAlign w:val="bottom"/>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23"/>
        </w:trPr>
        <w:tc>
          <w:tcPr>
            <w:tcW w:w="5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tcBorders>
              <w:bottom w:val="single" w:sz="8" w:color="DBDBDB"/>
            </w:tcBorders>
            <w:shd w:val="clear" w:color="auto" w:fill="DBDBDB"/>
          </w:tcPr>
          <w:p>
            <w:pPr>
              <w:ind w:left="20"/>
              <w:spacing w:after="0" w:line="193" w:lineRule="exact"/>
              <w:rPr>
                <w:sz w:val="20"/>
                <w:szCs w:val="20"/>
                <w:color w:val="auto"/>
              </w:rPr>
            </w:pPr>
            <w:r>
              <w:rPr>
                <w:rFonts w:ascii="Calibri" w:cs="Calibri" w:eastAsia="Calibri" w:hAnsi="Calibri"/>
                <w:sz w:val="16"/>
                <w:szCs w:val="16"/>
                <w:b w:val="1"/>
                <w:bCs w:val="1"/>
                <w:color w:val="auto"/>
              </w:rPr>
              <w:t>Contract liabilites:</w:t>
            </w:r>
          </w:p>
        </w:tc>
        <w:tc>
          <w:tcPr>
            <w:tcW w:w="180" w:type="dxa"/>
            <w:vAlign w:val="bottom"/>
            <w:tcBorders>
              <w:bottom w:val="single" w:sz="8" w:color="DBDBDB"/>
            </w:tcBorders>
            <w:shd w:val="clear" w:color="auto" w:fill="DBDBDB"/>
          </w:tcPr>
          <w:p>
            <w:pPr>
              <w:spacing w:after="0"/>
              <w:rPr>
                <w:sz w:val="17"/>
                <w:szCs w:val="17"/>
                <w:color w:val="auto"/>
              </w:rPr>
            </w:pPr>
          </w:p>
        </w:tc>
        <w:tc>
          <w:tcPr>
            <w:tcW w:w="124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24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DBDBDB"/>
            </w:tcBorders>
            <w:shd w:val="clear" w:color="auto" w:fill="DBDBDB"/>
          </w:tcPr>
          <w:p>
            <w:pPr>
              <w:spacing w:after="0"/>
              <w:rPr>
                <w:sz w:val="17"/>
                <w:szCs w:val="17"/>
                <w:color w:val="auto"/>
              </w:rPr>
            </w:pPr>
          </w:p>
        </w:tc>
        <w:tc>
          <w:tcPr>
            <w:tcW w:w="122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60" w:type="dxa"/>
            <w:vAlign w:val="bottom"/>
            <w:tcBorders>
              <w:bottom w:val="single" w:sz="8" w:color="DBDBDB"/>
            </w:tcBorders>
            <w:shd w:val="clear" w:color="auto" w:fill="DBDBDB"/>
          </w:tcPr>
          <w:p>
            <w:pPr>
              <w:spacing w:after="0"/>
              <w:rPr>
                <w:sz w:val="17"/>
                <w:szCs w:val="17"/>
                <w:color w:val="auto"/>
              </w:rPr>
            </w:pPr>
          </w:p>
        </w:tc>
        <w:tc>
          <w:tcPr>
            <w:tcW w:w="128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200" w:type="dxa"/>
            <w:vAlign w:val="bottom"/>
          </w:tcPr>
          <w:p>
            <w:pPr>
              <w:ind w:left="360"/>
              <w:spacing w:after="0" w:line="193" w:lineRule="exact"/>
              <w:rPr>
                <w:sz w:val="20"/>
                <w:szCs w:val="20"/>
                <w:color w:val="auto"/>
              </w:rPr>
            </w:pPr>
            <w:r>
              <w:rPr>
                <w:rFonts w:ascii="Calibri" w:cs="Calibri" w:eastAsia="Calibri" w:hAnsi="Calibri"/>
                <w:sz w:val="16"/>
                <w:szCs w:val="16"/>
                <w:color w:val="auto"/>
              </w:rPr>
              <w:t>Deferred revenue (current and long-term)</w:t>
            </w:r>
          </w:p>
        </w:tc>
        <w:tc>
          <w:tcPr>
            <w:tcW w:w="180" w:type="dxa"/>
            <w:vAlign w:val="bottom"/>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240" w:type="dxa"/>
            <w:vAlign w:val="bottom"/>
          </w:tcPr>
          <w:p>
            <w:pPr>
              <w:jc w:val="right"/>
              <w:spacing w:after="0" w:line="193" w:lineRule="exact"/>
              <w:rPr>
                <w:sz w:val="20"/>
                <w:szCs w:val="20"/>
                <w:color w:val="auto"/>
              </w:rPr>
            </w:pPr>
            <w:r>
              <w:rPr>
                <w:rFonts w:ascii="Calibri" w:cs="Calibri" w:eastAsia="Calibri" w:hAnsi="Calibri"/>
                <w:sz w:val="16"/>
                <w:szCs w:val="16"/>
                <w:color w:val="auto"/>
              </w:rPr>
              <w:t>47,034</w:t>
            </w:r>
          </w:p>
        </w:tc>
        <w:tc>
          <w:tcPr>
            <w:tcW w:w="120" w:type="dxa"/>
            <w:vAlign w:val="bottom"/>
          </w:tcPr>
          <w:p>
            <w:pPr>
              <w:spacing w:after="0"/>
              <w:rPr>
                <w:sz w:val="16"/>
                <w:szCs w:val="16"/>
                <w:color w:val="auto"/>
              </w:rPr>
            </w:pPr>
          </w:p>
        </w:tc>
        <w:tc>
          <w:tcPr>
            <w:tcW w:w="24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w w:val="97"/>
              </w:rPr>
              <w:t>$</w:t>
            </w:r>
          </w:p>
        </w:tc>
        <w:tc>
          <w:tcPr>
            <w:tcW w:w="128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Pr>
          <w:p>
            <w:pPr>
              <w:jc w:val="right"/>
              <w:ind w:right="19"/>
              <w:spacing w:after="0" w:line="193" w:lineRule="exact"/>
              <w:rPr>
                <w:sz w:val="20"/>
                <w:szCs w:val="20"/>
                <w:color w:val="auto"/>
              </w:rPr>
            </w:pPr>
            <w:r>
              <w:rPr>
                <w:rFonts w:ascii="Calibri" w:cs="Calibri" w:eastAsia="Calibri" w:hAnsi="Calibri"/>
                <w:sz w:val="16"/>
                <w:szCs w:val="16"/>
                <w:color w:val="auto"/>
              </w:rPr>
              <w:t>$</w:t>
            </w:r>
          </w:p>
        </w:tc>
        <w:tc>
          <w:tcPr>
            <w:tcW w:w="1220" w:type="dxa"/>
            <w:vAlign w:val="bottom"/>
          </w:tcPr>
          <w:p>
            <w:pPr>
              <w:jc w:val="right"/>
              <w:spacing w:after="0" w:line="193" w:lineRule="exact"/>
              <w:rPr>
                <w:sz w:val="20"/>
                <w:szCs w:val="20"/>
                <w:color w:val="auto"/>
              </w:rPr>
            </w:pPr>
            <w:r>
              <w:rPr>
                <w:rFonts w:ascii="Calibri" w:cs="Calibri" w:eastAsia="Calibri" w:hAnsi="Calibri"/>
                <w:sz w:val="16"/>
                <w:szCs w:val="16"/>
                <w:color w:val="auto"/>
              </w:rPr>
              <w:t>(3,738)</w:t>
            </w:r>
          </w:p>
        </w:tc>
        <w:tc>
          <w:tcPr>
            <w:tcW w:w="100" w:type="dxa"/>
            <w:vAlign w:val="bottom"/>
          </w:tcPr>
          <w:p>
            <w:pPr>
              <w:spacing w:after="0"/>
              <w:rPr>
                <w:sz w:val="16"/>
                <w:szCs w:val="16"/>
                <w:color w:val="auto"/>
              </w:rPr>
            </w:pPr>
          </w:p>
        </w:tc>
        <w:tc>
          <w:tcPr>
            <w:tcW w:w="160" w:type="dxa"/>
            <w:vAlign w:val="bottom"/>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color w:val="auto"/>
              </w:rPr>
              <w:t>43,296</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20" w:hanging="329"/>
        <w:spacing w:after="0" w:line="246" w:lineRule="auto"/>
        <w:tabs>
          <w:tab w:leader="none" w:pos="611" w:val="left"/>
        </w:tabs>
        <w:numPr>
          <w:ilvl w:val="0"/>
          <w:numId w:val="71"/>
        </w:numPr>
        <w:rPr>
          <w:rFonts w:ascii="Calibri" w:cs="Calibri" w:eastAsia="Calibri" w:hAnsi="Calibri"/>
          <w:sz w:val="16"/>
          <w:szCs w:val="16"/>
          <w:color w:val="auto"/>
        </w:rPr>
      </w:pPr>
      <w:r>
        <w:rPr>
          <w:rFonts w:ascii="Calibri" w:cs="Calibri" w:eastAsia="Calibri" w:hAnsi="Calibri"/>
          <w:sz w:val="16"/>
          <w:szCs w:val="16"/>
          <w:color w:val="auto"/>
        </w:rPr>
        <w:t>Excludes accounts receivable from product sales of Auryxia which are included in the accompanying consolidated balance sheets as of December 31, 2024 and 2023.</w:t>
      </w:r>
    </w:p>
    <w:p>
      <w:pPr>
        <w:spacing w:after="0" w:line="97" w:lineRule="exact"/>
        <w:rPr>
          <w:rFonts w:ascii="Calibri" w:cs="Calibri" w:eastAsia="Calibri" w:hAnsi="Calibri"/>
          <w:sz w:val="16"/>
          <w:szCs w:val="16"/>
          <w:color w:val="auto"/>
        </w:rPr>
      </w:pPr>
    </w:p>
    <w:p>
      <w:pPr>
        <w:ind w:left="600" w:hanging="309"/>
        <w:spacing w:after="0"/>
        <w:tabs>
          <w:tab w:leader="none" w:pos="600" w:val="left"/>
        </w:tabs>
        <w:numPr>
          <w:ilvl w:val="0"/>
          <w:numId w:val="71"/>
        </w:numPr>
        <w:rPr>
          <w:rFonts w:ascii="Calibri" w:cs="Calibri" w:eastAsia="Calibri" w:hAnsi="Calibri"/>
          <w:sz w:val="16"/>
          <w:szCs w:val="16"/>
          <w:color w:val="auto"/>
        </w:rPr>
      </w:pPr>
      <w:r>
        <w:rPr>
          <w:rFonts w:ascii="Calibri" w:cs="Calibri" w:eastAsia="Calibri" w:hAnsi="Calibri"/>
          <w:sz w:val="16"/>
          <w:szCs w:val="16"/>
          <w:color w:val="auto"/>
        </w:rPr>
        <w:t xml:space="preserve">See Note 8, </w:t>
      </w:r>
      <w:r>
        <w:rPr>
          <w:rFonts w:ascii="Calibri" w:cs="Calibri" w:eastAsia="Calibri" w:hAnsi="Calibri"/>
          <w:sz w:val="16"/>
          <w:szCs w:val="16"/>
          <w:i w:val="1"/>
          <w:iCs w:val="1"/>
          <w:color w:val="auto"/>
        </w:rPr>
        <w:t>Liability Related to Setlement Royaltes, Working Capital Fund Liability and Liability Related to Sale of Future Royaltes</w:t>
      </w:r>
      <w:r>
        <w:rPr>
          <w:rFonts w:ascii="Calibri" w:cs="Calibri" w:eastAsia="Calibri" w:hAnsi="Calibri"/>
          <w:sz w:val="16"/>
          <w:szCs w:val="16"/>
          <w:color w:val="auto"/>
        </w:rPr>
        <w:t>, for further informaton.</w:t>
      </w:r>
    </w:p>
    <w:p>
      <w:pPr>
        <w:spacing w:after="0" w:line="10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years ended December 31, 2024 and 2023, the Company recognized the following revenues as a result of changes in the contract asset and contract liability balances in the respectve periods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80" w:type="dxa"/>
            <w:vAlign w:val="bottom"/>
            <w:gridSpan w:val="4"/>
          </w:tcPr>
          <w:p>
            <w:pPr>
              <w:jc w:val="right"/>
              <w:ind w:right="19"/>
              <w:spacing w:after="0"/>
              <w:rPr>
                <w:sz w:val="20"/>
                <w:szCs w:val="20"/>
                <w:color w:val="auto"/>
              </w:rPr>
            </w:pPr>
            <w:r>
              <w:rPr>
                <w:rFonts w:ascii="Calibri" w:cs="Calibri" w:eastAsia="Calibri" w:hAnsi="Calibri"/>
                <w:sz w:val="16"/>
                <w:szCs w:val="16"/>
                <w:b w:val="1"/>
                <w:bCs w:val="1"/>
                <w:color w:val="auto"/>
              </w:rPr>
              <w:t>Years Ended December 31,</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8260" w:type="dxa"/>
            <w:vAlign w:val="bottom"/>
            <w:gridSpan w:val="2"/>
            <w:vMerge w:val="restart"/>
          </w:tcPr>
          <w:p>
            <w:pPr>
              <w:ind w:left="20"/>
              <w:spacing w:after="0"/>
              <w:rPr>
                <w:sz w:val="20"/>
                <w:szCs w:val="20"/>
                <w:color w:val="auto"/>
              </w:rPr>
            </w:pPr>
            <w:r>
              <w:rPr>
                <w:rFonts w:ascii="Calibri" w:cs="Calibri" w:eastAsia="Calibri" w:hAnsi="Calibri"/>
                <w:sz w:val="16"/>
                <w:szCs w:val="16"/>
                <w:b w:val="1"/>
                <w:bCs w:val="1"/>
                <w:color w:val="auto"/>
              </w:rPr>
              <w:t>Revenue Recognized in the Period from:</w:t>
            </w: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8260" w:type="dxa"/>
            <w:vAlign w:val="bottom"/>
            <w:gridSpan w:val="2"/>
            <w:vMerge w:val="continue"/>
          </w:tcPr>
          <w:p>
            <w:pPr>
              <w:spacing w:after="0"/>
              <w:rPr>
                <w:sz w:val="16"/>
                <w:szCs w:val="16"/>
                <w:color w:val="auto"/>
              </w:rPr>
            </w:pPr>
          </w:p>
        </w:tc>
        <w:tc>
          <w:tcPr>
            <w:tcW w:w="1060" w:type="dxa"/>
            <w:vAlign w:val="bottom"/>
          </w:tcPr>
          <w:p>
            <w:pPr>
              <w:jc w:val="right"/>
              <w:ind w:right="99"/>
              <w:spacing w:after="0" w:line="187" w:lineRule="exact"/>
              <w:rPr>
                <w:sz w:val="20"/>
                <w:szCs w:val="20"/>
                <w:color w:val="auto"/>
              </w:rPr>
            </w:pPr>
            <w:r>
              <w:rPr>
                <w:rFonts w:ascii="Calibri" w:cs="Calibri" w:eastAsia="Calibri" w:hAnsi="Calibri"/>
                <w:sz w:val="16"/>
                <w:szCs w:val="16"/>
                <w:b w:val="1"/>
                <w:bCs w:val="1"/>
                <w:color w:val="auto"/>
              </w:rPr>
              <w:t>2024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2023</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8180" w:type="dxa"/>
            <w:vAlign w:val="bottom"/>
            <w:tcBorders>
              <w:bottom w:val="single" w:sz="8" w:color="DBDBDB"/>
            </w:tcBorders>
            <w:shd w:val="clear" w:color="auto" w:fill="DBDBDB"/>
          </w:tcPr>
          <w:p>
            <w:pPr>
              <w:ind w:left="20"/>
              <w:spacing w:after="0" w:line="187" w:lineRule="exact"/>
              <w:rPr>
                <w:sz w:val="20"/>
                <w:szCs w:val="20"/>
                <w:color w:val="auto"/>
              </w:rPr>
            </w:pPr>
            <w:r>
              <w:rPr>
                <w:rFonts w:ascii="Calibri" w:cs="Calibri" w:eastAsia="Calibri" w:hAnsi="Calibri"/>
                <w:sz w:val="16"/>
                <w:szCs w:val="16"/>
                <w:color w:val="auto"/>
              </w:rPr>
              <w:t>Deferred revenue - beginning of the period</w:t>
            </w:r>
          </w:p>
        </w:tc>
        <w:tc>
          <w:tcPr>
            <w:tcW w:w="80" w:type="dxa"/>
            <w:vAlign w:val="bottom"/>
            <w:tcBorders>
              <w:bottom w:val="single" w:sz="8" w:color="DBDBDB"/>
            </w:tcBorders>
            <w:shd w:val="clear" w:color="auto" w:fill="DBDBDB"/>
          </w:tcPr>
          <w:p>
            <w:pPr>
              <w:spacing w:after="0"/>
              <w:rPr>
                <w:sz w:val="16"/>
                <w:szCs w:val="16"/>
                <w:color w:val="auto"/>
              </w:rPr>
            </w:pPr>
          </w:p>
        </w:tc>
        <w:tc>
          <w:tcPr>
            <w:tcW w:w="1060" w:type="dxa"/>
            <w:vAlign w:val="bottom"/>
            <w:tcBorders>
              <w:bottom w:val="single" w:sz="8" w:color="DBDBDB"/>
            </w:tcBorders>
            <w:shd w:val="clear" w:color="auto" w:fill="DBDBDB"/>
          </w:tcPr>
          <w:p>
            <w:pPr>
              <w:jc w:val="right"/>
              <w:ind w:right="859"/>
              <w:spacing w:after="0" w:line="187" w:lineRule="exact"/>
              <w:rPr>
                <w:sz w:val="20"/>
                <w:szCs w:val="20"/>
                <w:color w:val="auto"/>
              </w:rPr>
            </w:pPr>
            <w:r>
              <w:rPr>
                <w:rFonts w:ascii="Calibri" w:cs="Calibri" w:eastAsia="Calibri" w:hAnsi="Calibri"/>
                <w:sz w:val="16"/>
                <w:szCs w:val="16"/>
                <w:color w:val="auto"/>
              </w:rPr>
              <w:t>$</w:t>
            </w:r>
          </w:p>
        </w:tc>
        <w:tc>
          <w:tcPr>
            <w:tcW w:w="380" w:type="dxa"/>
            <w:vAlign w:val="bottom"/>
            <w:tcBorders>
              <w:bottom w:val="single" w:sz="8" w:color="DBDBDB"/>
            </w:tcBorders>
            <w:shd w:val="clear" w:color="auto" w:fill="DBDBDB"/>
          </w:tcPr>
          <w:p>
            <w:pPr>
              <w:ind w:left="180"/>
              <w:spacing w:after="0" w:line="187"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DBDBDB"/>
            </w:tcBorders>
            <w:shd w:val="clear" w:color="auto" w:fill="DBDBDB"/>
          </w:tcPr>
          <w:p>
            <w:pPr>
              <w:spacing w:after="0"/>
              <w:rPr>
                <w:sz w:val="16"/>
                <w:szCs w:val="16"/>
                <w:color w:val="auto"/>
              </w:rPr>
            </w:pPr>
          </w:p>
        </w:tc>
        <w:tc>
          <w:tcPr>
            <w:tcW w:w="940" w:type="dxa"/>
            <w:vAlign w:val="bottom"/>
            <w:tcBorders>
              <w:bottom w:val="single" w:sz="8" w:color="DBDBDB"/>
            </w:tcBorders>
            <w:shd w:val="clear" w:color="auto" w:fill="DBDBDB"/>
          </w:tcPr>
          <w:p>
            <w:pPr>
              <w:jc w:val="right"/>
              <w:ind w:right="759"/>
              <w:spacing w:after="0" w:line="187" w:lineRule="exact"/>
              <w:rPr>
                <w:sz w:val="20"/>
                <w:szCs w:val="20"/>
                <w:color w:val="auto"/>
              </w:rPr>
            </w:pPr>
            <w:r>
              <w:rPr>
                <w:rFonts w:ascii="Calibri" w:cs="Calibri" w:eastAsia="Calibri" w:hAnsi="Calibri"/>
                <w:sz w:val="16"/>
                <w:szCs w:val="16"/>
                <w:color w:val="auto"/>
                <w:w w:val="97"/>
              </w:rPr>
              <w:t>$</w:t>
            </w:r>
          </w:p>
        </w:tc>
        <w:tc>
          <w:tcPr>
            <w:tcW w:w="50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3,738</w:t>
            </w:r>
          </w:p>
        </w:tc>
        <w:tc>
          <w:tcPr>
            <w:tcW w:w="0" w:type="dxa"/>
            <w:vAlign w:val="bottom"/>
          </w:tcPr>
          <w:p>
            <w:pPr>
              <w:spacing w:after="0"/>
              <w:rPr>
                <w:sz w:val="1"/>
                <w:szCs w:val="1"/>
                <w:color w:val="auto"/>
              </w:rPr>
            </w:pPr>
          </w:p>
        </w:tc>
      </w:tr>
      <w:tr>
        <w:trPr>
          <w:trHeight w:val="194"/>
        </w:trPr>
        <w:tc>
          <w:tcPr>
            <w:tcW w:w="826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Performance obligatons satsfed in previous periods</w:t>
            </w:r>
          </w:p>
        </w:tc>
        <w:tc>
          <w:tcPr>
            <w:tcW w:w="1060" w:type="dxa"/>
            <w:vAlign w:val="bottom"/>
          </w:tcPr>
          <w:p>
            <w:pPr>
              <w:jc w:val="right"/>
              <w:ind w:right="859"/>
              <w:spacing w:after="0" w:line="193" w:lineRule="exact"/>
              <w:rPr>
                <w:sz w:val="20"/>
                <w:szCs w:val="20"/>
                <w:color w:val="auto"/>
              </w:rPr>
            </w:pPr>
            <w:r>
              <w:rPr>
                <w:rFonts w:ascii="Calibri" w:cs="Calibri" w:eastAsia="Calibri" w:hAnsi="Calibri"/>
                <w:sz w:val="16"/>
                <w:szCs w:val="16"/>
                <w:color w:val="auto"/>
              </w:rPr>
              <w:t>$</w:t>
            </w:r>
          </w:p>
        </w:tc>
        <w:tc>
          <w:tcPr>
            <w:tcW w:w="480" w:type="dxa"/>
            <w:vAlign w:val="bottom"/>
            <w:gridSpan w:val="2"/>
          </w:tcPr>
          <w:p>
            <w:pPr>
              <w:ind w:left="180"/>
              <w:spacing w:after="0" w:line="193" w:lineRule="exact"/>
              <w:rPr>
                <w:sz w:val="20"/>
                <w:szCs w:val="20"/>
                <w:color w:val="auto"/>
              </w:rPr>
            </w:pPr>
            <w:r>
              <w:rPr>
                <w:rFonts w:ascii="Calibri" w:cs="Calibri" w:eastAsia="Calibri" w:hAnsi="Calibri"/>
                <w:sz w:val="16"/>
                <w:szCs w:val="16"/>
                <w:color w:val="auto"/>
              </w:rPr>
              <w:t>—</w:t>
            </w:r>
          </w:p>
        </w:tc>
        <w:tc>
          <w:tcPr>
            <w:tcW w:w="940" w:type="dxa"/>
            <w:vAlign w:val="bottom"/>
          </w:tcPr>
          <w:p>
            <w:pPr>
              <w:jc w:val="right"/>
              <w:ind w:right="759"/>
              <w:spacing w:after="0" w:line="193" w:lineRule="exact"/>
              <w:rPr>
                <w:sz w:val="20"/>
                <w:szCs w:val="20"/>
                <w:color w:val="auto"/>
              </w:rPr>
            </w:pPr>
            <w:r>
              <w:rPr>
                <w:rFonts w:ascii="Calibri" w:cs="Calibri" w:eastAsia="Calibri" w:hAnsi="Calibri"/>
                <w:sz w:val="16"/>
                <w:szCs w:val="16"/>
                <w:color w:val="auto"/>
                <w:w w:val="97"/>
              </w:rPr>
              <w:t>$</w:t>
            </w:r>
          </w:p>
        </w:tc>
        <w:tc>
          <w:tcPr>
            <w:tcW w:w="50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Medice License Agreement</w:t>
      </w:r>
    </w:p>
    <w:p>
      <w:pPr>
        <w:spacing w:after="0" w:line="109"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 xml:space="preserve">On May 24, 2023, or </w:t>
      </w:r>
      <w:r>
        <w:rPr>
          <w:rFonts w:ascii="Calibri" w:cs="Calibri" w:eastAsia="Calibri" w:hAnsi="Calibri"/>
          <w:sz w:val="17"/>
          <w:szCs w:val="17"/>
          <w:u w:val="single" w:color="auto"/>
          <w:color w:val="auto"/>
        </w:rPr>
        <w:t>Medice Efectve Date</w:t>
      </w:r>
      <w:r>
        <w:rPr>
          <w:rFonts w:ascii="Calibri" w:cs="Calibri" w:eastAsia="Calibri" w:hAnsi="Calibri"/>
          <w:sz w:val="17"/>
          <w:szCs w:val="17"/>
          <w:color w:val="auto"/>
        </w:rPr>
        <w:t xml:space="preserve">, the Company and MEDICE Arzneimitel Püter GmbH &amp; Co. KG, or </w:t>
      </w:r>
      <w:r>
        <w:rPr>
          <w:rFonts w:ascii="Calibri" w:cs="Calibri" w:eastAsia="Calibri" w:hAnsi="Calibri"/>
          <w:sz w:val="17"/>
          <w:szCs w:val="17"/>
          <w:u w:val="single" w:color="auto"/>
          <w:color w:val="auto"/>
        </w:rPr>
        <w:t>Medice</w:t>
      </w:r>
      <w:r>
        <w:rPr>
          <w:rFonts w:ascii="Calibri" w:cs="Calibri" w:eastAsia="Calibri" w:hAnsi="Calibri"/>
          <w:sz w:val="17"/>
          <w:szCs w:val="17"/>
          <w:color w:val="auto"/>
        </w:rPr>
        <w:t xml:space="preserve">, entered into a License Agreement, or the </w:t>
      </w:r>
      <w:r>
        <w:rPr>
          <w:rFonts w:ascii="Calibri" w:cs="Calibri" w:eastAsia="Calibri" w:hAnsi="Calibri"/>
          <w:sz w:val="17"/>
          <w:szCs w:val="17"/>
          <w:u w:val="single" w:color="auto"/>
          <w:color w:val="auto"/>
        </w:rPr>
        <w:t>Medice License Agreement</w:t>
      </w:r>
      <w:r>
        <w:rPr>
          <w:rFonts w:ascii="Calibri" w:cs="Calibri" w:eastAsia="Calibri" w:hAnsi="Calibri"/>
          <w:sz w:val="17"/>
          <w:szCs w:val="17"/>
          <w:color w:val="auto"/>
        </w:rPr>
        <w:t xml:space="preserve">, pursuant to which the Company granted to Medice an exclusive license to develop and commercialize Vafseo for the treatment of anemia in adult patents with chronic kidney disease in the European Economic Area, the UK, Switzerland and Australia, or the </w:t>
      </w:r>
      <w:r>
        <w:rPr>
          <w:rFonts w:ascii="Calibri" w:cs="Calibri" w:eastAsia="Calibri" w:hAnsi="Calibri"/>
          <w:sz w:val="17"/>
          <w:szCs w:val="17"/>
          <w:u w:val="single" w:color="auto"/>
          <w:color w:val="auto"/>
        </w:rPr>
        <w:t>Medice Territory</w:t>
      </w:r>
      <w:r>
        <w:rPr>
          <w:rFonts w:ascii="Calibri" w:cs="Calibri" w:eastAsia="Calibri" w:hAnsi="Calibri"/>
          <w:sz w:val="17"/>
          <w:szCs w:val="17"/>
          <w:color w:val="auto"/>
        </w:rPr>
        <w:t>.</w:t>
      </w:r>
    </w:p>
    <w:p>
      <w:pPr>
        <w:spacing w:after="0" w:line="92" w:lineRule="exact"/>
        <w:rPr>
          <w:sz w:val="20"/>
          <w:szCs w:val="20"/>
          <w:color w:val="auto"/>
        </w:rPr>
      </w:pPr>
    </w:p>
    <w:p>
      <w:pPr>
        <w:spacing w:after="0"/>
        <w:rPr>
          <w:sz w:val="20"/>
          <w:szCs w:val="20"/>
          <w:color w:val="auto"/>
        </w:rPr>
      </w:pPr>
      <w:r>
        <w:rPr>
          <w:rFonts w:ascii="Calibri" w:cs="Calibri" w:eastAsia="Calibri" w:hAnsi="Calibri"/>
          <w:sz w:val="18"/>
          <w:szCs w:val="18"/>
          <w:color w:val="auto"/>
        </w:rPr>
        <w:t>Under the Medice License Agreement, the Company received an up-front payment of $10.0 million and is eligible to receive the following payments:</w:t>
      </w:r>
    </w:p>
    <w:p>
      <w:pPr>
        <w:spacing w:after="0" w:line="104" w:lineRule="exact"/>
        <w:rPr>
          <w:sz w:val="20"/>
          <w:szCs w:val="20"/>
          <w:color w:val="auto"/>
        </w:rPr>
      </w:pPr>
    </w:p>
    <w:p>
      <w:pPr>
        <w:ind w:left="840" w:hanging="346"/>
        <w:spacing w:after="0"/>
        <w:tabs>
          <w:tab w:leader="none" w:pos="840" w:val="left"/>
        </w:tabs>
        <w:numPr>
          <w:ilvl w:val="0"/>
          <w:numId w:val="72"/>
        </w:numPr>
        <w:rPr>
          <w:rFonts w:ascii="Calibri" w:cs="Calibri" w:eastAsia="Calibri" w:hAnsi="Calibri"/>
          <w:sz w:val="18"/>
          <w:szCs w:val="18"/>
          <w:color w:val="auto"/>
        </w:rPr>
      </w:pPr>
      <w:r>
        <w:rPr>
          <w:rFonts w:ascii="Calibri" w:cs="Calibri" w:eastAsia="Calibri" w:hAnsi="Calibri"/>
          <w:sz w:val="18"/>
          <w:szCs w:val="18"/>
          <w:color w:val="auto"/>
        </w:rPr>
        <w:t>commercial milestone payments up to an aggregate of $100.0 million, and</w:t>
      </w:r>
    </w:p>
    <w:p>
      <w:pPr>
        <w:spacing w:after="0" w:line="55" w:lineRule="exact"/>
        <w:rPr>
          <w:rFonts w:ascii="Calibri" w:cs="Calibri" w:eastAsia="Calibri" w:hAnsi="Calibri"/>
          <w:sz w:val="18"/>
          <w:szCs w:val="18"/>
          <w:color w:val="auto"/>
        </w:rPr>
      </w:pPr>
    </w:p>
    <w:p>
      <w:pPr>
        <w:ind w:left="980" w:hanging="486"/>
        <w:spacing w:after="0" w:line="235" w:lineRule="auto"/>
        <w:tabs>
          <w:tab w:leader="none" w:pos="1032" w:val="left"/>
        </w:tabs>
        <w:numPr>
          <w:ilvl w:val="0"/>
          <w:numId w:val="72"/>
        </w:numPr>
        <w:rPr>
          <w:rFonts w:ascii="Calibri" w:cs="Calibri" w:eastAsia="Calibri" w:hAnsi="Calibri"/>
          <w:sz w:val="18"/>
          <w:szCs w:val="18"/>
          <w:color w:val="auto"/>
        </w:rPr>
      </w:pPr>
      <w:r>
        <w:rPr>
          <w:rFonts w:ascii="Calibri" w:cs="Calibri" w:eastAsia="Calibri" w:hAnsi="Calibri"/>
          <w:sz w:val="18"/>
          <w:szCs w:val="18"/>
          <w:color w:val="auto"/>
        </w:rPr>
        <w:t>tered royaltes ranging from 10% to 30% of Medice's annual net sales of Vafseo in the Medice Territory, subject to reducton in certain circumstances.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5" w:name="page156"/>
    <w:bookmarkEnd w:id="15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4" w:lineRule="auto"/>
        <w:rPr>
          <w:sz w:val="20"/>
          <w:szCs w:val="20"/>
          <w:color w:val="auto"/>
        </w:rPr>
      </w:pPr>
      <w:r>
        <w:rPr>
          <w:rFonts w:ascii="Calibri" w:cs="Calibri" w:eastAsia="Calibri" w:hAnsi="Calibri"/>
          <w:sz w:val="17"/>
          <w:szCs w:val="17"/>
          <w:color w:val="auto"/>
        </w:rPr>
        <w:t>The royaltes will expire on a country-by-country basis upon the latest to occur of (a) the date of expiraton of the last-to-expire valid claim of any Company, Medice or joint patent that covers Vafseo in such country in the Medice Territory, (b) the date of expiraton of data or regulatory exclusivity for Vafseo in such country in the Medice Territory and (c) the date that is twelve years from frst commercial sale of Vafseo in such country in the Medice Territory.</w:t>
      </w:r>
    </w:p>
    <w:p>
      <w:pPr>
        <w:spacing w:after="0" w:line="97"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 xml:space="preserve">Under the Medice License Agreement, the Company retains the right to develop Vafseo for non-dialysis patents with anemia due to CKD in the Medice Territory. If the Company develops Vafseo for non-dialysis patents and Vafseo receives marketng approval in the Medice Territory, Medice will commercialize Vafseo for both indicatons in the Medice Territory. In this instance, the Company would receive 70% of the net product margin of any sales of Vafseo in the non-dialysis patent populaton, unless Medice requests to share the cost of the development necessary to gain approval to market Vafseo for non-dialysis patents in the Medice Territory and the partes agree on alternatve fnancial terms. If the Company develops Vafseo for non-dialysis patents, the Company has determined that the actvites under the Medice License Agreement represent joint operatng actvites in which both partes are actve partcipants and of which both partes are exposed to signifcant risks and rewards that are dependent on the success of the actvites. Accordingly, if the Company develops Vafseo for non-dialysis patents the Company will account for the joint actvites in accordance with ASC No. 808, </w:t>
      </w:r>
      <w:r>
        <w:rPr>
          <w:rFonts w:ascii="Calibri" w:cs="Calibri" w:eastAsia="Calibri" w:hAnsi="Calibri"/>
          <w:sz w:val="17"/>
          <w:szCs w:val="17"/>
          <w:i w:val="1"/>
          <w:iCs w:val="1"/>
          <w:color w:val="auto"/>
        </w:rPr>
        <w:t>Collaboratve Arrangements</w:t>
      </w:r>
      <w:r>
        <w:rPr>
          <w:rFonts w:ascii="Calibri" w:cs="Calibri" w:eastAsia="Calibri" w:hAnsi="Calibri"/>
          <w:sz w:val="17"/>
          <w:szCs w:val="17"/>
          <w:color w:val="auto"/>
        </w:rPr>
        <w:t xml:space="preserve">, or </w:t>
      </w:r>
      <w:r>
        <w:rPr>
          <w:rFonts w:ascii="Calibri" w:cs="Calibri" w:eastAsia="Calibri" w:hAnsi="Calibri"/>
          <w:sz w:val="17"/>
          <w:szCs w:val="17"/>
          <w:u w:val="single" w:color="auto"/>
          <w:color w:val="auto"/>
        </w:rPr>
        <w:t>ASC 808</w:t>
      </w:r>
      <w:r>
        <w:rPr>
          <w:rFonts w:ascii="Calibri" w:cs="Calibri" w:eastAsia="Calibri" w:hAnsi="Calibri"/>
          <w:sz w:val="17"/>
          <w:szCs w:val="17"/>
          <w:color w:val="auto"/>
        </w:rPr>
        <w:t xml:space="preserve">. Additonally, the Company has determined that in the context of the development of Vafseo for non-dialysis patents, Medice does not represent a customer as contemplated by ASC 606-10-15, </w:t>
      </w:r>
      <w:r>
        <w:rPr>
          <w:rFonts w:ascii="Calibri" w:cs="Calibri" w:eastAsia="Calibri" w:hAnsi="Calibri"/>
          <w:sz w:val="17"/>
          <w:szCs w:val="17"/>
          <w:i w:val="1"/>
          <w:iCs w:val="1"/>
          <w:color w:val="auto"/>
        </w:rPr>
        <w:t>Revenue from Contracts with Customers – Scope and Scope Exceptons</w:t>
      </w:r>
      <w:r>
        <w:rPr>
          <w:rFonts w:ascii="Calibri" w:cs="Calibri" w:eastAsia="Calibri" w:hAnsi="Calibri"/>
          <w:sz w:val="17"/>
          <w:szCs w:val="17"/>
          <w:color w:val="auto"/>
        </w:rPr>
        <w:t>. As a result, the actvites conducted pursuant to development actvites for Vafseo for non-dialysis patents will be accounted for as a component of the related expense in the period incurred.</w:t>
      </w:r>
    </w:p>
    <w:p>
      <w:pPr>
        <w:spacing w:after="0" w:line="1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Medice License Agreement expires on the date of expiraton of all payment obligatons due thereunder with respect to Vafseo in the last country in the Medice Territory, unless earlier terminated in accordance with the terms of the Medice License Agreement. Either party may, subject to a cure period, terminate the Medice License Agreement in the event of the other party's uncured material breach. Medice has the right to terminate the Medice License Agreement in its entrety for convenience upon twelve months' prior writen notce delivered on or afer the date that is twelve months afer the Medice Efectve Date.</w:t>
      </w:r>
    </w:p>
    <w:p>
      <w:pPr>
        <w:spacing w:after="0" w:line="112"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 xml:space="preserve">The Company evaluated the elements of the Medice License Agreement in accordance with the provisions of ASC 606 and concluded Medice is a customer. The Company identfed one performance obligaton in connecton with its obligatons under the Medice License Agreement, which is the license, or </w:t>
      </w:r>
      <w:r>
        <w:rPr>
          <w:rFonts w:ascii="Calibri" w:cs="Calibri" w:eastAsia="Calibri" w:hAnsi="Calibri"/>
          <w:sz w:val="17"/>
          <w:szCs w:val="17"/>
          <w:u w:val="single" w:color="auto"/>
          <w:color w:val="auto"/>
        </w:rPr>
        <w:t>License</w:t>
      </w:r>
      <w:r>
        <w:rPr>
          <w:rFonts w:ascii="Calibri" w:cs="Calibri" w:eastAsia="Calibri" w:hAnsi="Calibri"/>
          <w:sz w:val="17"/>
          <w:szCs w:val="17"/>
          <w:color w:val="auto"/>
        </w:rPr>
        <w:t xml:space="preserve"> </w:t>
      </w:r>
      <w:r>
        <w:rPr>
          <w:rFonts w:ascii="Calibri" w:cs="Calibri" w:eastAsia="Calibri" w:hAnsi="Calibri"/>
          <w:sz w:val="17"/>
          <w:szCs w:val="17"/>
          <w:u w:val="single" w:color="auto"/>
          <w:color w:val="auto"/>
        </w:rPr>
        <w:t>Performance Obligaton</w:t>
      </w:r>
      <w:r>
        <w:rPr>
          <w:rFonts w:ascii="Calibri" w:cs="Calibri" w:eastAsia="Calibri" w:hAnsi="Calibri"/>
          <w:sz w:val="17"/>
          <w:szCs w:val="17"/>
          <w:color w:val="auto"/>
        </w:rPr>
        <w:t>. The transacton price at incepton was comprised of the up-front payment of $10.0 million, of which the Company received $8.6 million during the quarter ended June 30, 2023. The remaining $1.4 million was withheld by the German Federal Tax Ofce and is included in prepaid expenses and other current assets as of December 31, 2024 and other long-term assets as of December 31, 2023 in the consolidated balance sheet.</w:t>
      </w:r>
    </w:p>
    <w:p>
      <w:pPr>
        <w:spacing w:after="0" w:line="10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Pursuant to the terms of the Medice License Agreement, the up-front payment of $10.0 million is non-refundable and non-creditable against any other amount due to the Company and was allocated to the License Performance Obligaton, which was satsfed as of the Medice Efectve Date. As such, the Company recognized the $10.0 million up-front payment as license, collaboraton and other revenue in the consolidated statement of operatons and comprehensive loss during the year ended December 31, 2023.</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accordance with ASC 606, the Company will recognize sales-based royaltes and milestone payments at the later of when the performance obligaton is satsfed or the related sales occur. During the years ended December 31, 2024 and 2023, the Company recognized immaterial revenue from Medice royaltes and no revenue from Medice royaltes, respectvely. As of December 31, 2024, there were immaterial contract assets, and no accounts receivable, payables or deferred revenue in connecton with the Medice License Agreement.</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Medice Leter Agreement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December 6, 2023, the Company and Medice entered into a leter agreement, or the </w:t>
      </w:r>
      <w:r>
        <w:rPr>
          <w:rFonts w:ascii="Calibri" w:cs="Calibri" w:eastAsia="Calibri" w:hAnsi="Calibri"/>
          <w:sz w:val="18"/>
          <w:szCs w:val="18"/>
          <w:u w:val="single" w:color="auto"/>
          <w:color w:val="auto"/>
        </w:rPr>
        <w:t>Medice Leter Agreement</w:t>
      </w:r>
      <w:r>
        <w:rPr>
          <w:rFonts w:ascii="Calibri" w:cs="Calibri" w:eastAsia="Calibri" w:hAnsi="Calibri"/>
          <w:sz w:val="18"/>
          <w:szCs w:val="18"/>
          <w:color w:val="auto"/>
        </w:rPr>
        <w:t>, pursuant to which the Company agreed to sell to Medice a partal batch of Vafseo in order to achieve packaging validaton for the Medice Territory. The Company previously recognized revenue under this arrangement when risk of loss passed to Medice and delivery occurred. During the year ended December 31, 2023, the Company recognized $1.0 million in collaboraton, license and other revenue under the Medice Leter Agreement. As of December 31, 2024, there were no accounts receivable, contract assets, payables or deferred revenue recorded in connecton with the Medice Leter Agreement.</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u w:val="single" w:color="auto"/>
          <w:color w:val="auto"/>
        </w:rPr>
        <w:t>Supply of Drug Product to Medice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September 13, 2024, the Company and Medice entered into a supply agreement, or the </w:t>
      </w:r>
      <w:r>
        <w:rPr>
          <w:rFonts w:ascii="Calibri" w:cs="Calibri" w:eastAsia="Calibri" w:hAnsi="Calibri"/>
          <w:sz w:val="18"/>
          <w:szCs w:val="18"/>
          <w:u w:val="single" w:color="auto"/>
          <w:color w:val="auto"/>
        </w:rPr>
        <w:t>Medice Supply Agreement</w:t>
      </w:r>
      <w:r>
        <w:rPr>
          <w:rFonts w:ascii="Calibri" w:cs="Calibri" w:eastAsia="Calibri" w:hAnsi="Calibri"/>
          <w:sz w:val="18"/>
          <w:szCs w:val="18"/>
          <w:color w:val="auto"/>
        </w:rPr>
        <w:t>, under which the Company will supply Vafseo drug product to Medice for commercial and developmental use in the Medice Territory. The Company recognizes revenue under this arrangement when risk of loss passes to Medice, delivery has occurred, and Medice has accepted the product. The Company did not recognize any revenue under the Medice Supply Agreement during the years ended December 31, 2024 or 2023.</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6" w:name="page157"/>
    <w:bookmarkEnd w:id="15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MTPC Collaboraton Agreement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December 11, 2015, the Company and MTPC entered into the MTPC Agreement, providing MTPC with exclusive development and commercializaton rights to Vafseo in the MTPC Territory, which was amended efectve as of December 2, 2022. In additon, the Company supplies Vafseo to MTPC for both clinical and commercial use in the MTPC Territory. In February 2021, the Company entered into the Royalty Agreement with HCR, whereby the Company sold its right to receive royaltes and sales milestones under the MTPC Agreement, subject to certain caps and other terms and conditons. See Note 8, </w:t>
      </w:r>
      <w:r>
        <w:rPr>
          <w:rFonts w:ascii="Calibri" w:cs="Calibri" w:eastAsia="Calibri" w:hAnsi="Calibri"/>
          <w:sz w:val="18"/>
          <w:szCs w:val="18"/>
          <w:i w:val="1"/>
          <w:iCs w:val="1"/>
          <w:color w:val="auto"/>
        </w:rPr>
        <w:t>Liability</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Related to Setlement Royaltes, Working Capital Fund Liability and Liability Related to Sale of Future Royaltes, </w:t>
      </w:r>
      <w:r>
        <w:rPr>
          <w:rFonts w:ascii="Calibri" w:cs="Calibri" w:eastAsia="Calibri" w:hAnsi="Calibri"/>
          <w:sz w:val="18"/>
          <w:szCs w:val="18"/>
          <w:color w:val="auto"/>
        </w:rPr>
        <w:t>for more informaton.</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Unless earlier terminated, the MTPC Agreement will contnue in efect on a country-by-country basis untl the later of the following: expiraton of the last-to-expire patent covering Vafseo in such country in the MTPC Territory; expiraton of marketng or regulatory exclusivity in such country in the MTPC Territory; or ten years afer the frst commercial sale of Vafseo in such country in the MTPC Territory. MTPC may terminate the MTPC Agreement upon twelve months’ notce at any tme afer the second anniversary of the efectve date of the MTPC Agreement. Either party may terminate the MTPC Agreement upon the material breach of the other party that is not cured within a specifed tme period or upon the insolvency of the other party.</w:t>
      </w:r>
    </w:p>
    <w:p>
      <w:pPr>
        <w:spacing w:after="0" w:line="112"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Under the MTPC Agreement, MTPC is required to make certain milestone payments to the Company aggregatng up to approximately $225.0 million upon the achievement of specifed development, regulatory and commercial events. The Company has received $10.0 million in development milestone payments. Of the $40.0 million in regulatory milestone payments the Company is eligible for, the Company received $10.0 million in relaton to the Japanese NDA fling in the third quarter of 2019 and $15.0 million following regulatory approval of Vafseo in Japan in the third quarter of 2020. The Company is also enttled to receive up to $175.0 million in commercial milestone payments associated with aggregate sales of all products. In consideraton for the exclusive license and other rights contained in the MTPC Agreement, MTPC made a $20.0 million upfront payment as well as a $20.5 million payment for Phase 2 studies in Japanese patents completed by the Company and reimbursed by MTPC. Additonally, the Company is enttled to receive tered royalty payments ranging from 13% to 20% of annual net sales of Vafseo in the MTPC Territory, subject to reducton in certain circumstances.</w:t>
      </w:r>
    </w:p>
    <w:p>
      <w:pPr>
        <w:spacing w:after="0" w:line="10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evaluated the elements of the MTPC Agreement in accordance with the provisions of ASC 606 and concluded that the contract counterparty, MTPC, is a customer. The Company identfed two performance obligatons in connecton with its material promises under the MTPC Agreement as follows: (i) License, Research and Clinical Supply Performance Obligaton and (ii) Rights to Future Know-How Performance Obligaton.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transacton price was comprised of: (i) the up-front payment of $20.0 million, (ii) the cost for the Phase 2 studies of $20.5 million, (iii) the cost of all clinical supply provided to MTPC for the Phase 3 studies, (iv) $10.0 million in development milestones received, (v) $25.0 million in regulatory milestones received and (vi) $6.9 million in royaltes from net sales of Vafseo. The Company re-evaluates the transacton price in each reportng period and as uncertain events are resolved or other changes in circumstances occur. As of December 31, 2024, all development milestones and $25.0 million in regulatory milestones have been achieved. No other regulatory milestones or commercial milestones have been assessed as probable and have been fully constrained untl the period in which they are achieved.</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allocates the transacton price to each performance obligaton based on the Company’s best estmate of the relatve standalone selling price. The Company developed a best estmate of the standalone selling price for the Rights to Future Know-How Performance Obligaton primarily based on the likelihood that additonal intellectual property covered by the license conveyed will be developed during the term of the arrangement and determined it is immaterial. As such, the Company did not develop a best estmate of standalone selling price for the License, Research and Clinical Supply Performance Obligaton and allocated the entre transacton price to this performance obligaton.</w:t>
      </w:r>
    </w:p>
    <w:p>
      <w:pPr>
        <w:spacing w:after="0" w:line="112"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 xml:space="preserve">Revenue for the License, Research and Clinical Supply Performance Obligaton for the MTPC Agreement is being recognized using a proportonal performance method, for which all deliverables have been completed. The Company recognizes any revenue from MTPC royaltes in the period in which the sales occur. The Company recognized $1.9 million and $2.0 million of revenue for royaltes from the net sales of Vafseo during the years ended December 31, 2024 and 2023, respectvely. As noted above, in February 2021, the Company entered into the Royalty Agreement, whereby the Company sold its right to receive these royaltes and sales milestones under the MTPC Agreement, subject to certain caps and other conditons. See Note 8, </w:t>
      </w:r>
      <w:r>
        <w:rPr>
          <w:rFonts w:ascii="Calibri" w:cs="Calibri" w:eastAsia="Calibri" w:hAnsi="Calibri"/>
          <w:sz w:val="17"/>
          <w:szCs w:val="17"/>
          <w:i w:val="1"/>
          <w:iCs w:val="1"/>
          <w:color w:val="auto"/>
        </w:rPr>
        <w:t>Liability Related to Setlement Royaltes,</w:t>
      </w:r>
      <w:r>
        <w:rPr>
          <w:rFonts w:ascii="Calibri" w:cs="Calibri" w:eastAsia="Calibri" w:hAnsi="Calibri"/>
          <w:sz w:val="17"/>
          <w:szCs w:val="17"/>
          <w:color w:val="auto"/>
        </w:rPr>
        <w:t xml:space="preserve"> </w:t>
      </w:r>
      <w:r>
        <w:rPr>
          <w:rFonts w:ascii="Calibri" w:cs="Calibri" w:eastAsia="Calibri" w:hAnsi="Calibri"/>
          <w:sz w:val="17"/>
          <w:szCs w:val="17"/>
          <w:i w:val="1"/>
          <w:iCs w:val="1"/>
          <w:color w:val="auto"/>
        </w:rPr>
        <w:t>Working Capital Fund Liability and Liability Related to Sale of Future Royaltes</w:t>
      </w:r>
      <w:r>
        <w:rPr>
          <w:rFonts w:ascii="Calibri" w:cs="Calibri" w:eastAsia="Calibri" w:hAnsi="Calibri"/>
          <w:sz w:val="17"/>
          <w:szCs w:val="17"/>
          <w:color w:val="auto"/>
        </w:rPr>
        <w:t>, for more informaton. The revenue is classifed as collaboraton, license and</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other revenue in the accompanying consolidated statements of operatons and comprehensive loss. As of December 31, 2024, there were no accounts receivable, payables or deferred revenue and $0.5 million in contract assets recorded in connecton with the MTPC Agreement.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7" w:name="page158"/>
    <w:bookmarkEnd w:id="15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Supply of Drug Product to MTPC</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July 15, 2020, the Company and MTPC entered into a supply agreement, or the </w:t>
      </w:r>
      <w:r>
        <w:rPr>
          <w:rFonts w:ascii="Calibri" w:cs="Calibri" w:eastAsia="Calibri" w:hAnsi="Calibri"/>
          <w:sz w:val="18"/>
          <w:szCs w:val="18"/>
          <w:u w:val="single" w:color="auto"/>
          <w:color w:val="auto"/>
        </w:rPr>
        <w:t>MTPC Supply Agreement</w:t>
      </w:r>
      <w:r>
        <w:rPr>
          <w:rFonts w:ascii="Calibri" w:cs="Calibri" w:eastAsia="Calibri" w:hAnsi="Calibri"/>
          <w:sz w:val="18"/>
          <w:szCs w:val="18"/>
          <w:color w:val="auto"/>
        </w:rPr>
        <w:t>, under which the Company supplies Vafseo drug product to MTPC for commercial use in Japan and certain other Asian countries, as contemplated by the MTPC Agreement. The term of the MTPC Supply Agreement extends throughout the term of the MTPC Agreement, and the terminaton provisions of the MTPC Agreement govern terminaton of the MTPC Supply Agreement. The Company does not recognize revenue under this arrangement untl risk of loss on the drug product passes to MTPC and delivery has occurred and MTPC has accepted the product.</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December 16, 2022, the Company, MTPC and Esteve Química, S.A., or Esteve, executed an Assignment of Supply Agreement, or </w:t>
      </w:r>
      <w:r>
        <w:rPr>
          <w:rFonts w:ascii="Calibri" w:cs="Calibri" w:eastAsia="Calibri" w:hAnsi="Calibri"/>
          <w:sz w:val="18"/>
          <w:szCs w:val="18"/>
          <w:u w:val="single" w:color="auto"/>
          <w:color w:val="auto"/>
        </w:rPr>
        <w:t>Esteve Assignment</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auto"/>
        </w:rPr>
        <w:t>Agreement</w:t>
      </w:r>
      <w:r>
        <w:rPr>
          <w:rFonts w:ascii="Calibri" w:cs="Calibri" w:eastAsia="Calibri" w:hAnsi="Calibri"/>
          <w:sz w:val="18"/>
          <w:szCs w:val="18"/>
          <w:color w:val="auto"/>
        </w:rPr>
        <w:t xml:space="preserve">, pursuant to which the Supply Agreement between the Company and Esteve, or the </w:t>
      </w:r>
      <w:r>
        <w:rPr>
          <w:rFonts w:ascii="Calibri" w:cs="Calibri" w:eastAsia="Calibri" w:hAnsi="Calibri"/>
          <w:sz w:val="18"/>
          <w:szCs w:val="18"/>
          <w:u w:val="single" w:color="auto"/>
          <w:color w:val="auto"/>
        </w:rPr>
        <w:t>Esteve Agreement</w:t>
      </w:r>
      <w:r>
        <w:rPr>
          <w:rFonts w:ascii="Calibri" w:cs="Calibri" w:eastAsia="Calibri" w:hAnsi="Calibri"/>
          <w:sz w:val="18"/>
          <w:szCs w:val="18"/>
          <w:color w:val="auto"/>
        </w:rPr>
        <w:t>, was assigned to MTPC. The Esteve Assignment Agreement transferred the rights and obligatons of the Company under the Esteve Agreement to MTPC. The Company has no further obligaton to take delivery of, or pay for, product delivered by Esteve except as disclosed in Note 10, Commitments and Contngencies.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years ended December 31, 2024 and 2023, the Company recognized $0.7 million and $3.7 million of revenue, respectvely, under the MTPC Supply Agreement. As of December 31, 2024, there were no accounts receivable, deferred revenue or other current liabilites relatng to the MTPC Supply Agreement.</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JT and Torii Sublicense Agreement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Company has an Amended and Restated Sublicense Agreement, which was amended in June 2013, with JT and Torii, or </w:t>
      </w:r>
      <w:r>
        <w:rPr>
          <w:rFonts w:ascii="Calibri" w:cs="Calibri" w:eastAsia="Calibri" w:hAnsi="Calibri"/>
          <w:sz w:val="18"/>
          <w:szCs w:val="18"/>
          <w:u w:val="single" w:color="auto"/>
          <w:color w:val="auto"/>
        </w:rPr>
        <w:t>JT and Torii Sublicense</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auto"/>
        </w:rPr>
        <w:t>Agreement</w:t>
      </w:r>
      <w:r>
        <w:rPr>
          <w:rFonts w:ascii="Calibri" w:cs="Calibri" w:eastAsia="Calibri" w:hAnsi="Calibri"/>
          <w:sz w:val="18"/>
          <w:szCs w:val="18"/>
          <w:color w:val="auto"/>
        </w:rPr>
        <w:t>, under which JT and Torii obtained the exclusive sublicense rights for the development and commercializaton of ferric citrate hydrate in Japan. JT and Torii are responsible for the future development and commercializaton costs in Japan.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is eligible to receive royalty payments based on a tered low double-digit percentage of net sales of Riona in Japan inclusive of amounts that the Company must pay to Panion on JT and Torii's net sales of Riona under the Panion License Agreement subject to certain reductons upon expiraton or terminaton of the Amended and Restated License Agreement between the Company and Panion, pursuant to which Company in-licensed the exclusive worldwide rights, excluding certain Asian-Pacifc countries, for the development and commercializaton of ferric citrate. The Company is enttled to receive up to an additonal $55.0 million upon the achievement of certain annual net sales milestones.</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sublicense under the JT and Torii Sublicense Agreement terminates upon the expiraton of all underlying patent rights. Also, JT and Torii may terminate the JT and Torii Sublicense Agreement with or without cause upon at least six months' prior writen notce to the Company. Additonally, either party may terminate the JT and Torii Sublicense Agreement for cause upon 60 days’ prior writen notce afer the breach of any uncured material provision of the JT and Torii Sublicense Agreement, or afer certain insolvency events.</w:t>
      </w:r>
    </w:p>
    <w:p>
      <w:pPr>
        <w:spacing w:after="0" w:line="111"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The Company evaluated the elements of the JT and Torii Sublicense Agreement in accordance with the provisions of ASC 606 and concluded that the contract counterparty, JT and Torii, is a customer. The Company identfed two performance obligatons in connecton with its obligatons under the JT and Torii Sublicense Agreement: (i) License and Supply Performance Obligaton and (ii) Rights to Future Know-How Performance Obligaton. The Company developed a best estmate of the standalone selling price for the Rights to Future Know-How Performance Obligaton primarily based on the likelihood that additonal intellectual property covered by the license conveyed will be developed during the term of the arrangement and determined it immaterial. As such, the Company did not develop a best estmate of standalone selling price for the License and Supply Performance Obligaton and allocated the entre transacton price to this performance obligaton. Additonally, as of the consummaton of the Merger, the services associated with the License and Supply Performance Obligaton were completed and JT and Torii had secured their own source to manufacture ferric citrate hydrate. As such, any inital license fees as well as any development-based milestones and manufacturing fee revenue were received and recognized prior to the Merger. The Company determined that the remaining consideraton that may be payable to the Company under the terms of the sublicense agreement are either quarterly royaltes on net sales or payments due upon the achievement of sales-based milestones. In accordance with ASC 606, the Company recognizes sales-based royaltes and milestone payments based on the level of sales, when the related sales occur as these amounts have been determined to relate predominantly to the license granted to JT and Torii and therefore are recognized at the later of when the performance obligaton is satsfed, or the related sales occur.</w:t>
      </w:r>
    </w:p>
    <w:p>
      <w:pPr>
        <w:spacing w:after="0" w:line="10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each of the years ended December 31, 2024 and 2023, the Company recognized license revenue of $5.4 million related to royaltes earned on net sales of Riona in Japan. The Company records the associated mid-single digit percentage of net sales royalty expense due to Panion, the licensor of Riona, in the same period as the royalty revenue from JT and Torii is recorded. As of December 31, 2024, there was $1.5 million in accounts receivables relatng to the JT and Torii Sublicense Agreement.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8" w:name="page159"/>
    <w:bookmarkEnd w:id="15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Prior Collaboraton and License Agreements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U.S. Collaboraton and License Agreement with Otsuka Pharmaceutcal Co. Ltd.</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December 18, 2016, the Company entered into a collaboraton and license agreement, or </w:t>
      </w:r>
      <w:r>
        <w:rPr>
          <w:rFonts w:ascii="Calibri" w:cs="Calibri" w:eastAsia="Calibri" w:hAnsi="Calibri"/>
          <w:sz w:val="18"/>
          <w:szCs w:val="18"/>
          <w:u w:val="single" w:color="auto"/>
          <w:color w:val="auto"/>
        </w:rPr>
        <w:t>Otsuka U.S. Agreement,</w:t>
      </w:r>
      <w:r>
        <w:rPr>
          <w:rFonts w:ascii="Calibri" w:cs="Calibri" w:eastAsia="Calibri" w:hAnsi="Calibri"/>
          <w:sz w:val="18"/>
          <w:szCs w:val="18"/>
          <w:color w:val="auto"/>
        </w:rPr>
        <w:t xml:space="preserve"> with Otsuka Pharmaceutcal Co. Ltd, or </w:t>
      </w:r>
      <w:r>
        <w:rPr>
          <w:rFonts w:ascii="Calibri" w:cs="Calibri" w:eastAsia="Calibri" w:hAnsi="Calibri"/>
          <w:sz w:val="18"/>
          <w:szCs w:val="18"/>
          <w:u w:val="single" w:color="auto"/>
          <w:color w:val="auto"/>
        </w:rPr>
        <w:t>Otsuka</w:t>
      </w:r>
      <w:r>
        <w:rPr>
          <w:rFonts w:ascii="Calibri" w:cs="Calibri" w:eastAsia="Calibri" w:hAnsi="Calibri"/>
          <w:sz w:val="18"/>
          <w:szCs w:val="18"/>
          <w:color w:val="auto"/>
        </w:rPr>
        <w:t>. The collaboraton was focused on the development and commercializaton of Vafseo in the U.S.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May 12, 2022, the Company received notce from Otsuka that Otsuka had elected to terminate the Otsuka U.S. Agreement and the April 25, 2017 collaboraton and license agreement with Otsuka, or </w:t>
      </w:r>
      <w:r>
        <w:rPr>
          <w:rFonts w:ascii="Calibri" w:cs="Calibri" w:eastAsia="Calibri" w:hAnsi="Calibri"/>
          <w:sz w:val="18"/>
          <w:szCs w:val="18"/>
          <w:u w:val="single" w:color="auto"/>
          <w:color w:val="auto"/>
        </w:rPr>
        <w:t>Otsuka Internatonal Agreement</w:t>
      </w:r>
      <w:r>
        <w:rPr>
          <w:rFonts w:ascii="Calibri" w:cs="Calibri" w:eastAsia="Calibri" w:hAnsi="Calibri"/>
          <w:sz w:val="18"/>
          <w:szCs w:val="18"/>
          <w:color w:val="auto"/>
        </w:rPr>
        <w:t xml:space="preserve">. On June 30, 2022, the Company and Otsuka entered into the Terminaton and Setlement Agreement, or </w:t>
      </w:r>
      <w:r>
        <w:rPr>
          <w:rFonts w:ascii="Calibri" w:cs="Calibri" w:eastAsia="Calibri" w:hAnsi="Calibri"/>
          <w:sz w:val="18"/>
          <w:szCs w:val="18"/>
          <w:u w:val="single" w:color="auto"/>
          <w:color w:val="auto"/>
        </w:rPr>
        <w:t>Otsuka Terminaton Agreement</w:t>
      </w:r>
      <w:r>
        <w:rPr>
          <w:rFonts w:ascii="Calibri" w:cs="Calibri" w:eastAsia="Calibri" w:hAnsi="Calibri"/>
          <w:sz w:val="18"/>
          <w:szCs w:val="18"/>
          <w:color w:val="auto"/>
        </w:rPr>
        <w:t>, pursuant to which, among other things, the Company and Otsuka agreed to terminate the Otsuka U.S. Agreement and the Otsuka Internatonal Agreement as of June 30, 2022.</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year ended December 31, 2023, the Company recognized $2.2 million in collaboraton, license and other revenue in connecton with the Packaging Validaton Transfer Agreement entered into with Otsuka on April 20, 2023. Under the Packaging Validaton Transfer Agreement, the partes agreed that responsibility for all remaining packaging validaton actvites would be transferred from Otsuka to the Company in consideraton of payments made by Otsuka to the Company. The Company evaluated the agreement under ASC 606 and concluded it was closely ted to the prior collaboraton, license and other revenue agreements and under ASC 606 recognized collaboraton, license and other revenue during the year ended December 31, 2023.</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13. CAPITAL STOCK</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Authorized and Outstanding Capital Stock</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of December 31, 2024, the authorized capital stock of the Company included 350,000,000 shares of common stock, par value $0.00001 per share, of which 224,848,992 and 194,582,539 shares were issued and outstanding at December 31, 2024 and 2023, respectvely; and 25,000,000 shares of undesignated preferred stock, par value $0.00001 per share, of which no shares were issued and outstanding at December 31, 2024 and 2023.</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At-the-Market Facility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April 7, 2022, the Company entered into an at-the-market, or </w:t>
      </w:r>
      <w:r>
        <w:rPr>
          <w:rFonts w:ascii="Calibri" w:cs="Calibri" w:eastAsia="Calibri" w:hAnsi="Calibri"/>
          <w:sz w:val="18"/>
          <w:szCs w:val="18"/>
          <w:u w:val="single" w:color="auto"/>
          <w:color w:val="auto"/>
        </w:rPr>
        <w:t>ATM</w:t>
      </w:r>
      <w:r>
        <w:rPr>
          <w:rFonts w:ascii="Calibri" w:cs="Calibri" w:eastAsia="Calibri" w:hAnsi="Calibri"/>
          <w:sz w:val="18"/>
          <w:szCs w:val="18"/>
          <w:color w:val="auto"/>
        </w:rPr>
        <w:t xml:space="preserve">, sales agreement, or the </w:t>
      </w:r>
      <w:r>
        <w:rPr>
          <w:rFonts w:ascii="Calibri" w:cs="Calibri" w:eastAsia="Calibri" w:hAnsi="Calibri"/>
          <w:sz w:val="18"/>
          <w:szCs w:val="18"/>
          <w:u w:val="single" w:color="auto"/>
          <w:color w:val="auto"/>
        </w:rPr>
        <w:t>Original Sales Agreement</w:t>
      </w:r>
      <w:r>
        <w:rPr>
          <w:rFonts w:ascii="Calibri" w:cs="Calibri" w:eastAsia="Calibri" w:hAnsi="Calibri"/>
          <w:sz w:val="18"/>
          <w:szCs w:val="18"/>
          <w:color w:val="auto"/>
        </w:rPr>
        <w:t xml:space="preserve">, with Jeferies LLC, or </w:t>
      </w:r>
      <w:r>
        <w:rPr>
          <w:rFonts w:ascii="Calibri" w:cs="Calibri" w:eastAsia="Calibri" w:hAnsi="Calibri"/>
          <w:sz w:val="18"/>
          <w:szCs w:val="18"/>
          <w:u w:val="single" w:color="auto"/>
          <w:color w:val="auto"/>
        </w:rPr>
        <w:t>Jeferies</w:t>
      </w:r>
      <w:r>
        <w:rPr>
          <w:rFonts w:ascii="Calibri" w:cs="Calibri" w:eastAsia="Calibri" w:hAnsi="Calibri"/>
          <w:sz w:val="18"/>
          <w:szCs w:val="18"/>
          <w:color w:val="auto"/>
        </w:rPr>
        <w:t>, as the Company's sales agent, under which the Company could ofer and sell from tme to tme up to $26.0 million of shares of the Company's common stock at current market prices. During the year ended December 31, 2023, the Company sold 6,189,974 shares of common stock under this program for gross proceeds of $6.8 million ($6.7 million, net of ofering expenses). During the year ended December 31, 2024, the Company sold 13,261,311 shares of its common stock under this program with gross proceeds of $19.2 million, ($18.7 million, net of ofering expenses). The Company paid the Agent commissions for its services of actng as agent of up to 3.0% of the gross proceeds from the sale of the common stock pursuant to the ATM.</w:t>
      </w:r>
    </w:p>
    <w:p>
      <w:pPr>
        <w:spacing w:after="0" w:line="127" w:lineRule="exact"/>
        <w:rPr>
          <w:sz w:val="20"/>
          <w:szCs w:val="20"/>
          <w:color w:val="auto"/>
        </w:rPr>
      </w:pPr>
    </w:p>
    <w:p>
      <w:pPr>
        <w:ind w:right="40"/>
        <w:spacing w:after="0" w:line="226" w:lineRule="auto"/>
        <w:rPr>
          <w:sz w:val="20"/>
          <w:szCs w:val="20"/>
          <w:color w:val="auto"/>
        </w:rPr>
      </w:pPr>
      <w:r>
        <w:rPr>
          <w:rFonts w:ascii="Calibri" w:cs="Calibri" w:eastAsia="Calibri" w:hAnsi="Calibri"/>
          <w:sz w:val="18"/>
          <w:szCs w:val="18"/>
          <w:color w:val="auto"/>
        </w:rPr>
        <w:t>On September 3, 2024, in connecton with the fling of a new shelf registraton statement on Form S-3, the Company fled a prospectus related to the Company's amended and restated sales agreement (which amended and restated the Original Sales Agreement), with Jeferies, as the Company’s sales agent, pursuant to which the Company is able to ofer and sell up to $75.0 million of its common stock at current market prices from tme to tme. Since September 12, 2024 (the date the Company’s shelf registraton statement on Form S-3 went efectve) through December 31, 2024, the Company sold 14,271,631 shares of its common stock under this program with gross proceeds of $24.3 million ($23.8 million, net of ofering expenses).</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Unregistered Common Stock</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connecton with the Vifor License Agreement, CSL Vifor owns 7,571,429 shares of common stock that are unregistered under the Securites Act. See Note 8, </w:t>
      </w:r>
      <w:r>
        <w:rPr>
          <w:rFonts w:ascii="Calibri" w:cs="Calibri" w:eastAsia="Calibri" w:hAnsi="Calibri"/>
          <w:sz w:val="18"/>
          <w:szCs w:val="18"/>
          <w:i w:val="1"/>
          <w:iCs w:val="1"/>
          <w:color w:val="auto"/>
        </w:rPr>
        <w:t>Liability Related to Setlement Royaltes, Working Capital Fund Liability and Liability Related to Sale of Future Royaltes</w:t>
      </w:r>
      <w:r>
        <w:rPr>
          <w:rFonts w:ascii="Calibri" w:cs="Calibri" w:eastAsia="Calibri" w:hAnsi="Calibri"/>
          <w:sz w:val="18"/>
          <w:szCs w:val="18"/>
          <w:color w:val="auto"/>
        </w:rPr>
        <w:t>, for more informaton.</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Warrants to Purchase Common Stock</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connecton with the BlackRock Credit Agreement, described in more detail in Note 7, </w:t>
      </w:r>
      <w:r>
        <w:rPr>
          <w:rFonts w:ascii="Calibri" w:cs="Calibri" w:eastAsia="Calibri" w:hAnsi="Calibri"/>
          <w:sz w:val="18"/>
          <w:szCs w:val="18"/>
          <w:i w:val="1"/>
          <w:iCs w:val="1"/>
          <w:color w:val="auto"/>
        </w:rPr>
        <w:t>Indebtedness</w:t>
      </w:r>
      <w:r>
        <w:rPr>
          <w:rFonts w:ascii="Calibri" w:cs="Calibri" w:eastAsia="Calibri" w:hAnsi="Calibri"/>
          <w:sz w:val="18"/>
          <w:szCs w:val="18"/>
          <w:color w:val="auto"/>
        </w:rPr>
        <w:t>, the Company issued a warrant to purchase 3,076,923 shares of the Company’s common stock, at an exercise price per share of $1.30, and upon the borrowing of Tranche C in February 2025, the Company issued additonal warrants to purchase 1,153,846 shares of the Company’s common stock at an exercise price per share of $1.30. Each warrant is exercisable for eight years from the date of issuance. The warrants and the common stock issuable upon the exercise of such warrants were not registered under the Securites Act of 1933. Accordingly, the holder thereof may only sell common stock issued upon exercise of such warrants pursuant to an efectve registraton statement under the Securites Act covering the resale of those shares, an exempton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59" w:name="page160"/>
    <w:bookmarkEnd w:id="15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 xml:space="preserve">under Rule 144 under the Securites Act or another applicable exempton under the Securites Act. See Note 18, </w:t>
      </w:r>
      <w:r>
        <w:rPr>
          <w:rFonts w:ascii="Calibri" w:cs="Calibri" w:eastAsia="Calibri" w:hAnsi="Calibri"/>
          <w:sz w:val="18"/>
          <w:szCs w:val="18"/>
          <w:i w:val="1"/>
          <w:iCs w:val="1"/>
          <w:color w:val="auto"/>
        </w:rPr>
        <w:t>Subsequent Events</w:t>
      </w:r>
      <w:r>
        <w:rPr>
          <w:rFonts w:ascii="Calibri" w:cs="Calibri" w:eastAsia="Calibri" w:hAnsi="Calibri"/>
          <w:sz w:val="18"/>
          <w:szCs w:val="18"/>
          <w:color w:val="auto"/>
        </w:rPr>
        <w:t>, for further details on the Tranche C Warrant.</w:t>
      </w:r>
    </w:p>
    <w:p>
      <w:pPr>
        <w:spacing w:after="0" w:line="15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14. STOCK-BASED COMPENSATION AND EMPLOYEE RETIREMENT PLANS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Stock-Based Compensaton Plans</w:t>
      </w:r>
    </w:p>
    <w:p>
      <w:pPr>
        <w:spacing w:after="0" w:line="109" w:lineRule="exact"/>
        <w:rPr>
          <w:sz w:val="20"/>
          <w:szCs w:val="20"/>
          <w:color w:val="auto"/>
        </w:rPr>
      </w:pPr>
    </w:p>
    <w:p>
      <w:pPr>
        <w:spacing w:after="0"/>
        <w:rPr>
          <w:sz w:val="20"/>
          <w:szCs w:val="20"/>
          <w:color w:val="auto"/>
        </w:rPr>
      </w:pPr>
      <w:r>
        <w:rPr>
          <w:rFonts w:ascii="Calibri" w:cs="Calibri" w:eastAsia="Calibri" w:hAnsi="Calibri"/>
          <w:sz w:val="17"/>
          <w:szCs w:val="17"/>
          <w:color w:val="auto"/>
        </w:rPr>
        <w:t>The Company incurred stock-based compensaton expenses of $7.8 million and $9.3 million for the years ended December 31, 2024 and 2023, respectvely.</w:t>
      </w:r>
    </w:p>
    <w:p>
      <w:pPr>
        <w:spacing w:after="0" w:line="11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Equity Incentve Plans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contains informaton about the Company's equity incentve plans: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4"/>
          </w:tcPr>
          <w:p>
            <w:pPr>
              <w:ind w:left="600"/>
              <w:spacing w:after="0"/>
              <w:rPr>
                <w:sz w:val="20"/>
                <w:szCs w:val="20"/>
                <w:color w:val="auto"/>
              </w:rPr>
            </w:pPr>
            <w:r>
              <w:rPr>
                <w:rFonts w:ascii="Calibri" w:cs="Calibri" w:eastAsia="Calibri" w:hAnsi="Calibri"/>
                <w:sz w:val="16"/>
                <w:szCs w:val="16"/>
                <w:b w:val="1"/>
                <w:bCs w:val="1"/>
                <w:color w:val="auto"/>
              </w:rPr>
              <w:t>December 31, 2024</w:t>
            </w:r>
          </w:p>
        </w:tc>
        <w:tc>
          <w:tcPr>
            <w:tcW w:w="2480" w:type="dxa"/>
            <w:vAlign w:val="bottom"/>
            <w:gridSpan w:val="3"/>
          </w:tcPr>
          <w:p>
            <w:pPr>
              <w:ind w:left="580"/>
              <w:spacing w:after="0"/>
              <w:rPr>
                <w:sz w:val="20"/>
                <w:szCs w:val="20"/>
                <w:color w:val="auto"/>
              </w:rPr>
            </w:pPr>
            <w:r>
              <w:rPr>
                <w:rFonts w:ascii="Calibri" w:cs="Calibri" w:eastAsia="Calibri" w:hAnsi="Calibri"/>
                <w:sz w:val="16"/>
                <w:szCs w:val="16"/>
                <w:b w:val="1"/>
                <w:bCs w:val="1"/>
                <w:color w:val="auto"/>
              </w:rPr>
              <w:t>December 31, 2023</w:t>
            </w:r>
          </w:p>
        </w:tc>
      </w:tr>
      <w:tr>
        <w:trPr>
          <w:trHeight w:val="28"/>
        </w:trPr>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51"/>
        </w:trPr>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spacing w:after="0" w:line="150" w:lineRule="exact"/>
              <w:rPr>
                <w:sz w:val="20"/>
                <w:szCs w:val="20"/>
                <w:color w:val="auto"/>
              </w:rPr>
            </w:pPr>
            <w:r>
              <w:rPr>
                <w:rFonts w:ascii="Calibri" w:cs="Calibri" w:eastAsia="Calibri" w:hAnsi="Calibri"/>
                <w:sz w:val="16"/>
                <w:szCs w:val="16"/>
                <w:b w:val="1"/>
                <w:bCs w:val="1"/>
                <w:color w:val="auto"/>
              </w:rPr>
              <w:t>Additonal</w:t>
            </w:r>
          </w:p>
        </w:tc>
      </w:tr>
      <w:tr>
        <w:trPr>
          <w:trHeight w:val="162"/>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100"/>
              <w:spacing w:after="0" w:line="162" w:lineRule="exact"/>
              <w:rPr>
                <w:sz w:val="20"/>
                <w:szCs w:val="20"/>
                <w:color w:val="auto"/>
              </w:rPr>
            </w:pPr>
            <w:r>
              <w:rPr>
                <w:rFonts w:ascii="Calibri" w:cs="Calibri" w:eastAsia="Calibri" w:hAnsi="Calibri"/>
                <w:sz w:val="16"/>
                <w:szCs w:val="16"/>
                <w:b w:val="1"/>
                <w:bCs w:val="1"/>
                <w:color w:val="auto"/>
              </w:rPr>
              <w:t>Additonal</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spacing w:after="0" w:line="162" w:lineRule="exact"/>
              <w:rPr>
                <w:sz w:val="20"/>
                <w:szCs w:val="20"/>
                <w:color w:val="auto"/>
              </w:rPr>
            </w:pPr>
            <w:r>
              <w:rPr>
                <w:rFonts w:ascii="Calibri" w:cs="Calibri" w:eastAsia="Calibri" w:hAnsi="Calibri"/>
                <w:sz w:val="16"/>
                <w:szCs w:val="16"/>
                <w:b w:val="1"/>
                <w:bCs w:val="1"/>
                <w:color w:val="auto"/>
                <w:w w:val="99"/>
              </w:rPr>
              <w:t>Awards</w:t>
            </w:r>
          </w:p>
        </w:tc>
      </w:tr>
      <w:tr>
        <w:trPr>
          <w:trHeight w:val="162"/>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2"/>
          </w:tcPr>
          <w:p>
            <w:pPr>
              <w:jc w:val="center"/>
              <w:ind w:right="100"/>
              <w:spacing w:after="0" w:line="162" w:lineRule="exact"/>
              <w:rPr>
                <w:sz w:val="20"/>
                <w:szCs w:val="20"/>
                <w:color w:val="auto"/>
              </w:rPr>
            </w:pPr>
            <w:r>
              <w:rPr>
                <w:rFonts w:ascii="Calibri" w:cs="Calibri" w:eastAsia="Calibri" w:hAnsi="Calibri"/>
                <w:sz w:val="16"/>
                <w:szCs w:val="16"/>
                <w:b w:val="1"/>
                <w:bCs w:val="1"/>
                <w:color w:val="auto"/>
              </w:rPr>
              <w:t>Type of Award Granted (or</w:t>
            </w:r>
          </w:p>
        </w:tc>
        <w:tc>
          <w:tcPr>
            <w:tcW w:w="1280" w:type="dxa"/>
            <w:vAlign w:val="bottom"/>
            <w:gridSpan w:val="2"/>
          </w:tcPr>
          <w:p>
            <w:pPr>
              <w:jc w:val="center"/>
              <w:ind w:right="100"/>
              <w:spacing w:after="0" w:line="162" w:lineRule="exact"/>
              <w:rPr>
                <w:sz w:val="20"/>
                <w:szCs w:val="20"/>
                <w:color w:val="auto"/>
              </w:rPr>
            </w:pPr>
            <w:r>
              <w:rPr>
                <w:rFonts w:ascii="Calibri" w:cs="Calibri" w:eastAsia="Calibri" w:hAnsi="Calibri"/>
                <w:sz w:val="16"/>
                <w:szCs w:val="16"/>
                <w:b w:val="1"/>
                <w:bCs w:val="1"/>
                <w:color w:val="auto"/>
                <w:w w:val="99"/>
              </w:rPr>
              <w:t>Awards</w:t>
            </w:r>
          </w:p>
        </w:tc>
        <w:tc>
          <w:tcPr>
            <w:tcW w:w="1320" w:type="dxa"/>
            <w:vAlign w:val="bottom"/>
            <w:gridSpan w:val="2"/>
          </w:tcPr>
          <w:p>
            <w:pPr>
              <w:jc w:val="center"/>
              <w:ind w:right="120"/>
              <w:spacing w:after="0" w:line="162" w:lineRule="exact"/>
              <w:rPr>
                <w:sz w:val="20"/>
                <w:szCs w:val="20"/>
                <w:color w:val="auto"/>
              </w:rPr>
            </w:pPr>
            <w:r>
              <w:rPr>
                <w:rFonts w:ascii="Calibri" w:cs="Calibri" w:eastAsia="Calibri" w:hAnsi="Calibri"/>
                <w:sz w:val="16"/>
                <w:szCs w:val="16"/>
                <w:b w:val="1"/>
                <w:bCs w:val="1"/>
                <w:color w:val="auto"/>
              </w:rPr>
              <w:t>Awards Available</w:t>
            </w:r>
          </w:p>
        </w:tc>
        <w:tc>
          <w:tcPr>
            <w:tcW w:w="1300" w:type="dxa"/>
            <w:vAlign w:val="bottom"/>
            <w:gridSpan w:val="2"/>
          </w:tcPr>
          <w:p>
            <w:pPr>
              <w:jc w:val="center"/>
              <w:ind w:right="120"/>
              <w:spacing w:after="0" w:line="162" w:lineRule="exact"/>
              <w:rPr>
                <w:sz w:val="20"/>
                <w:szCs w:val="20"/>
                <w:color w:val="auto"/>
              </w:rPr>
            </w:pPr>
            <w:r>
              <w:rPr>
                <w:rFonts w:ascii="Calibri" w:cs="Calibri" w:eastAsia="Calibri" w:hAnsi="Calibri"/>
                <w:sz w:val="16"/>
                <w:szCs w:val="16"/>
                <w:b w:val="1"/>
                <w:bCs w:val="1"/>
                <w:color w:val="auto"/>
                <w:w w:val="99"/>
              </w:rPr>
              <w:t>Awards</w:t>
            </w:r>
          </w:p>
        </w:tc>
        <w:tc>
          <w:tcPr>
            <w:tcW w:w="1180" w:type="dxa"/>
            <w:vAlign w:val="bottom"/>
          </w:tcPr>
          <w:p>
            <w:pPr>
              <w:jc w:val="center"/>
              <w:spacing w:after="0" w:line="162" w:lineRule="exact"/>
              <w:rPr>
                <w:sz w:val="20"/>
                <w:szCs w:val="20"/>
                <w:color w:val="auto"/>
              </w:rPr>
            </w:pPr>
            <w:r>
              <w:rPr>
                <w:rFonts w:ascii="Calibri" w:cs="Calibri" w:eastAsia="Calibri" w:hAnsi="Calibri"/>
                <w:sz w:val="16"/>
                <w:szCs w:val="16"/>
                <w:b w:val="1"/>
                <w:bCs w:val="1"/>
                <w:color w:val="auto"/>
                <w:w w:val="99"/>
              </w:rPr>
              <w:t>Available for</w:t>
            </w:r>
          </w:p>
        </w:tc>
      </w:tr>
      <w:tr>
        <w:trPr>
          <w:trHeight w:val="193"/>
        </w:trPr>
        <w:tc>
          <w:tcPr>
            <w:tcW w:w="2260" w:type="dxa"/>
            <w:vAlign w:val="bottom"/>
            <w:gridSpan w:val="2"/>
          </w:tcPr>
          <w:p>
            <w:pPr>
              <w:ind w:left="680"/>
              <w:spacing w:after="0" w:line="193" w:lineRule="exact"/>
              <w:rPr>
                <w:sz w:val="20"/>
                <w:szCs w:val="20"/>
                <w:color w:val="auto"/>
              </w:rPr>
            </w:pPr>
            <w:r>
              <w:rPr>
                <w:rFonts w:ascii="Calibri" w:cs="Calibri" w:eastAsia="Calibri" w:hAnsi="Calibri"/>
                <w:sz w:val="16"/>
                <w:szCs w:val="16"/>
                <w:b w:val="1"/>
                <w:bCs w:val="1"/>
                <w:color w:val="auto"/>
              </w:rPr>
              <w:t>Title of Plan</w:t>
            </w:r>
          </w:p>
        </w:tc>
        <w:tc>
          <w:tcPr>
            <w:tcW w:w="1900" w:type="dxa"/>
            <w:vAlign w:val="bottom"/>
            <w:gridSpan w:val="2"/>
          </w:tcPr>
          <w:p>
            <w:pPr>
              <w:ind w:left="440"/>
              <w:spacing w:after="0" w:line="193" w:lineRule="exact"/>
              <w:rPr>
                <w:sz w:val="20"/>
                <w:szCs w:val="20"/>
                <w:color w:val="auto"/>
              </w:rPr>
            </w:pPr>
            <w:r>
              <w:rPr>
                <w:rFonts w:ascii="Calibri" w:cs="Calibri" w:eastAsia="Calibri" w:hAnsi="Calibri"/>
                <w:sz w:val="16"/>
                <w:szCs w:val="16"/>
                <w:b w:val="1"/>
                <w:bCs w:val="1"/>
                <w:color w:val="auto"/>
              </w:rPr>
              <w:t>Group Eligible</w:t>
            </w:r>
          </w:p>
        </w:tc>
        <w:tc>
          <w:tcPr>
            <w:tcW w:w="2000" w:type="dxa"/>
            <w:vAlign w:val="bottom"/>
            <w:gridSpan w:val="2"/>
          </w:tcPr>
          <w:p>
            <w:pPr>
              <w:jc w:val="center"/>
              <w:ind w:right="100"/>
              <w:spacing w:after="0" w:line="193" w:lineRule="exact"/>
              <w:rPr>
                <w:sz w:val="20"/>
                <w:szCs w:val="20"/>
                <w:color w:val="auto"/>
              </w:rPr>
            </w:pPr>
            <w:r>
              <w:rPr>
                <w:rFonts w:ascii="Calibri" w:cs="Calibri" w:eastAsia="Calibri" w:hAnsi="Calibri"/>
                <w:sz w:val="16"/>
                <w:szCs w:val="16"/>
                <w:b w:val="1"/>
                <w:bCs w:val="1"/>
                <w:color w:val="auto"/>
              </w:rPr>
              <w:t>to be Granted)</w:t>
            </w:r>
          </w:p>
        </w:tc>
        <w:tc>
          <w:tcPr>
            <w:tcW w:w="1280" w:type="dxa"/>
            <w:vAlign w:val="bottom"/>
            <w:gridSpan w:val="2"/>
          </w:tcPr>
          <w:p>
            <w:pPr>
              <w:jc w:val="center"/>
              <w:ind w:right="100"/>
              <w:spacing w:after="0" w:line="193" w:lineRule="exact"/>
              <w:rPr>
                <w:sz w:val="20"/>
                <w:szCs w:val="20"/>
                <w:color w:val="auto"/>
              </w:rPr>
            </w:pPr>
            <w:r>
              <w:rPr>
                <w:rFonts w:ascii="Calibri" w:cs="Calibri" w:eastAsia="Calibri" w:hAnsi="Calibri"/>
                <w:sz w:val="16"/>
                <w:szCs w:val="16"/>
                <w:b w:val="1"/>
                <w:bCs w:val="1"/>
                <w:color w:val="auto"/>
                <w:w w:val="99"/>
              </w:rPr>
              <w:t>Outstanding</w:t>
            </w:r>
          </w:p>
        </w:tc>
        <w:tc>
          <w:tcPr>
            <w:tcW w:w="1320" w:type="dxa"/>
            <w:vAlign w:val="bottom"/>
            <w:gridSpan w:val="2"/>
          </w:tcPr>
          <w:p>
            <w:pPr>
              <w:jc w:val="center"/>
              <w:ind w:right="100"/>
              <w:spacing w:after="0" w:line="193" w:lineRule="exact"/>
              <w:rPr>
                <w:sz w:val="20"/>
                <w:szCs w:val="20"/>
                <w:color w:val="auto"/>
              </w:rPr>
            </w:pPr>
            <w:r>
              <w:rPr>
                <w:rFonts w:ascii="Calibri" w:cs="Calibri" w:eastAsia="Calibri" w:hAnsi="Calibri"/>
                <w:sz w:val="16"/>
                <w:szCs w:val="16"/>
                <w:b w:val="1"/>
                <w:bCs w:val="1"/>
                <w:color w:val="auto"/>
              </w:rPr>
              <w:t>for Grant</w:t>
            </w:r>
          </w:p>
        </w:tc>
        <w:tc>
          <w:tcPr>
            <w:tcW w:w="1300" w:type="dxa"/>
            <w:vAlign w:val="bottom"/>
            <w:gridSpan w:val="2"/>
          </w:tcPr>
          <w:p>
            <w:pPr>
              <w:jc w:val="center"/>
              <w:ind w:right="100"/>
              <w:spacing w:after="0" w:line="193" w:lineRule="exact"/>
              <w:rPr>
                <w:sz w:val="20"/>
                <w:szCs w:val="20"/>
                <w:color w:val="auto"/>
              </w:rPr>
            </w:pPr>
            <w:r>
              <w:rPr>
                <w:rFonts w:ascii="Calibri" w:cs="Calibri" w:eastAsia="Calibri" w:hAnsi="Calibri"/>
                <w:sz w:val="16"/>
                <w:szCs w:val="16"/>
                <w:b w:val="1"/>
                <w:bCs w:val="1"/>
                <w:color w:val="auto"/>
              </w:rPr>
              <w:t>Outstanding</w:t>
            </w:r>
          </w:p>
        </w:tc>
        <w:tc>
          <w:tcPr>
            <w:tcW w:w="118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rPr>
              <w:t>Grant</w:t>
            </w:r>
          </w:p>
        </w:tc>
      </w:tr>
      <w:tr>
        <w:trPr>
          <w:trHeight w:val="28"/>
        </w:trPr>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51"/>
        </w:trPr>
        <w:tc>
          <w:tcPr>
            <w:tcW w:w="2160" w:type="dxa"/>
            <w:vAlign w:val="bottom"/>
            <w:shd w:val="clear" w:color="auto" w:fill="DBDBDB"/>
          </w:tcPr>
          <w:p>
            <w:pPr>
              <w:ind w:left="20"/>
              <w:spacing w:after="0" w:line="150" w:lineRule="exact"/>
              <w:rPr>
                <w:sz w:val="20"/>
                <w:szCs w:val="20"/>
                <w:color w:val="auto"/>
              </w:rPr>
            </w:pPr>
            <w:r>
              <w:rPr>
                <w:rFonts w:ascii="Calibri" w:cs="Calibri" w:eastAsia="Calibri" w:hAnsi="Calibri"/>
                <w:sz w:val="13"/>
                <w:szCs w:val="13"/>
                <w:color w:val="auto"/>
              </w:rPr>
              <w:t>Keryx Equity Plans</w:t>
            </w:r>
            <w:r>
              <w:rPr>
                <w:rFonts w:ascii="Calibri" w:cs="Calibri" w:eastAsia="Calibri" w:hAnsi="Calibri"/>
                <w:sz w:val="16"/>
                <w:szCs w:val="16"/>
                <w:color w:val="auto"/>
                <w:vertAlign w:val="superscript"/>
              </w:rPr>
              <w:t>(1)(2)</w:t>
            </w:r>
          </w:p>
        </w:tc>
        <w:tc>
          <w:tcPr>
            <w:tcW w:w="100" w:type="dxa"/>
            <w:vAlign w:val="bottom"/>
            <w:shd w:val="clear" w:color="auto" w:fill="DBDBDB"/>
          </w:tcPr>
          <w:p>
            <w:pPr>
              <w:spacing w:after="0"/>
              <w:rPr>
                <w:sz w:val="13"/>
                <w:szCs w:val="13"/>
                <w:color w:val="auto"/>
              </w:rPr>
            </w:pPr>
          </w:p>
        </w:tc>
        <w:tc>
          <w:tcPr>
            <w:tcW w:w="1820" w:type="dxa"/>
            <w:vAlign w:val="bottom"/>
            <w:shd w:val="clear" w:color="auto" w:fill="DBDBDB"/>
          </w:tcPr>
          <w:p>
            <w:pPr>
              <w:ind w:left="20"/>
              <w:spacing w:after="0" w:line="150" w:lineRule="exact"/>
              <w:rPr>
                <w:sz w:val="20"/>
                <w:szCs w:val="20"/>
                <w:color w:val="auto"/>
              </w:rPr>
            </w:pPr>
            <w:r>
              <w:rPr>
                <w:rFonts w:ascii="Calibri" w:cs="Calibri" w:eastAsia="Calibri" w:hAnsi="Calibri"/>
                <w:sz w:val="16"/>
                <w:szCs w:val="16"/>
                <w:color w:val="auto"/>
              </w:rPr>
              <w:t>Employees, directors and</w:t>
            </w:r>
          </w:p>
        </w:tc>
        <w:tc>
          <w:tcPr>
            <w:tcW w:w="80" w:type="dxa"/>
            <w:vAlign w:val="bottom"/>
            <w:shd w:val="clear" w:color="auto" w:fill="DBDBDB"/>
          </w:tcPr>
          <w:p>
            <w:pPr>
              <w:spacing w:after="0"/>
              <w:rPr>
                <w:sz w:val="13"/>
                <w:szCs w:val="13"/>
                <w:color w:val="auto"/>
              </w:rPr>
            </w:pPr>
          </w:p>
        </w:tc>
        <w:tc>
          <w:tcPr>
            <w:tcW w:w="1900" w:type="dxa"/>
            <w:vAlign w:val="bottom"/>
            <w:shd w:val="clear" w:color="auto" w:fill="DBDBDB"/>
          </w:tcPr>
          <w:p>
            <w:pPr>
              <w:ind w:left="20"/>
              <w:spacing w:after="0" w:line="150" w:lineRule="exact"/>
              <w:rPr>
                <w:sz w:val="20"/>
                <w:szCs w:val="20"/>
                <w:color w:val="auto"/>
              </w:rPr>
            </w:pPr>
            <w:r>
              <w:rPr>
                <w:rFonts w:ascii="Calibri" w:cs="Calibri" w:eastAsia="Calibri" w:hAnsi="Calibri"/>
                <w:sz w:val="16"/>
                <w:szCs w:val="16"/>
                <w:color w:val="auto"/>
              </w:rPr>
              <w:t>Common stock optons and</w:t>
            </w:r>
          </w:p>
        </w:tc>
        <w:tc>
          <w:tcPr>
            <w:tcW w:w="100" w:type="dxa"/>
            <w:vAlign w:val="bottom"/>
            <w:shd w:val="clear" w:color="auto" w:fill="DBDBDB"/>
          </w:tcPr>
          <w:p>
            <w:pPr>
              <w:spacing w:after="0"/>
              <w:rPr>
                <w:sz w:val="13"/>
                <w:szCs w:val="13"/>
                <w:color w:val="auto"/>
              </w:rPr>
            </w:pPr>
          </w:p>
        </w:tc>
        <w:tc>
          <w:tcPr>
            <w:tcW w:w="1180" w:type="dxa"/>
            <w:vAlign w:val="bottom"/>
            <w:shd w:val="clear" w:color="auto" w:fill="DBDBDB"/>
          </w:tcPr>
          <w:p>
            <w:pPr>
              <w:ind w:left="580"/>
              <w:spacing w:after="0" w:line="150" w:lineRule="exact"/>
              <w:rPr>
                <w:sz w:val="20"/>
                <w:szCs w:val="20"/>
                <w:color w:val="auto"/>
              </w:rPr>
            </w:pPr>
            <w:r>
              <w:rPr>
                <w:rFonts w:ascii="Calibri" w:cs="Calibri" w:eastAsia="Calibri" w:hAnsi="Calibri"/>
                <w:sz w:val="16"/>
                <w:szCs w:val="16"/>
                <w:color w:val="auto"/>
              </w:rPr>
              <w:t>163,765</w:t>
            </w:r>
          </w:p>
        </w:tc>
        <w:tc>
          <w:tcPr>
            <w:tcW w:w="100" w:type="dxa"/>
            <w:vAlign w:val="bottom"/>
            <w:shd w:val="clear" w:color="auto" w:fill="DBDBDB"/>
          </w:tcPr>
          <w:p>
            <w:pPr>
              <w:spacing w:after="0"/>
              <w:rPr>
                <w:sz w:val="13"/>
                <w:szCs w:val="13"/>
                <w:color w:val="auto"/>
              </w:rPr>
            </w:pPr>
          </w:p>
        </w:tc>
        <w:tc>
          <w:tcPr>
            <w:tcW w:w="1220" w:type="dxa"/>
            <w:vAlign w:val="bottom"/>
            <w:shd w:val="clear" w:color="auto" w:fill="DBDBDB"/>
          </w:tcPr>
          <w:p>
            <w:pPr>
              <w:ind w:left="1020"/>
              <w:spacing w:after="0" w:line="150" w:lineRule="exact"/>
              <w:rPr>
                <w:sz w:val="20"/>
                <w:szCs w:val="20"/>
                <w:color w:val="auto"/>
              </w:rPr>
            </w:pPr>
            <w:r>
              <w:rPr>
                <w:rFonts w:ascii="Calibri" w:cs="Calibri" w:eastAsia="Calibri" w:hAnsi="Calibri"/>
                <w:sz w:val="16"/>
                <w:szCs w:val="16"/>
                <w:color w:val="auto"/>
              </w:rPr>
              <w:t>—</w:t>
            </w:r>
          </w:p>
        </w:tc>
        <w:tc>
          <w:tcPr>
            <w:tcW w:w="100" w:type="dxa"/>
            <w:vAlign w:val="bottom"/>
            <w:shd w:val="clear" w:color="auto" w:fill="DBDBDB"/>
          </w:tcPr>
          <w:p>
            <w:pPr>
              <w:spacing w:after="0"/>
              <w:rPr>
                <w:sz w:val="13"/>
                <w:szCs w:val="13"/>
                <w:color w:val="auto"/>
              </w:rPr>
            </w:pPr>
          </w:p>
        </w:tc>
        <w:tc>
          <w:tcPr>
            <w:tcW w:w="1200" w:type="dxa"/>
            <w:vAlign w:val="bottom"/>
            <w:shd w:val="clear" w:color="auto" w:fill="DBDBDB"/>
          </w:tcPr>
          <w:p>
            <w:pPr>
              <w:ind w:left="600"/>
              <w:spacing w:after="0" w:line="150" w:lineRule="exact"/>
              <w:rPr>
                <w:sz w:val="20"/>
                <w:szCs w:val="20"/>
                <w:color w:val="auto"/>
              </w:rPr>
            </w:pPr>
            <w:r>
              <w:rPr>
                <w:rFonts w:ascii="Calibri" w:cs="Calibri" w:eastAsia="Calibri" w:hAnsi="Calibri"/>
                <w:sz w:val="16"/>
                <w:szCs w:val="16"/>
                <w:color w:val="auto"/>
              </w:rPr>
              <w:t>232,203</w:t>
            </w:r>
          </w:p>
        </w:tc>
        <w:tc>
          <w:tcPr>
            <w:tcW w:w="100" w:type="dxa"/>
            <w:vAlign w:val="bottom"/>
            <w:shd w:val="clear" w:color="auto" w:fill="DBDBDB"/>
          </w:tcPr>
          <w:p>
            <w:pPr>
              <w:spacing w:after="0"/>
              <w:rPr>
                <w:sz w:val="13"/>
                <w:szCs w:val="13"/>
                <w:color w:val="auto"/>
              </w:rPr>
            </w:pPr>
          </w:p>
        </w:tc>
        <w:tc>
          <w:tcPr>
            <w:tcW w:w="1180" w:type="dxa"/>
            <w:vAlign w:val="bottom"/>
            <w:shd w:val="clear" w:color="auto" w:fill="DBDBDB"/>
          </w:tcPr>
          <w:p>
            <w:pPr>
              <w:ind w:left="980"/>
              <w:spacing w:after="0" w:line="150" w:lineRule="exact"/>
              <w:rPr>
                <w:sz w:val="20"/>
                <w:szCs w:val="20"/>
                <w:color w:val="auto"/>
              </w:rPr>
            </w:pPr>
            <w:r>
              <w:rPr>
                <w:rFonts w:ascii="Calibri" w:cs="Calibri" w:eastAsia="Calibri" w:hAnsi="Calibri"/>
                <w:sz w:val="16"/>
                <w:szCs w:val="16"/>
                <w:color w:val="auto"/>
              </w:rPr>
              <w:t>—</w:t>
            </w:r>
          </w:p>
        </w:tc>
      </w:tr>
      <w:tr>
        <w:trPr>
          <w:trHeight w:val="193"/>
        </w:trPr>
        <w:tc>
          <w:tcPr>
            <w:tcW w:w="21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900" w:type="dxa"/>
            <w:vAlign w:val="bottom"/>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consultants</w:t>
            </w:r>
          </w:p>
        </w:tc>
        <w:tc>
          <w:tcPr>
            <w:tcW w:w="2000" w:type="dxa"/>
            <w:vAlign w:val="bottom"/>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RSUs</w:t>
            </w:r>
          </w:p>
        </w:tc>
        <w:tc>
          <w:tcPr>
            <w:tcW w:w="11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r>
      <w:tr>
        <w:trPr>
          <w:trHeight w:val="28"/>
        </w:trPr>
        <w:tc>
          <w:tcPr>
            <w:tcW w:w="21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82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19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18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2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2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180" w:type="dxa"/>
            <w:vAlign w:val="bottom"/>
            <w:shd w:val="clear" w:color="auto" w:fill="DBDBDB"/>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240"/>
          </w:cols>
          <w:pgMar w:left="320" w:top="328" w:right="339" w:bottom="1440" w:gutter="0" w:footer="0" w:header="0"/>
        </w:sectPr>
      </w:pPr>
    </w:p>
    <w:p>
      <w:pPr>
        <w:jc w:val="both"/>
        <w:ind w:left="20"/>
        <w:spacing w:after="0" w:line="201" w:lineRule="auto"/>
        <w:rPr>
          <w:sz w:val="20"/>
          <w:szCs w:val="20"/>
          <w:color w:val="auto"/>
        </w:rPr>
      </w:pPr>
      <w:r>
        <w:rPr>
          <w:rFonts w:ascii="Calibri" w:cs="Calibri" w:eastAsia="Calibri" w:hAnsi="Calibri"/>
          <w:sz w:val="15"/>
          <w:szCs w:val="15"/>
          <w:color w:val="auto"/>
        </w:rPr>
        <w:t xml:space="preserve">Akebia Therapeutcs, Inc. 2014 Incentve Plan, as amended </w:t>
      </w:r>
      <w:r>
        <w:rPr>
          <w:rFonts w:ascii="Calibri" w:cs="Calibri" w:eastAsia="Calibri" w:hAnsi="Calibri"/>
          <w:sz w:val="20"/>
          <w:szCs w:val="20"/>
          <w:color w:val="auto"/>
          <w:vertAlign w:val="superscript"/>
        </w:rPr>
        <w:t>(2) (3)</w:t>
      </w:r>
      <w:r>
        <w:rPr>
          <w:rFonts w:ascii="Calibri" w:cs="Calibri" w:eastAsia="Calibri" w:hAnsi="Calibri"/>
          <w:sz w:val="15"/>
          <w:szCs w:val="15"/>
          <w:color w:val="auto"/>
        </w:rPr>
        <w:t xml:space="preserve"> (</w:t>
      </w:r>
      <w:r>
        <w:rPr>
          <w:rFonts w:ascii="Calibri" w:cs="Calibri" w:eastAsia="Calibri" w:hAnsi="Calibri"/>
          <w:sz w:val="15"/>
          <w:szCs w:val="15"/>
          <w:u w:val="single" w:color="auto"/>
          <w:color w:val="auto"/>
        </w:rPr>
        <w:t>the 2014 Plan</w:t>
      </w:r>
      <w:r>
        <w:rPr>
          <w:rFonts w:ascii="Calibri" w:cs="Calibri" w:eastAsia="Calibri" w:hAnsi="Calibri"/>
          <w:sz w:val="15"/>
          <w:szCs w:val="15"/>
          <w:color w:val="auto"/>
        </w:rPr>
        <w:t>)</w:t>
      </w:r>
    </w:p>
    <w:p>
      <w:pPr>
        <w:ind w:left="20"/>
        <w:spacing w:after="0" w:line="200" w:lineRule="auto"/>
        <w:rPr>
          <w:sz w:val="20"/>
          <w:szCs w:val="20"/>
          <w:color w:val="auto"/>
        </w:rPr>
      </w:pPr>
      <w:r>
        <w:rPr>
          <w:rFonts w:ascii="Calibri" w:cs="Calibri" w:eastAsia="Calibri" w:hAnsi="Calibri"/>
          <w:sz w:val="16"/>
          <w:szCs w:val="16"/>
          <w:i w:val="1"/>
          <w:iCs w:val="1"/>
          <w:color w:val="auto"/>
        </w:rPr>
        <w:t>(replaces 2008 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1760" w:type="dxa"/>
            <w:vAlign w:val="bottom"/>
          </w:tcPr>
          <w:p>
            <w:pPr>
              <w:spacing w:after="0" w:line="157" w:lineRule="exact"/>
              <w:rPr>
                <w:sz w:val="20"/>
                <w:szCs w:val="20"/>
                <w:color w:val="auto"/>
              </w:rPr>
            </w:pPr>
            <w:r>
              <w:rPr>
                <w:rFonts w:ascii="Calibri" w:cs="Calibri" w:eastAsia="Calibri" w:hAnsi="Calibri"/>
                <w:sz w:val="16"/>
                <w:szCs w:val="16"/>
                <w:color w:val="auto"/>
              </w:rPr>
              <w:t>Employees, directors,</w:t>
            </w:r>
          </w:p>
        </w:tc>
        <w:tc>
          <w:tcPr>
            <w:tcW w:w="2100" w:type="dxa"/>
            <w:vAlign w:val="bottom"/>
          </w:tcPr>
          <w:p>
            <w:pPr>
              <w:ind w:left="140"/>
              <w:spacing w:after="0" w:line="157" w:lineRule="exact"/>
              <w:rPr>
                <w:sz w:val="20"/>
                <w:szCs w:val="20"/>
                <w:color w:val="auto"/>
              </w:rPr>
            </w:pPr>
            <w:r>
              <w:rPr>
                <w:rFonts w:ascii="Calibri" w:cs="Calibri" w:eastAsia="Calibri" w:hAnsi="Calibri"/>
                <w:sz w:val="16"/>
                <w:szCs w:val="16"/>
                <w:color w:val="auto"/>
              </w:rPr>
              <w:t>Common stock optons,</w:t>
            </w:r>
          </w:p>
        </w:tc>
        <w:tc>
          <w:tcPr>
            <w:tcW w:w="1720" w:type="dxa"/>
            <w:vAlign w:val="bottom"/>
          </w:tcPr>
          <w:p>
            <w:pPr>
              <w:jc w:val="right"/>
              <w:ind w:right="499"/>
              <w:spacing w:after="0" w:line="157" w:lineRule="exact"/>
              <w:rPr>
                <w:sz w:val="20"/>
                <w:szCs w:val="20"/>
                <w:color w:val="auto"/>
              </w:rPr>
            </w:pPr>
            <w:r>
              <w:rPr>
                <w:rFonts w:ascii="Calibri" w:cs="Calibri" w:eastAsia="Calibri" w:hAnsi="Calibri"/>
                <w:sz w:val="16"/>
                <w:szCs w:val="16"/>
                <w:color w:val="auto"/>
              </w:rPr>
              <w:t>11,559,708</w:t>
            </w:r>
          </w:p>
        </w:tc>
        <w:tc>
          <w:tcPr>
            <w:tcW w:w="1020" w:type="dxa"/>
            <w:vAlign w:val="bottom"/>
          </w:tcPr>
          <w:p>
            <w:pPr>
              <w:ind w:left="600"/>
              <w:spacing w:after="0" w:line="157" w:lineRule="exact"/>
              <w:rPr>
                <w:sz w:val="20"/>
                <w:szCs w:val="20"/>
                <w:color w:val="auto"/>
              </w:rPr>
            </w:pPr>
            <w:r>
              <w:rPr>
                <w:rFonts w:ascii="Calibri" w:cs="Calibri" w:eastAsia="Calibri" w:hAnsi="Calibri"/>
                <w:sz w:val="16"/>
                <w:szCs w:val="16"/>
                <w:color w:val="auto"/>
              </w:rPr>
              <w:t>—</w:t>
            </w:r>
          </w:p>
        </w:tc>
        <w:tc>
          <w:tcPr>
            <w:tcW w:w="1580" w:type="dxa"/>
            <w:vAlign w:val="bottom"/>
          </w:tcPr>
          <w:p>
            <w:pPr>
              <w:jc w:val="right"/>
              <w:ind w:right="479"/>
              <w:spacing w:after="0" w:line="157" w:lineRule="exact"/>
              <w:rPr>
                <w:sz w:val="20"/>
                <w:szCs w:val="20"/>
                <w:color w:val="auto"/>
              </w:rPr>
            </w:pPr>
            <w:r>
              <w:rPr>
                <w:rFonts w:ascii="Calibri" w:cs="Calibri" w:eastAsia="Calibri" w:hAnsi="Calibri"/>
                <w:sz w:val="16"/>
                <w:szCs w:val="16"/>
                <w:color w:val="auto"/>
              </w:rPr>
              <w:t>15,311,501</w:t>
            </w:r>
          </w:p>
        </w:tc>
        <w:tc>
          <w:tcPr>
            <w:tcW w:w="720" w:type="dxa"/>
            <w:vAlign w:val="bottom"/>
          </w:tcPr>
          <w:p>
            <w:pPr>
              <w:ind w:left="580"/>
              <w:spacing w:after="0" w:line="157" w:lineRule="exact"/>
              <w:rPr>
                <w:sz w:val="20"/>
                <w:szCs w:val="20"/>
                <w:color w:val="auto"/>
              </w:rPr>
            </w:pPr>
            <w:r>
              <w:rPr>
                <w:rFonts w:ascii="Calibri" w:cs="Calibri" w:eastAsia="Calibri" w:hAnsi="Calibri"/>
                <w:sz w:val="16"/>
                <w:szCs w:val="16"/>
                <w:color w:val="auto"/>
                <w:w w:val="82"/>
              </w:rPr>
              <w:t>—</w:t>
            </w:r>
          </w:p>
        </w:tc>
      </w:tr>
      <w:tr>
        <w:trPr>
          <w:trHeight w:val="162"/>
        </w:trPr>
        <w:tc>
          <w:tcPr>
            <w:tcW w:w="1760" w:type="dxa"/>
            <w:vAlign w:val="bottom"/>
          </w:tcPr>
          <w:p>
            <w:pPr>
              <w:spacing w:after="0" w:line="162" w:lineRule="exact"/>
              <w:rPr>
                <w:sz w:val="20"/>
                <w:szCs w:val="20"/>
                <w:color w:val="auto"/>
              </w:rPr>
            </w:pPr>
            <w:r>
              <w:rPr>
                <w:rFonts w:ascii="Calibri" w:cs="Calibri" w:eastAsia="Calibri" w:hAnsi="Calibri"/>
                <w:sz w:val="16"/>
                <w:szCs w:val="16"/>
                <w:color w:val="auto"/>
              </w:rPr>
              <w:t>consultants and advisors</w:t>
            </w:r>
          </w:p>
        </w:tc>
        <w:tc>
          <w:tcPr>
            <w:tcW w:w="2100" w:type="dxa"/>
            <w:vAlign w:val="bottom"/>
          </w:tcPr>
          <w:p>
            <w:pPr>
              <w:ind w:left="140"/>
              <w:spacing w:after="0" w:line="162" w:lineRule="exact"/>
              <w:rPr>
                <w:sz w:val="20"/>
                <w:szCs w:val="20"/>
                <w:color w:val="auto"/>
              </w:rPr>
            </w:pPr>
            <w:r>
              <w:rPr>
                <w:rFonts w:ascii="Calibri" w:cs="Calibri" w:eastAsia="Calibri" w:hAnsi="Calibri"/>
                <w:sz w:val="16"/>
                <w:szCs w:val="16"/>
                <w:color w:val="auto"/>
              </w:rPr>
              <w:t>RSUs, SARs and</w:t>
            </w:r>
          </w:p>
        </w:tc>
        <w:tc>
          <w:tcPr>
            <w:tcW w:w="1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93"/>
        </w:trPr>
        <w:tc>
          <w:tcPr>
            <w:tcW w:w="1760" w:type="dxa"/>
            <w:vAlign w:val="bottom"/>
          </w:tcPr>
          <w:p>
            <w:pPr>
              <w:spacing w:after="0"/>
              <w:rPr>
                <w:sz w:val="16"/>
                <w:szCs w:val="16"/>
                <w:color w:val="auto"/>
              </w:rPr>
            </w:pPr>
          </w:p>
        </w:tc>
        <w:tc>
          <w:tcPr>
            <w:tcW w:w="2100" w:type="dxa"/>
            <w:vAlign w:val="bottom"/>
          </w:tcPr>
          <w:p>
            <w:pPr>
              <w:ind w:left="140"/>
              <w:spacing w:after="0" w:line="193" w:lineRule="exact"/>
              <w:rPr>
                <w:sz w:val="20"/>
                <w:szCs w:val="20"/>
                <w:color w:val="auto"/>
              </w:rPr>
            </w:pPr>
            <w:r>
              <w:rPr>
                <w:rFonts w:ascii="Calibri" w:cs="Calibri" w:eastAsia="Calibri" w:hAnsi="Calibri"/>
                <w:sz w:val="16"/>
                <w:szCs w:val="16"/>
                <w:color w:val="auto"/>
              </w:rPr>
              <w:t>performance awards</w:t>
            </w:r>
          </w:p>
        </w:tc>
        <w:tc>
          <w:tcPr>
            <w:tcW w:w="1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20" w:type="dxa"/>
            <w:vAlign w:val="bottom"/>
          </w:tcPr>
          <w:p>
            <w:pPr>
              <w:spacing w:after="0"/>
              <w:rPr>
                <w:sz w:val="16"/>
                <w:szCs w:val="16"/>
                <w:color w:val="auto"/>
              </w:rPr>
            </w:pPr>
          </w:p>
        </w:tc>
      </w:tr>
    </w:tbl>
    <w:p>
      <w:pPr>
        <w:spacing w:after="0" w:line="162" w:lineRule="exact"/>
        <w:rPr>
          <w:sz w:val="20"/>
          <w:szCs w:val="20"/>
          <w:color w:val="auto"/>
        </w:rPr>
      </w:pPr>
    </w:p>
    <w:p>
      <w:pPr>
        <w:sectPr>
          <w:pgSz w:w="11900" w:h="16838" w:orient="portrait"/>
          <w:cols w:equalWidth="0" w:num="2">
            <w:col w:w="2100" w:space="180"/>
            <w:col w:w="8960"/>
          </w:cols>
          <w:pgMar w:left="320" w:top="328" w:right="339" w:bottom="1440" w:gutter="0" w:footer="0" w:header="0"/>
          <w:type w:val="continuous"/>
        </w:sectPr>
      </w:pPr>
    </w:p>
    <w:tbl>
      <w:tblPr>
        <w:tblLayout w:type="fixed"/>
        <w:tblInd w:w="10" w:type="dxa"/>
        <w:tblCellMar>
          <w:top w:w="0" w:type="dxa"/>
          <w:left w:w="0" w:type="dxa"/>
          <w:bottom w:w="0" w:type="dxa"/>
          <w:right w:w="0" w:type="dxa"/>
        </w:tblCellMar>
      </w:tblPr>
      <w:tr>
        <w:trPr>
          <w:trHeight w:val="185"/>
        </w:trPr>
        <w:tc>
          <w:tcPr>
            <w:tcW w:w="2200" w:type="dxa"/>
            <w:vAlign w:val="bottom"/>
            <w:tcBorders>
              <w:left w:val="single" w:sz="8" w:color="DBDBDB"/>
            </w:tcBorders>
            <w:gridSpan w:val="4"/>
            <w:shd w:val="clear" w:color="auto" w:fill="DBDBDB"/>
          </w:tcPr>
          <w:p>
            <w:pPr>
              <w:ind w:left="20"/>
              <w:spacing w:after="0" w:line="185" w:lineRule="exact"/>
              <w:rPr>
                <w:sz w:val="20"/>
                <w:szCs w:val="20"/>
                <w:color w:val="auto"/>
              </w:rPr>
            </w:pPr>
            <w:r>
              <w:rPr>
                <w:rFonts w:ascii="Calibri" w:cs="Calibri" w:eastAsia="Calibri" w:hAnsi="Calibri"/>
                <w:sz w:val="16"/>
                <w:szCs w:val="16"/>
                <w:color w:val="auto"/>
              </w:rPr>
              <w:t>Akebia Therapeutcs, Inc. 2023</w:t>
            </w:r>
          </w:p>
        </w:tc>
        <w:tc>
          <w:tcPr>
            <w:tcW w:w="1880" w:type="dxa"/>
            <w:vAlign w:val="bottom"/>
            <w:shd w:val="clear" w:color="auto" w:fill="DBDBDB"/>
          </w:tcPr>
          <w:p>
            <w:pPr>
              <w:ind w:left="80"/>
              <w:spacing w:after="0" w:line="185" w:lineRule="exact"/>
              <w:rPr>
                <w:sz w:val="20"/>
                <w:szCs w:val="20"/>
                <w:color w:val="auto"/>
              </w:rPr>
            </w:pPr>
            <w:r>
              <w:rPr>
                <w:rFonts w:ascii="Calibri" w:cs="Calibri" w:eastAsia="Calibri" w:hAnsi="Calibri"/>
                <w:sz w:val="16"/>
                <w:szCs w:val="16"/>
                <w:color w:val="auto"/>
              </w:rPr>
              <w:t>Employees, ofcers,</w:t>
            </w:r>
          </w:p>
        </w:tc>
        <w:tc>
          <w:tcPr>
            <w:tcW w:w="2180" w:type="dxa"/>
            <w:vAlign w:val="bottom"/>
            <w:shd w:val="clear" w:color="auto" w:fill="DBDBDB"/>
          </w:tcPr>
          <w:p>
            <w:pPr>
              <w:ind w:left="100"/>
              <w:spacing w:after="0" w:line="185" w:lineRule="exact"/>
              <w:rPr>
                <w:sz w:val="20"/>
                <w:szCs w:val="20"/>
                <w:color w:val="auto"/>
              </w:rPr>
            </w:pPr>
            <w:r>
              <w:rPr>
                <w:rFonts w:ascii="Calibri" w:cs="Calibri" w:eastAsia="Calibri" w:hAnsi="Calibri"/>
                <w:sz w:val="16"/>
                <w:szCs w:val="16"/>
                <w:color w:val="auto"/>
              </w:rPr>
              <w:t>Common stock optons,</w:t>
            </w:r>
          </w:p>
        </w:tc>
        <w:tc>
          <w:tcPr>
            <w:tcW w:w="1300" w:type="dxa"/>
            <w:vAlign w:val="bottom"/>
            <w:shd w:val="clear" w:color="auto" w:fill="DBDBDB"/>
          </w:tcPr>
          <w:p>
            <w:pPr>
              <w:jc w:val="right"/>
              <w:ind w:right="199"/>
              <w:spacing w:after="0" w:line="185" w:lineRule="exact"/>
              <w:rPr>
                <w:sz w:val="20"/>
                <w:szCs w:val="20"/>
                <w:color w:val="auto"/>
              </w:rPr>
            </w:pPr>
            <w:r>
              <w:rPr>
                <w:rFonts w:ascii="Calibri" w:cs="Calibri" w:eastAsia="Calibri" w:hAnsi="Calibri"/>
                <w:sz w:val="16"/>
                <w:szCs w:val="16"/>
                <w:color w:val="auto"/>
              </w:rPr>
              <w:t>10,390,642</w:t>
            </w:r>
          </w:p>
        </w:tc>
        <w:tc>
          <w:tcPr>
            <w:tcW w:w="1360" w:type="dxa"/>
            <w:vAlign w:val="bottom"/>
            <w:shd w:val="clear" w:color="auto" w:fill="DBDBDB"/>
          </w:tcPr>
          <w:p>
            <w:pPr>
              <w:jc w:val="right"/>
              <w:ind w:right="239"/>
              <w:spacing w:after="0" w:line="185" w:lineRule="exact"/>
              <w:rPr>
                <w:sz w:val="20"/>
                <w:szCs w:val="20"/>
                <w:color w:val="auto"/>
              </w:rPr>
            </w:pPr>
            <w:r>
              <w:rPr>
                <w:rFonts w:ascii="Calibri" w:cs="Calibri" w:eastAsia="Calibri" w:hAnsi="Calibri"/>
                <w:sz w:val="16"/>
                <w:szCs w:val="16"/>
                <w:color w:val="auto"/>
              </w:rPr>
              <w:t>11,340,648</w:t>
            </w:r>
          </w:p>
        </w:tc>
        <w:tc>
          <w:tcPr>
            <w:tcW w:w="1240" w:type="dxa"/>
            <w:vAlign w:val="bottom"/>
            <w:shd w:val="clear" w:color="auto" w:fill="DBDBDB"/>
          </w:tcPr>
          <w:p>
            <w:pPr>
              <w:jc w:val="right"/>
              <w:ind w:right="179"/>
              <w:spacing w:after="0" w:line="185" w:lineRule="exact"/>
              <w:rPr>
                <w:sz w:val="20"/>
                <w:szCs w:val="20"/>
                <w:color w:val="auto"/>
              </w:rPr>
            </w:pPr>
            <w:r>
              <w:rPr>
                <w:rFonts w:ascii="Calibri" w:cs="Calibri" w:eastAsia="Calibri" w:hAnsi="Calibri"/>
                <w:sz w:val="16"/>
                <w:szCs w:val="16"/>
                <w:color w:val="auto"/>
              </w:rPr>
              <w:t>1,712,400</w:t>
            </w:r>
          </w:p>
        </w:tc>
        <w:tc>
          <w:tcPr>
            <w:tcW w:w="1080" w:type="dxa"/>
            <w:vAlign w:val="bottom"/>
            <w:shd w:val="clear" w:color="auto" w:fill="DBDBDB"/>
          </w:tcPr>
          <w:p>
            <w:pPr>
              <w:jc w:val="right"/>
              <w:spacing w:after="0" w:line="185" w:lineRule="exact"/>
              <w:rPr>
                <w:sz w:val="20"/>
                <w:szCs w:val="20"/>
                <w:color w:val="auto"/>
              </w:rPr>
            </w:pPr>
            <w:r>
              <w:rPr>
                <w:rFonts w:ascii="Calibri" w:cs="Calibri" w:eastAsia="Calibri" w:hAnsi="Calibri"/>
                <w:sz w:val="16"/>
                <w:szCs w:val="16"/>
                <w:color w:val="auto"/>
              </w:rPr>
              <w:t>17,382,722</w:t>
            </w:r>
          </w:p>
        </w:tc>
        <w:tc>
          <w:tcPr>
            <w:tcW w:w="0" w:type="dxa"/>
            <w:vAlign w:val="bottom"/>
          </w:tcPr>
          <w:p>
            <w:pPr>
              <w:spacing w:after="0"/>
              <w:rPr>
                <w:sz w:val="1"/>
                <w:szCs w:val="1"/>
                <w:color w:val="auto"/>
              </w:rPr>
            </w:pPr>
          </w:p>
        </w:tc>
      </w:tr>
      <w:tr>
        <w:trPr>
          <w:trHeight w:val="167"/>
        </w:trPr>
        <w:tc>
          <w:tcPr>
            <w:tcW w:w="2200" w:type="dxa"/>
            <w:vAlign w:val="bottom"/>
            <w:tcBorders>
              <w:left w:val="single" w:sz="8" w:color="DBDBDB"/>
            </w:tcBorders>
            <w:gridSpan w:val="4"/>
            <w:shd w:val="clear" w:color="auto" w:fill="DBDBDB"/>
          </w:tcPr>
          <w:p>
            <w:pPr>
              <w:ind w:left="20"/>
              <w:spacing w:after="0" w:line="167" w:lineRule="exact"/>
              <w:rPr>
                <w:sz w:val="20"/>
                <w:szCs w:val="20"/>
                <w:color w:val="auto"/>
              </w:rPr>
            </w:pPr>
            <w:r>
              <w:rPr>
                <w:rFonts w:ascii="Calibri" w:cs="Calibri" w:eastAsia="Calibri" w:hAnsi="Calibri"/>
                <w:sz w:val="14"/>
                <w:szCs w:val="14"/>
                <w:color w:val="auto"/>
              </w:rPr>
              <w:t>Stock Incentve Plan</w:t>
            </w:r>
            <w:r>
              <w:rPr>
                <w:rFonts w:ascii="Calibri" w:cs="Calibri" w:eastAsia="Calibri" w:hAnsi="Calibri"/>
                <w:sz w:val="18"/>
                <w:szCs w:val="18"/>
                <w:color w:val="auto"/>
                <w:vertAlign w:val="superscript"/>
              </w:rPr>
              <w:t>(3)</w:t>
            </w:r>
            <w:r>
              <w:rPr>
                <w:rFonts w:ascii="Calibri" w:cs="Calibri" w:eastAsia="Calibri" w:hAnsi="Calibri"/>
                <w:sz w:val="14"/>
                <w:szCs w:val="14"/>
                <w:color w:val="auto"/>
              </w:rPr>
              <w:t xml:space="preserve"> (the 2023</w:t>
            </w:r>
          </w:p>
        </w:tc>
        <w:tc>
          <w:tcPr>
            <w:tcW w:w="1880" w:type="dxa"/>
            <w:vAlign w:val="bottom"/>
            <w:shd w:val="clear" w:color="auto" w:fill="DBDBDB"/>
          </w:tcPr>
          <w:p>
            <w:pPr>
              <w:ind w:left="80"/>
              <w:spacing w:after="0" w:line="167" w:lineRule="exact"/>
              <w:rPr>
                <w:sz w:val="20"/>
                <w:szCs w:val="20"/>
                <w:color w:val="auto"/>
              </w:rPr>
            </w:pPr>
            <w:r>
              <w:rPr>
                <w:rFonts w:ascii="Calibri" w:cs="Calibri" w:eastAsia="Calibri" w:hAnsi="Calibri"/>
                <w:sz w:val="16"/>
                <w:szCs w:val="16"/>
                <w:color w:val="auto"/>
              </w:rPr>
              <w:t>directors, consultants and</w:t>
            </w:r>
          </w:p>
        </w:tc>
        <w:tc>
          <w:tcPr>
            <w:tcW w:w="2180" w:type="dxa"/>
            <w:vAlign w:val="bottom"/>
            <w:shd w:val="clear" w:color="auto" w:fill="DBDBDB"/>
          </w:tcPr>
          <w:p>
            <w:pPr>
              <w:ind w:left="100"/>
              <w:spacing w:after="0" w:line="167" w:lineRule="exact"/>
              <w:rPr>
                <w:sz w:val="20"/>
                <w:szCs w:val="20"/>
                <w:color w:val="auto"/>
              </w:rPr>
            </w:pPr>
            <w:r>
              <w:rPr>
                <w:rFonts w:ascii="Calibri" w:cs="Calibri" w:eastAsia="Calibri" w:hAnsi="Calibri"/>
                <w:sz w:val="16"/>
                <w:szCs w:val="16"/>
                <w:color w:val="auto"/>
              </w:rPr>
              <w:t>SARs, restricted stock,</w:t>
            </w:r>
          </w:p>
        </w:tc>
        <w:tc>
          <w:tcPr>
            <w:tcW w:w="1300" w:type="dxa"/>
            <w:vAlign w:val="bottom"/>
            <w:shd w:val="clear" w:color="auto" w:fill="DBDBDB"/>
          </w:tcPr>
          <w:p>
            <w:pPr>
              <w:spacing w:after="0"/>
              <w:rPr>
                <w:sz w:val="14"/>
                <w:szCs w:val="14"/>
                <w:color w:val="auto"/>
              </w:rPr>
            </w:pPr>
          </w:p>
        </w:tc>
        <w:tc>
          <w:tcPr>
            <w:tcW w:w="1360" w:type="dxa"/>
            <w:vAlign w:val="bottom"/>
            <w:shd w:val="clear" w:color="auto" w:fill="DBDBDB"/>
          </w:tcPr>
          <w:p>
            <w:pPr>
              <w:spacing w:after="0"/>
              <w:rPr>
                <w:sz w:val="14"/>
                <w:szCs w:val="14"/>
                <w:color w:val="auto"/>
              </w:rPr>
            </w:pPr>
          </w:p>
        </w:tc>
        <w:tc>
          <w:tcPr>
            <w:tcW w:w="124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40" w:type="dxa"/>
            <w:vAlign w:val="bottom"/>
            <w:tcBorders>
              <w:top w:val="single" w:sz="8" w:color="DBDBDB"/>
              <w:left w:val="single" w:sz="8" w:color="DBDBDB"/>
            </w:tcBorders>
            <w:gridSpan w:val="2"/>
            <w:shd w:val="clear" w:color="auto" w:fill="DBDBDB"/>
          </w:tcPr>
          <w:p>
            <w:pPr>
              <w:ind w:left="20"/>
              <w:spacing w:after="0" w:line="142" w:lineRule="exact"/>
              <w:rPr>
                <w:sz w:val="20"/>
                <w:szCs w:val="20"/>
                <w:color w:val="auto"/>
              </w:rPr>
            </w:pPr>
            <w:r>
              <w:rPr>
                <w:rFonts w:ascii="Calibri" w:cs="Calibri" w:eastAsia="Calibri" w:hAnsi="Calibri"/>
                <w:sz w:val="15"/>
                <w:szCs w:val="15"/>
                <w:color w:val="auto"/>
              </w:rPr>
              <w:t>Plan)</w:t>
            </w:r>
          </w:p>
        </w:tc>
        <w:tc>
          <w:tcPr>
            <w:tcW w:w="580" w:type="dxa"/>
            <w:vAlign w:val="bottom"/>
            <w:tcBorders>
              <w:top w:val="single" w:sz="8" w:color="auto"/>
            </w:tcBorders>
            <w:shd w:val="clear" w:color="auto" w:fill="DBDBDB"/>
          </w:tcPr>
          <w:p>
            <w:pPr>
              <w:spacing w:after="0"/>
              <w:rPr>
                <w:sz w:val="12"/>
                <w:szCs w:val="12"/>
                <w:color w:val="auto"/>
              </w:rPr>
            </w:pPr>
          </w:p>
        </w:tc>
        <w:tc>
          <w:tcPr>
            <w:tcW w:w="80" w:type="dxa"/>
            <w:vAlign w:val="bottom"/>
            <w:tcBorders>
              <w:top w:val="single" w:sz="8" w:color="DBDBDB"/>
            </w:tcBorders>
            <w:shd w:val="clear" w:color="auto" w:fill="DBDBDB"/>
          </w:tcPr>
          <w:p>
            <w:pPr>
              <w:spacing w:after="0"/>
              <w:rPr>
                <w:sz w:val="12"/>
                <w:szCs w:val="12"/>
                <w:color w:val="auto"/>
              </w:rPr>
            </w:pPr>
          </w:p>
        </w:tc>
        <w:tc>
          <w:tcPr>
            <w:tcW w:w="1880" w:type="dxa"/>
            <w:vAlign w:val="bottom"/>
            <w:tcBorders>
              <w:top w:val="single" w:sz="8" w:color="DBDBDB"/>
            </w:tcBorders>
            <w:shd w:val="clear" w:color="auto" w:fill="DBDBDB"/>
          </w:tcPr>
          <w:p>
            <w:pPr>
              <w:ind w:left="80"/>
              <w:spacing w:after="0" w:line="142" w:lineRule="exact"/>
              <w:rPr>
                <w:sz w:val="20"/>
                <w:szCs w:val="20"/>
                <w:color w:val="auto"/>
              </w:rPr>
            </w:pPr>
            <w:r>
              <w:rPr>
                <w:rFonts w:ascii="Calibri" w:cs="Calibri" w:eastAsia="Calibri" w:hAnsi="Calibri"/>
                <w:sz w:val="15"/>
                <w:szCs w:val="15"/>
                <w:color w:val="auto"/>
              </w:rPr>
              <w:t>advisors</w:t>
            </w:r>
          </w:p>
        </w:tc>
        <w:tc>
          <w:tcPr>
            <w:tcW w:w="2180" w:type="dxa"/>
            <w:vAlign w:val="bottom"/>
            <w:tcBorders>
              <w:top w:val="single" w:sz="8" w:color="DBDBDB"/>
            </w:tcBorders>
            <w:shd w:val="clear" w:color="auto" w:fill="DBDBDB"/>
          </w:tcPr>
          <w:p>
            <w:pPr>
              <w:ind w:left="100"/>
              <w:spacing w:after="0" w:line="142" w:lineRule="exact"/>
              <w:rPr>
                <w:sz w:val="20"/>
                <w:szCs w:val="20"/>
                <w:color w:val="auto"/>
              </w:rPr>
            </w:pPr>
            <w:r>
              <w:rPr>
                <w:rFonts w:ascii="Calibri" w:cs="Calibri" w:eastAsia="Calibri" w:hAnsi="Calibri"/>
                <w:sz w:val="15"/>
                <w:szCs w:val="15"/>
                <w:color w:val="auto"/>
              </w:rPr>
              <w:t>unrestricted stock, RSUs,</w:t>
            </w:r>
          </w:p>
        </w:tc>
        <w:tc>
          <w:tcPr>
            <w:tcW w:w="1300" w:type="dxa"/>
            <w:vAlign w:val="bottom"/>
            <w:tcBorders>
              <w:top w:val="single" w:sz="8" w:color="DBDBDB"/>
            </w:tcBorders>
            <w:shd w:val="clear" w:color="auto" w:fill="DBDBDB"/>
          </w:tcPr>
          <w:p>
            <w:pPr>
              <w:spacing w:after="0"/>
              <w:rPr>
                <w:sz w:val="12"/>
                <w:szCs w:val="12"/>
                <w:color w:val="auto"/>
              </w:rPr>
            </w:pPr>
          </w:p>
        </w:tc>
        <w:tc>
          <w:tcPr>
            <w:tcW w:w="1360" w:type="dxa"/>
            <w:vAlign w:val="bottom"/>
            <w:tcBorders>
              <w:top w:val="single" w:sz="8" w:color="DBDBDB"/>
            </w:tcBorders>
            <w:shd w:val="clear" w:color="auto" w:fill="DBDBDB"/>
          </w:tcPr>
          <w:p>
            <w:pPr>
              <w:spacing w:after="0"/>
              <w:rPr>
                <w:sz w:val="12"/>
                <w:szCs w:val="12"/>
                <w:color w:val="auto"/>
              </w:rPr>
            </w:pPr>
          </w:p>
        </w:tc>
        <w:tc>
          <w:tcPr>
            <w:tcW w:w="1240" w:type="dxa"/>
            <w:vAlign w:val="bottom"/>
            <w:tcBorders>
              <w:top w:val="single" w:sz="8" w:color="DBDBDB"/>
            </w:tcBorders>
            <w:shd w:val="clear" w:color="auto" w:fill="DBDBDB"/>
          </w:tcPr>
          <w:p>
            <w:pPr>
              <w:spacing w:after="0"/>
              <w:rPr>
                <w:sz w:val="12"/>
                <w:szCs w:val="12"/>
                <w:color w:val="auto"/>
              </w:rPr>
            </w:pPr>
          </w:p>
        </w:tc>
        <w:tc>
          <w:tcPr>
            <w:tcW w:w="1080" w:type="dxa"/>
            <w:vAlign w:val="bottom"/>
            <w:tcBorders>
              <w:top w:val="single" w:sz="8" w:color="DBDBDB"/>
            </w:tcBorders>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tcBorders>
              <w:left w:val="single" w:sz="8" w:color="DBDBDB"/>
            </w:tcBorders>
            <w:shd w:val="clear" w:color="auto" w:fill="000000"/>
          </w:tcPr>
          <w:p>
            <w:pPr>
              <w:spacing w:after="0" w:line="20" w:lineRule="exact"/>
              <w:rPr>
                <w:sz w:val="1"/>
                <w:szCs w:val="1"/>
                <w:color w:val="auto"/>
              </w:rPr>
            </w:pPr>
          </w:p>
        </w:tc>
        <w:tc>
          <w:tcPr>
            <w:tcW w:w="1900" w:type="dxa"/>
            <w:vAlign w:val="bottom"/>
            <w:gridSpan w:val="3"/>
            <w:shd w:val="clear" w:color="auto" w:fill="DBDBDB"/>
          </w:tcPr>
          <w:p>
            <w:pPr>
              <w:spacing w:after="0" w:line="20" w:lineRule="exact"/>
              <w:rPr>
                <w:sz w:val="1"/>
                <w:szCs w:val="1"/>
                <w:color w:val="auto"/>
              </w:rPr>
            </w:pPr>
          </w:p>
        </w:tc>
        <w:tc>
          <w:tcPr>
            <w:tcW w:w="1880" w:type="dxa"/>
            <w:vAlign w:val="bottom"/>
            <w:shd w:val="clear" w:color="auto" w:fill="DBDBDB"/>
          </w:tcPr>
          <w:p>
            <w:pPr>
              <w:spacing w:after="0" w:line="20" w:lineRule="exact"/>
              <w:rPr>
                <w:sz w:val="1"/>
                <w:szCs w:val="1"/>
                <w:color w:val="auto"/>
              </w:rPr>
            </w:pPr>
          </w:p>
        </w:tc>
        <w:tc>
          <w:tcPr>
            <w:tcW w:w="2180" w:type="dxa"/>
            <w:vAlign w:val="bottom"/>
            <w:vMerge w:val="restart"/>
            <w:shd w:val="clear" w:color="auto" w:fill="DBDBDB"/>
          </w:tcPr>
          <w:p>
            <w:pPr>
              <w:ind w:left="100"/>
              <w:spacing w:after="0" w:line="157" w:lineRule="exact"/>
              <w:rPr>
                <w:sz w:val="20"/>
                <w:szCs w:val="20"/>
                <w:color w:val="auto"/>
              </w:rPr>
            </w:pPr>
            <w:r>
              <w:rPr>
                <w:rFonts w:ascii="Calibri" w:cs="Calibri" w:eastAsia="Calibri" w:hAnsi="Calibri"/>
                <w:sz w:val="16"/>
                <w:szCs w:val="16"/>
                <w:color w:val="auto"/>
              </w:rPr>
              <w:t>performance awards, other</w:t>
            </w:r>
          </w:p>
        </w:tc>
        <w:tc>
          <w:tcPr>
            <w:tcW w:w="1300" w:type="dxa"/>
            <w:vAlign w:val="bottom"/>
            <w:shd w:val="clear" w:color="auto" w:fill="DBDBDB"/>
          </w:tcPr>
          <w:p>
            <w:pPr>
              <w:spacing w:after="0" w:line="20" w:lineRule="exact"/>
              <w:rPr>
                <w:sz w:val="1"/>
                <w:szCs w:val="1"/>
                <w:color w:val="auto"/>
              </w:rPr>
            </w:pPr>
          </w:p>
        </w:tc>
        <w:tc>
          <w:tcPr>
            <w:tcW w:w="1360" w:type="dxa"/>
            <w:vAlign w:val="bottom"/>
            <w:shd w:val="clear" w:color="auto" w:fill="DBDBDB"/>
          </w:tcPr>
          <w:p>
            <w:pPr>
              <w:spacing w:after="0" w:line="20" w:lineRule="exact"/>
              <w:rPr>
                <w:sz w:val="1"/>
                <w:szCs w:val="1"/>
                <w:color w:val="auto"/>
              </w:rPr>
            </w:pPr>
          </w:p>
        </w:tc>
        <w:tc>
          <w:tcPr>
            <w:tcW w:w="1240" w:type="dxa"/>
            <w:vAlign w:val="bottom"/>
            <w:shd w:val="clear" w:color="auto" w:fill="DBDBDB"/>
          </w:tcPr>
          <w:p>
            <w:pPr>
              <w:spacing w:after="0" w:line="20" w:lineRule="exact"/>
              <w:rPr>
                <w:sz w:val="1"/>
                <w:szCs w:val="1"/>
                <w:color w:val="auto"/>
              </w:rPr>
            </w:pPr>
          </w:p>
        </w:tc>
        <w:tc>
          <w:tcPr>
            <w:tcW w:w="1080" w:type="dxa"/>
            <w:vAlign w:val="bottom"/>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200" w:type="dxa"/>
            <w:vAlign w:val="bottom"/>
            <w:tcBorders>
              <w:left w:val="single" w:sz="8" w:color="DBDBDB"/>
            </w:tcBorders>
            <w:gridSpan w:val="4"/>
            <w:shd w:val="clear" w:color="auto" w:fill="DBDBDB"/>
          </w:tcPr>
          <w:p>
            <w:pPr>
              <w:ind w:left="20"/>
              <w:spacing w:after="0" w:line="137" w:lineRule="exact"/>
              <w:rPr>
                <w:sz w:val="20"/>
                <w:szCs w:val="20"/>
                <w:color w:val="auto"/>
              </w:rPr>
            </w:pPr>
            <w:r>
              <w:rPr>
                <w:rFonts w:ascii="Calibri" w:cs="Calibri" w:eastAsia="Calibri" w:hAnsi="Calibri"/>
                <w:sz w:val="14"/>
                <w:szCs w:val="14"/>
                <w:i w:val="1"/>
                <w:iCs w:val="1"/>
                <w:color w:val="auto"/>
              </w:rPr>
              <w:t>(replaces 2014 Plan)</w:t>
            </w:r>
          </w:p>
        </w:tc>
        <w:tc>
          <w:tcPr>
            <w:tcW w:w="1880" w:type="dxa"/>
            <w:vAlign w:val="bottom"/>
            <w:shd w:val="clear" w:color="auto" w:fill="DBDBDB"/>
          </w:tcPr>
          <w:p>
            <w:pPr>
              <w:spacing w:after="0"/>
              <w:rPr>
                <w:sz w:val="11"/>
                <w:szCs w:val="11"/>
                <w:color w:val="auto"/>
              </w:rPr>
            </w:pPr>
          </w:p>
        </w:tc>
        <w:tc>
          <w:tcPr>
            <w:tcW w:w="2180" w:type="dxa"/>
            <w:vAlign w:val="bottom"/>
            <w:vMerge w:val="continue"/>
            <w:shd w:val="clear" w:color="auto" w:fill="DBDBDB"/>
          </w:tcPr>
          <w:p>
            <w:pPr>
              <w:spacing w:after="0"/>
              <w:rPr>
                <w:sz w:val="11"/>
                <w:szCs w:val="11"/>
                <w:color w:val="auto"/>
              </w:rPr>
            </w:pPr>
          </w:p>
        </w:tc>
        <w:tc>
          <w:tcPr>
            <w:tcW w:w="1300" w:type="dxa"/>
            <w:vAlign w:val="bottom"/>
            <w:shd w:val="clear" w:color="auto" w:fill="DBDBDB"/>
          </w:tcPr>
          <w:p>
            <w:pPr>
              <w:spacing w:after="0"/>
              <w:rPr>
                <w:sz w:val="11"/>
                <w:szCs w:val="11"/>
                <w:color w:val="auto"/>
              </w:rPr>
            </w:pPr>
          </w:p>
        </w:tc>
        <w:tc>
          <w:tcPr>
            <w:tcW w:w="1360" w:type="dxa"/>
            <w:vAlign w:val="bottom"/>
            <w:shd w:val="clear" w:color="auto" w:fill="DBDBDB"/>
          </w:tcPr>
          <w:p>
            <w:pPr>
              <w:spacing w:after="0"/>
              <w:rPr>
                <w:sz w:val="11"/>
                <w:szCs w:val="11"/>
                <w:color w:val="auto"/>
              </w:rPr>
            </w:pPr>
          </w:p>
        </w:tc>
        <w:tc>
          <w:tcPr>
            <w:tcW w:w="1240" w:type="dxa"/>
            <w:vAlign w:val="bottom"/>
            <w:shd w:val="clear" w:color="auto" w:fill="DBDBDB"/>
          </w:tcPr>
          <w:p>
            <w:pPr>
              <w:spacing w:after="0"/>
              <w:rPr>
                <w:sz w:val="11"/>
                <w:szCs w:val="11"/>
                <w:color w:val="auto"/>
              </w:rPr>
            </w:pPr>
          </w:p>
        </w:tc>
        <w:tc>
          <w:tcPr>
            <w:tcW w:w="1080" w:type="dxa"/>
            <w:vAlign w:val="bottom"/>
            <w:shd w:val="clear" w:color="auto" w:fill="DBDBDB"/>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00" w:type="dxa"/>
            <w:vAlign w:val="bottom"/>
            <w:tcBorders>
              <w:left w:val="single" w:sz="8" w:color="DBDBDB"/>
            </w:tcBorders>
            <w:shd w:val="clear" w:color="auto" w:fill="DBDBDB"/>
          </w:tcPr>
          <w:p>
            <w:pPr>
              <w:spacing w:after="0"/>
              <w:rPr>
                <w:sz w:val="14"/>
                <w:szCs w:val="14"/>
                <w:color w:val="auto"/>
              </w:rPr>
            </w:pPr>
          </w:p>
        </w:tc>
        <w:tc>
          <w:tcPr>
            <w:tcW w:w="1240" w:type="dxa"/>
            <w:vAlign w:val="bottom"/>
            <w:shd w:val="clear" w:color="auto" w:fill="DBDBDB"/>
          </w:tcPr>
          <w:p>
            <w:pPr>
              <w:spacing w:after="0"/>
              <w:rPr>
                <w:sz w:val="14"/>
                <w:szCs w:val="14"/>
                <w:color w:val="auto"/>
              </w:rPr>
            </w:pPr>
          </w:p>
        </w:tc>
        <w:tc>
          <w:tcPr>
            <w:tcW w:w="5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880" w:type="dxa"/>
            <w:vAlign w:val="bottom"/>
            <w:shd w:val="clear" w:color="auto" w:fill="DBDBDB"/>
          </w:tcPr>
          <w:p>
            <w:pPr>
              <w:spacing w:after="0"/>
              <w:rPr>
                <w:sz w:val="14"/>
                <w:szCs w:val="14"/>
                <w:color w:val="auto"/>
              </w:rPr>
            </w:pPr>
          </w:p>
        </w:tc>
        <w:tc>
          <w:tcPr>
            <w:tcW w:w="2180" w:type="dxa"/>
            <w:vAlign w:val="bottom"/>
            <w:shd w:val="clear" w:color="auto" w:fill="DBDBDB"/>
          </w:tcPr>
          <w:p>
            <w:pPr>
              <w:ind w:left="100"/>
              <w:spacing w:after="0" w:line="162" w:lineRule="exact"/>
              <w:rPr>
                <w:sz w:val="20"/>
                <w:szCs w:val="20"/>
                <w:color w:val="auto"/>
              </w:rPr>
            </w:pPr>
            <w:r>
              <w:rPr>
                <w:rFonts w:ascii="Calibri" w:cs="Calibri" w:eastAsia="Calibri" w:hAnsi="Calibri"/>
                <w:sz w:val="16"/>
                <w:szCs w:val="16"/>
                <w:color w:val="auto"/>
              </w:rPr>
              <w:t>share-based awards and</w:t>
            </w:r>
          </w:p>
        </w:tc>
        <w:tc>
          <w:tcPr>
            <w:tcW w:w="1300" w:type="dxa"/>
            <w:vAlign w:val="bottom"/>
            <w:shd w:val="clear" w:color="auto" w:fill="DBDBDB"/>
          </w:tcPr>
          <w:p>
            <w:pPr>
              <w:spacing w:after="0"/>
              <w:rPr>
                <w:sz w:val="14"/>
                <w:szCs w:val="14"/>
                <w:color w:val="auto"/>
              </w:rPr>
            </w:pPr>
          </w:p>
        </w:tc>
        <w:tc>
          <w:tcPr>
            <w:tcW w:w="1360" w:type="dxa"/>
            <w:vAlign w:val="bottom"/>
            <w:shd w:val="clear" w:color="auto" w:fill="DBDBDB"/>
          </w:tcPr>
          <w:p>
            <w:pPr>
              <w:spacing w:after="0"/>
              <w:rPr>
                <w:sz w:val="14"/>
                <w:szCs w:val="14"/>
                <w:color w:val="auto"/>
              </w:rPr>
            </w:pPr>
          </w:p>
        </w:tc>
        <w:tc>
          <w:tcPr>
            <w:tcW w:w="1240" w:type="dxa"/>
            <w:vAlign w:val="bottom"/>
            <w:shd w:val="clear" w:color="auto" w:fill="DBDBDB"/>
          </w:tcPr>
          <w:p>
            <w:pPr>
              <w:spacing w:after="0"/>
              <w:rPr>
                <w:sz w:val="14"/>
                <w:szCs w:val="14"/>
                <w:color w:val="auto"/>
              </w:rPr>
            </w:pPr>
          </w:p>
        </w:tc>
        <w:tc>
          <w:tcPr>
            <w:tcW w:w="108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00" w:type="dxa"/>
            <w:vAlign w:val="bottom"/>
            <w:tcBorders>
              <w:left w:val="single" w:sz="8" w:color="DBDBDB"/>
              <w:bottom w:val="single" w:sz="8" w:color="DBDBDB"/>
            </w:tcBorders>
            <w:shd w:val="clear" w:color="auto" w:fill="DBDBDB"/>
          </w:tcPr>
          <w:p>
            <w:pPr>
              <w:spacing w:after="0"/>
              <w:rPr>
                <w:sz w:val="17"/>
                <w:szCs w:val="17"/>
                <w:color w:val="auto"/>
              </w:rPr>
            </w:pPr>
          </w:p>
        </w:tc>
        <w:tc>
          <w:tcPr>
            <w:tcW w:w="1240" w:type="dxa"/>
            <w:vAlign w:val="bottom"/>
            <w:tcBorders>
              <w:bottom w:val="single" w:sz="8" w:color="DBDBDB"/>
            </w:tcBorders>
            <w:shd w:val="clear" w:color="auto" w:fill="DBDBDB"/>
          </w:tcPr>
          <w:p>
            <w:pPr>
              <w:spacing w:after="0"/>
              <w:rPr>
                <w:sz w:val="17"/>
                <w:szCs w:val="17"/>
                <w:color w:val="auto"/>
              </w:rPr>
            </w:pPr>
          </w:p>
        </w:tc>
        <w:tc>
          <w:tcPr>
            <w:tcW w:w="580" w:type="dxa"/>
            <w:vAlign w:val="bottom"/>
            <w:tcBorders>
              <w:bottom w:val="single" w:sz="8" w:color="DBDBDB"/>
            </w:tcBorders>
            <w:shd w:val="clear" w:color="auto" w:fill="DBDBDB"/>
          </w:tcPr>
          <w:p>
            <w:pPr>
              <w:spacing w:after="0"/>
              <w:rPr>
                <w:sz w:val="17"/>
                <w:szCs w:val="17"/>
                <w:color w:val="auto"/>
              </w:rPr>
            </w:pPr>
          </w:p>
        </w:tc>
        <w:tc>
          <w:tcPr>
            <w:tcW w:w="80" w:type="dxa"/>
            <w:vAlign w:val="bottom"/>
            <w:tcBorders>
              <w:bottom w:val="single" w:sz="8" w:color="DBDBDB"/>
            </w:tcBorders>
            <w:shd w:val="clear" w:color="auto" w:fill="DBDBDB"/>
          </w:tcPr>
          <w:p>
            <w:pPr>
              <w:spacing w:after="0"/>
              <w:rPr>
                <w:sz w:val="17"/>
                <w:szCs w:val="17"/>
                <w:color w:val="auto"/>
              </w:rPr>
            </w:pPr>
          </w:p>
        </w:tc>
        <w:tc>
          <w:tcPr>
            <w:tcW w:w="1880" w:type="dxa"/>
            <w:vAlign w:val="bottom"/>
            <w:tcBorders>
              <w:bottom w:val="single" w:sz="8" w:color="DBDBDB"/>
            </w:tcBorders>
            <w:shd w:val="clear" w:color="auto" w:fill="DBDBDB"/>
          </w:tcPr>
          <w:p>
            <w:pPr>
              <w:spacing w:after="0"/>
              <w:rPr>
                <w:sz w:val="17"/>
                <w:szCs w:val="17"/>
                <w:color w:val="auto"/>
              </w:rPr>
            </w:pPr>
          </w:p>
        </w:tc>
        <w:tc>
          <w:tcPr>
            <w:tcW w:w="2180" w:type="dxa"/>
            <w:vAlign w:val="bottom"/>
            <w:tcBorders>
              <w:bottom w:val="single" w:sz="8" w:color="DBDBDB"/>
            </w:tcBorders>
            <w:shd w:val="clear" w:color="auto" w:fill="DBDBDB"/>
          </w:tcPr>
          <w:p>
            <w:pPr>
              <w:ind w:left="100"/>
              <w:spacing w:after="0" w:line="193" w:lineRule="exact"/>
              <w:rPr>
                <w:sz w:val="20"/>
                <w:szCs w:val="20"/>
                <w:color w:val="auto"/>
              </w:rPr>
            </w:pPr>
            <w:r>
              <w:rPr>
                <w:rFonts w:ascii="Calibri" w:cs="Calibri" w:eastAsia="Calibri" w:hAnsi="Calibri"/>
                <w:sz w:val="16"/>
                <w:szCs w:val="16"/>
                <w:color w:val="auto"/>
              </w:rPr>
              <w:t>dividend equivalents</w:t>
            </w:r>
          </w:p>
        </w:tc>
        <w:tc>
          <w:tcPr>
            <w:tcW w:w="1300" w:type="dxa"/>
            <w:vAlign w:val="bottom"/>
            <w:tcBorders>
              <w:bottom w:val="single" w:sz="8" w:color="DBDBDB"/>
            </w:tcBorders>
            <w:shd w:val="clear" w:color="auto" w:fill="DBDBDB"/>
          </w:tcPr>
          <w:p>
            <w:pPr>
              <w:spacing w:after="0"/>
              <w:rPr>
                <w:sz w:val="17"/>
                <w:szCs w:val="17"/>
                <w:color w:val="auto"/>
              </w:rPr>
            </w:pPr>
          </w:p>
        </w:tc>
        <w:tc>
          <w:tcPr>
            <w:tcW w:w="1360" w:type="dxa"/>
            <w:vAlign w:val="bottom"/>
            <w:tcBorders>
              <w:bottom w:val="single" w:sz="8" w:color="DBDBDB"/>
            </w:tcBorders>
            <w:shd w:val="clear" w:color="auto" w:fill="DBDBDB"/>
          </w:tcPr>
          <w:p>
            <w:pPr>
              <w:spacing w:after="0"/>
              <w:rPr>
                <w:sz w:val="17"/>
                <w:szCs w:val="17"/>
                <w:color w:val="auto"/>
              </w:rPr>
            </w:pPr>
          </w:p>
        </w:tc>
        <w:tc>
          <w:tcPr>
            <w:tcW w:w="1240" w:type="dxa"/>
            <w:vAlign w:val="bottom"/>
            <w:tcBorders>
              <w:bottom w:val="single" w:sz="8" w:color="DBDBDB"/>
            </w:tcBorders>
            <w:shd w:val="clear" w:color="auto" w:fill="DBDBDB"/>
          </w:tcPr>
          <w:p>
            <w:pPr>
              <w:spacing w:after="0"/>
              <w:rPr>
                <w:sz w:val="17"/>
                <w:szCs w:val="17"/>
                <w:color w:val="auto"/>
              </w:rPr>
            </w:pPr>
          </w:p>
        </w:tc>
        <w:tc>
          <w:tcPr>
            <w:tcW w:w="108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left w:val="single" w:sz="8" w:color="auto"/>
            </w:tcBorders>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hanging="332"/>
        <w:spacing w:after="0" w:line="237" w:lineRule="auto"/>
        <w:tabs>
          <w:tab w:leader="none" w:pos="343" w:val="left"/>
        </w:tabs>
        <w:numPr>
          <w:ilvl w:val="0"/>
          <w:numId w:val="73"/>
        </w:numPr>
        <w:rPr>
          <w:rFonts w:ascii="Calibri" w:cs="Calibri" w:eastAsia="Calibri" w:hAnsi="Calibri"/>
          <w:sz w:val="14"/>
          <w:szCs w:val="14"/>
          <w:color w:val="auto"/>
        </w:rPr>
      </w:pPr>
      <w:r>
        <w:rPr>
          <w:rFonts w:ascii="Calibri" w:cs="Calibri" w:eastAsia="Calibri" w:hAnsi="Calibri"/>
          <w:sz w:val="14"/>
          <w:szCs w:val="14"/>
          <w:color w:val="auto"/>
        </w:rPr>
        <w:t>The Keryx Equity Plans consist of the Keryx Biopharmaceutcals, Inc. 1999 Share Opton Plan, Keryx Biopharmaceutcals, Inc., as amended, the 2004 Long-Term Incentve Plan, as amended, the Keryx Biopharmaceutcals, Inc. 2007 Incentve Plan, the Keryx Biopharmaceutcals Inc. Amended and Restated 2013 Incentve Plan and the Keryx Biopharmaceutcals, Inc. 2018 Equity Incentve Plan.</w:t>
      </w:r>
    </w:p>
    <w:p>
      <w:pPr>
        <w:spacing w:after="0" w:line="59" w:lineRule="exact"/>
        <w:rPr>
          <w:rFonts w:ascii="Calibri" w:cs="Calibri" w:eastAsia="Calibri" w:hAnsi="Calibri"/>
          <w:sz w:val="14"/>
          <w:szCs w:val="14"/>
          <w:color w:val="auto"/>
        </w:rPr>
      </w:pPr>
    </w:p>
    <w:p>
      <w:pPr>
        <w:ind w:left="340" w:hanging="332"/>
        <w:spacing w:after="0"/>
        <w:tabs>
          <w:tab w:leader="none" w:pos="340" w:val="left"/>
        </w:tabs>
        <w:numPr>
          <w:ilvl w:val="0"/>
          <w:numId w:val="73"/>
        </w:numPr>
        <w:rPr>
          <w:rFonts w:ascii="Calibri" w:cs="Calibri" w:eastAsia="Calibri" w:hAnsi="Calibri"/>
          <w:sz w:val="14"/>
          <w:szCs w:val="14"/>
          <w:color w:val="auto"/>
        </w:rPr>
      </w:pPr>
      <w:r>
        <w:rPr>
          <w:rFonts w:ascii="Calibri" w:cs="Calibri" w:eastAsia="Calibri" w:hAnsi="Calibri"/>
          <w:sz w:val="14"/>
          <w:szCs w:val="14"/>
          <w:color w:val="auto"/>
        </w:rPr>
        <w:t>New awards are no longer being granted under these plans.</w:t>
      </w:r>
    </w:p>
    <w:p>
      <w:pPr>
        <w:spacing w:after="0" w:line="59" w:lineRule="exact"/>
        <w:rPr>
          <w:rFonts w:ascii="Calibri" w:cs="Calibri" w:eastAsia="Calibri" w:hAnsi="Calibri"/>
          <w:sz w:val="14"/>
          <w:szCs w:val="14"/>
          <w:color w:val="auto"/>
        </w:rPr>
      </w:pPr>
    </w:p>
    <w:p>
      <w:pPr>
        <w:jc w:val="both"/>
        <w:ind w:left="340" w:hanging="332"/>
        <w:spacing w:after="0" w:line="237" w:lineRule="auto"/>
        <w:tabs>
          <w:tab w:leader="none" w:pos="366" w:val="left"/>
        </w:tabs>
        <w:numPr>
          <w:ilvl w:val="0"/>
          <w:numId w:val="73"/>
        </w:numPr>
        <w:rPr>
          <w:rFonts w:ascii="Calibri" w:cs="Calibri" w:eastAsia="Calibri" w:hAnsi="Calibri"/>
          <w:sz w:val="14"/>
          <w:szCs w:val="14"/>
          <w:color w:val="auto"/>
        </w:rPr>
      </w:pPr>
      <w:r>
        <w:rPr>
          <w:rFonts w:ascii="Calibri" w:cs="Calibri" w:eastAsia="Calibri" w:hAnsi="Calibri"/>
          <w:sz w:val="14"/>
          <w:szCs w:val="14"/>
          <w:color w:val="auto"/>
        </w:rPr>
        <w:t>This table includes the following inducement awards that are subject to the terms and conditons of the applicable plan but were granted as inducement awards consistent with Nasdaq Listng Rule 5635(c)(4) and not under the applicable plan: 1,151,127 optons outstanding under the 2014 Plan and 2,534,775 optons outstanding under the 2023 Plan as of December 31, 2024 and 1,616,019 optons outstanding under the 2014 Plan and 794,000 optons outstanding under the 2023 Plan as of December 31, 2023.</w:t>
      </w:r>
    </w:p>
    <w:p>
      <w:pPr>
        <w:spacing w:after="0" w:line="11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Common Stock Optons and Stock Appreciaton Rights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the year ended December 31, 2024, the Company granted 3,117,500 optons to employees and 315,000 optons to directors under the 2023 Plan. Optons and SARs granted by the Company generally vest over periods of between 12 and 48 months, subject, in each case, to the individual’s contnued service through the applicable vestng date. Optons and SARs generally vest either 100% on the frst anniversary of the grant date or in installments of (i) 25% at the one year anniversary and (ii) 12 equal quarterly installments beginning afer the one year anniversary of the grant date, subject to the individual’s contnuous service with the Company. Optons and SARs generally expire ten years afer the date of grant.</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also maintains an inducement award program with a share pool that is separate from the Company's equity plans under which inducement awards may be granted consistent with Nasdaq Listng Rule 5635(c)(4). During the year ended December 31, 2024, the Company granted 1,911,550 optons to purchase shares of the Company’s common stock to new hires as inducements to such employees entering into employment with the Company, of which 1,904,550 optons remained outstanding at December 31, 2024.</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grants annual service-based stock optons to employees and directors and SARs to certain executves under the 2023 Plan and previously granted optons under the 2014 Plan. In additon, the Company issues common stock optons to directors, new hires and occasionally to other employees not in connecton with the annual grant process.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Finally, the Company grants performance-based stock optons which generally vest in connecton with the achievement of specifed commercial, regulatory and corporate milestones. The performance-based stock optons also generally feature a tme-based vestng component. The expense recognized for these awards is based on the grant date fair value of the Company’s common stock multplied by the number of optons granted and recognized over tme based on the probability of meetng such commercial, regulatory and corporate milestones.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160" w:name="page161"/>
    <w:bookmarkEnd w:id="16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combined stock opton actvity for the year ended December 31, 2024, is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center"/>
              <w:ind w:right="120"/>
              <w:spacing w:after="0"/>
              <w:rPr>
                <w:sz w:val="20"/>
                <w:szCs w:val="20"/>
                <w:color w:val="auto"/>
              </w:rPr>
            </w:pPr>
            <w:r>
              <w:rPr>
                <w:rFonts w:ascii="Calibri" w:cs="Calibri" w:eastAsia="Calibri" w:hAnsi="Calibri"/>
                <w:sz w:val="16"/>
                <w:szCs w:val="16"/>
                <w:b w:val="1"/>
                <w:bCs w:val="1"/>
                <w:color w:val="auto"/>
                <w:w w:val="99"/>
              </w:rPr>
              <w:t>Weighted-Average</w:t>
            </w:r>
          </w:p>
        </w:tc>
        <w:tc>
          <w:tcPr>
            <w:tcW w:w="160" w:type="dxa"/>
            <w:vAlign w:val="bottom"/>
          </w:tcPr>
          <w:p>
            <w:pPr>
              <w:spacing w:after="0"/>
              <w:rPr>
                <w:sz w:val="16"/>
                <w:szCs w:val="16"/>
                <w:color w:val="auto"/>
              </w:rPr>
            </w:pPr>
          </w:p>
        </w:tc>
        <w:tc>
          <w:tcPr>
            <w:tcW w:w="1500" w:type="dxa"/>
            <w:vAlign w:val="bottom"/>
          </w:tcPr>
          <w:p>
            <w:pPr>
              <w:jc w:val="center"/>
              <w:ind w:right="79"/>
              <w:spacing w:after="0"/>
              <w:rPr>
                <w:sz w:val="20"/>
                <w:szCs w:val="20"/>
                <w:color w:val="auto"/>
              </w:rPr>
            </w:pPr>
            <w:r>
              <w:rPr>
                <w:rFonts w:ascii="Calibri" w:cs="Calibri" w:eastAsia="Calibri" w:hAnsi="Calibri"/>
                <w:sz w:val="16"/>
                <w:szCs w:val="16"/>
                <w:b w:val="1"/>
                <w:bCs w:val="1"/>
                <w:color w:val="auto"/>
              </w:rPr>
              <w:t>Aggregate Intrinsic</w:t>
            </w:r>
          </w:p>
        </w:tc>
      </w:tr>
      <w:tr>
        <w:trPr>
          <w:trHeight w:val="162"/>
        </w:trPr>
        <w:tc>
          <w:tcPr>
            <w:tcW w:w="4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260"/>
              <w:spacing w:after="0" w:line="162" w:lineRule="exact"/>
              <w:rPr>
                <w:sz w:val="20"/>
                <w:szCs w:val="20"/>
                <w:color w:val="auto"/>
              </w:rPr>
            </w:pPr>
            <w:r>
              <w:rPr>
                <w:rFonts w:ascii="Calibri" w:cs="Calibri" w:eastAsia="Calibri" w:hAnsi="Calibri"/>
                <w:sz w:val="16"/>
                <w:szCs w:val="16"/>
                <w:b w:val="1"/>
                <w:bCs w:val="1"/>
                <w:color w:val="auto"/>
                <w:w w:val="99"/>
              </w:rPr>
              <w:t>Weighted-Average</w:t>
            </w:r>
          </w:p>
        </w:tc>
        <w:tc>
          <w:tcPr>
            <w:tcW w:w="1760" w:type="dxa"/>
            <w:vAlign w:val="bottom"/>
            <w:gridSpan w:val="2"/>
          </w:tcPr>
          <w:p>
            <w:pPr>
              <w:jc w:val="center"/>
              <w:ind w:right="120"/>
              <w:spacing w:after="0" w:line="162" w:lineRule="exact"/>
              <w:rPr>
                <w:sz w:val="20"/>
                <w:szCs w:val="20"/>
                <w:color w:val="auto"/>
              </w:rPr>
            </w:pPr>
            <w:r>
              <w:rPr>
                <w:rFonts w:ascii="Calibri" w:cs="Calibri" w:eastAsia="Calibri" w:hAnsi="Calibri"/>
                <w:sz w:val="16"/>
                <w:szCs w:val="16"/>
                <w:b w:val="1"/>
                <w:bCs w:val="1"/>
                <w:color w:val="auto"/>
                <w:w w:val="99"/>
              </w:rPr>
              <w:t>Contractual Life</w:t>
            </w:r>
          </w:p>
        </w:tc>
        <w:tc>
          <w:tcPr>
            <w:tcW w:w="160" w:type="dxa"/>
            <w:vAlign w:val="bottom"/>
          </w:tcPr>
          <w:p>
            <w:pPr>
              <w:spacing w:after="0"/>
              <w:rPr>
                <w:sz w:val="14"/>
                <w:szCs w:val="14"/>
                <w:color w:val="auto"/>
              </w:rPr>
            </w:pPr>
          </w:p>
        </w:tc>
        <w:tc>
          <w:tcPr>
            <w:tcW w:w="1500" w:type="dxa"/>
            <w:vAlign w:val="bottom"/>
          </w:tcPr>
          <w:p>
            <w:pPr>
              <w:jc w:val="center"/>
              <w:ind w:right="119"/>
              <w:spacing w:after="0" w:line="162" w:lineRule="exact"/>
              <w:rPr>
                <w:sz w:val="20"/>
                <w:szCs w:val="20"/>
                <w:color w:val="auto"/>
              </w:rPr>
            </w:pPr>
            <w:r>
              <w:rPr>
                <w:rFonts w:ascii="Calibri" w:cs="Calibri" w:eastAsia="Calibri" w:hAnsi="Calibri"/>
                <w:sz w:val="16"/>
                <w:szCs w:val="16"/>
                <w:b w:val="1"/>
                <w:bCs w:val="1"/>
                <w:color w:val="auto"/>
              </w:rPr>
              <w:t>Value</w:t>
            </w:r>
          </w:p>
        </w:tc>
      </w:tr>
      <w:tr>
        <w:trPr>
          <w:trHeight w:val="193"/>
        </w:trPr>
        <w:tc>
          <w:tcPr>
            <w:tcW w:w="4540" w:type="dxa"/>
            <w:vAlign w:val="bottom"/>
          </w:tcPr>
          <w:p>
            <w:pPr>
              <w:spacing w:after="0"/>
              <w:rPr>
                <w:sz w:val="16"/>
                <w:szCs w:val="16"/>
                <w:color w:val="auto"/>
              </w:rPr>
            </w:pPr>
          </w:p>
        </w:tc>
        <w:tc>
          <w:tcPr>
            <w:tcW w:w="1400" w:type="dxa"/>
            <w:vAlign w:val="bottom"/>
          </w:tcPr>
          <w:p>
            <w:pPr>
              <w:jc w:val="right"/>
              <w:ind w:right="139"/>
              <w:spacing w:after="0" w:line="193" w:lineRule="exact"/>
              <w:rPr>
                <w:sz w:val="20"/>
                <w:szCs w:val="20"/>
                <w:color w:val="auto"/>
              </w:rPr>
            </w:pPr>
            <w:r>
              <w:rPr>
                <w:rFonts w:ascii="Calibri" w:cs="Calibri" w:eastAsia="Calibri" w:hAnsi="Calibri"/>
                <w:sz w:val="16"/>
                <w:szCs w:val="16"/>
                <w:b w:val="1"/>
                <w:bCs w:val="1"/>
                <w:color w:val="auto"/>
              </w:rPr>
              <w:t>Stock Optons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jc w:val="center"/>
              <w:ind w:right="260"/>
              <w:spacing w:after="0" w:line="193" w:lineRule="exact"/>
              <w:rPr>
                <w:sz w:val="20"/>
                <w:szCs w:val="20"/>
                <w:color w:val="auto"/>
              </w:rPr>
            </w:pPr>
            <w:r>
              <w:rPr>
                <w:rFonts w:ascii="Calibri" w:cs="Calibri" w:eastAsia="Calibri" w:hAnsi="Calibri"/>
                <w:sz w:val="16"/>
                <w:szCs w:val="16"/>
                <w:b w:val="1"/>
                <w:bCs w:val="1"/>
                <w:color w:val="auto"/>
              </w:rPr>
              <w:t>Exercise Price</w:t>
            </w:r>
          </w:p>
        </w:tc>
        <w:tc>
          <w:tcPr>
            <w:tcW w:w="1760" w:type="dxa"/>
            <w:vAlign w:val="bottom"/>
            <w:gridSpan w:val="2"/>
          </w:tcPr>
          <w:p>
            <w:pPr>
              <w:jc w:val="center"/>
              <w:ind w:right="100"/>
              <w:spacing w:after="0" w:line="193" w:lineRule="exact"/>
              <w:rPr>
                <w:sz w:val="20"/>
                <w:szCs w:val="20"/>
                <w:color w:val="auto"/>
              </w:rPr>
            </w:pPr>
            <w:r>
              <w:rPr>
                <w:rFonts w:ascii="Calibri" w:cs="Calibri" w:eastAsia="Calibri" w:hAnsi="Calibri"/>
                <w:sz w:val="16"/>
                <w:szCs w:val="16"/>
                <w:b w:val="1"/>
                <w:bCs w:val="1"/>
                <w:color w:val="auto"/>
              </w:rPr>
              <w:t>(years)</w:t>
            </w:r>
          </w:p>
        </w:tc>
        <w:tc>
          <w:tcPr>
            <w:tcW w:w="160" w:type="dxa"/>
            <w:vAlign w:val="bottom"/>
          </w:tcPr>
          <w:p>
            <w:pPr>
              <w:spacing w:after="0"/>
              <w:rPr>
                <w:sz w:val="16"/>
                <w:szCs w:val="16"/>
                <w:color w:val="auto"/>
              </w:rPr>
            </w:pPr>
          </w:p>
        </w:tc>
        <w:tc>
          <w:tcPr>
            <w:tcW w:w="1500" w:type="dxa"/>
            <w:vAlign w:val="bottom"/>
          </w:tcPr>
          <w:p>
            <w:pPr>
              <w:jc w:val="center"/>
              <w:ind w:right="79"/>
              <w:spacing w:after="0" w:line="193" w:lineRule="exact"/>
              <w:rPr>
                <w:sz w:val="20"/>
                <w:szCs w:val="20"/>
                <w:color w:val="auto"/>
              </w:rPr>
            </w:pPr>
            <w:r>
              <w:rPr>
                <w:rFonts w:ascii="Calibri" w:cs="Calibri" w:eastAsia="Calibri" w:hAnsi="Calibri"/>
                <w:sz w:val="16"/>
                <w:szCs w:val="16"/>
                <w:b w:val="1"/>
                <w:bCs w:val="1"/>
                <w:color w:val="auto"/>
              </w:rPr>
              <w:t>(in thousands)</w:t>
            </w:r>
          </w:p>
        </w:tc>
      </w:tr>
      <w:tr>
        <w:trPr>
          <w:trHeight w:val="28"/>
        </w:trPr>
        <w:tc>
          <w:tcPr>
            <w:tcW w:w="4540" w:type="dxa"/>
            <w:vAlign w:val="bottom"/>
            <w:tcBorders>
              <w:bottom w:val="single" w:sz="8" w:color="DBDBDB"/>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4540" w:type="dxa"/>
            <w:vAlign w:val="bottom"/>
            <w:tcBorders>
              <w:bottom w:val="single" w:sz="8" w:color="DBDBDB"/>
            </w:tcBorders>
            <w:shd w:val="clear" w:color="auto" w:fill="DBDBDB"/>
          </w:tcPr>
          <w:p>
            <w:pPr>
              <w:ind w:left="20"/>
              <w:spacing w:after="0" w:line="174" w:lineRule="exact"/>
              <w:rPr>
                <w:sz w:val="20"/>
                <w:szCs w:val="20"/>
                <w:color w:val="auto"/>
              </w:rPr>
            </w:pPr>
            <w:r>
              <w:rPr>
                <w:rFonts w:ascii="Calibri" w:cs="Calibri" w:eastAsia="Calibri" w:hAnsi="Calibri"/>
                <w:sz w:val="16"/>
                <w:szCs w:val="16"/>
                <w:color w:val="auto"/>
              </w:rPr>
              <w:t>Outstanding, December 31, 2023</w:t>
            </w:r>
          </w:p>
        </w:tc>
        <w:tc>
          <w:tcPr>
            <w:tcW w:w="140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13,312,835</w:t>
            </w:r>
          </w:p>
        </w:tc>
        <w:tc>
          <w:tcPr>
            <w:tcW w:w="120" w:type="dxa"/>
            <w:vAlign w:val="bottom"/>
            <w:tcBorders>
              <w:bottom w:val="single" w:sz="8" w:color="DBDBDB"/>
            </w:tcBorders>
            <w:shd w:val="clear" w:color="auto" w:fill="DBDBDB"/>
          </w:tcPr>
          <w:p>
            <w:pPr>
              <w:spacing w:after="0"/>
              <w:rPr>
                <w:sz w:val="16"/>
                <w:szCs w:val="16"/>
                <w:color w:val="auto"/>
              </w:rPr>
            </w:pPr>
          </w:p>
        </w:tc>
        <w:tc>
          <w:tcPr>
            <w:tcW w:w="14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50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4.20</w:t>
            </w:r>
          </w:p>
        </w:tc>
        <w:tc>
          <w:tcPr>
            <w:tcW w:w="120" w:type="dxa"/>
            <w:vAlign w:val="bottom"/>
            <w:tcBorders>
              <w:bottom w:val="single" w:sz="8" w:color="DBDBDB"/>
            </w:tcBorders>
            <w:shd w:val="clear" w:color="auto" w:fill="DBDBDB"/>
          </w:tcPr>
          <w:p>
            <w:pPr>
              <w:spacing w:after="0"/>
              <w:rPr>
                <w:sz w:val="16"/>
                <w:szCs w:val="16"/>
                <w:color w:val="auto"/>
              </w:rPr>
            </w:pPr>
          </w:p>
        </w:tc>
        <w:tc>
          <w:tcPr>
            <w:tcW w:w="1660" w:type="dxa"/>
            <w:vAlign w:val="bottom"/>
            <w:tcBorders>
              <w:bottom w:val="single" w:sz="8" w:color="DBDBDB"/>
            </w:tcBorders>
            <w:shd w:val="clear" w:color="auto" w:fill="DBDBDB"/>
          </w:tcPr>
          <w:p>
            <w:pPr>
              <w:ind w:left="960"/>
              <w:spacing w:after="0" w:line="187" w:lineRule="exact"/>
              <w:rPr>
                <w:sz w:val="20"/>
                <w:szCs w:val="20"/>
                <w:color w:val="auto"/>
              </w:rPr>
            </w:pPr>
            <w:r>
              <w:rPr>
                <w:rFonts w:ascii="Calibri" w:cs="Calibri" w:eastAsia="Calibri" w:hAnsi="Calibri"/>
                <w:sz w:val="16"/>
                <w:szCs w:val="16"/>
                <w:color w:val="auto"/>
              </w:rPr>
              <w:t>7.27 years</w:t>
            </w:r>
          </w:p>
        </w:tc>
        <w:tc>
          <w:tcPr>
            <w:tcW w:w="10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50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2,680</w:t>
            </w:r>
          </w:p>
        </w:tc>
      </w:tr>
      <w:tr>
        <w:trPr>
          <w:trHeight w:val="193"/>
        </w:trPr>
        <w:tc>
          <w:tcPr>
            <w:tcW w:w="4540" w:type="dxa"/>
            <w:vAlign w:val="bottom"/>
          </w:tcPr>
          <w:p>
            <w:pPr>
              <w:ind w:left="20"/>
              <w:spacing w:after="0" w:line="193" w:lineRule="exact"/>
              <w:rPr>
                <w:sz w:val="20"/>
                <w:szCs w:val="20"/>
                <w:color w:val="auto"/>
              </w:rPr>
            </w:pPr>
            <w:r>
              <w:rPr>
                <w:rFonts w:ascii="Calibri" w:cs="Calibri" w:eastAsia="Calibri" w:hAnsi="Calibri"/>
                <w:sz w:val="16"/>
                <w:szCs w:val="16"/>
                <w:color w:val="auto"/>
              </w:rPr>
              <w:t>Granted</w:t>
            </w: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5,344,050</w:t>
            </w:r>
          </w:p>
        </w:tc>
        <w:tc>
          <w:tcPr>
            <w:tcW w:w="26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w:t>
            </w:r>
          </w:p>
        </w:tc>
        <w:tc>
          <w:tcPr>
            <w:tcW w:w="1500" w:type="dxa"/>
            <w:vAlign w:val="bottom"/>
          </w:tcPr>
          <w:p>
            <w:pPr>
              <w:jc w:val="right"/>
              <w:spacing w:after="0" w:line="193" w:lineRule="exact"/>
              <w:rPr>
                <w:sz w:val="20"/>
                <w:szCs w:val="20"/>
                <w:color w:val="auto"/>
              </w:rPr>
            </w:pPr>
            <w:r>
              <w:rPr>
                <w:rFonts w:ascii="Calibri" w:cs="Calibri" w:eastAsia="Calibri" w:hAnsi="Calibri"/>
                <w:sz w:val="16"/>
                <w:szCs w:val="16"/>
                <w:color w:val="auto"/>
              </w:rPr>
              <w:t>1.57</w:t>
            </w: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3"/>
        </w:trPr>
        <w:tc>
          <w:tcPr>
            <w:tcW w:w="4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4540" w:type="dxa"/>
            <w:vAlign w:val="bottom"/>
            <w:tcBorders>
              <w:bottom w:val="single" w:sz="8" w:color="DBDBDB"/>
            </w:tcBorders>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Exercised</w:t>
            </w:r>
          </w:p>
        </w:tc>
        <w:tc>
          <w:tcPr>
            <w:tcW w:w="14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(444,239)</w:t>
            </w:r>
          </w:p>
        </w:tc>
        <w:tc>
          <w:tcPr>
            <w:tcW w:w="260" w:type="dxa"/>
            <w:vAlign w:val="bottom"/>
            <w:tcBorders>
              <w:bottom w:val="single" w:sz="8" w:color="DBDBDB"/>
            </w:tcBorders>
            <w:gridSpan w:val="2"/>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w:t>
            </w:r>
          </w:p>
        </w:tc>
        <w:tc>
          <w:tcPr>
            <w:tcW w:w="15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0.87</w:t>
            </w:r>
          </w:p>
        </w:tc>
        <w:tc>
          <w:tcPr>
            <w:tcW w:w="120" w:type="dxa"/>
            <w:vAlign w:val="bottom"/>
            <w:tcBorders>
              <w:bottom w:val="single" w:sz="8" w:color="DBDBDB"/>
            </w:tcBorders>
            <w:shd w:val="clear" w:color="auto" w:fill="DBDBDB"/>
          </w:tcPr>
          <w:p>
            <w:pPr>
              <w:spacing w:after="0"/>
              <w:rPr>
                <w:sz w:val="17"/>
                <w:szCs w:val="17"/>
                <w:color w:val="auto"/>
              </w:rPr>
            </w:pPr>
          </w:p>
        </w:tc>
        <w:tc>
          <w:tcPr>
            <w:tcW w:w="166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160" w:type="dxa"/>
            <w:vAlign w:val="bottom"/>
            <w:tcBorders>
              <w:bottom w:val="single" w:sz="8" w:color="DBDBDB"/>
            </w:tcBorders>
            <w:shd w:val="clear" w:color="auto" w:fill="DBDBDB"/>
          </w:tcPr>
          <w:p>
            <w:pPr>
              <w:spacing w:after="0"/>
              <w:rPr>
                <w:sz w:val="17"/>
                <w:szCs w:val="17"/>
                <w:color w:val="auto"/>
              </w:rPr>
            </w:pPr>
          </w:p>
        </w:tc>
        <w:tc>
          <w:tcPr>
            <w:tcW w:w="1500" w:type="dxa"/>
            <w:vAlign w:val="bottom"/>
            <w:tcBorders>
              <w:bottom w:val="single" w:sz="8" w:color="DBDBDB"/>
            </w:tcBorders>
            <w:shd w:val="clear" w:color="auto" w:fill="DBDBDB"/>
          </w:tcPr>
          <w:p>
            <w:pPr>
              <w:spacing w:after="0"/>
              <w:rPr>
                <w:sz w:val="17"/>
                <w:szCs w:val="17"/>
                <w:color w:val="auto"/>
              </w:rPr>
            </w:pPr>
          </w:p>
        </w:tc>
      </w:tr>
      <w:tr>
        <w:trPr>
          <w:trHeight w:val="193"/>
        </w:trPr>
        <w:tc>
          <w:tcPr>
            <w:tcW w:w="4540" w:type="dxa"/>
            <w:vAlign w:val="bottom"/>
          </w:tcPr>
          <w:p>
            <w:pPr>
              <w:ind w:left="20"/>
              <w:spacing w:after="0" w:line="193" w:lineRule="exact"/>
              <w:rPr>
                <w:sz w:val="20"/>
                <w:szCs w:val="20"/>
                <w:color w:val="auto"/>
              </w:rPr>
            </w:pPr>
            <w:r>
              <w:rPr>
                <w:rFonts w:ascii="Calibri" w:cs="Calibri" w:eastAsia="Calibri" w:hAnsi="Calibri"/>
                <w:sz w:val="16"/>
                <w:szCs w:val="16"/>
                <w:color w:val="auto"/>
              </w:rPr>
              <w:t>Expired</w:t>
            </w:r>
          </w:p>
        </w:tc>
        <w:tc>
          <w:tcPr>
            <w:tcW w:w="1400" w:type="dxa"/>
            <w:vAlign w:val="bottom"/>
          </w:tcPr>
          <w:p>
            <w:pPr>
              <w:jc w:val="right"/>
              <w:spacing w:after="0" w:line="193" w:lineRule="exact"/>
              <w:rPr>
                <w:sz w:val="20"/>
                <w:szCs w:val="20"/>
                <w:color w:val="auto"/>
              </w:rPr>
            </w:pPr>
            <w:r>
              <w:rPr>
                <w:rFonts w:ascii="Calibri" w:cs="Calibri" w:eastAsia="Calibri" w:hAnsi="Calibri"/>
                <w:sz w:val="16"/>
                <w:szCs w:val="16"/>
                <w:color w:val="auto"/>
              </w:rPr>
              <w:t>(865,478)</w:t>
            </w:r>
          </w:p>
        </w:tc>
        <w:tc>
          <w:tcPr>
            <w:tcW w:w="26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w:t>
            </w:r>
          </w:p>
        </w:tc>
        <w:tc>
          <w:tcPr>
            <w:tcW w:w="1500" w:type="dxa"/>
            <w:vAlign w:val="bottom"/>
          </w:tcPr>
          <w:p>
            <w:pPr>
              <w:jc w:val="right"/>
              <w:spacing w:after="0" w:line="193" w:lineRule="exact"/>
              <w:rPr>
                <w:sz w:val="20"/>
                <w:szCs w:val="20"/>
                <w:color w:val="auto"/>
              </w:rPr>
            </w:pPr>
            <w:r>
              <w:rPr>
                <w:rFonts w:ascii="Calibri" w:cs="Calibri" w:eastAsia="Calibri" w:hAnsi="Calibri"/>
                <w:sz w:val="16"/>
                <w:szCs w:val="16"/>
                <w:color w:val="auto"/>
              </w:rPr>
              <w:t>10.03</w:t>
            </w: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3"/>
        </w:trPr>
        <w:tc>
          <w:tcPr>
            <w:tcW w:w="4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16"/>
        </w:trPr>
        <w:tc>
          <w:tcPr>
            <w:tcW w:w="4540" w:type="dxa"/>
            <w:vAlign w:val="bottom"/>
            <w:tcBorders>
              <w:bottom w:val="single" w:sz="8" w:color="DBDBDB"/>
            </w:tcBorders>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Canceled and forfeited</w:t>
            </w:r>
          </w:p>
        </w:tc>
        <w:tc>
          <w:tcPr>
            <w:tcW w:w="14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(662,843)</w:t>
            </w:r>
          </w:p>
        </w:tc>
        <w:tc>
          <w:tcPr>
            <w:tcW w:w="260" w:type="dxa"/>
            <w:vAlign w:val="bottom"/>
            <w:tcBorders>
              <w:bottom w:val="single" w:sz="8" w:color="DBDBDB"/>
            </w:tcBorders>
            <w:gridSpan w:val="2"/>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w:t>
            </w:r>
          </w:p>
        </w:tc>
        <w:tc>
          <w:tcPr>
            <w:tcW w:w="15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3.09</w:t>
            </w:r>
          </w:p>
        </w:tc>
        <w:tc>
          <w:tcPr>
            <w:tcW w:w="120" w:type="dxa"/>
            <w:vAlign w:val="bottom"/>
            <w:tcBorders>
              <w:bottom w:val="single" w:sz="8" w:color="DBDBDB"/>
            </w:tcBorders>
            <w:shd w:val="clear" w:color="auto" w:fill="DBDBDB"/>
          </w:tcPr>
          <w:p>
            <w:pPr>
              <w:spacing w:after="0"/>
              <w:rPr>
                <w:sz w:val="18"/>
                <w:szCs w:val="18"/>
                <w:color w:val="auto"/>
              </w:rPr>
            </w:pPr>
          </w:p>
        </w:tc>
        <w:tc>
          <w:tcPr>
            <w:tcW w:w="166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1500" w:type="dxa"/>
            <w:vAlign w:val="bottom"/>
            <w:tcBorders>
              <w:bottom w:val="single" w:sz="8" w:color="DBDBDB"/>
            </w:tcBorders>
            <w:shd w:val="clear" w:color="auto" w:fill="DBDBDB"/>
          </w:tcPr>
          <w:p>
            <w:pPr>
              <w:spacing w:after="0"/>
              <w:rPr>
                <w:sz w:val="18"/>
                <w:szCs w:val="18"/>
                <w:color w:val="auto"/>
              </w:rPr>
            </w:pPr>
          </w:p>
        </w:tc>
      </w:tr>
      <w:tr>
        <w:trPr>
          <w:trHeight w:val="187"/>
        </w:trPr>
        <w:tc>
          <w:tcPr>
            <w:tcW w:w="4540" w:type="dxa"/>
            <w:vAlign w:val="bottom"/>
          </w:tcPr>
          <w:p>
            <w:pPr>
              <w:ind w:left="20"/>
              <w:spacing w:after="0" w:line="174" w:lineRule="exact"/>
              <w:rPr>
                <w:sz w:val="20"/>
                <w:szCs w:val="20"/>
                <w:color w:val="auto"/>
              </w:rPr>
            </w:pPr>
            <w:r>
              <w:rPr>
                <w:rFonts w:ascii="Calibri" w:cs="Calibri" w:eastAsia="Calibri" w:hAnsi="Calibri"/>
                <w:sz w:val="16"/>
                <w:szCs w:val="16"/>
                <w:color w:val="auto"/>
              </w:rPr>
              <w:t>Outstanding at December 31, 2024</w:t>
            </w:r>
          </w:p>
        </w:tc>
        <w:tc>
          <w:tcPr>
            <w:tcW w:w="14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16,684,325</w:t>
            </w:r>
          </w:p>
        </w:tc>
        <w:tc>
          <w:tcPr>
            <w:tcW w:w="260" w:type="dxa"/>
            <w:vAlign w:val="bottom"/>
            <w:gridSpan w:val="2"/>
          </w:tcPr>
          <w:p>
            <w:pPr>
              <w:jc w:val="right"/>
              <w:spacing w:after="0" w:line="174" w:lineRule="exact"/>
              <w:rPr>
                <w:sz w:val="20"/>
                <w:szCs w:val="20"/>
                <w:color w:val="auto"/>
              </w:rPr>
            </w:pPr>
            <w:r>
              <w:rPr>
                <w:rFonts w:ascii="Calibri" w:cs="Calibri" w:eastAsia="Calibri" w:hAnsi="Calibri"/>
                <w:sz w:val="16"/>
                <w:szCs w:val="16"/>
                <w:color w:val="auto"/>
              </w:rPr>
              <w:t>$</w:t>
            </w:r>
          </w:p>
        </w:tc>
        <w:tc>
          <w:tcPr>
            <w:tcW w:w="1500" w:type="dxa"/>
            <w:vAlign w:val="bottom"/>
          </w:tcPr>
          <w:p>
            <w:pPr>
              <w:jc w:val="right"/>
              <w:spacing w:after="0" w:line="174" w:lineRule="exact"/>
              <w:rPr>
                <w:sz w:val="20"/>
                <w:szCs w:val="20"/>
                <w:color w:val="auto"/>
              </w:rPr>
            </w:pPr>
            <w:r>
              <w:rPr>
                <w:rFonts w:ascii="Calibri" w:cs="Calibri" w:eastAsia="Calibri" w:hAnsi="Calibri"/>
                <w:sz w:val="16"/>
                <w:szCs w:val="16"/>
                <w:color w:val="auto"/>
              </w:rPr>
              <w:t>3.19</w:t>
            </w:r>
          </w:p>
        </w:tc>
        <w:tc>
          <w:tcPr>
            <w:tcW w:w="120" w:type="dxa"/>
            <w:vAlign w:val="bottom"/>
          </w:tcPr>
          <w:p>
            <w:pPr>
              <w:spacing w:after="0"/>
              <w:rPr>
                <w:sz w:val="16"/>
                <w:szCs w:val="16"/>
                <w:color w:val="auto"/>
              </w:rPr>
            </w:pPr>
          </w:p>
        </w:tc>
        <w:tc>
          <w:tcPr>
            <w:tcW w:w="1760" w:type="dxa"/>
            <w:vAlign w:val="bottom"/>
            <w:gridSpan w:val="2"/>
          </w:tcPr>
          <w:p>
            <w:pPr>
              <w:ind w:left="960"/>
              <w:spacing w:after="0" w:line="174" w:lineRule="exact"/>
              <w:rPr>
                <w:sz w:val="20"/>
                <w:szCs w:val="20"/>
                <w:color w:val="auto"/>
              </w:rPr>
            </w:pPr>
            <w:r>
              <w:rPr>
                <w:rFonts w:ascii="Calibri" w:cs="Calibri" w:eastAsia="Calibri" w:hAnsi="Calibri"/>
                <w:sz w:val="16"/>
                <w:szCs w:val="16"/>
                <w:color w:val="auto"/>
              </w:rPr>
              <w:t>7.17 years</w:t>
            </w:r>
          </w:p>
        </w:tc>
        <w:tc>
          <w:tcPr>
            <w:tcW w:w="160" w:type="dxa"/>
            <w:vAlign w:val="bottom"/>
          </w:tcPr>
          <w:p>
            <w:pPr>
              <w:jc w:val="right"/>
              <w:spacing w:after="0" w:line="174" w:lineRule="exact"/>
              <w:rPr>
                <w:sz w:val="20"/>
                <w:szCs w:val="20"/>
                <w:color w:val="auto"/>
              </w:rPr>
            </w:pPr>
            <w:r>
              <w:rPr>
                <w:rFonts w:ascii="Calibri" w:cs="Calibri" w:eastAsia="Calibri" w:hAnsi="Calibri"/>
                <w:sz w:val="16"/>
                <w:szCs w:val="16"/>
                <w:color w:val="auto"/>
                <w:w w:val="97"/>
              </w:rPr>
              <w:t>$</w:t>
            </w:r>
          </w:p>
        </w:tc>
        <w:tc>
          <w:tcPr>
            <w:tcW w:w="1500" w:type="dxa"/>
            <w:vAlign w:val="bottom"/>
          </w:tcPr>
          <w:p>
            <w:pPr>
              <w:jc w:val="right"/>
              <w:spacing w:after="0" w:line="174" w:lineRule="exact"/>
              <w:rPr>
                <w:sz w:val="20"/>
                <w:szCs w:val="20"/>
                <w:color w:val="auto"/>
              </w:rPr>
            </w:pPr>
            <w:r>
              <w:rPr>
                <w:rFonts w:ascii="Calibri" w:cs="Calibri" w:eastAsia="Calibri" w:hAnsi="Calibri"/>
                <w:sz w:val="16"/>
                <w:szCs w:val="16"/>
                <w:color w:val="auto"/>
              </w:rPr>
              <w:t>6,797</w:t>
            </w:r>
          </w:p>
        </w:tc>
      </w:tr>
      <w:tr>
        <w:trPr>
          <w:trHeight w:val="23"/>
        </w:trPr>
        <w:tc>
          <w:tcPr>
            <w:tcW w:w="4540" w:type="dxa"/>
            <w:vAlign w:val="bottom"/>
            <w:tcBorders>
              <w:bottom w:val="single" w:sz="8" w:color="DBDBDB"/>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DBDBDB"/>
            </w:tcBorders>
          </w:tcPr>
          <w:p>
            <w:pPr>
              <w:spacing w:after="0" w:line="20" w:lineRule="exact"/>
              <w:rPr>
                <w:sz w:val="1"/>
                <w:szCs w:val="1"/>
                <w:color w:val="auto"/>
              </w:rPr>
            </w:pPr>
          </w:p>
        </w:tc>
        <w:tc>
          <w:tcPr>
            <w:tcW w:w="15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6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bottom w:val="single" w:sz="8" w:color="DBDBDB"/>
            </w:tcBorders>
          </w:tcPr>
          <w:p>
            <w:pPr>
              <w:spacing w:after="0" w:line="20" w:lineRule="exact"/>
              <w:rPr>
                <w:sz w:val="1"/>
                <w:szCs w:val="1"/>
                <w:color w:val="auto"/>
              </w:rPr>
            </w:pPr>
          </w:p>
        </w:tc>
        <w:tc>
          <w:tcPr>
            <w:tcW w:w="1500" w:type="dxa"/>
            <w:vAlign w:val="bottom"/>
            <w:tcBorders>
              <w:bottom w:val="single" w:sz="8" w:color="DBDBDB"/>
            </w:tcBorders>
          </w:tcPr>
          <w:p>
            <w:pPr>
              <w:spacing w:after="0" w:line="20" w:lineRule="exact"/>
              <w:rPr>
                <w:sz w:val="1"/>
                <w:szCs w:val="1"/>
                <w:color w:val="auto"/>
              </w:rPr>
            </w:pPr>
          </w:p>
        </w:tc>
      </w:tr>
      <w:tr>
        <w:trPr>
          <w:trHeight w:val="209"/>
        </w:trPr>
        <w:tc>
          <w:tcPr>
            <w:tcW w:w="4540" w:type="dxa"/>
            <w:vAlign w:val="bottom"/>
            <w:tcBorders>
              <w:bottom w:val="single" w:sz="8" w:color="DBDBDB"/>
            </w:tcBorders>
            <w:shd w:val="clear" w:color="auto" w:fill="DBDBDB"/>
          </w:tcPr>
          <w:p>
            <w:pPr>
              <w:ind w:left="20"/>
              <w:spacing w:after="0" w:line="174" w:lineRule="exact"/>
              <w:rPr>
                <w:sz w:val="20"/>
                <w:szCs w:val="20"/>
                <w:color w:val="auto"/>
              </w:rPr>
            </w:pPr>
            <w:r>
              <w:rPr>
                <w:rFonts w:ascii="Calibri" w:cs="Calibri" w:eastAsia="Calibri" w:hAnsi="Calibri"/>
                <w:sz w:val="16"/>
                <w:szCs w:val="16"/>
                <w:color w:val="auto"/>
              </w:rPr>
              <w:t>Exercisable at December 31, 2024</w:t>
            </w:r>
          </w:p>
        </w:tc>
        <w:tc>
          <w:tcPr>
            <w:tcW w:w="140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8,636,721</w:t>
            </w:r>
          </w:p>
        </w:tc>
        <w:tc>
          <w:tcPr>
            <w:tcW w:w="260" w:type="dxa"/>
            <w:vAlign w:val="bottom"/>
            <w:tcBorders>
              <w:bottom w:val="single" w:sz="8" w:color="DBDBDB"/>
            </w:tcBorders>
            <w:gridSpan w:val="2"/>
            <w:shd w:val="clear" w:color="auto" w:fill="DBDBDB"/>
          </w:tcPr>
          <w:p>
            <w:pPr>
              <w:jc w:val="right"/>
              <w:spacing w:after="0" w:line="174" w:lineRule="exact"/>
              <w:rPr>
                <w:sz w:val="20"/>
                <w:szCs w:val="20"/>
                <w:color w:val="auto"/>
              </w:rPr>
            </w:pPr>
            <w:r>
              <w:rPr>
                <w:rFonts w:ascii="Calibri" w:cs="Calibri" w:eastAsia="Calibri" w:hAnsi="Calibri"/>
                <w:sz w:val="16"/>
                <w:szCs w:val="16"/>
                <w:color w:val="auto"/>
              </w:rPr>
              <w:t>$</w:t>
            </w:r>
          </w:p>
        </w:tc>
        <w:tc>
          <w:tcPr>
            <w:tcW w:w="1500" w:type="dxa"/>
            <w:vAlign w:val="bottom"/>
            <w:tcBorders>
              <w:bottom w:val="single" w:sz="8" w:color="DBDBDB"/>
            </w:tcBorders>
            <w:shd w:val="clear" w:color="auto" w:fill="DBDBDB"/>
          </w:tcPr>
          <w:p>
            <w:pPr>
              <w:jc w:val="right"/>
              <w:spacing w:after="0" w:line="174" w:lineRule="exact"/>
              <w:rPr>
                <w:sz w:val="20"/>
                <w:szCs w:val="20"/>
                <w:color w:val="auto"/>
              </w:rPr>
            </w:pPr>
            <w:r>
              <w:rPr>
                <w:rFonts w:ascii="Calibri" w:cs="Calibri" w:eastAsia="Calibri" w:hAnsi="Calibri"/>
                <w:sz w:val="16"/>
                <w:szCs w:val="16"/>
                <w:color w:val="auto"/>
              </w:rPr>
              <w:t>4.80</w:t>
            </w:r>
          </w:p>
        </w:tc>
        <w:tc>
          <w:tcPr>
            <w:tcW w:w="120" w:type="dxa"/>
            <w:vAlign w:val="bottom"/>
            <w:tcBorders>
              <w:bottom w:val="single" w:sz="8" w:color="DBDBDB"/>
            </w:tcBorders>
            <w:shd w:val="clear" w:color="auto" w:fill="DBDBDB"/>
          </w:tcPr>
          <w:p>
            <w:pPr>
              <w:spacing w:after="0"/>
              <w:rPr>
                <w:sz w:val="18"/>
                <w:szCs w:val="18"/>
                <w:color w:val="auto"/>
              </w:rPr>
            </w:pPr>
          </w:p>
        </w:tc>
        <w:tc>
          <w:tcPr>
            <w:tcW w:w="1760" w:type="dxa"/>
            <w:vAlign w:val="bottom"/>
            <w:tcBorders>
              <w:bottom w:val="single" w:sz="8" w:color="DBDBDB"/>
            </w:tcBorders>
            <w:gridSpan w:val="2"/>
            <w:shd w:val="clear" w:color="auto" w:fill="DBDBDB"/>
          </w:tcPr>
          <w:p>
            <w:pPr>
              <w:ind w:left="960"/>
              <w:spacing w:after="0" w:line="174" w:lineRule="exact"/>
              <w:rPr>
                <w:sz w:val="20"/>
                <w:szCs w:val="20"/>
                <w:color w:val="auto"/>
              </w:rPr>
            </w:pPr>
            <w:r>
              <w:rPr>
                <w:rFonts w:ascii="Calibri" w:cs="Calibri" w:eastAsia="Calibri" w:hAnsi="Calibri"/>
                <w:sz w:val="16"/>
                <w:szCs w:val="16"/>
                <w:color w:val="auto"/>
              </w:rPr>
              <w:t>5.72 years</w:t>
            </w:r>
          </w:p>
        </w:tc>
        <w:tc>
          <w:tcPr>
            <w:tcW w:w="160" w:type="dxa"/>
            <w:vAlign w:val="bottom"/>
            <w:tcBorders>
              <w:bottom w:val="single" w:sz="8" w:color="DBDBDB"/>
            </w:tcBorders>
            <w:shd w:val="clear" w:color="auto" w:fill="DBDBDB"/>
          </w:tcPr>
          <w:p>
            <w:pPr>
              <w:jc w:val="right"/>
              <w:spacing w:after="0" w:line="174" w:lineRule="exact"/>
              <w:rPr>
                <w:sz w:val="20"/>
                <w:szCs w:val="20"/>
                <w:color w:val="auto"/>
              </w:rPr>
            </w:pPr>
            <w:r>
              <w:rPr>
                <w:rFonts w:ascii="Calibri" w:cs="Calibri" w:eastAsia="Calibri" w:hAnsi="Calibri"/>
                <w:sz w:val="16"/>
                <w:szCs w:val="16"/>
                <w:color w:val="auto"/>
                <w:w w:val="97"/>
              </w:rPr>
              <w:t>$</w:t>
            </w:r>
          </w:p>
        </w:tc>
        <w:tc>
          <w:tcPr>
            <w:tcW w:w="1500" w:type="dxa"/>
            <w:vAlign w:val="bottom"/>
            <w:tcBorders>
              <w:bottom w:val="single" w:sz="8" w:color="DBDBDB"/>
            </w:tcBorders>
            <w:shd w:val="clear" w:color="auto" w:fill="DBDBDB"/>
          </w:tcPr>
          <w:p>
            <w:pPr>
              <w:jc w:val="right"/>
              <w:spacing w:after="0" w:line="174" w:lineRule="exact"/>
              <w:rPr>
                <w:sz w:val="20"/>
                <w:szCs w:val="20"/>
                <w:color w:val="auto"/>
              </w:rPr>
            </w:pPr>
            <w:r>
              <w:rPr>
                <w:rFonts w:ascii="Calibri" w:cs="Calibri" w:eastAsia="Calibri" w:hAnsi="Calibri"/>
                <w:sz w:val="16"/>
                <w:szCs w:val="16"/>
                <w:color w:val="auto"/>
              </w:rPr>
              <w:t>2,885</w:t>
            </w:r>
          </w:p>
        </w:tc>
      </w:tr>
      <w:tr>
        <w:trPr>
          <w:trHeight w:val="187"/>
        </w:trPr>
        <w:tc>
          <w:tcPr>
            <w:tcW w:w="4540" w:type="dxa"/>
            <w:vAlign w:val="bottom"/>
          </w:tcPr>
          <w:p>
            <w:pPr>
              <w:ind w:left="20"/>
              <w:spacing w:after="0" w:line="182" w:lineRule="exact"/>
              <w:rPr>
                <w:sz w:val="20"/>
                <w:szCs w:val="20"/>
                <w:color w:val="auto"/>
              </w:rPr>
            </w:pPr>
            <w:r>
              <w:rPr>
                <w:rFonts w:ascii="Calibri" w:cs="Calibri" w:eastAsia="Calibri" w:hAnsi="Calibri"/>
                <w:sz w:val="16"/>
                <w:szCs w:val="16"/>
                <w:color w:val="auto"/>
              </w:rPr>
              <w:t>Vested and expected to vest at December 31, 2024</w:t>
            </w:r>
          </w:p>
        </w:tc>
        <w:tc>
          <w:tcPr>
            <w:tcW w:w="14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16,684,325</w:t>
            </w:r>
          </w:p>
        </w:tc>
        <w:tc>
          <w:tcPr>
            <w:tcW w:w="260" w:type="dxa"/>
            <w:vAlign w:val="bottom"/>
            <w:gridSpan w:val="2"/>
          </w:tcPr>
          <w:p>
            <w:pPr>
              <w:jc w:val="right"/>
              <w:spacing w:after="0" w:line="182" w:lineRule="exact"/>
              <w:rPr>
                <w:sz w:val="20"/>
                <w:szCs w:val="20"/>
                <w:color w:val="auto"/>
              </w:rPr>
            </w:pPr>
            <w:r>
              <w:rPr>
                <w:rFonts w:ascii="Calibri" w:cs="Calibri" w:eastAsia="Calibri" w:hAnsi="Calibri"/>
                <w:sz w:val="16"/>
                <w:szCs w:val="16"/>
                <w:color w:val="auto"/>
              </w:rPr>
              <w:t>$</w:t>
            </w:r>
          </w:p>
        </w:tc>
        <w:tc>
          <w:tcPr>
            <w:tcW w:w="1500" w:type="dxa"/>
            <w:vAlign w:val="bottom"/>
          </w:tcPr>
          <w:p>
            <w:pPr>
              <w:jc w:val="right"/>
              <w:spacing w:after="0" w:line="182" w:lineRule="exact"/>
              <w:rPr>
                <w:sz w:val="20"/>
                <w:szCs w:val="20"/>
                <w:color w:val="auto"/>
              </w:rPr>
            </w:pPr>
            <w:r>
              <w:rPr>
                <w:rFonts w:ascii="Calibri" w:cs="Calibri" w:eastAsia="Calibri" w:hAnsi="Calibri"/>
                <w:sz w:val="16"/>
                <w:szCs w:val="16"/>
                <w:color w:val="auto"/>
              </w:rPr>
              <w:t>3.19</w:t>
            </w:r>
          </w:p>
        </w:tc>
        <w:tc>
          <w:tcPr>
            <w:tcW w:w="120" w:type="dxa"/>
            <w:vAlign w:val="bottom"/>
          </w:tcPr>
          <w:p>
            <w:pPr>
              <w:spacing w:after="0"/>
              <w:rPr>
                <w:sz w:val="16"/>
                <w:szCs w:val="16"/>
                <w:color w:val="auto"/>
              </w:rPr>
            </w:pPr>
          </w:p>
        </w:tc>
        <w:tc>
          <w:tcPr>
            <w:tcW w:w="1760" w:type="dxa"/>
            <w:vAlign w:val="bottom"/>
            <w:gridSpan w:val="2"/>
          </w:tcPr>
          <w:p>
            <w:pPr>
              <w:ind w:left="960"/>
              <w:spacing w:after="0" w:line="182" w:lineRule="exact"/>
              <w:rPr>
                <w:sz w:val="20"/>
                <w:szCs w:val="20"/>
                <w:color w:val="auto"/>
              </w:rPr>
            </w:pPr>
            <w:r>
              <w:rPr>
                <w:rFonts w:ascii="Calibri" w:cs="Calibri" w:eastAsia="Calibri" w:hAnsi="Calibri"/>
                <w:sz w:val="16"/>
                <w:szCs w:val="16"/>
                <w:color w:val="auto"/>
              </w:rPr>
              <w:t>7.17 years</w:t>
            </w:r>
          </w:p>
        </w:tc>
        <w:tc>
          <w:tcPr>
            <w:tcW w:w="160" w:type="dxa"/>
            <w:vAlign w:val="bottom"/>
          </w:tcPr>
          <w:p>
            <w:pPr>
              <w:jc w:val="right"/>
              <w:spacing w:after="0" w:line="182" w:lineRule="exact"/>
              <w:rPr>
                <w:sz w:val="20"/>
                <w:szCs w:val="20"/>
                <w:color w:val="auto"/>
              </w:rPr>
            </w:pPr>
            <w:r>
              <w:rPr>
                <w:rFonts w:ascii="Calibri" w:cs="Calibri" w:eastAsia="Calibri" w:hAnsi="Calibri"/>
                <w:sz w:val="16"/>
                <w:szCs w:val="16"/>
                <w:color w:val="auto"/>
                <w:w w:val="97"/>
              </w:rPr>
              <w:t>$</w:t>
            </w:r>
          </w:p>
        </w:tc>
        <w:tc>
          <w:tcPr>
            <w:tcW w:w="1500" w:type="dxa"/>
            <w:vAlign w:val="bottom"/>
          </w:tcPr>
          <w:p>
            <w:pPr>
              <w:jc w:val="right"/>
              <w:spacing w:after="0" w:line="182" w:lineRule="exact"/>
              <w:rPr>
                <w:sz w:val="20"/>
                <w:szCs w:val="20"/>
                <w:color w:val="auto"/>
              </w:rPr>
            </w:pPr>
            <w:r>
              <w:rPr>
                <w:rFonts w:ascii="Calibri" w:cs="Calibri" w:eastAsia="Calibri" w:hAnsi="Calibri"/>
                <w:sz w:val="16"/>
                <w:szCs w:val="16"/>
                <w:color w:val="auto"/>
              </w:rPr>
              <w:t>6,797</w:t>
            </w:r>
          </w:p>
        </w:tc>
      </w:tr>
      <w:tr>
        <w:trPr>
          <w:trHeight w:val="23"/>
        </w:trPr>
        <w:tc>
          <w:tcPr>
            <w:tcW w:w="45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intrinsic value of optons exercised during the year ended December 31, 2024 was $0.4 million. There was immaterial intrinsic value of optons exercised during the year ended December 31, 2023, as the value of optons exercised in 2023 was immaterial. The fair value of optons that vested during the years ended December 31, 2024 and 2023 was $3.7 million and $6.4 million, respectvely. As of December 31, 2024, there was approximately $7.7 million of unrecognized compensaton cost related to common stock optons outstanding under the Company’s 2023 Plan or the 2014 Plan or made pursuant to the Company's inducement award program, which is expected to be recognized over a weighted average period of 2.67 years.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Restricted Stock Units</w:t>
      </w:r>
    </w:p>
    <w:p>
      <w:pPr>
        <w:spacing w:after="0" w:line="10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Generally, RSUs, granted by the Company vest in one of the following ways: (i) 100% of each RSU grant vests on the frst anniversary of the grant date, (ii) one third of each RSU grant vests on the frst, second and third anniversaries of the grant date, (iii) 50% of each RSU grant vests on the frst anniversary and 25% of each RSU grant vests every six months afer the one year anniversary of the grant date, or (iv) one third of each RSU grant vests on the frst anniversary of the grant date and the remaining two thirds vests in eight substantally equal quarterly installments beginning afer the one year anniversary, subject, in each case, to the individual’s contnued service through the applicable vestng date. The grant-date fair value of the RSUs is recognized as expense on a straight-line basis. The Company determines the fair value of the RSUs based on the closing price of the common stock on the date of the grants.</w:t>
      </w:r>
    </w:p>
    <w:p>
      <w:pPr>
        <w:spacing w:after="0" w:line="10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The Company also periodically grants performance-based restricted stock units, or </w:t>
      </w:r>
      <w:r>
        <w:rPr>
          <w:rFonts w:ascii="Calibri" w:cs="Calibri" w:eastAsia="Calibri" w:hAnsi="Calibri"/>
          <w:sz w:val="18"/>
          <w:szCs w:val="18"/>
          <w:u w:val="single" w:color="auto"/>
          <w:color w:val="auto"/>
        </w:rPr>
        <w:t>PSUs</w:t>
      </w:r>
      <w:r>
        <w:rPr>
          <w:rFonts w:ascii="Calibri" w:cs="Calibri" w:eastAsia="Calibri" w:hAnsi="Calibri"/>
          <w:sz w:val="18"/>
          <w:szCs w:val="18"/>
          <w:color w:val="auto"/>
        </w:rPr>
        <w:t>, to employees under the 2023 Plan and previously granted PSUs under the 2014 Plan. The PSUs granted by the Company generally vest in connecton with the achievement of specifed commercial, regulatory and corporate milestones. The PSUs also generally feature a tme-based vestng component. The expense recognized for these awards is based on the grant date fair value of the Company’s common stock multplied by the number of units granted and recognized over tme based on the probability of meetng such commercial, regulatory and corporate milestones.</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color w:val="auto"/>
        </w:rPr>
        <w:t>RSU and PSU actvity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360" w:type="dxa"/>
            <w:vAlign w:val="bottom"/>
          </w:tcPr>
          <w:p>
            <w:pPr>
              <w:spacing w:after="0"/>
              <w:rPr>
                <w:sz w:val="16"/>
                <w:szCs w:val="16"/>
                <w:color w:val="auto"/>
              </w:rPr>
            </w:pPr>
          </w:p>
        </w:tc>
        <w:tc>
          <w:tcPr>
            <w:tcW w:w="3460" w:type="dxa"/>
            <w:vAlign w:val="bottom"/>
            <w:gridSpan w:val="4"/>
          </w:tcPr>
          <w:p>
            <w:pPr>
              <w:ind w:left="1360"/>
              <w:spacing w:after="0"/>
              <w:rPr>
                <w:sz w:val="20"/>
                <w:szCs w:val="20"/>
                <w:color w:val="auto"/>
              </w:rPr>
            </w:pPr>
            <w:r>
              <w:rPr>
                <w:rFonts w:ascii="Calibri" w:cs="Calibri" w:eastAsia="Calibri" w:hAnsi="Calibri"/>
                <w:sz w:val="16"/>
                <w:szCs w:val="16"/>
                <w:b w:val="1"/>
                <w:bCs w:val="1"/>
                <w:color w:val="auto"/>
              </w:rPr>
              <w:t>2014 Plan</w:t>
            </w:r>
          </w:p>
        </w:tc>
        <w:tc>
          <w:tcPr>
            <w:tcW w:w="3420" w:type="dxa"/>
            <w:vAlign w:val="bottom"/>
            <w:gridSpan w:val="3"/>
          </w:tcPr>
          <w:p>
            <w:pPr>
              <w:jc w:val="right"/>
              <w:ind w:right="1299"/>
              <w:spacing w:after="0"/>
              <w:rPr>
                <w:sz w:val="20"/>
                <w:szCs w:val="20"/>
                <w:color w:val="auto"/>
              </w:rPr>
            </w:pPr>
            <w:r>
              <w:rPr>
                <w:rFonts w:ascii="Calibri" w:cs="Calibri" w:eastAsia="Calibri" w:hAnsi="Calibri"/>
                <w:sz w:val="16"/>
                <w:szCs w:val="16"/>
                <w:b w:val="1"/>
                <w:bCs w:val="1"/>
                <w:color w:val="auto"/>
              </w:rPr>
              <w:t>2023 Plan</w:t>
            </w:r>
          </w:p>
        </w:tc>
      </w:tr>
      <w:tr>
        <w:trPr>
          <w:trHeight w:val="28"/>
        </w:trPr>
        <w:tc>
          <w:tcPr>
            <w:tcW w:w="4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150"/>
        </w:trPr>
        <w:tc>
          <w:tcPr>
            <w:tcW w:w="4360" w:type="dxa"/>
            <w:vAlign w:val="bottom"/>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jc w:val="center"/>
              <w:spacing w:after="0" w:line="150" w:lineRule="exact"/>
              <w:rPr>
                <w:sz w:val="20"/>
                <w:szCs w:val="20"/>
                <w:color w:val="auto"/>
              </w:rPr>
            </w:pPr>
            <w:r>
              <w:rPr>
                <w:rFonts w:ascii="Calibri" w:cs="Calibri" w:eastAsia="Calibri" w:hAnsi="Calibri"/>
                <w:sz w:val="16"/>
                <w:szCs w:val="16"/>
                <w:b w:val="1"/>
                <w:bCs w:val="1"/>
                <w:color w:val="auto"/>
                <w:w w:val="99"/>
              </w:rPr>
              <w:t>Weighted Average</w:t>
            </w:r>
          </w:p>
        </w:tc>
        <w:tc>
          <w:tcPr>
            <w:tcW w:w="100" w:type="dxa"/>
            <w:vAlign w:val="bottom"/>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jc w:val="right"/>
              <w:ind w:right="139"/>
              <w:spacing w:after="0" w:line="150" w:lineRule="exact"/>
              <w:rPr>
                <w:sz w:val="20"/>
                <w:szCs w:val="20"/>
                <w:color w:val="auto"/>
              </w:rPr>
            </w:pPr>
            <w:r>
              <w:rPr>
                <w:rFonts w:ascii="Calibri" w:cs="Calibri" w:eastAsia="Calibri" w:hAnsi="Calibri"/>
                <w:sz w:val="16"/>
                <w:szCs w:val="16"/>
                <w:b w:val="1"/>
                <w:bCs w:val="1"/>
                <w:color w:val="auto"/>
              </w:rPr>
              <w:t>Weighted Average</w:t>
            </w:r>
          </w:p>
        </w:tc>
      </w:tr>
      <w:tr>
        <w:trPr>
          <w:trHeight w:val="194"/>
        </w:trPr>
        <w:tc>
          <w:tcPr>
            <w:tcW w:w="4360" w:type="dxa"/>
            <w:vAlign w:val="bottom"/>
          </w:tcPr>
          <w:p>
            <w:pPr>
              <w:spacing w:after="0"/>
              <w:rPr>
                <w:sz w:val="16"/>
                <w:szCs w:val="16"/>
                <w:color w:val="auto"/>
              </w:rPr>
            </w:pPr>
          </w:p>
        </w:tc>
        <w:tc>
          <w:tcPr>
            <w:tcW w:w="1640" w:type="dxa"/>
            <w:vAlign w:val="bottom"/>
          </w:tcPr>
          <w:p>
            <w:pPr>
              <w:jc w:val="right"/>
              <w:ind w:right="139"/>
              <w:spacing w:after="0" w:line="193" w:lineRule="exact"/>
              <w:rPr>
                <w:sz w:val="20"/>
                <w:szCs w:val="20"/>
                <w:color w:val="auto"/>
              </w:rPr>
            </w:pPr>
            <w:r>
              <w:rPr>
                <w:rFonts w:ascii="Calibri" w:cs="Calibri" w:eastAsia="Calibri" w:hAnsi="Calibri"/>
                <w:sz w:val="16"/>
                <w:szCs w:val="16"/>
                <w:b w:val="1"/>
                <w:bCs w:val="1"/>
                <w:color w:val="auto"/>
              </w:rPr>
              <w:t>Number of Shares</w:t>
            </w:r>
          </w:p>
        </w:tc>
        <w:tc>
          <w:tcPr>
            <w:tcW w:w="100" w:type="dxa"/>
            <w:vAlign w:val="bottom"/>
          </w:tcPr>
          <w:p>
            <w:pPr>
              <w:spacing w:after="0"/>
              <w:rPr>
                <w:sz w:val="16"/>
                <w:szCs w:val="16"/>
                <w:color w:val="auto"/>
              </w:rPr>
            </w:pPr>
          </w:p>
        </w:tc>
        <w:tc>
          <w:tcPr>
            <w:tcW w:w="1720" w:type="dxa"/>
            <w:vAlign w:val="bottom"/>
            <w:gridSpan w:val="2"/>
          </w:tcPr>
          <w:p>
            <w:pPr>
              <w:jc w:val="center"/>
              <w:ind w:right="100"/>
              <w:spacing w:after="0" w:line="193" w:lineRule="exact"/>
              <w:rPr>
                <w:sz w:val="20"/>
                <w:szCs w:val="20"/>
                <w:color w:val="auto"/>
              </w:rPr>
            </w:pPr>
            <w:r>
              <w:rPr>
                <w:rFonts w:ascii="Calibri" w:cs="Calibri" w:eastAsia="Calibri" w:hAnsi="Calibri"/>
                <w:sz w:val="16"/>
                <w:szCs w:val="16"/>
                <w:b w:val="1"/>
                <w:bCs w:val="1"/>
                <w:color w:val="auto"/>
                <w:w w:val="99"/>
              </w:rPr>
              <w:t>Grant Date Fair Value</w:t>
            </w:r>
          </w:p>
        </w:tc>
        <w:tc>
          <w:tcPr>
            <w:tcW w:w="1640" w:type="dxa"/>
            <w:vAlign w:val="bottom"/>
          </w:tcPr>
          <w:p>
            <w:pPr>
              <w:jc w:val="right"/>
              <w:ind w:right="139"/>
              <w:spacing w:after="0" w:line="193" w:lineRule="exact"/>
              <w:rPr>
                <w:sz w:val="20"/>
                <w:szCs w:val="20"/>
                <w:color w:val="auto"/>
              </w:rPr>
            </w:pPr>
            <w:r>
              <w:rPr>
                <w:rFonts w:ascii="Calibri" w:cs="Calibri" w:eastAsia="Calibri" w:hAnsi="Calibri"/>
                <w:sz w:val="16"/>
                <w:szCs w:val="16"/>
                <w:b w:val="1"/>
                <w:bCs w:val="1"/>
                <w:color w:val="auto"/>
              </w:rPr>
              <w:t>Number of Shares</w:t>
            </w:r>
          </w:p>
        </w:tc>
        <w:tc>
          <w:tcPr>
            <w:tcW w:w="140" w:type="dxa"/>
            <w:vAlign w:val="bottom"/>
          </w:tcPr>
          <w:p>
            <w:pPr>
              <w:spacing w:after="0"/>
              <w:rPr>
                <w:sz w:val="16"/>
                <w:szCs w:val="16"/>
                <w:color w:val="auto"/>
              </w:rPr>
            </w:pPr>
          </w:p>
        </w:tc>
        <w:tc>
          <w:tcPr>
            <w:tcW w:w="1640" w:type="dxa"/>
            <w:vAlign w:val="bottom"/>
          </w:tcPr>
          <w:p>
            <w:pPr>
              <w:jc w:val="right"/>
              <w:ind w:right="19"/>
              <w:spacing w:after="0" w:line="193" w:lineRule="exact"/>
              <w:rPr>
                <w:sz w:val="20"/>
                <w:szCs w:val="20"/>
                <w:color w:val="auto"/>
              </w:rPr>
            </w:pPr>
            <w:r>
              <w:rPr>
                <w:rFonts w:ascii="Calibri" w:cs="Calibri" w:eastAsia="Calibri" w:hAnsi="Calibri"/>
                <w:sz w:val="16"/>
                <w:szCs w:val="16"/>
                <w:b w:val="1"/>
                <w:bCs w:val="1"/>
                <w:color w:val="auto"/>
              </w:rPr>
              <w:t>Grant Date Fair Value</w:t>
            </w:r>
          </w:p>
        </w:tc>
      </w:tr>
      <w:tr>
        <w:trPr>
          <w:trHeight w:val="28"/>
        </w:trPr>
        <w:tc>
          <w:tcPr>
            <w:tcW w:w="4360" w:type="dxa"/>
            <w:vAlign w:val="bottom"/>
            <w:tcBorders>
              <w:bottom w:val="single" w:sz="8" w:color="DBDBDB"/>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 w:type="dxa"/>
            <w:vAlign w:val="bottom"/>
            <w:tcBorders>
              <w:bottom w:val="single" w:sz="8" w:color="DBDBDB"/>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4360" w:type="dxa"/>
            <w:vAlign w:val="bottom"/>
            <w:tcBorders>
              <w:bottom w:val="single" w:sz="8" w:color="DBDBDB"/>
            </w:tcBorders>
            <w:shd w:val="clear" w:color="auto" w:fill="DBDBDB"/>
          </w:tcPr>
          <w:p>
            <w:pPr>
              <w:ind w:left="20"/>
              <w:spacing w:after="0" w:line="182" w:lineRule="exact"/>
              <w:rPr>
                <w:sz w:val="20"/>
                <w:szCs w:val="20"/>
                <w:color w:val="auto"/>
              </w:rPr>
            </w:pPr>
            <w:r>
              <w:rPr>
                <w:rFonts w:ascii="Calibri" w:cs="Calibri" w:eastAsia="Calibri" w:hAnsi="Calibri"/>
                <w:sz w:val="16"/>
                <w:szCs w:val="16"/>
                <w:color w:val="auto"/>
              </w:rPr>
              <w:t>Unvested as of December 31, 2023</w:t>
            </w:r>
          </w:p>
        </w:tc>
        <w:tc>
          <w:tcPr>
            <w:tcW w:w="164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3,339,869</w:t>
            </w:r>
          </w:p>
        </w:tc>
        <w:tc>
          <w:tcPr>
            <w:tcW w:w="100" w:type="dxa"/>
            <w:vAlign w:val="bottom"/>
            <w:tcBorders>
              <w:bottom w:val="single" w:sz="8" w:color="DBDBDB"/>
            </w:tcBorders>
            <w:shd w:val="clear" w:color="auto" w:fill="DBDBDB"/>
          </w:tcPr>
          <w:p>
            <w:pPr>
              <w:spacing w:after="0"/>
              <w:rPr>
                <w:sz w:val="16"/>
                <w:szCs w:val="16"/>
                <w:color w:val="auto"/>
              </w:rPr>
            </w:pPr>
          </w:p>
        </w:tc>
        <w:tc>
          <w:tcPr>
            <w:tcW w:w="162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$1.30</w:t>
            </w:r>
          </w:p>
        </w:tc>
        <w:tc>
          <w:tcPr>
            <w:tcW w:w="100" w:type="dxa"/>
            <w:vAlign w:val="bottom"/>
            <w:tcBorders>
              <w:bottom w:val="single" w:sz="8" w:color="DBDBDB"/>
            </w:tcBorders>
            <w:shd w:val="clear" w:color="auto" w:fill="DBDBDB"/>
          </w:tcPr>
          <w:p>
            <w:pPr>
              <w:spacing w:after="0"/>
              <w:rPr>
                <w:sz w:val="16"/>
                <w:szCs w:val="16"/>
                <w:color w:val="auto"/>
              </w:rPr>
            </w:pPr>
          </w:p>
        </w:tc>
        <w:tc>
          <w:tcPr>
            <w:tcW w:w="164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603,400</w:t>
            </w:r>
          </w:p>
        </w:tc>
        <w:tc>
          <w:tcPr>
            <w:tcW w:w="140" w:type="dxa"/>
            <w:vAlign w:val="bottom"/>
            <w:tcBorders>
              <w:bottom w:val="single" w:sz="8" w:color="DBDBDB"/>
            </w:tcBorders>
            <w:shd w:val="clear" w:color="auto" w:fill="DBDBDB"/>
          </w:tcPr>
          <w:p>
            <w:pPr>
              <w:spacing w:after="0"/>
              <w:rPr>
                <w:sz w:val="16"/>
                <w:szCs w:val="16"/>
                <w:color w:val="auto"/>
              </w:rPr>
            </w:pPr>
          </w:p>
        </w:tc>
        <w:tc>
          <w:tcPr>
            <w:tcW w:w="164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$1.48</w:t>
            </w:r>
          </w:p>
        </w:tc>
      </w:tr>
      <w:tr>
        <w:trPr>
          <w:trHeight w:val="194"/>
        </w:trPr>
        <w:tc>
          <w:tcPr>
            <w:tcW w:w="4360" w:type="dxa"/>
            <w:vAlign w:val="bottom"/>
          </w:tcPr>
          <w:p>
            <w:pPr>
              <w:ind w:left="20"/>
              <w:spacing w:after="0" w:line="193" w:lineRule="exact"/>
              <w:rPr>
                <w:sz w:val="20"/>
                <w:szCs w:val="20"/>
                <w:color w:val="auto"/>
              </w:rPr>
            </w:pPr>
            <w:r>
              <w:rPr>
                <w:rFonts w:ascii="Calibri" w:cs="Calibri" w:eastAsia="Calibri" w:hAnsi="Calibri"/>
                <w:sz w:val="16"/>
                <w:szCs w:val="16"/>
                <w:color w:val="auto"/>
              </w:rPr>
              <w:t>Granted</w:t>
            </w:r>
          </w:p>
        </w:tc>
        <w:tc>
          <w:tcPr>
            <w:tcW w:w="164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172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$0.00</w:t>
            </w:r>
          </w:p>
        </w:tc>
        <w:tc>
          <w:tcPr>
            <w:tcW w:w="100" w:type="dxa"/>
            <w:vAlign w:val="bottom"/>
          </w:tcPr>
          <w:p>
            <w:pPr>
              <w:spacing w:after="0"/>
              <w:rPr>
                <w:sz w:val="16"/>
                <w:szCs w:val="16"/>
                <w:color w:val="auto"/>
              </w:rPr>
            </w:pPr>
          </w:p>
        </w:tc>
        <w:tc>
          <w:tcPr>
            <w:tcW w:w="1640" w:type="dxa"/>
            <w:vAlign w:val="bottom"/>
          </w:tcPr>
          <w:p>
            <w:pPr>
              <w:jc w:val="right"/>
              <w:spacing w:after="0" w:line="193" w:lineRule="exact"/>
              <w:rPr>
                <w:sz w:val="20"/>
                <w:szCs w:val="20"/>
                <w:color w:val="auto"/>
              </w:rPr>
            </w:pPr>
            <w:r>
              <w:rPr>
                <w:rFonts w:ascii="Calibri" w:cs="Calibri" w:eastAsia="Calibri" w:hAnsi="Calibri"/>
                <w:sz w:val="16"/>
                <w:szCs w:val="16"/>
                <w:color w:val="auto"/>
              </w:rPr>
              <w:t>3,993,400</w:t>
            </w:r>
          </w:p>
        </w:tc>
        <w:tc>
          <w:tcPr>
            <w:tcW w:w="17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$1.59</w:t>
            </w:r>
          </w:p>
        </w:tc>
      </w:tr>
      <w:tr>
        <w:trPr>
          <w:trHeight w:val="22"/>
        </w:trPr>
        <w:tc>
          <w:tcPr>
            <w:tcW w:w="43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96"/>
        </w:trPr>
        <w:tc>
          <w:tcPr>
            <w:tcW w:w="4360" w:type="dxa"/>
            <w:vAlign w:val="bottom"/>
            <w:tcBorders>
              <w:bottom w:val="single" w:sz="8" w:color="DBDBDB"/>
            </w:tcBorders>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Vested</w:t>
            </w:r>
          </w:p>
        </w:tc>
        <w:tc>
          <w:tcPr>
            <w:tcW w:w="16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(1,742,807)</w:t>
            </w:r>
          </w:p>
        </w:tc>
        <w:tc>
          <w:tcPr>
            <w:tcW w:w="1720" w:type="dxa"/>
            <w:vAlign w:val="bottom"/>
            <w:tcBorders>
              <w:bottom w:val="single" w:sz="8" w:color="DBDBDB"/>
            </w:tcBorders>
            <w:gridSpan w:val="2"/>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$1.58</w:t>
            </w:r>
          </w:p>
        </w:tc>
        <w:tc>
          <w:tcPr>
            <w:tcW w:w="100" w:type="dxa"/>
            <w:vAlign w:val="bottom"/>
            <w:tcBorders>
              <w:bottom w:val="single" w:sz="8" w:color="DBDBDB"/>
            </w:tcBorders>
            <w:shd w:val="clear" w:color="auto" w:fill="DBDBDB"/>
          </w:tcPr>
          <w:p>
            <w:pPr>
              <w:spacing w:after="0"/>
              <w:rPr>
                <w:sz w:val="17"/>
                <w:szCs w:val="17"/>
                <w:color w:val="auto"/>
              </w:rPr>
            </w:pPr>
          </w:p>
        </w:tc>
        <w:tc>
          <w:tcPr>
            <w:tcW w:w="16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(356,733)</w:t>
            </w:r>
          </w:p>
        </w:tc>
        <w:tc>
          <w:tcPr>
            <w:tcW w:w="1780" w:type="dxa"/>
            <w:vAlign w:val="bottom"/>
            <w:tcBorders>
              <w:bottom w:val="single" w:sz="8" w:color="DBDBDB"/>
            </w:tcBorders>
            <w:gridSpan w:val="2"/>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$1.36</w:t>
            </w:r>
          </w:p>
        </w:tc>
      </w:tr>
      <w:tr>
        <w:trPr>
          <w:trHeight w:val="194"/>
        </w:trPr>
        <w:tc>
          <w:tcPr>
            <w:tcW w:w="4360" w:type="dxa"/>
            <w:vAlign w:val="bottom"/>
          </w:tcPr>
          <w:p>
            <w:pPr>
              <w:ind w:left="20"/>
              <w:spacing w:after="0" w:line="193" w:lineRule="exact"/>
              <w:rPr>
                <w:sz w:val="20"/>
                <w:szCs w:val="20"/>
                <w:color w:val="auto"/>
              </w:rPr>
            </w:pPr>
            <w:r>
              <w:rPr>
                <w:rFonts w:ascii="Calibri" w:cs="Calibri" w:eastAsia="Calibri" w:hAnsi="Calibri"/>
                <w:sz w:val="16"/>
                <w:szCs w:val="16"/>
                <w:color w:val="auto"/>
              </w:rPr>
              <w:t>Forfeited and canceled</w:t>
            </w:r>
          </w:p>
        </w:tc>
        <w:tc>
          <w:tcPr>
            <w:tcW w:w="1640" w:type="dxa"/>
            <w:vAlign w:val="bottom"/>
          </w:tcPr>
          <w:p>
            <w:pPr>
              <w:jc w:val="right"/>
              <w:spacing w:after="0" w:line="193" w:lineRule="exact"/>
              <w:rPr>
                <w:sz w:val="20"/>
                <w:szCs w:val="20"/>
                <w:color w:val="auto"/>
              </w:rPr>
            </w:pPr>
            <w:r>
              <w:rPr>
                <w:rFonts w:ascii="Calibri" w:cs="Calibri" w:eastAsia="Calibri" w:hAnsi="Calibri"/>
                <w:sz w:val="16"/>
                <w:szCs w:val="16"/>
                <w:color w:val="auto"/>
              </w:rPr>
              <w:t>(275,639)</w:t>
            </w:r>
          </w:p>
        </w:tc>
        <w:tc>
          <w:tcPr>
            <w:tcW w:w="172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$1.29</w:t>
            </w:r>
          </w:p>
        </w:tc>
        <w:tc>
          <w:tcPr>
            <w:tcW w:w="100" w:type="dxa"/>
            <w:vAlign w:val="bottom"/>
          </w:tcPr>
          <w:p>
            <w:pPr>
              <w:spacing w:after="0"/>
              <w:rPr>
                <w:sz w:val="16"/>
                <w:szCs w:val="16"/>
                <w:color w:val="auto"/>
              </w:rPr>
            </w:pPr>
          </w:p>
        </w:tc>
        <w:tc>
          <w:tcPr>
            <w:tcW w:w="1640" w:type="dxa"/>
            <w:vAlign w:val="bottom"/>
          </w:tcPr>
          <w:p>
            <w:pPr>
              <w:jc w:val="right"/>
              <w:spacing w:after="0" w:line="193" w:lineRule="exact"/>
              <w:rPr>
                <w:sz w:val="20"/>
                <w:szCs w:val="20"/>
                <w:color w:val="auto"/>
              </w:rPr>
            </w:pPr>
            <w:r>
              <w:rPr>
                <w:rFonts w:ascii="Calibri" w:cs="Calibri" w:eastAsia="Calibri" w:hAnsi="Calibri"/>
                <w:sz w:val="16"/>
                <w:szCs w:val="16"/>
                <w:color w:val="auto"/>
              </w:rPr>
              <w:t>(131,700)</w:t>
            </w:r>
          </w:p>
        </w:tc>
        <w:tc>
          <w:tcPr>
            <w:tcW w:w="178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$1.68</w:t>
            </w:r>
          </w:p>
        </w:tc>
      </w:tr>
      <w:tr>
        <w:trPr>
          <w:trHeight w:val="23"/>
        </w:trPr>
        <w:tc>
          <w:tcPr>
            <w:tcW w:w="4360" w:type="dxa"/>
            <w:vAlign w:val="bottom"/>
            <w:tcBorders>
              <w:bottom w:val="single" w:sz="8" w:color="DBDBDB"/>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2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DBDBDB"/>
            </w:tcBorders>
          </w:tcPr>
          <w:p>
            <w:pPr>
              <w:spacing w:after="0" w:line="20" w:lineRule="exact"/>
              <w:rPr>
                <w:sz w:val="1"/>
                <w:szCs w:val="1"/>
                <w:color w:val="auto"/>
              </w:rPr>
            </w:pPr>
          </w:p>
        </w:tc>
        <w:tc>
          <w:tcPr>
            <w:tcW w:w="1640" w:type="dxa"/>
            <w:vAlign w:val="bottom"/>
            <w:tcBorders>
              <w:bottom w:val="single" w:sz="8" w:color="DBDBDB"/>
            </w:tcBorders>
          </w:tcPr>
          <w:p>
            <w:pPr>
              <w:spacing w:after="0" w:line="20" w:lineRule="exact"/>
              <w:rPr>
                <w:sz w:val="1"/>
                <w:szCs w:val="1"/>
                <w:color w:val="auto"/>
              </w:rPr>
            </w:pPr>
          </w:p>
        </w:tc>
      </w:tr>
      <w:tr>
        <w:trPr>
          <w:trHeight w:val="234"/>
        </w:trPr>
        <w:tc>
          <w:tcPr>
            <w:tcW w:w="436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6"/>
                <w:szCs w:val="16"/>
                <w:color w:val="auto"/>
              </w:rPr>
              <w:t>Unvested as of December 31, 2024</w:t>
            </w:r>
          </w:p>
        </w:tc>
        <w:tc>
          <w:tcPr>
            <w:tcW w:w="1640" w:type="dxa"/>
            <w:vAlign w:val="bottom"/>
            <w:tcBorders>
              <w:bottom w:val="single" w:sz="8" w:color="auto"/>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1,321,423</w:t>
            </w:r>
          </w:p>
        </w:tc>
        <w:tc>
          <w:tcPr>
            <w:tcW w:w="1720" w:type="dxa"/>
            <w:vAlign w:val="bottom"/>
            <w:tcBorders>
              <w:bottom w:val="single" w:sz="8" w:color="DBDBDB"/>
            </w:tcBorders>
            <w:gridSpan w:val="2"/>
            <w:shd w:val="clear" w:color="auto" w:fill="DBDBDB"/>
          </w:tcPr>
          <w:p>
            <w:pPr>
              <w:jc w:val="right"/>
              <w:spacing w:after="0" w:line="182" w:lineRule="exact"/>
              <w:rPr>
                <w:sz w:val="20"/>
                <w:szCs w:val="20"/>
                <w:color w:val="auto"/>
              </w:rPr>
            </w:pPr>
            <w:r>
              <w:rPr>
                <w:rFonts w:ascii="Calibri" w:cs="Calibri" w:eastAsia="Calibri" w:hAnsi="Calibri"/>
                <w:sz w:val="16"/>
                <w:szCs w:val="16"/>
                <w:color w:val="auto"/>
              </w:rPr>
              <w:t>$0.95</w:t>
            </w:r>
          </w:p>
        </w:tc>
        <w:tc>
          <w:tcPr>
            <w:tcW w:w="100" w:type="dxa"/>
            <w:vAlign w:val="bottom"/>
            <w:tcBorders>
              <w:bottom w:val="single" w:sz="8" w:color="DBDBDB"/>
            </w:tcBorders>
            <w:shd w:val="clear" w:color="auto" w:fill="DBDBDB"/>
          </w:tcPr>
          <w:p>
            <w:pPr>
              <w:spacing w:after="0"/>
              <w:rPr>
                <w:sz w:val="19"/>
                <w:szCs w:val="19"/>
                <w:color w:val="auto"/>
              </w:rPr>
            </w:pPr>
          </w:p>
        </w:tc>
        <w:tc>
          <w:tcPr>
            <w:tcW w:w="1640" w:type="dxa"/>
            <w:vAlign w:val="bottom"/>
            <w:tcBorders>
              <w:bottom w:val="single" w:sz="8" w:color="auto"/>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4,108,367</w:t>
            </w:r>
          </w:p>
        </w:tc>
        <w:tc>
          <w:tcPr>
            <w:tcW w:w="1780" w:type="dxa"/>
            <w:vAlign w:val="bottom"/>
            <w:tcBorders>
              <w:bottom w:val="single" w:sz="8" w:color="DBDBDB"/>
            </w:tcBorders>
            <w:gridSpan w:val="2"/>
            <w:shd w:val="clear" w:color="auto" w:fill="DBDBDB"/>
          </w:tcPr>
          <w:p>
            <w:pPr>
              <w:jc w:val="right"/>
              <w:spacing w:after="0" w:line="182" w:lineRule="exact"/>
              <w:rPr>
                <w:sz w:val="20"/>
                <w:szCs w:val="20"/>
                <w:color w:val="auto"/>
              </w:rPr>
            </w:pPr>
            <w:r>
              <w:rPr>
                <w:rFonts w:ascii="Calibri" w:cs="Calibri" w:eastAsia="Calibri" w:hAnsi="Calibri"/>
                <w:sz w:val="16"/>
                <w:szCs w:val="16"/>
                <w:color w:val="auto"/>
              </w:rPr>
              <w:t>$1.59</w:t>
            </w:r>
          </w:p>
        </w:tc>
      </w:tr>
      <w:tr>
        <w:trPr>
          <w:trHeight w:val="20"/>
        </w:trPr>
        <w:tc>
          <w:tcPr>
            <w:tcW w:w="4360" w:type="dxa"/>
            <w:vAlign w:val="bottom"/>
            <w:tcBorders>
              <w:top w:val="single" w:sz="8" w:color="DBDBDB"/>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640" w:type="dxa"/>
            <w:vAlign w:val="bottom"/>
            <w:tcBorders>
              <w:top w:val="single" w:sz="8" w:color="DBDBDB"/>
            </w:tcBorders>
          </w:tcPr>
          <w:p>
            <w:pPr>
              <w:spacing w:after="0" w:line="20" w:lineRule="exact"/>
              <w:rPr>
                <w:sz w:val="1"/>
                <w:szCs w:val="1"/>
                <w:color w:val="auto"/>
              </w:rPr>
            </w:pPr>
          </w:p>
        </w:tc>
      </w:tr>
    </w:tbl>
    <w:p>
      <w:pPr>
        <w:spacing w:after="0" w:line="16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total fair value of RSUs and PSUs that vested during 2024 and 2023 (measured on the date of vestng) was $3.2 million and $8.4 million, respectvely. As of December 31, 2024, there was approximately $5.1 million of unrecognized compensaton cost related to RSUs and PSUs, which is expected to be recognized over a weighted average period of 1.91 years.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Employee Stock Purchase Plan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June 6, 2019, the Company’s stockholders approved the Amended and Restated 2014 Employee Stock Purchase Plan, or </w:t>
      </w:r>
      <w:r>
        <w:rPr>
          <w:rFonts w:ascii="Calibri" w:cs="Calibri" w:eastAsia="Calibri" w:hAnsi="Calibri"/>
          <w:sz w:val="18"/>
          <w:szCs w:val="18"/>
          <w:u w:val="single" w:color="auto"/>
          <w:color w:val="auto"/>
        </w:rPr>
        <w:t>ESPP</w:t>
      </w:r>
      <w:r>
        <w:rPr>
          <w:rFonts w:ascii="Calibri" w:cs="Calibri" w:eastAsia="Calibri" w:hAnsi="Calibri"/>
          <w:sz w:val="18"/>
          <w:szCs w:val="18"/>
          <w:color w:val="auto"/>
        </w:rPr>
        <w:t>. Under the ESPP substantally all employees may voluntarily enroll to purchase shares of the Company’s common stock</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1" w:name="page162"/>
    <w:bookmarkEnd w:id="16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through payroll deductons at a price equal to 85% of the lower of the fair market values of the stock as of the beginning or the end of the six-month ofering period. An employee's payroll deductons under the ESPP are limited to 15% of the employee's compensaton, and an employee may not purchase more than $25,000 worth of stock during any calendar year. In additon, an employee may not purchase more than 1,500 shares in any six-month ofering period. As of December 31, 2024 and 2023, a total of 4,448,069 and 4,637,801 shares of the Company's common stock were available for future issuance under the ESPP, respectvely. The Company issued 189,732 shares during the year ended December 31, 2024.</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Stock-Based Compensaton Expense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Black-Scholes opton pricing model is used to estmate the fair value of the common stock optons. The weighted-average assumptons used in calculatng the fair values of the rights to acquire stock under the 2023 Plan, the 2014 Plan and inducement awards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40" w:type="dxa"/>
            <w:vAlign w:val="bottom"/>
            <w:gridSpan w:val="3"/>
          </w:tcPr>
          <w:p>
            <w:pPr>
              <w:ind w:left="20"/>
              <w:spacing w:after="0"/>
              <w:rPr>
                <w:sz w:val="20"/>
                <w:szCs w:val="20"/>
                <w:color w:val="auto"/>
              </w:rPr>
            </w:pPr>
            <w:r>
              <w:rPr>
                <w:rFonts w:ascii="Calibri" w:cs="Calibri" w:eastAsia="Calibri" w:hAnsi="Calibri"/>
                <w:sz w:val="16"/>
                <w:szCs w:val="16"/>
                <w:b w:val="1"/>
                <w:bCs w:val="1"/>
                <w:color w:val="auto"/>
              </w:rPr>
              <w:t>Years ended December 31,</w:t>
            </w: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6760" w:type="dxa"/>
            <w:vAlign w:val="bottom"/>
            <w:gridSpan w:val="2"/>
            <w:vMerge w:val="restart"/>
          </w:tcPr>
          <w:p>
            <w:pPr>
              <w:ind w:left="20"/>
              <w:spacing w:after="0"/>
              <w:rPr>
                <w:sz w:val="20"/>
                <w:szCs w:val="20"/>
                <w:color w:val="auto"/>
              </w:rPr>
            </w:pPr>
            <w:r>
              <w:rPr>
                <w:rFonts w:ascii="Calibri" w:cs="Calibri" w:eastAsia="Calibri" w:hAnsi="Calibri"/>
                <w:sz w:val="16"/>
                <w:szCs w:val="16"/>
                <w:b w:val="1"/>
                <w:bCs w:val="1"/>
                <w:color w:val="auto"/>
              </w:rPr>
              <w:t>Common Stock Optons</w:t>
            </w: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6760" w:type="dxa"/>
            <w:vAlign w:val="bottom"/>
            <w:gridSpan w:val="2"/>
            <w:vMerge w:val="continue"/>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jc w:val="center"/>
              <w:spacing w:after="0" w:line="187" w:lineRule="exact"/>
              <w:rPr>
                <w:sz w:val="20"/>
                <w:szCs w:val="20"/>
                <w:color w:val="auto"/>
              </w:rPr>
            </w:pPr>
            <w:r>
              <w:rPr>
                <w:rFonts w:ascii="Calibri" w:cs="Calibri" w:eastAsia="Calibri" w:hAnsi="Calibri"/>
                <w:sz w:val="16"/>
                <w:szCs w:val="16"/>
                <w:b w:val="1"/>
                <w:bCs w:val="1"/>
                <w:color w:val="auto"/>
              </w:rPr>
              <w:t>2024</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jc w:val="center"/>
              <w:spacing w:after="0" w:line="187" w:lineRule="exact"/>
              <w:rPr>
                <w:sz w:val="20"/>
                <w:szCs w:val="20"/>
                <w:color w:val="auto"/>
              </w:rPr>
            </w:pPr>
            <w:r>
              <w:rPr>
                <w:rFonts w:ascii="Calibri" w:cs="Calibri" w:eastAsia="Calibri" w:hAnsi="Calibri"/>
                <w:sz w:val="16"/>
                <w:szCs w:val="16"/>
                <w:b w:val="1"/>
                <w:bCs w:val="1"/>
                <w:color w:val="auto"/>
              </w:rPr>
              <w:t>2023</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660" w:type="dxa"/>
            <w:vAlign w:val="bottom"/>
            <w:tcBorders>
              <w:bottom w:val="single" w:sz="8" w:color="DBDBDB"/>
            </w:tcBorders>
            <w:shd w:val="clear" w:color="auto" w:fill="DBDBDB"/>
          </w:tcPr>
          <w:p>
            <w:pPr>
              <w:ind w:left="20"/>
              <w:spacing w:after="0" w:line="187" w:lineRule="exact"/>
              <w:rPr>
                <w:sz w:val="20"/>
                <w:szCs w:val="20"/>
                <w:color w:val="auto"/>
              </w:rPr>
            </w:pPr>
            <w:r>
              <w:rPr>
                <w:rFonts w:ascii="Calibri" w:cs="Calibri" w:eastAsia="Calibri" w:hAnsi="Calibri"/>
                <w:sz w:val="16"/>
                <w:szCs w:val="16"/>
                <w:color w:val="auto"/>
              </w:rPr>
              <w:t>Risk-free interest rate</w:t>
            </w:r>
          </w:p>
        </w:tc>
        <w:tc>
          <w:tcPr>
            <w:tcW w:w="100" w:type="dxa"/>
            <w:vAlign w:val="bottom"/>
            <w:tcBorders>
              <w:bottom w:val="single" w:sz="8" w:color="DBDBDB"/>
            </w:tcBorders>
            <w:shd w:val="clear" w:color="auto" w:fill="DBDBDB"/>
          </w:tcPr>
          <w:p>
            <w:pPr>
              <w:spacing w:after="0"/>
              <w:rPr>
                <w:sz w:val="16"/>
                <w:szCs w:val="16"/>
                <w:color w:val="auto"/>
              </w:rPr>
            </w:pPr>
          </w:p>
        </w:tc>
        <w:tc>
          <w:tcPr>
            <w:tcW w:w="840" w:type="dxa"/>
            <w:vAlign w:val="bottom"/>
            <w:tcBorders>
              <w:bottom w:val="single" w:sz="8" w:color="DBDBDB"/>
            </w:tcBorders>
            <w:shd w:val="clear" w:color="auto" w:fill="DBDBDB"/>
          </w:tcPr>
          <w:p>
            <w:pPr>
              <w:jc w:val="center"/>
              <w:ind w:left="39"/>
              <w:spacing w:after="0" w:line="187" w:lineRule="exact"/>
              <w:rPr>
                <w:sz w:val="20"/>
                <w:szCs w:val="20"/>
                <w:color w:val="auto"/>
              </w:rPr>
            </w:pPr>
            <w:r>
              <w:rPr>
                <w:rFonts w:ascii="Calibri" w:cs="Calibri" w:eastAsia="Calibri" w:hAnsi="Calibri"/>
                <w:sz w:val="16"/>
                <w:szCs w:val="16"/>
                <w:color w:val="auto"/>
              </w:rPr>
              <w:t>3.60%</w:t>
            </w:r>
          </w:p>
        </w:tc>
        <w:tc>
          <w:tcPr>
            <w:tcW w:w="480" w:type="dxa"/>
            <w:vAlign w:val="bottom"/>
            <w:tcBorders>
              <w:bottom w:val="single" w:sz="8" w:color="DBDBDB"/>
            </w:tcBorders>
            <w:shd w:val="clear" w:color="auto" w:fill="DBDBDB"/>
          </w:tcPr>
          <w:p>
            <w:pPr>
              <w:jc w:val="center"/>
              <w:spacing w:after="0" w:line="187" w:lineRule="exact"/>
              <w:rPr>
                <w:sz w:val="20"/>
                <w:szCs w:val="20"/>
                <w:color w:val="auto"/>
              </w:rPr>
            </w:pPr>
            <w:r>
              <w:rPr>
                <w:rFonts w:ascii="Calibri" w:cs="Calibri" w:eastAsia="Calibri" w:hAnsi="Calibri"/>
                <w:sz w:val="16"/>
                <w:szCs w:val="16"/>
                <w:color w:val="auto"/>
              </w:rPr>
              <w:t>-</w:t>
            </w:r>
          </w:p>
        </w:tc>
        <w:tc>
          <w:tcPr>
            <w:tcW w:w="860" w:type="dxa"/>
            <w:vAlign w:val="bottom"/>
            <w:tcBorders>
              <w:bottom w:val="single" w:sz="8" w:color="DBDBDB"/>
            </w:tcBorders>
            <w:shd w:val="clear" w:color="auto" w:fill="DBDBDB"/>
          </w:tcPr>
          <w:p>
            <w:pPr>
              <w:jc w:val="center"/>
              <w:ind w:right="19"/>
              <w:spacing w:after="0" w:line="187" w:lineRule="exact"/>
              <w:rPr>
                <w:sz w:val="20"/>
                <w:szCs w:val="20"/>
                <w:color w:val="auto"/>
              </w:rPr>
            </w:pPr>
            <w:r>
              <w:rPr>
                <w:rFonts w:ascii="Calibri" w:cs="Calibri" w:eastAsia="Calibri" w:hAnsi="Calibri"/>
                <w:sz w:val="16"/>
                <w:szCs w:val="16"/>
                <w:color w:val="auto"/>
              </w:rPr>
              <w:t>4.66%</w:t>
            </w:r>
          </w:p>
        </w:tc>
        <w:tc>
          <w:tcPr>
            <w:tcW w:w="120" w:type="dxa"/>
            <w:vAlign w:val="bottom"/>
            <w:tcBorders>
              <w:bottom w:val="single" w:sz="8" w:color="DBDBDB"/>
            </w:tcBorders>
            <w:shd w:val="clear" w:color="auto" w:fill="DBDBDB"/>
          </w:tcPr>
          <w:p>
            <w:pPr>
              <w:spacing w:after="0"/>
              <w:rPr>
                <w:sz w:val="16"/>
                <w:szCs w:val="16"/>
                <w:color w:val="auto"/>
              </w:rPr>
            </w:pPr>
          </w:p>
        </w:tc>
        <w:tc>
          <w:tcPr>
            <w:tcW w:w="860" w:type="dxa"/>
            <w:vAlign w:val="bottom"/>
            <w:tcBorders>
              <w:bottom w:val="single" w:sz="8" w:color="DBDBDB"/>
            </w:tcBorders>
            <w:shd w:val="clear" w:color="auto" w:fill="DBDBDB"/>
          </w:tcPr>
          <w:p>
            <w:pPr>
              <w:jc w:val="center"/>
              <w:ind w:left="19"/>
              <w:spacing w:after="0" w:line="187" w:lineRule="exact"/>
              <w:rPr>
                <w:sz w:val="20"/>
                <w:szCs w:val="20"/>
                <w:color w:val="auto"/>
              </w:rPr>
            </w:pPr>
            <w:r>
              <w:rPr>
                <w:rFonts w:ascii="Calibri" w:cs="Calibri" w:eastAsia="Calibri" w:hAnsi="Calibri"/>
                <w:sz w:val="16"/>
                <w:szCs w:val="16"/>
                <w:color w:val="auto"/>
              </w:rPr>
              <w:t>3.54%</w:t>
            </w:r>
          </w:p>
        </w:tc>
        <w:tc>
          <w:tcPr>
            <w:tcW w:w="480" w:type="dxa"/>
            <w:vAlign w:val="bottom"/>
            <w:tcBorders>
              <w:bottom w:val="single" w:sz="8" w:color="DBDBDB"/>
            </w:tcBorders>
            <w:shd w:val="clear" w:color="auto" w:fill="DBDBDB"/>
          </w:tcPr>
          <w:p>
            <w:pPr>
              <w:jc w:val="center"/>
              <w:spacing w:after="0" w:line="187" w:lineRule="exact"/>
              <w:rPr>
                <w:sz w:val="20"/>
                <w:szCs w:val="20"/>
                <w:color w:val="auto"/>
              </w:rPr>
            </w:pPr>
            <w:r>
              <w:rPr>
                <w:rFonts w:ascii="Calibri" w:cs="Calibri" w:eastAsia="Calibri" w:hAnsi="Calibri"/>
                <w:sz w:val="16"/>
                <w:szCs w:val="16"/>
                <w:color w:val="auto"/>
              </w:rPr>
              <w:t>-</w:t>
            </w:r>
          </w:p>
        </w:tc>
        <w:tc>
          <w:tcPr>
            <w:tcW w:w="840" w:type="dxa"/>
            <w:vAlign w:val="bottom"/>
            <w:tcBorders>
              <w:bottom w:val="single" w:sz="8" w:color="DBDBDB"/>
            </w:tcBorders>
            <w:shd w:val="clear" w:color="auto" w:fill="DBDBDB"/>
          </w:tcPr>
          <w:p>
            <w:pPr>
              <w:jc w:val="center"/>
              <w:ind w:right="39"/>
              <w:spacing w:after="0" w:line="187" w:lineRule="exact"/>
              <w:rPr>
                <w:sz w:val="20"/>
                <w:szCs w:val="20"/>
                <w:color w:val="auto"/>
              </w:rPr>
            </w:pPr>
            <w:r>
              <w:rPr>
                <w:rFonts w:ascii="Calibri" w:cs="Calibri" w:eastAsia="Calibri" w:hAnsi="Calibri"/>
                <w:sz w:val="16"/>
                <w:szCs w:val="16"/>
                <w:color w:val="auto"/>
              </w:rPr>
              <w:t>4.81%</w:t>
            </w:r>
          </w:p>
        </w:tc>
        <w:tc>
          <w:tcPr>
            <w:tcW w:w="0" w:type="dxa"/>
            <w:vAlign w:val="bottom"/>
          </w:tcPr>
          <w:p>
            <w:pPr>
              <w:spacing w:after="0"/>
              <w:rPr>
                <w:sz w:val="1"/>
                <w:szCs w:val="1"/>
                <w:color w:val="auto"/>
              </w:rPr>
            </w:pPr>
          </w:p>
        </w:tc>
      </w:tr>
      <w:tr>
        <w:trPr>
          <w:trHeight w:val="193"/>
        </w:trPr>
        <w:tc>
          <w:tcPr>
            <w:tcW w:w="676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Expected volatlity</w:t>
            </w:r>
          </w:p>
        </w:tc>
        <w:tc>
          <w:tcPr>
            <w:tcW w:w="840" w:type="dxa"/>
            <w:vAlign w:val="bottom"/>
          </w:tcPr>
          <w:p>
            <w:pPr>
              <w:jc w:val="center"/>
              <w:ind w:left="39"/>
              <w:spacing w:after="0" w:line="193" w:lineRule="exact"/>
              <w:rPr>
                <w:sz w:val="20"/>
                <w:szCs w:val="20"/>
                <w:color w:val="auto"/>
              </w:rPr>
            </w:pPr>
            <w:r>
              <w:rPr>
                <w:rFonts w:ascii="Calibri" w:cs="Calibri" w:eastAsia="Calibri" w:hAnsi="Calibri"/>
                <w:sz w:val="16"/>
                <w:szCs w:val="16"/>
                <w:color w:val="auto"/>
                <w:w w:val="99"/>
              </w:rPr>
              <w:t>109.98%</w:t>
            </w:r>
          </w:p>
        </w:tc>
        <w:tc>
          <w:tcPr>
            <w:tcW w:w="480" w:type="dxa"/>
            <w:vAlign w:val="bottom"/>
          </w:tcPr>
          <w:p>
            <w:pPr>
              <w:jc w:val="center"/>
              <w:spacing w:after="0" w:line="193" w:lineRule="exact"/>
              <w:rPr>
                <w:sz w:val="20"/>
                <w:szCs w:val="20"/>
                <w:color w:val="auto"/>
              </w:rPr>
            </w:pPr>
            <w:r>
              <w:rPr>
                <w:rFonts w:ascii="Calibri" w:cs="Calibri" w:eastAsia="Calibri" w:hAnsi="Calibri"/>
                <w:sz w:val="16"/>
                <w:szCs w:val="16"/>
                <w:color w:val="auto"/>
              </w:rPr>
              <w:t>-</w:t>
            </w:r>
          </w:p>
        </w:tc>
        <w:tc>
          <w:tcPr>
            <w:tcW w:w="860" w:type="dxa"/>
            <w:vAlign w:val="bottom"/>
          </w:tcPr>
          <w:p>
            <w:pPr>
              <w:jc w:val="center"/>
              <w:ind w:right="19"/>
              <w:spacing w:after="0" w:line="193" w:lineRule="exact"/>
              <w:rPr>
                <w:sz w:val="20"/>
                <w:szCs w:val="20"/>
                <w:color w:val="auto"/>
              </w:rPr>
            </w:pPr>
            <w:r>
              <w:rPr>
                <w:rFonts w:ascii="Calibri" w:cs="Calibri" w:eastAsia="Calibri" w:hAnsi="Calibri"/>
                <w:sz w:val="16"/>
                <w:szCs w:val="16"/>
                <w:color w:val="auto"/>
                <w:w w:val="99"/>
              </w:rPr>
              <w:t>119.81%</w:t>
            </w:r>
          </w:p>
        </w:tc>
        <w:tc>
          <w:tcPr>
            <w:tcW w:w="120" w:type="dxa"/>
            <w:vAlign w:val="bottom"/>
          </w:tcPr>
          <w:p>
            <w:pPr>
              <w:spacing w:after="0"/>
              <w:rPr>
                <w:sz w:val="16"/>
                <w:szCs w:val="16"/>
                <w:color w:val="auto"/>
              </w:rPr>
            </w:pPr>
          </w:p>
        </w:tc>
        <w:tc>
          <w:tcPr>
            <w:tcW w:w="860" w:type="dxa"/>
            <w:vAlign w:val="bottom"/>
          </w:tcPr>
          <w:p>
            <w:pPr>
              <w:jc w:val="center"/>
              <w:ind w:left="19"/>
              <w:spacing w:after="0" w:line="193" w:lineRule="exact"/>
              <w:rPr>
                <w:sz w:val="20"/>
                <w:szCs w:val="20"/>
                <w:color w:val="auto"/>
              </w:rPr>
            </w:pPr>
            <w:r>
              <w:rPr>
                <w:rFonts w:ascii="Calibri" w:cs="Calibri" w:eastAsia="Calibri" w:hAnsi="Calibri"/>
                <w:sz w:val="16"/>
                <w:szCs w:val="16"/>
                <w:color w:val="auto"/>
                <w:w w:val="99"/>
              </w:rPr>
              <w:t>100.97%</w:t>
            </w:r>
          </w:p>
        </w:tc>
        <w:tc>
          <w:tcPr>
            <w:tcW w:w="480" w:type="dxa"/>
            <w:vAlign w:val="bottom"/>
          </w:tcPr>
          <w:p>
            <w:pPr>
              <w:jc w:val="center"/>
              <w:spacing w:after="0" w:line="193" w:lineRule="exact"/>
              <w:rPr>
                <w:sz w:val="20"/>
                <w:szCs w:val="20"/>
                <w:color w:val="auto"/>
              </w:rPr>
            </w:pPr>
            <w:r>
              <w:rPr>
                <w:rFonts w:ascii="Calibri" w:cs="Calibri" w:eastAsia="Calibri" w:hAnsi="Calibri"/>
                <w:sz w:val="16"/>
                <w:szCs w:val="16"/>
                <w:color w:val="auto"/>
              </w:rPr>
              <w:t>-</w:t>
            </w:r>
          </w:p>
        </w:tc>
        <w:tc>
          <w:tcPr>
            <w:tcW w:w="840" w:type="dxa"/>
            <w:vAlign w:val="bottom"/>
          </w:tcPr>
          <w:p>
            <w:pPr>
              <w:jc w:val="center"/>
              <w:ind w:right="39"/>
              <w:spacing w:after="0" w:line="193" w:lineRule="exact"/>
              <w:rPr>
                <w:sz w:val="20"/>
                <w:szCs w:val="20"/>
                <w:color w:val="auto"/>
              </w:rPr>
            </w:pPr>
            <w:r>
              <w:rPr>
                <w:rFonts w:ascii="Calibri" w:cs="Calibri" w:eastAsia="Calibri" w:hAnsi="Calibri"/>
                <w:sz w:val="16"/>
                <w:szCs w:val="16"/>
                <w:color w:val="auto"/>
                <w:w w:val="99"/>
              </w:rPr>
              <w:t>111.71%</w:t>
            </w:r>
          </w:p>
        </w:tc>
        <w:tc>
          <w:tcPr>
            <w:tcW w:w="0" w:type="dxa"/>
            <w:vAlign w:val="bottom"/>
          </w:tcPr>
          <w:p>
            <w:pPr>
              <w:spacing w:after="0"/>
              <w:rPr>
                <w:sz w:val="1"/>
                <w:szCs w:val="1"/>
                <w:color w:val="auto"/>
              </w:rPr>
            </w:pPr>
          </w:p>
        </w:tc>
      </w:tr>
      <w:tr>
        <w:trPr>
          <w:trHeight w:val="23"/>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Expected term (years)</w:t>
            </w:r>
          </w:p>
        </w:tc>
        <w:tc>
          <w:tcPr>
            <w:tcW w:w="840" w:type="dxa"/>
            <w:vAlign w:val="bottom"/>
            <w:tcBorders>
              <w:bottom w:val="single" w:sz="8" w:color="DBDBDB"/>
            </w:tcBorders>
            <w:shd w:val="clear" w:color="auto" w:fill="DBDBDB"/>
          </w:tcPr>
          <w:p>
            <w:pPr>
              <w:jc w:val="center"/>
              <w:ind w:left="39"/>
              <w:spacing w:after="0" w:line="193" w:lineRule="exact"/>
              <w:rPr>
                <w:sz w:val="20"/>
                <w:szCs w:val="20"/>
                <w:color w:val="auto"/>
              </w:rPr>
            </w:pPr>
            <w:r>
              <w:rPr>
                <w:rFonts w:ascii="Calibri" w:cs="Calibri" w:eastAsia="Calibri" w:hAnsi="Calibri"/>
                <w:sz w:val="16"/>
                <w:szCs w:val="16"/>
                <w:color w:val="auto"/>
                <w:w w:val="98"/>
              </w:rPr>
              <w:t>5.51</w:t>
            </w:r>
          </w:p>
        </w:tc>
        <w:tc>
          <w:tcPr>
            <w:tcW w:w="480" w:type="dxa"/>
            <w:vAlign w:val="bottom"/>
            <w:tcBorders>
              <w:bottom w:val="single" w:sz="8" w:color="DBDBDB"/>
            </w:tcBorders>
            <w:shd w:val="clear" w:color="auto" w:fill="DBDBDB"/>
          </w:tcPr>
          <w:p>
            <w:pPr>
              <w:jc w:val="center"/>
              <w:spacing w:after="0" w:line="193" w:lineRule="exact"/>
              <w:rPr>
                <w:sz w:val="20"/>
                <w:szCs w:val="20"/>
                <w:color w:val="auto"/>
              </w:rPr>
            </w:pPr>
            <w:r>
              <w:rPr>
                <w:rFonts w:ascii="Calibri" w:cs="Calibri" w:eastAsia="Calibri" w:hAnsi="Calibri"/>
                <w:sz w:val="16"/>
                <w:szCs w:val="16"/>
                <w:color w:val="auto"/>
              </w:rPr>
              <w:t>-</w:t>
            </w:r>
          </w:p>
        </w:tc>
        <w:tc>
          <w:tcPr>
            <w:tcW w:w="860" w:type="dxa"/>
            <w:vAlign w:val="bottom"/>
            <w:tcBorders>
              <w:bottom w:val="single" w:sz="8" w:color="DBDBDB"/>
            </w:tcBorders>
            <w:shd w:val="clear" w:color="auto" w:fill="DBDBDB"/>
          </w:tcPr>
          <w:p>
            <w:pPr>
              <w:jc w:val="center"/>
              <w:ind w:right="19"/>
              <w:spacing w:after="0" w:line="193" w:lineRule="exact"/>
              <w:rPr>
                <w:sz w:val="20"/>
                <w:szCs w:val="20"/>
                <w:color w:val="auto"/>
              </w:rPr>
            </w:pPr>
            <w:r>
              <w:rPr>
                <w:rFonts w:ascii="Calibri" w:cs="Calibri" w:eastAsia="Calibri" w:hAnsi="Calibri"/>
                <w:sz w:val="16"/>
                <w:szCs w:val="16"/>
                <w:color w:val="auto"/>
                <w:w w:val="98"/>
              </w:rPr>
              <w:t>6.25</w:t>
            </w:r>
          </w:p>
        </w:tc>
        <w:tc>
          <w:tcPr>
            <w:tcW w:w="120" w:type="dxa"/>
            <w:vAlign w:val="bottom"/>
            <w:tcBorders>
              <w:bottom w:val="single" w:sz="8" w:color="DBDBDB"/>
            </w:tcBorders>
            <w:shd w:val="clear" w:color="auto" w:fill="DBDBDB"/>
          </w:tcPr>
          <w:p>
            <w:pPr>
              <w:spacing w:after="0"/>
              <w:rPr>
                <w:sz w:val="17"/>
                <w:szCs w:val="17"/>
                <w:color w:val="auto"/>
              </w:rPr>
            </w:pPr>
          </w:p>
        </w:tc>
        <w:tc>
          <w:tcPr>
            <w:tcW w:w="860" w:type="dxa"/>
            <w:vAlign w:val="bottom"/>
            <w:tcBorders>
              <w:bottom w:val="single" w:sz="8" w:color="DBDBDB"/>
            </w:tcBorders>
            <w:shd w:val="clear" w:color="auto" w:fill="DBDBDB"/>
          </w:tcPr>
          <w:p>
            <w:pPr>
              <w:jc w:val="center"/>
              <w:ind w:left="19"/>
              <w:spacing w:after="0" w:line="193" w:lineRule="exact"/>
              <w:rPr>
                <w:sz w:val="20"/>
                <w:szCs w:val="20"/>
                <w:color w:val="auto"/>
              </w:rPr>
            </w:pPr>
            <w:r>
              <w:rPr>
                <w:rFonts w:ascii="Calibri" w:cs="Calibri" w:eastAsia="Calibri" w:hAnsi="Calibri"/>
                <w:sz w:val="16"/>
                <w:szCs w:val="16"/>
                <w:color w:val="auto"/>
                <w:w w:val="98"/>
              </w:rPr>
              <w:t>5.51</w:t>
            </w:r>
          </w:p>
        </w:tc>
        <w:tc>
          <w:tcPr>
            <w:tcW w:w="480" w:type="dxa"/>
            <w:vAlign w:val="bottom"/>
            <w:tcBorders>
              <w:bottom w:val="single" w:sz="8" w:color="DBDBDB"/>
            </w:tcBorders>
            <w:shd w:val="clear" w:color="auto" w:fill="DBDBDB"/>
          </w:tcPr>
          <w:p>
            <w:pPr>
              <w:jc w:val="center"/>
              <w:spacing w:after="0" w:line="193" w:lineRule="exact"/>
              <w:rPr>
                <w:sz w:val="20"/>
                <w:szCs w:val="20"/>
                <w:color w:val="auto"/>
              </w:rPr>
            </w:pPr>
            <w:r>
              <w:rPr>
                <w:rFonts w:ascii="Calibri" w:cs="Calibri" w:eastAsia="Calibri" w:hAnsi="Calibri"/>
                <w:sz w:val="16"/>
                <w:szCs w:val="16"/>
                <w:color w:val="auto"/>
              </w:rPr>
              <w:t>-</w:t>
            </w:r>
          </w:p>
        </w:tc>
        <w:tc>
          <w:tcPr>
            <w:tcW w:w="840" w:type="dxa"/>
            <w:vAlign w:val="bottom"/>
            <w:tcBorders>
              <w:bottom w:val="single" w:sz="8" w:color="DBDBDB"/>
            </w:tcBorders>
            <w:shd w:val="clear" w:color="auto" w:fill="DBDBDB"/>
          </w:tcPr>
          <w:p>
            <w:pPr>
              <w:jc w:val="center"/>
              <w:ind w:right="39"/>
              <w:spacing w:after="0" w:line="193" w:lineRule="exact"/>
              <w:rPr>
                <w:sz w:val="20"/>
                <w:szCs w:val="20"/>
                <w:color w:val="auto"/>
              </w:rPr>
            </w:pPr>
            <w:r>
              <w:rPr>
                <w:rFonts w:ascii="Calibri" w:cs="Calibri" w:eastAsia="Calibri" w:hAnsi="Calibri"/>
                <w:sz w:val="16"/>
                <w:szCs w:val="16"/>
                <w:color w:val="auto"/>
                <w:w w:val="98"/>
              </w:rPr>
              <w:t>6.25</w:t>
            </w:r>
          </w:p>
        </w:tc>
        <w:tc>
          <w:tcPr>
            <w:tcW w:w="0" w:type="dxa"/>
            <w:vAlign w:val="bottom"/>
          </w:tcPr>
          <w:p>
            <w:pPr>
              <w:spacing w:after="0"/>
              <w:rPr>
                <w:sz w:val="1"/>
                <w:szCs w:val="1"/>
                <w:color w:val="auto"/>
              </w:rPr>
            </w:pPr>
          </w:p>
        </w:tc>
      </w:tr>
      <w:tr>
        <w:trPr>
          <w:trHeight w:val="193"/>
        </w:trPr>
        <w:tc>
          <w:tcPr>
            <w:tcW w:w="676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Expected dividend yield</w:t>
            </w:r>
          </w:p>
        </w:tc>
        <w:tc>
          <w:tcPr>
            <w:tcW w:w="840" w:type="dxa"/>
            <w:vAlign w:val="bottom"/>
          </w:tcPr>
          <w:p>
            <w:pPr>
              <w:spacing w:after="0"/>
              <w:rPr>
                <w:sz w:val="16"/>
                <w:szCs w:val="16"/>
                <w:color w:val="auto"/>
              </w:rPr>
            </w:pPr>
          </w:p>
        </w:tc>
        <w:tc>
          <w:tcPr>
            <w:tcW w:w="480" w:type="dxa"/>
            <w:vAlign w:val="bottom"/>
          </w:tcPr>
          <w:p>
            <w:pPr>
              <w:jc w:val="center"/>
              <w:spacing w:after="0" w:line="193" w:lineRule="exact"/>
              <w:rPr>
                <w:sz w:val="20"/>
                <w:szCs w:val="20"/>
                <w:color w:val="auto"/>
              </w:rPr>
            </w:pPr>
            <w:r>
              <w:rPr>
                <w:rFonts w:ascii="Calibri" w:cs="Calibri" w:eastAsia="Calibri" w:hAnsi="Calibri"/>
                <w:sz w:val="16"/>
                <w:szCs w:val="16"/>
                <w:color w:val="auto"/>
              </w:rPr>
              <w:t>—%</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jc w:val="center"/>
              <w:spacing w:after="0" w:line="193" w:lineRule="exact"/>
              <w:rPr>
                <w:sz w:val="20"/>
                <w:szCs w:val="20"/>
                <w:color w:val="auto"/>
              </w:rPr>
            </w:pPr>
            <w:r>
              <w:rPr>
                <w:rFonts w:ascii="Calibri" w:cs="Calibri" w:eastAsia="Calibri" w:hAnsi="Calibri"/>
                <w:sz w:val="16"/>
                <w:szCs w:val="16"/>
                <w:color w:val="auto"/>
              </w:rPr>
              <w:t>—%</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760" w:type="dxa"/>
            <w:vAlign w:val="bottom"/>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Weighted average grant date fair value</w:t>
            </w:r>
          </w:p>
        </w:tc>
        <w:tc>
          <w:tcPr>
            <w:tcW w:w="840" w:type="dxa"/>
            <w:vAlign w:val="bottom"/>
            <w:shd w:val="clear" w:color="auto" w:fill="DBDBDB"/>
          </w:tcPr>
          <w:p>
            <w:pPr>
              <w:spacing w:after="0"/>
              <w:rPr>
                <w:sz w:val="16"/>
                <w:szCs w:val="16"/>
                <w:color w:val="auto"/>
              </w:rPr>
            </w:pPr>
          </w:p>
        </w:tc>
        <w:tc>
          <w:tcPr>
            <w:tcW w:w="480" w:type="dxa"/>
            <w:vAlign w:val="bottom"/>
            <w:shd w:val="clear" w:color="auto" w:fill="DBDBDB"/>
          </w:tcPr>
          <w:p>
            <w:pPr>
              <w:jc w:val="center"/>
              <w:spacing w:after="0" w:line="193" w:lineRule="exact"/>
              <w:rPr>
                <w:sz w:val="20"/>
                <w:szCs w:val="20"/>
                <w:color w:val="auto"/>
              </w:rPr>
            </w:pPr>
            <w:r>
              <w:rPr>
                <w:rFonts w:ascii="Calibri" w:cs="Calibri" w:eastAsia="Calibri" w:hAnsi="Calibri"/>
                <w:sz w:val="16"/>
                <w:szCs w:val="16"/>
                <w:color w:val="auto"/>
              </w:rPr>
              <w:t>$1.36</w:t>
            </w:r>
          </w:p>
        </w:tc>
        <w:tc>
          <w:tcPr>
            <w:tcW w:w="8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480" w:type="dxa"/>
            <w:vAlign w:val="bottom"/>
            <w:shd w:val="clear" w:color="auto" w:fill="DBDBDB"/>
          </w:tcPr>
          <w:p>
            <w:pPr>
              <w:jc w:val="center"/>
              <w:spacing w:after="0" w:line="193" w:lineRule="exact"/>
              <w:rPr>
                <w:sz w:val="20"/>
                <w:szCs w:val="20"/>
                <w:color w:val="auto"/>
              </w:rPr>
            </w:pPr>
            <w:r>
              <w:rPr>
                <w:rFonts w:ascii="Calibri" w:cs="Calibri" w:eastAsia="Calibri" w:hAnsi="Calibri"/>
                <w:sz w:val="16"/>
                <w:szCs w:val="16"/>
                <w:color w:val="auto"/>
              </w:rPr>
              <w:t>$0.69</w:t>
            </w:r>
          </w:p>
        </w:tc>
        <w:tc>
          <w:tcPr>
            <w:tcW w:w="84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60" w:type="dxa"/>
            <w:vAlign w:val="bottom"/>
            <w:shd w:val="clear" w:color="auto" w:fill="DBDBDB"/>
          </w:tcPr>
          <w:p>
            <w:pPr>
              <w:spacing w:after="0" w:line="20" w:lineRule="exact"/>
              <w:rPr>
                <w:sz w:val="1"/>
                <w:szCs w:val="1"/>
                <w:color w:val="auto"/>
              </w:rPr>
            </w:pPr>
          </w:p>
        </w:tc>
        <w:tc>
          <w:tcPr>
            <w:tcW w:w="100" w:type="dxa"/>
            <w:vAlign w:val="bottom"/>
            <w:shd w:val="clear" w:color="auto" w:fill="DBDBDB"/>
          </w:tcPr>
          <w:p>
            <w:pPr>
              <w:spacing w:after="0" w:line="20" w:lineRule="exact"/>
              <w:rPr>
                <w:sz w:val="1"/>
                <w:szCs w:val="1"/>
                <w:color w:val="auto"/>
              </w:rPr>
            </w:pPr>
          </w:p>
        </w:tc>
        <w:tc>
          <w:tcPr>
            <w:tcW w:w="840" w:type="dxa"/>
            <w:vAlign w:val="bottom"/>
            <w:shd w:val="clear" w:color="auto" w:fill="DBDBDB"/>
          </w:tcPr>
          <w:p>
            <w:pPr>
              <w:spacing w:after="0" w:line="20" w:lineRule="exact"/>
              <w:rPr>
                <w:sz w:val="1"/>
                <w:szCs w:val="1"/>
                <w:color w:val="auto"/>
              </w:rPr>
            </w:pPr>
          </w:p>
        </w:tc>
        <w:tc>
          <w:tcPr>
            <w:tcW w:w="480" w:type="dxa"/>
            <w:vAlign w:val="bottom"/>
            <w:shd w:val="clear" w:color="auto" w:fill="DBDBDB"/>
          </w:tcPr>
          <w:p>
            <w:pPr>
              <w:spacing w:after="0" w:line="20" w:lineRule="exact"/>
              <w:rPr>
                <w:sz w:val="1"/>
                <w:szCs w:val="1"/>
                <w:color w:val="auto"/>
              </w:rPr>
            </w:pPr>
          </w:p>
        </w:tc>
        <w:tc>
          <w:tcPr>
            <w:tcW w:w="860" w:type="dxa"/>
            <w:vAlign w:val="bottom"/>
            <w:shd w:val="clear" w:color="auto" w:fill="DBDBDB"/>
          </w:tcPr>
          <w:p>
            <w:pPr>
              <w:spacing w:after="0" w:line="20" w:lineRule="exact"/>
              <w:rPr>
                <w:sz w:val="1"/>
                <w:szCs w:val="1"/>
                <w:color w:val="auto"/>
              </w:rPr>
            </w:pPr>
          </w:p>
        </w:tc>
        <w:tc>
          <w:tcPr>
            <w:tcW w:w="120" w:type="dxa"/>
            <w:vAlign w:val="bottom"/>
            <w:shd w:val="clear" w:color="auto" w:fill="DBDBDB"/>
          </w:tcPr>
          <w:p>
            <w:pPr>
              <w:spacing w:after="0" w:line="20" w:lineRule="exact"/>
              <w:rPr>
                <w:sz w:val="1"/>
                <w:szCs w:val="1"/>
                <w:color w:val="auto"/>
              </w:rPr>
            </w:pPr>
          </w:p>
        </w:tc>
        <w:tc>
          <w:tcPr>
            <w:tcW w:w="860" w:type="dxa"/>
            <w:vAlign w:val="bottom"/>
            <w:shd w:val="clear" w:color="auto" w:fill="DBDBDB"/>
          </w:tcPr>
          <w:p>
            <w:pPr>
              <w:spacing w:after="0" w:line="20" w:lineRule="exact"/>
              <w:rPr>
                <w:sz w:val="1"/>
                <w:szCs w:val="1"/>
                <w:color w:val="auto"/>
              </w:rPr>
            </w:pPr>
          </w:p>
        </w:tc>
        <w:tc>
          <w:tcPr>
            <w:tcW w:w="480" w:type="dxa"/>
            <w:vAlign w:val="bottom"/>
            <w:shd w:val="clear" w:color="auto" w:fill="DBDBDB"/>
          </w:tcPr>
          <w:p>
            <w:pPr>
              <w:spacing w:after="0" w:line="20" w:lineRule="exact"/>
              <w:rPr>
                <w:sz w:val="1"/>
                <w:szCs w:val="1"/>
                <w:color w:val="auto"/>
              </w:rPr>
            </w:pPr>
          </w:p>
        </w:tc>
        <w:tc>
          <w:tcPr>
            <w:tcW w:w="840" w:type="dxa"/>
            <w:vAlign w:val="bottom"/>
            <w:shd w:val="clear" w:color="auto" w:fill="DBDBD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 has classifed stock-based compensaton in its consolidated statements of operatons and comprehensive loss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Calibri" w:cs="Calibri" w:eastAsia="Calibri" w:hAnsi="Calibri"/>
                <w:sz w:val="16"/>
                <w:szCs w:val="16"/>
                <w:b w:val="1"/>
                <w:bCs w:val="1"/>
                <w:color w:val="auto"/>
              </w:rPr>
              <w:t>Years ended December 31,</w:t>
            </w:r>
          </w:p>
        </w:tc>
        <w:tc>
          <w:tcPr>
            <w:tcW w:w="1300" w:type="dxa"/>
            <w:vAlign w:val="bottom"/>
          </w:tcPr>
          <w:p>
            <w:pPr>
              <w:spacing w:after="0"/>
              <w:rPr>
                <w:sz w:val="16"/>
                <w:szCs w:val="16"/>
                <w:color w:val="auto"/>
              </w:rPr>
            </w:pPr>
          </w:p>
        </w:tc>
      </w:tr>
      <w:tr>
        <w:trPr>
          <w:trHeight w:val="28"/>
        </w:trPr>
        <w:tc>
          <w:tcPr>
            <w:tcW w:w="67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7"/>
        </w:trPr>
        <w:tc>
          <w:tcPr>
            <w:tcW w:w="6760" w:type="dxa"/>
            <w:vAlign w:val="bottom"/>
          </w:tcPr>
          <w:p>
            <w:pPr>
              <w:spacing w:after="0"/>
              <w:rPr>
                <w:sz w:val="16"/>
                <w:szCs w:val="16"/>
                <w:color w:val="auto"/>
              </w:rPr>
            </w:pPr>
          </w:p>
        </w:tc>
        <w:tc>
          <w:tcPr>
            <w:tcW w:w="130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2024</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jc w:val="right"/>
              <w:ind w:right="839"/>
              <w:spacing w:after="0" w:line="187" w:lineRule="exact"/>
              <w:rPr>
                <w:sz w:val="20"/>
                <w:szCs w:val="20"/>
                <w:color w:val="auto"/>
              </w:rPr>
            </w:pPr>
            <w:r>
              <w:rPr>
                <w:rFonts w:ascii="Calibri" w:cs="Calibri" w:eastAsia="Calibri" w:hAnsi="Calibri"/>
                <w:sz w:val="16"/>
                <w:szCs w:val="16"/>
                <w:b w:val="1"/>
                <w:bCs w:val="1"/>
                <w:color w:val="auto"/>
              </w:rPr>
              <w:t>2023</w:t>
            </w:r>
          </w:p>
        </w:tc>
      </w:tr>
      <w:tr>
        <w:trPr>
          <w:trHeight w:val="23"/>
        </w:trPr>
        <w:tc>
          <w:tcPr>
            <w:tcW w:w="6760" w:type="dxa"/>
            <w:vAlign w:val="bottom"/>
            <w:tcBorders>
              <w:bottom w:val="single" w:sz="8" w:color="DBDBDB"/>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0"/>
        </w:trPr>
        <w:tc>
          <w:tcPr>
            <w:tcW w:w="6760" w:type="dxa"/>
            <w:vAlign w:val="bottom"/>
            <w:tcBorders>
              <w:bottom w:val="single" w:sz="8" w:color="DBDBDB"/>
            </w:tcBorders>
            <w:shd w:val="clear" w:color="auto" w:fill="DBDBDB"/>
          </w:tcPr>
          <w:p>
            <w:pPr>
              <w:ind w:left="20"/>
              <w:spacing w:after="0" w:line="174" w:lineRule="exact"/>
              <w:rPr>
                <w:sz w:val="20"/>
                <w:szCs w:val="20"/>
                <w:color w:val="auto"/>
              </w:rPr>
            </w:pPr>
            <w:r>
              <w:rPr>
                <w:rFonts w:ascii="Calibri" w:cs="Calibri" w:eastAsia="Calibri" w:hAnsi="Calibri"/>
                <w:sz w:val="16"/>
                <w:szCs w:val="16"/>
                <w:color w:val="auto"/>
              </w:rPr>
              <w:t>Cost of goods sold</w:t>
            </w:r>
          </w:p>
        </w:tc>
        <w:tc>
          <w:tcPr>
            <w:tcW w:w="1300" w:type="dxa"/>
            <w:vAlign w:val="bottom"/>
            <w:tcBorders>
              <w:bottom w:val="single" w:sz="8" w:color="DBDBDB"/>
            </w:tcBorders>
            <w:shd w:val="clear" w:color="auto" w:fill="DBDBDB"/>
          </w:tcPr>
          <w:p>
            <w:pPr>
              <w:jc w:val="right"/>
              <w:ind w:right="1119"/>
              <w:spacing w:after="0" w:line="187" w:lineRule="exact"/>
              <w:rPr>
                <w:sz w:val="20"/>
                <w:szCs w:val="20"/>
                <w:color w:val="auto"/>
              </w:rPr>
            </w:pPr>
            <w:r>
              <w:rPr>
                <w:rFonts w:ascii="Calibri" w:cs="Calibri" w:eastAsia="Calibri" w:hAnsi="Calibri"/>
                <w:sz w:val="16"/>
                <w:szCs w:val="16"/>
                <w:color w:val="auto"/>
                <w:w w:val="97"/>
              </w:rPr>
              <w:t>$</w:t>
            </w:r>
          </w:p>
        </w:tc>
        <w:tc>
          <w:tcPr>
            <w:tcW w:w="88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399</w:t>
            </w:r>
          </w:p>
        </w:tc>
        <w:tc>
          <w:tcPr>
            <w:tcW w:w="12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ind w:right="699"/>
              <w:spacing w:after="0" w:line="187" w:lineRule="exact"/>
              <w:rPr>
                <w:sz w:val="20"/>
                <w:szCs w:val="20"/>
                <w:color w:val="auto"/>
              </w:rPr>
            </w:pPr>
            <w:r>
              <w:rPr>
                <w:rFonts w:ascii="Calibri" w:cs="Calibri" w:eastAsia="Calibri" w:hAnsi="Calibri"/>
                <w:sz w:val="16"/>
                <w:szCs w:val="16"/>
                <w:color w:val="auto"/>
                <w:w w:val="97"/>
              </w:rPr>
              <w:t>$</w:t>
            </w:r>
          </w:p>
        </w:tc>
        <w:tc>
          <w:tcPr>
            <w:tcW w:w="130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267</w:t>
            </w:r>
          </w:p>
        </w:tc>
      </w:tr>
      <w:tr>
        <w:trPr>
          <w:trHeight w:val="193"/>
        </w:trPr>
        <w:tc>
          <w:tcPr>
            <w:tcW w:w="6760" w:type="dxa"/>
            <w:vAlign w:val="bottom"/>
          </w:tcPr>
          <w:p>
            <w:pPr>
              <w:ind w:left="20"/>
              <w:spacing w:after="0" w:line="193" w:lineRule="exact"/>
              <w:rPr>
                <w:sz w:val="20"/>
                <w:szCs w:val="20"/>
                <w:color w:val="auto"/>
              </w:rPr>
            </w:pPr>
            <w:r>
              <w:rPr>
                <w:rFonts w:ascii="Calibri" w:cs="Calibri" w:eastAsia="Calibri" w:hAnsi="Calibri"/>
                <w:sz w:val="16"/>
                <w:szCs w:val="16"/>
                <w:color w:val="auto"/>
              </w:rPr>
              <w:t>Research and development</w:t>
            </w:r>
          </w:p>
        </w:tc>
        <w:tc>
          <w:tcPr>
            <w:tcW w:w="1300" w:type="dxa"/>
            <w:vAlign w:val="bottom"/>
          </w:tcPr>
          <w:p>
            <w:pPr>
              <w:spacing w:after="0"/>
              <w:rPr>
                <w:sz w:val="16"/>
                <w:szCs w:val="16"/>
                <w:color w:val="auto"/>
              </w:rPr>
            </w:pPr>
          </w:p>
        </w:tc>
        <w:tc>
          <w:tcPr>
            <w:tcW w:w="880" w:type="dxa"/>
            <w:vAlign w:val="bottom"/>
          </w:tcPr>
          <w:p>
            <w:pPr>
              <w:jc w:val="right"/>
              <w:spacing w:after="0" w:line="193" w:lineRule="exact"/>
              <w:rPr>
                <w:sz w:val="20"/>
                <w:szCs w:val="20"/>
                <w:color w:val="auto"/>
              </w:rPr>
            </w:pPr>
            <w:r>
              <w:rPr>
                <w:rFonts w:ascii="Calibri" w:cs="Calibri" w:eastAsia="Calibri" w:hAnsi="Calibri"/>
                <w:sz w:val="16"/>
                <w:szCs w:val="16"/>
                <w:color w:val="auto"/>
              </w:rPr>
              <w:t>1,498</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Calibri" w:cs="Calibri" w:eastAsia="Calibri" w:hAnsi="Calibri"/>
                <w:sz w:val="16"/>
                <w:szCs w:val="16"/>
                <w:color w:val="auto"/>
              </w:rPr>
              <w:t>1,964</w:t>
            </w:r>
          </w:p>
        </w:tc>
      </w:tr>
      <w:tr>
        <w:trPr>
          <w:trHeight w:val="23"/>
        </w:trPr>
        <w:tc>
          <w:tcPr>
            <w:tcW w:w="6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6760" w:type="dxa"/>
            <w:vAlign w:val="bottom"/>
            <w:tcBorders>
              <w:bottom w:val="single" w:sz="8" w:color="DBDBDB"/>
            </w:tcBorders>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Selling, general and administratve</w:t>
            </w:r>
          </w:p>
        </w:tc>
        <w:tc>
          <w:tcPr>
            <w:tcW w:w="1300" w:type="dxa"/>
            <w:vAlign w:val="bottom"/>
            <w:tcBorders>
              <w:bottom w:val="single" w:sz="8" w:color="DBDBDB"/>
            </w:tcBorders>
            <w:shd w:val="clear" w:color="auto" w:fill="DBDBDB"/>
          </w:tcPr>
          <w:p>
            <w:pPr>
              <w:spacing w:after="0"/>
              <w:rPr>
                <w:sz w:val="17"/>
                <w:szCs w:val="17"/>
                <w:color w:val="auto"/>
              </w:rPr>
            </w:pPr>
          </w:p>
        </w:tc>
        <w:tc>
          <w:tcPr>
            <w:tcW w:w="88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5,840</w:t>
            </w:r>
          </w:p>
        </w:tc>
        <w:tc>
          <w:tcPr>
            <w:tcW w:w="120" w:type="dxa"/>
            <w:vAlign w:val="bottom"/>
            <w:tcBorders>
              <w:bottom w:val="single" w:sz="8" w:color="DBDBDB"/>
            </w:tcBorders>
            <w:shd w:val="clear" w:color="auto" w:fill="DBDBDB"/>
          </w:tcPr>
          <w:p>
            <w:pPr>
              <w:spacing w:after="0"/>
              <w:rPr>
                <w:sz w:val="17"/>
                <w:szCs w:val="17"/>
                <w:color w:val="auto"/>
              </w:rPr>
            </w:pPr>
          </w:p>
        </w:tc>
        <w:tc>
          <w:tcPr>
            <w:tcW w:w="880" w:type="dxa"/>
            <w:vAlign w:val="bottom"/>
            <w:tcBorders>
              <w:bottom w:val="single" w:sz="8" w:color="DBDBDB"/>
            </w:tcBorders>
            <w:shd w:val="clear" w:color="auto" w:fill="DBDBDB"/>
          </w:tcPr>
          <w:p>
            <w:pPr>
              <w:spacing w:after="0"/>
              <w:rPr>
                <w:sz w:val="17"/>
                <w:szCs w:val="17"/>
                <w:color w:val="auto"/>
              </w:rPr>
            </w:pPr>
          </w:p>
        </w:tc>
        <w:tc>
          <w:tcPr>
            <w:tcW w:w="13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6,456</w:t>
            </w:r>
          </w:p>
        </w:tc>
      </w:tr>
      <w:tr>
        <w:trPr>
          <w:trHeight w:val="193"/>
        </w:trPr>
        <w:tc>
          <w:tcPr>
            <w:tcW w:w="6760" w:type="dxa"/>
            <w:vAlign w:val="bottom"/>
          </w:tcPr>
          <w:p>
            <w:pPr>
              <w:ind w:left="20"/>
              <w:spacing w:after="0" w:line="193" w:lineRule="exact"/>
              <w:rPr>
                <w:sz w:val="20"/>
                <w:szCs w:val="20"/>
                <w:color w:val="auto"/>
              </w:rPr>
            </w:pPr>
            <w:r>
              <w:rPr>
                <w:rFonts w:ascii="Calibri" w:cs="Calibri" w:eastAsia="Calibri" w:hAnsi="Calibri"/>
                <w:sz w:val="16"/>
                <w:szCs w:val="16"/>
                <w:color w:val="auto"/>
              </w:rPr>
              <w:t>Restructuring</w:t>
            </w:r>
          </w:p>
        </w:tc>
        <w:tc>
          <w:tcPr>
            <w:tcW w:w="1300" w:type="dxa"/>
            <w:vAlign w:val="bottom"/>
          </w:tcPr>
          <w:p>
            <w:pPr>
              <w:spacing w:after="0"/>
              <w:rPr>
                <w:sz w:val="16"/>
                <w:szCs w:val="16"/>
                <w:color w:val="auto"/>
              </w:rPr>
            </w:pPr>
          </w:p>
        </w:tc>
        <w:tc>
          <w:tcPr>
            <w:tcW w:w="880" w:type="dxa"/>
            <w:vAlign w:val="bottom"/>
          </w:tcPr>
          <w:p>
            <w:pPr>
              <w:jc w:val="right"/>
              <w:spacing w:after="0" w:line="193" w:lineRule="exact"/>
              <w:rPr>
                <w:sz w:val="20"/>
                <w:szCs w:val="20"/>
                <w:color w:val="auto"/>
              </w:rPr>
            </w:pPr>
            <w:r>
              <w:rPr>
                <w:rFonts w:ascii="Calibri" w:cs="Calibri" w:eastAsia="Calibri" w:hAnsi="Calibri"/>
                <w:sz w:val="16"/>
                <w:szCs w:val="16"/>
                <w:color w:val="auto"/>
              </w:rPr>
              <w:t>38</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Calibri" w:cs="Calibri" w:eastAsia="Calibri" w:hAnsi="Calibri"/>
                <w:sz w:val="16"/>
                <w:szCs w:val="16"/>
                <w:color w:val="auto"/>
              </w:rPr>
              <w:t>630</w:t>
            </w:r>
          </w:p>
        </w:tc>
      </w:tr>
      <w:tr>
        <w:trPr>
          <w:trHeight w:val="23"/>
        </w:trPr>
        <w:tc>
          <w:tcPr>
            <w:tcW w:w="6760" w:type="dxa"/>
            <w:vAlign w:val="bottom"/>
            <w:tcBorders>
              <w:bottom w:val="single" w:sz="8" w:color="DBDBDB"/>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5"/>
        </w:trPr>
        <w:tc>
          <w:tcPr>
            <w:tcW w:w="6760" w:type="dxa"/>
            <w:vAlign w:val="bottom"/>
            <w:tcBorders>
              <w:bottom w:val="single" w:sz="8" w:color="DBDBDB"/>
            </w:tcBorders>
            <w:shd w:val="clear" w:color="auto" w:fill="DBDBDB"/>
          </w:tcPr>
          <w:p>
            <w:pPr>
              <w:ind w:left="20"/>
              <w:spacing w:after="0" w:line="182" w:lineRule="exact"/>
              <w:rPr>
                <w:sz w:val="20"/>
                <w:szCs w:val="20"/>
                <w:color w:val="auto"/>
              </w:rPr>
            </w:pPr>
            <w:r>
              <w:rPr>
                <w:rFonts w:ascii="Calibri" w:cs="Calibri" w:eastAsia="Calibri" w:hAnsi="Calibri"/>
                <w:sz w:val="16"/>
                <w:szCs w:val="16"/>
                <w:color w:val="auto"/>
              </w:rPr>
              <w:t>Total</w:t>
            </w:r>
          </w:p>
        </w:tc>
        <w:tc>
          <w:tcPr>
            <w:tcW w:w="1300" w:type="dxa"/>
            <w:vAlign w:val="bottom"/>
            <w:tcBorders>
              <w:bottom w:val="single" w:sz="8" w:color="DBDBDB"/>
            </w:tcBorders>
            <w:shd w:val="clear" w:color="auto" w:fill="DBDBDB"/>
          </w:tcPr>
          <w:p>
            <w:pPr>
              <w:jc w:val="right"/>
              <w:ind w:right="1119"/>
              <w:spacing w:after="0" w:line="187" w:lineRule="exact"/>
              <w:rPr>
                <w:sz w:val="20"/>
                <w:szCs w:val="20"/>
                <w:color w:val="auto"/>
              </w:rPr>
            </w:pPr>
            <w:r>
              <w:rPr>
                <w:rFonts w:ascii="Calibri" w:cs="Calibri" w:eastAsia="Calibri" w:hAnsi="Calibri"/>
                <w:sz w:val="16"/>
                <w:szCs w:val="16"/>
                <w:color w:val="auto"/>
                <w:w w:val="97"/>
              </w:rPr>
              <w:t>$</w:t>
            </w:r>
          </w:p>
        </w:tc>
        <w:tc>
          <w:tcPr>
            <w:tcW w:w="88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7,775</w:t>
            </w:r>
          </w:p>
        </w:tc>
        <w:tc>
          <w:tcPr>
            <w:tcW w:w="120" w:type="dxa"/>
            <w:vAlign w:val="bottom"/>
            <w:tcBorders>
              <w:bottom w:val="single" w:sz="8" w:color="DBDBDB"/>
            </w:tcBorders>
            <w:shd w:val="clear" w:color="auto" w:fill="DBDBDB"/>
          </w:tcPr>
          <w:p>
            <w:pPr>
              <w:spacing w:after="0"/>
              <w:rPr>
                <w:sz w:val="19"/>
                <w:szCs w:val="19"/>
                <w:color w:val="auto"/>
              </w:rPr>
            </w:pPr>
          </w:p>
        </w:tc>
        <w:tc>
          <w:tcPr>
            <w:tcW w:w="880" w:type="dxa"/>
            <w:vAlign w:val="bottom"/>
            <w:tcBorders>
              <w:bottom w:val="single" w:sz="8" w:color="DBDBDB"/>
            </w:tcBorders>
            <w:shd w:val="clear" w:color="auto" w:fill="DBDBDB"/>
          </w:tcPr>
          <w:p>
            <w:pPr>
              <w:jc w:val="right"/>
              <w:ind w:right="699"/>
              <w:spacing w:after="0" w:line="187" w:lineRule="exact"/>
              <w:rPr>
                <w:sz w:val="20"/>
                <w:szCs w:val="20"/>
                <w:color w:val="auto"/>
              </w:rPr>
            </w:pPr>
            <w:r>
              <w:rPr>
                <w:rFonts w:ascii="Calibri" w:cs="Calibri" w:eastAsia="Calibri" w:hAnsi="Calibri"/>
                <w:sz w:val="16"/>
                <w:szCs w:val="16"/>
                <w:color w:val="auto"/>
                <w:w w:val="97"/>
              </w:rPr>
              <w:t>$</w:t>
            </w:r>
          </w:p>
        </w:tc>
        <w:tc>
          <w:tcPr>
            <w:tcW w:w="130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9,317</w:t>
            </w:r>
          </w:p>
        </w:tc>
      </w:tr>
      <w:tr>
        <w:trPr>
          <w:trHeight w:val="20"/>
        </w:trPr>
        <w:tc>
          <w:tcPr>
            <w:tcW w:w="6760" w:type="dxa"/>
            <w:vAlign w:val="bottom"/>
            <w:tcBorders>
              <w:top w:val="single" w:sz="8" w:color="DBDBDB"/>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alibri" w:cs="Calibri" w:eastAsia="Calibri" w:hAnsi="Calibri"/>
          <w:sz w:val="18"/>
          <w:szCs w:val="18"/>
          <w:color w:val="auto"/>
        </w:rPr>
        <w:t>Stock-based compensaton by type of award was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Calibri" w:cs="Calibri" w:eastAsia="Calibri" w:hAnsi="Calibri"/>
                <w:sz w:val="16"/>
                <w:szCs w:val="16"/>
                <w:b w:val="1"/>
                <w:bCs w:val="1"/>
                <w:color w:val="auto"/>
              </w:rPr>
              <w:t>Years ended December 31,</w:t>
            </w:r>
          </w:p>
        </w:tc>
        <w:tc>
          <w:tcPr>
            <w:tcW w:w="1300" w:type="dxa"/>
            <w:vAlign w:val="bottom"/>
          </w:tcPr>
          <w:p>
            <w:pPr>
              <w:spacing w:after="0"/>
              <w:rPr>
                <w:sz w:val="16"/>
                <w:szCs w:val="16"/>
                <w:color w:val="auto"/>
              </w:rPr>
            </w:pPr>
          </w:p>
        </w:tc>
      </w:tr>
      <w:tr>
        <w:trPr>
          <w:trHeight w:val="28"/>
        </w:trPr>
        <w:tc>
          <w:tcPr>
            <w:tcW w:w="67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7"/>
        </w:trPr>
        <w:tc>
          <w:tcPr>
            <w:tcW w:w="6760" w:type="dxa"/>
            <w:vAlign w:val="bottom"/>
          </w:tcPr>
          <w:p>
            <w:pPr>
              <w:spacing w:after="0"/>
              <w:rPr>
                <w:sz w:val="16"/>
                <w:szCs w:val="16"/>
                <w:color w:val="auto"/>
              </w:rPr>
            </w:pPr>
          </w:p>
        </w:tc>
        <w:tc>
          <w:tcPr>
            <w:tcW w:w="130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2024</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jc w:val="right"/>
              <w:ind w:right="839"/>
              <w:spacing w:after="0" w:line="187" w:lineRule="exact"/>
              <w:rPr>
                <w:sz w:val="20"/>
                <w:szCs w:val="20"/>
                <w:color w:val="auto"/>
              </w:rPr>
            </w:pPr>
            <w:r>
              <w:rPr>
                <w:rFonts w:ascii="Calibri" w:cs="Calibri" w:eastAsia="Calibri" w:hAnsi="Calibri"/>
                <w:sz w:val="16"/>
                <w:szCs w:val="16"/>
                <w:b w:val="1"/>
                <w:bCs w:val="1"/>
                <w:color w:val="auto"/>
              </w:rPr>
              <w:t>2023</w:t>
            </w:r>
          </w:p>
        </w:tc>
      </w:tr>
      <w:tr>
        <w:trPr>
          <w:trHeight w:val="22"/>
        </w:trPr>
        <w:tc>
          <w:tcPr>
            <w:tcW w:w="6760" w:type="dxa"/>
            <w:vAlign w:val="bottom"/>
            <w:tcBorders>
              <w:bottom w:val="single" w:sz="8" w:color="DBDBDB"/>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0"/>
        </w:trPr>
        <w:tc>
          <w:tcPr>
            <w:tcW w:w="6760" w:type="dxa"/>
            <w:vAlign w:val="bottom"/>
            <w:tcBorders>
              <w:bottom w:val="single" w:sz="8" w:color="DBDBDB"/>
            </w:tcBorders>
            <w:shd w:val="clear" w:color="auto" w:fill="DBDBDB"/>
          </w:tcPr>
          <w:p>
            <w:pPr>
              <w:ind w:left="20"/>
              <w:spacing w:after="0" w:line="174" w:lineRule="exact"/>
              <w:rPr>
                <w:sz w:val="20"/>
                <w:szCs w:val="20"/>
                <w:color w:val="auto"/>
              </w:rPr>
            </w:pPr>
            <w:r>
              <w:rPr>
                <w:rFonts w:ascii="Calibri" w:cs="Calibri" w:eastAsia="Calibri" w:hAnsi="Calibri"/>
                <w:sz w:val="16"/>
                <w:szCs w:val="16"/>
                <w:color w:val="auto"/>
              </w:rPr>
              <w:t>Stock optons</w:t>
            </w:r>
          </w:p>
        </w:tc>
        <w:tc>
          <w:tcPr>
            <w:tcW w:w="1300" w:type="dxa"/>
            <w:vAlign w:val="bottom"/>
            <w:tcBorders>
              <w:bottom w:val="single" w:sz="8" w:color="DBDBDB"/>
            </w:tcBorders>
            <w:shd w:val="clear" w:color="auto" w:fill="DBDBDB"/>
          </w:tcPr>
          <w:p>
            <w:pPr>
              <w:jc w:val="right"/>
              <w:ind w:right="1119"/>
              <w:spacing w:after="0" w:line="187" w:lineRule="exact"/>
              <w:rPr>
                <w:sz w:val="20"/>
                <w:szCs w:val="20"/>
                <w:color w:val="auto"/>
              </w:rPr>
            </w:pPr>
            <w:r>
              <w:rPr>
                <w:rFonts w:ascii="Calibri" w:cs="Calibri" w:eastAsia="Calibri" w:hAnsi="Calibri"/>
                <w:sz w:val="16"/>
                <w:szCs w:val="16"/>
                <w:color w:val="auto"/>
                <w:w w:val="97"/>
              </w:rPr>
              <w:t>$</w:t>
            </w:r>
          </w:p>
        </w:tc>
        <w:tc>
          <w:tcPr>
            <w:tcW w:w="88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4,036</w:t>
            </w:r>
          </w:p>
        </w:tc>
        <w:tc>
          <w:tcPr>
            <w:tcW w:w="12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ind w:right="699"/>
              <w:spacing w:after="0" w:line="187" w:lineRule="exact"/>
              <w:rPr>
                <w:sz w:val="20"/>
                <w:szCs w:val="20"/>
                <w:color w:val="auto"/>
              </w:rPr>
            </w:pPr>
            <w:r>
              <w:rPr>
                <w:rFonts w:ascii="Calibri" w:cs="Calibri" w:eastAsia="Calibri" w:hAnsi="Calibri"/>
                <w:sz w:val="16"/>
                <w:szCs w:val="16"/>
                <w:color w:val="auto"/>
                <w:w w:val="97"/>
              </w:rPr>
              <w:t>$</w:t>
            </w:r>
          </w:p>
        </w:tc>
        <w:tc>
          <w:tcPr>
            <w:tcW w:w="130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5,310</w:t>
            </w:r>
          </w:p>
        </w:tc>
      </w:tr>
      <w:tr>
        <w:trPr>
          <w:trHeight w:val="193"/>
        </w:trPr>
        <w:tc>
          <w:tcPr>
            <w:tcW w:w="6760" w:type="dxa"/>
            <w:vAlign w:val="bottom"/>
          </w:tcPr>
          <w:p>
            <w:pPr>
              <w:ind w:left="20"/>
              <w:spacing w:after="0" w:line="193" w:lineRule="exact"/>
              <w:rPr>
                <w:sz w:val="20"/>
                <w:szCs w:val="20"/>
                <w:color w:val="auto"/>
              </w:rPr>
            </w:pPr>
            <w:r>
              <w:rPr>
                <w:rFonts w:ascii="Calibri" w:cs="Calibri" w:eastAsia="Calibri" w:hAnsi="Calibri"/>
                <w:sz w:val="16"/>
                <w:szCs w:val="16"/>
                <w:color w:val="auto"/>
              </w:rPr>
              <w:t>Restricted stock units</w:t>
            </w:r>
          </w:p>
        </w:tc>
        <w:tc>
          <w:tcPr>
            <w:tcW w:w="1300" w:type="dxa"/>
            <w:vAlign w:val="bottom"/>
          </w:tcPr>
          <w:p>
            <w:pPr>
              <w:spacing w:after="0"/>
              <w:rPr>
                <w:sz w:val="16"/>
                <w:szCs w:val="16"/>
                <w:color w:val="auto"/>
              </w:rPr>
            </w:pPr>
          </w:p>
        </w:tc>
        <w:tc>
          <w:tcPr>
            <w:tcW w:w="880" w:type="dxa"/>
            <w:vAlign w:val="bottom"/>
          </w:tcPr>
          <w:p>
            <w:pPr>
              <w:jc w:val="right"/>
              <w:spacing w:after="0" w:line="193" w:lineRule="exact"/>
              <w:rPr>
                <w:sz w:val="20"/>
                <w:szCs w:val="20"/>
                <w:color w:val="auto"/>
              </w:rPr>
            </w:pPr>
            <w:r>
              <w:rPr>
                <w:rFonts w:ascii="Calibri" w:cs="Calibri" w:eastAsia="Calibri" w:hAnsi="Calibri"/>
                <w:sz w:val="16"/>
                <w:szCs w:val="16"/>
                <w:color w:val="auto"/>
              </w:rPr>
              <w:t>3,655</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Calibri" w:cs="Calibri" w:eastAsia="Calibri" w:hAnsi="Calibri"/>
                <w:sz w:val="16"/>
                <w:szCs w:val="16"/>
                <w:color w:val="auto"/>
              </w:rPr>
              <w:t>3,637</w:t>
            </w:r>
          </w:p>
        </w:tc>
      </w:tr>
      <w:tr>
        <w:trPr>
          <w:trHeight w:val="23"/>
        </w:trPr>
        <w:tc>
          <w:tcPr>
            <w:tcW w:w="6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6760" w:type="dxa"/>
            <w:vAlign w:val="bottom"/>
            <w:tcBorders>
              <w:bottom w:val="single" w:sz="8" w:color="DBDBDB"/>
            </w:tcBorders>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Performance RSUs</w:t>
            </w:r>
          </w:p>
        </w:tc>
        <w:tc>
          <w:tcPr>
            <w:tcW w:w="1300" w:type="dxa"/>
            <w:vAlign w:val="bottom"/>
            <w:tcBorders>
              <w:bottom w:val="single" w:sz="8" w:color="DBDBDB"/>
            </w:tcBorders>
            <w:shd w:val="clear" w:color="auto" w:fill="DBDBDB"/>
          </w:tcPr>
          <w:p>
            <w:pPr>
              <w:spacing w:after="0"/>
              <w:rPr>
                <w:sz w:val="17"/>
                <w:szCs w:val="17"/>
                <w:color w:val="auto"/>
              </w:rPr>
            </w:pPr>
          </w:p>
        </w:tc>
        <w:tc>
          <w:tcPr>
            <w:tcW w:w="1000" w:type="dxa"/>
            <w:vAlign w:val="bottom"/>
            <w:tcBorders>
              <w:bottom w:val="single" w:sz="8" w:color="DBDBDB"/>
            </w:tcBorders>
            <w:gridSpan w:val="2"/>
            <w:shd w:val="clear" w:color="auto" w:fill="DBDBDB"/>
          </w:tcPr>
          <w:p>
            <w:pPr>
              <w:jc w:val="right"/>
              <w:ind w:right="180"/>
              <w:spacing w:after="0" w:line="193" w:lineRule="exact"/>
              <w:rPr>
                <w:sz w:val="20"/>
                <w:szCs w:val="20"/>
                <w:color w:val="auto"/>
              </w:rPr>
            </w:pPr>
            <w:r>
              <w:rPr>
                <w:rFonts w:ascii="Calibri" w:cs="Calibri" w:eastAsia="Calibri" w:hAnsi="Calibri"/>
                <w:sz w:val="16"/>
                <w:szCs w:val="16"/>
                <w:color w:val="auto"/>
              </w:rPr>
              <w:t>—</w:t>
            </w:r>
          </w:p>
        </w:tc>
        <w:tc>
          <w:tcPr>
            <w:tcW w:w="880" w:type="dxa"/>
            <w:vAlign w:val="bottom"/>
            <w:tcBorders>
              <w:bottom w:val="single" w:sz="8" w:color="DBDBDB"/>
            </w:tcBorders>
            <w:shd w:val="clear" w:color="auto" w:fill="DBDBDB"/>
          </w:tcPr>
          <w:p>
            <w:pPr>
              <w:spacing w:after="0"/>
              <w:rPr>
                <w:sz w:val="17"/>
                <w:szCs w:val="17"/>
                <w:color w:val="auto"/>
              </w:rPr>
            </w:pPr>
          </w:p>
        </w:tc>
        <w:tc>
          <w:tcPr>
            <w:tcW w:w="13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297</w:t>
            </w:r>
          </w:p>
        </w:tc>
      </w:tr>
      <w:tr>
        <w:trPr>
          <w:trHeight w:val="194"/>
        </w:trPr>
        <w:tc>
          <w:tcPr>
            <w:tcW w:w="6760" w:type="dxa"/>
            <w:vAlign w:val="bottom"/>
          </w:tcPr>
          <w:p>
            <w:pPr>
              <w:ind w:left="20"/>
              <w:spacing w:after="0" w:line="193" w:lineRule="exact"/>
              <w:rPr>
                <w:sz w:val="20"/>
                <w:szCs w:val="20"/>
                <w:color w:val="auto"/>
              </w:rPr>
            </w:pPr>
            <w:r>
              <w:rPr>
                <w:rFonts w:ascii="Calibri" w:cs="Calibri" w:eastAsia="Calibri" w:hAnsi="Calibri"/>
                <w:sz w:val="16"/>
                <w:szCs w:val="16"/>
                <w:color w:val="auto"/>
              </w:rPr>
              <w:t>Employee stock purchase plan</w:t>
            </w:r>
          </w:p>
        </w:tc>
        <w:tc>
          <w:tcPr>
            <w:tcW w:w="1300" w:type="dxa"/>
            <w:vAlign w:val="bottom"/>
          </w:tcPr>
          <w:p>
            <w:pPr>
              <w:spacing w:after="0"/>
              <w:rPr>
                <w:sz w:val="16"/>
                <w:szCs w:val="16"/>
                <w:color w:val="auto"/>
              </w:rPr>
            </w:pPr>
          </w:p>
        </w:tc>
        <w:tc>
          <w:tcPr>
            <w:tcW w:w="880" w:type="dxa"/>
            <w:vAlign w:val="bottom"/>
          </w:tcPr>
          <w:p>
            <w:pPr>
              <w:jc w:val="right"/>
              <w:spacing w:after="0" w:line="193" w:lineRule="exact"/>
              <w:rPr>
                <w:sz w:val="20"/>
                <w:szCs w:val="20"/>
                <w:color w:val="auto"/>
              </w:rPr>
            </w:pPr>
            <w:r>
              <w:rPr>
                <w:rFonts w:ascii="Calibri" w:cs="Calibri" w:eastAsia="Calibri" w:hAnsi="Calibri"/>
                <w:sz w:val="16"/>
                <w:szCs w:val="16"/>
                <w:color w:val="auto"/>
              </w:rPr>
              <w:t>84</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jc w:val="right"/>
              <w:spacing w:after="0" w:line="193" w:lineRule="exact"/>
              <w:rPr>
                <w:sz w:val="20"/>
                <w:szCs w:val="20"/>
                <w:color w:val="auto"/>
              </w:rPr>
            </w:pPr>
            <w:r>
              <w:rPr>
                <w:rFonts w:ascii="Calibri" w:cs="Calibri" w:eastAsia="Calibri" w:hAnsi="Calibri"/>
                <w:sz w:val="16"/>
                <w:szCs w:val="16"/>
                <w:color w:val="auto"/>
              </w:rPr>
              <w:t>73</w:t>
            </w:r>
          </w:p>
        </w:tc>
      </w:tr>
      <w:tr>
        <w:trPr>
          <w:trHeight w:val="23"/>
        </w:trPr>
        <w:tc>
          <w:tcPr>
            <w:tcW w:w="6760" w:type="dxa"/>
            <w:vAlign w:val="bottom"/>
            <w:tcBorders>
              <w:bottom w:val="single" w:sz="8" w:color="DBDBDB"/>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5"/>
        </w:trPr>
        <w:tc>
          <w:tcPr>
            <w:tcW w:w="6760" w:type="dxa"/>
            <w:vAlign w:val="bottom"/>
            <w:tcBorders>
              <w:bottom w:val="single" w:sz="8" w:color="DBDBDB"/>
            </w:tcBorders>
            <w:shd w:val="clear" w:color="auto" w:fill="DBDBDB"/>
          </w:tcPr>
          <w:p>
            <w:pPr>
              <w:ind w:left="20"/>
              <w:spacing w:after="0" w:line="182" w:lineRule="exact"/>
              <w:rPr>
                <w:sz w:val="20"/>
                <w:szCs w:val="20"/>
                <w:color w:val="auto"/>
              </w:rPr>
            </w:pPr>
            <w:r>
              <w:rPr>
                <w:rFonts w:ascii="Calibri" w:cs="Calibri" w:eastAsia="Calibri" w:hAnsi="Calibri"/>
                <w:sz w:val="16"/>
                <w:szCs w:val="16"/>
                <w:color w:val="auto"/>
              </w:rPr>
              <w:t>Total</w:t>
            </w:r>
          </w:p>
        </w:tc>
        <w:tc>
          <w:tcPr>
            <w:tcW w:w="1300" w:type="dxa"/>
            <w:vAlign w:val="bottom"/>
            <w:tcBorders>
              <w:bottom w:val="single" w:sz="8" w:color="DBDBDB"/>
            </w:tcBorders>
            <w:shd w:val="clear" w:color="auto" w:fill="DBDBDB"/>
          </w:tcPr>
          <w:p>
            <w:pPr>
              <w:jc w:val="right"/>
              <w:ind w:right="1119"/>
              <w:spacing w:after="0" w:line="187" w:lineRule="exact"/>
              <w:rPr>
                <w:sz w:val="20"/>
                <w:szCs w:val="20"/>
                <w:color w:val="auto"/>
              </w:rPr>
            </w:pPr>
            <w:r>
              <w:rPr>
                <w:rFonts w:ascii="Calibri" w:cs="Calibri" w:eastAsia="Calibri" w:hAnsi="Calibri"/>
                <w:sz w:val="16"/>
                <w:szCs w:val="16"/>
                <w:color w:val="auto"/>
                <w:w w:val="97"/>
              </w:rPr>
              <w:t>$</w:t>
            </w:r>
          </w:p>
        </w:tc>
        <w:tc>
          <w:tcPr>
            <w:tcW w:w="88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7,775</w:t>
            </w:r>
          </w:p>
        </w:tc>
        <w:tc>
          <w:tcPr>
            <w:tcW w:w="120" w:type="dxa"/>
            <w:vAlign w:val="bottom"/>
            <w:tcBorders>
              <w:bottom w:val="single" w:sz="8" w:color="DBDBDB"/>
            </w:tcBorders>
            <w:shd w:val="clear" w:color="auto" w:fill="DBDBDB"/>
          </w:tcPr>
          <w:p>
            <w:pPr>
              <w:spacing w:after="0"/>
              <w:rPr>
                <w:sz w:val="19"/>
                <w:szCs w:val="19"/>
                <w:color w:val="auto"/>
              </w:rPr>
            </w:pPr>
          </w:p>
        </w:tc>
        <w:tc>
          <w:tcPr>
            <w:tcW w:w="880" w:type="dxa"/>
            <w:vAlign w:val="bottom"/>
            <w:tcBorders>
              <w:bottom w:val="single" w:sz="8" w:color="DBDBDB"/>
            </w:tcBorders>
            <w:shd w:val="clear" w:color="auto" w:fill="DBDBDB"/>
          </w:tcPr>
          <w:p>
            <w:pPr>
              <w:jc w:val="right"/>
              <w:ind w:right="699"/>
              <w:spacing w:after="0" w:line="187" w:lineRule="exact"/>
              <w:rPr>
                <w:sz w:val="20"/>
                <w:szCs w:val="20"/>
                <w:color w:val="auto"/>
              </w:rPr>
            </w:pPr>
            <w:r>
              <w:rPr>
                <w:rFonts w:ascii="Calibri" w:cs="Calibri" w:eastAsia="Calibri" w:hAnsi="Calibri"/>
                <w:sz w:val="16"/>
                <w:szCs w:val="16"/>
                <w:color w:val="auto"/>
                <w:w w:val="97"/>
              </w:rPr>
              <w:t>$</w:t>
            </w:r>
          </w:p>
        </w:tc>
        <w:tc>
          <w:tcPr>
            <w:tcW w:w="130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9,317</w:t>
            </w:r>
          </w:p>
        </w:tc>
      </w:tr>
      <w:tr>
        <w:trPr>
          <w:trHeight w:val="20"/>
        </w:trPr>
        <w:tc>
          <w:tcPr>
            <w:tcW w:w="6760" w:type="dxa"/>
            <w:vAlign w:val="bottom"/>
            <w:tcBorders>
              <w:top w:val="single" w:sz="8" w:color="DBDBDB"/>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40"/>
        <w:spacing w:after="0"/>
        <w:rPr>
          <w:sz w:val="20"/>
          <w:szCs w:val="20"/>
          <w:color w:val="auto"/>
        </w:rPr>
      </w:pPr>
      <w:r>
        <w:rPr>
          <w:rFonts w:ascii="Calibri" w:cs="Calibri" w:eastAsia="Calibri" w:hAnsi="Calibri"/>
          <w:sz w:val="18"/>
          <w:szCs w:val="18"/>
          <w:b w:val="1"/>
          <w:bCs w:val="1"/>
          <w:i w:val="1"/>
          <w:iCs w:val="1"/>
          <w:color w:val="auto"/>
        </w:rPr>
        <w:t>Employee Retrement Plan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In 2008, the Company established a retrement plan, or the </w:t>
      </w:r>
      <w:r>
        <w:rPr>
          <w:rFonts w:ascii="Calibri" w:cs="Calibri" w:eastAsia="Calibri" w:hAnsi="Calibri"/>
          <w:sz w:val="18"/>
          <w:szCs w:val="18"/>
          <w:u w:val="single" w:color="auto"/>
          <w:color w:val="auto"/>
        </w:rPr>
        <w:t>Plan</w:t>
      </w:r>
      <w:r>
        <w:rPr>
          <w:rFonts w:ascii="Calibri" w:cs="Calibri" w:eastAsia="Calibri" w:hAnsi="Calibri"/>
          <w:sz w:val="18"/>
          <w:szCs w:val="18"/>
          <w:color w:val="auto"/>
        </w:rPr>
        <w:t xml:space="preserve">, authorized by Secton 401(k) of the Internal Revenue Code, or </w:t>
      </w:r>
      <w:r>
        <w:rPr>
          <w:rFonts w:ascii="Calibri" w:cs="Calibri" w:eastAsia="Calibri" w:hAnsi="Calibri"/>
          <w:sz w:val="18"/>
          <w:szCs w:val="18"/>
          <w:u w:val="single" w:color="auto"/>
          <w:color w:val="auto"/>
        </w:rPr>
        <w:t>IRC</w:t>
      </w:r>
      <w:r>
        <w:rPr>
          <w:rFonts w:ascii="Calibri" w:cs="Calibri" w:eastAsia="Calibri" w:hAnsi="Calibri"/>
          <w:sz w:val="18"/>
          <w:szCs w:val="18"/>
          <w:color w:val="auto"/>
        </w:rPr>
        <w:t>. In accordance with the Plan, all employees who have atained the age of 21 are eligible to partcipate in the Plan as of the frst Entry Date, as defned, following their date of employment. Each employee can contribute a percentage of compensaton up to a maximum of the statutory limits per year. Company contributons are discretonary and contributons in the amount of approximately $1.7 million were made during each of the years ended December 31, 2024 and 2023.</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15. INCOME TAXES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income tax provision was computed based on the federal statutory rate and the state statutory rates, net of the related federal beneft. There was no current or deferred income tax expense or beneft for the years ended December 31, 2024 and 2023 due to the Company’s net losses and increases in its valuaton allowance against its deferred tax assets.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Company's efectve income tax rate difers from the statutory federal income tax rate as follows for the years ended December 31, 2024 and 2023:</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Akebia Therapeutcs, Inc. | Form 10-K | Page 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2" w:name="page163"/>
    <w:bookmarkEnd w:id="162"/>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780"/>
        <w:spacing w:after="0"/>
        <w:rPr>
          <w:sz w:val="20"/>
          <w:szCs w:val="20"/>
          <w:color w:val="auto"/>
        </w:rPr>
      </w:pPr>
      <w:r>
        <w:rPr>
          <w:rFonts w:ascii="Calibri" w:cs="Calibri" w:eastAsia="Calibri" w:hAnsi="Calibri"/>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17780</wp:posOffset>
            </wp:positionV>
            <wp:extent cx="199707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60" w:type="dxa"/>
            <w:vAlign w:val="bottom"/>
            <w:gridSpan w:val="2"/>
          </w:tcPr>
          <w:p>
            <w:pPr>
              <w:ind w:left="8680"/>
              <w:spacing w:after="0"/>
              <w:rPr>
                <w:sz w:val="20"/>
                <w:szCs w:val="20"/>
                <w:color w:val="auto"/>
              </w:rPr>
            </w:pPr>
            <w:r>
              <w:rPr>
                <w:rFonts w:ascii="Calibri" w:cs="Calibri" w:eastAsia="Calibri" w:hAnsi="Calibri"/>
                <w:sz w:val="16"/>
                <w:szCs w:val="16"/>
                <w:b w:val="1"/>
                <w:bCs w:val="1"/>
                <w:color w:val="auto"/>
              </w:rPr>
              <w:t>2024</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2023</w:t>
            </w:r>
          </w:p>
        </w:tc>
      </w:tr>
      <w:tr>
        <w:trPr>
          <w:trHeight w:val="28"/>
        </w:trPr>
        <w:tc>
          <w:tcPr>
            <w:tcW w:w="8100" w:type="dxa"/>
            <w:vAlign w:val="bottom"/>
            <w:tcBorders>
              <w:bottom w:val="single" w:sz="8" w:color="DBDBDB"/>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8100" w:type="dxa"/>
            <w:vAlign w:val="bottom"/>
            <w:tcBorders>
              <w:bottom w:val="single" w:sz="8" w:color="DBDBDB"/>
            </w:tcBorders>
            <w:shd w:val="clear" w:color="auto" w:fill="DBDBDB"/>
          </w:tcPr>
          <w:p>
            <w:pPr>
              <w:ind w:left="20"/>
              <w:spacing w:after="0" w:line="174" w:lineRule="exact"/>
              <w:rPr>
                <w:sz w:val="20"/>
                <w:szCs w:val="20"/>
                <w:color w:val="auto"/>
              </w:rPr>
            </w:pPr>
            <w:r>
              <w:rPr>
                <w:rFonts w:ascii="Calibri" w:cs="Calibri" w:eastAsia="Calibri" w:hAnsi="Calibri"/>
                <w:sz w:val="16"/>
                <w:szCs w:val="16"/>
                <w:color w:val="auto"/>
              </w:rPr>
              <w:t>Federal tax at statutory rate</w:t>
            </w:r>
          </w:p>
        </w:tc>
        <w:tc>
          <w:tcPr>
            <w:tcW w:w="960" w:type="dxa"/>
            <w:vAlign w:val="bottom"/>
            <w:tcBorders>
              <w:bottom w:val="single" w:sz="8" w:color="DBDBDB"/>
            </w:tcBorders>
            <w:shd w:val="clear" w:color="auto" w:fill="DBDBDB"/>
          </w:tcPr>
          <w:p>
            <w:pPr>
              <w:spacing w:after="0"/>
              <w:rPr>
                <w:sz w:val="16"/>
                <w:szCs w:val="16"/>
                <w:color w:val="auto"/>
              </w:rPr>
            </w:pPr>
          </w:p>
        </w:tc>
        <w:tc>
          <w:tcPr>
            <w:tcW w:w="54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21.0 %</w:t>
            </w:r>
          </w:p>
        </w:tc>
        <w:tc>
          <w:tcPr>
            <w:tcW w:w="120" w:type="dxa"/>
            <w:vAlign w:val="bottom"/>
            <w:tcBorders>
              <w:bottom w:val="single" w:sz="8" w:color="DBDBDB"/>
            </w:tcBorders>
            <w:shd w:val="clear" w:color="auto" w:fill="DBDBDB"/>
          </w:tcPr>
          <w:p>
            <w:pPr>
              <w:spacing w:after="0"/>
              <w:rPr>
                <w:sz w:val="16"/>
                <w:szCs w:val="16"/>
                <w:color w:val="auto"/>
              </w:rPr>
            </w:pPr>
          </w:p>
        </w:tc>
        <w:tc>
          <w:tcPr>
            <w:tcW w:w="152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21.0 %</w:t>
            </w:r>
          </w:p>
        </w:tc>
      </w:tr>
      <w:tr>
        <w:trPr>
          <w:trHeight w:val="193"/>
        </w:trPr>
        <w:tc>
          <w:tcPr>
            <w:tcW w:w="906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State and local tax at statutory rate</w:t>
            </w:r>
          </w:p>
        </w:tc>
        <w:tc>
          <w:tcPr>
            <w:tcW w:w="54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rPr>
              <w:t>0.6</w:t>
            </w:r>
          </w:p>
        </w:tc>
        <w:tc>
          <w:tcPr>
            <w:tcW w:w="120" w:type="dxa"/>
            <w:vAlign w:val="bottom"/>
          </w:tcPr>
          <w:p>
            <w:pPr>
              <w:spacing w:after="0"/>
              <w:rPr>
                <w:sz w:val="16"/>
                <w:szCs w:val="16"/>
                <w:color w:val="auto"/>
              </w:rPr>
            </w:pPr>
          </w:p>
        </w:tc>
        <w:tc>
          <w:tcPr>
            <w:tcW w:w="152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2.7</w:t>
            </w:r>
          </w:p>
        </w:tc>
      </w:tr>
      <w:tr>
        <w:trPr>
          <w:trHeight w:val="23"/>
        </w:trPr>
        <w:tc>
          <w:tcPr>
            <w:tcW w:w="8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906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Research and development tax credits</w:t>
            </w:r>
          </w:p>
        </w:tc>
        <w:tc>
          <w:tcPr>
            <w:tcW w:w="540" w:type="dxa"/>
            <w:vAlign w:val="bottom"/>
            <w:tcBorders>
              <w:bottom w:val="single" w:sz="8" w:color="DBDBDB"/>
            </w:tcBorders>
            <w:shd w:val="clear" w:color="auto" w:fill="DBDBDB"/>
          </w:tcPr>
          <w:p>
            <w:pPr>
              <w:jc w:val="right"/>
              <w:ind w:right="79"/>
              <w:spacing w:after="0" w:line="193" w:lineRule="exact"/>
              <w:rPr>
                <w:sz w:val="20"/>
                <w:szCs w:val="20"/>
                <w:color w:val="auto"/>
              </w:rPr>
            </w:pPr>
            <w:r>
              <w:rPr>
                <w:rFonts w:ascii="Calibri" w:cs="Calibri" w:eastAsia="Calibri" w:hAnsi="Calibri"/>
                <w:sz w:val="16"/>
                <w:szCs w:val="16"/>
                <w:color w:val="auto"/>
              </w:rPr>
              <w:t>1.9</w:t>
            </w:r>
          </w:p>
        </w:tc>
        <w:tc>
          <w:tcPr>
            <w:tcW w:w="120" w:type="dxa"/>
            <w:vAlign w:val="bottom"/>
            <w:tcBorders>
              <w:bottom w:val="single" w:sz="8" w:color="DBDBDB"/>
            </w:tcBorders>
            <w:shd w:val="clear" w:color="auto" w:fill="DBDBDB"/>
          </w:tcPr>
          <w:p>
            <w:pPr>
              <w:spacing w:after="0"/>
              <w:rPr>
                <w:sz w:val="17"/>
                <w:szCs w:val="17"/>
                <w:color w:val="auto"/>
              </w:rPr>
            </w:pPr>
          </w:p>
        </w:tc>
        <w:tc>
          <w:tcPr>
            <w:tcW w:w="1520" w:type="dxa"/>
            <w:vAlign w:val="bottom"/>
            <w:tcBorders>
              <w:bottom w:val="single" w:sz="8" w:color="DBDBDB"/>
            </w:tcBorders>
            <w:shd w:val="clear" w:color="auto" w:fill="DBDBDB"/>
          </w:tcPr>
          <w:p>
            <w:pPr>
              <w:jc w:val="right"/>
              <w:ind w:right="99"/>
              <w:spacing w:after="0" w:line="193" w:lineRule="exact"/>
              <w:rPr>
                <w:sz w:val="20"/>
                <w:szCs w:val="20"/>
                <w:color w:val="auto"/>
              </w:rPr>
            </w:pPr>
            <w:r>
              <w:rPr>
                <w:rFonts w:ascii="Calibri" w:cs="Calibri" w:eastAsia="Calibri" w:hAnsi="Calibri"/>
                <w:sz w:val="16"/>
                <w:szCs w:val="16"/>
                <w:color w:val="auto"/>
              </w:rPr>
              <w:t>0.3</w:t>
            </w:r>
          </w:p>
        </w:tc>
      </w:tr>
      <w:tr>
        <w:trPr>
          <w:trHeight w:val="193"/>
        </w:trPr>
        <w:tc>
          <w:tcPr>
            <w:tcW w:w="906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Change in valuaton allowance</w:t>
            </w:r>
          </w:p>
        </w:tc>
        <w:tc>
          <w:tcPr>
            <w:tcW w:w="54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(32.5)</w:t>
            </w:r>
          </w:p>
        </w:tc>
        <w:tc>
          <w:tcPr>
            <w:tcW w:w="120" w:type="dxa"/>
            <w:vAlign w:val="bottom"/>
          </w:tcPr>
          <w:p>
            <w:pPr>
              <w:spacing w:after="0"/>
              <w:rPr>
                <w:sz w:val="16"/>
                <w:szCs w:val="16"/>
                <w:color w:val="auto"/>
              </w:rPr>
            </w:pPr>
          </w:p>
        </w:tc>
        <w:tc>
          <w:tcPr>
            <w:tcW w:w="15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(9.1)</w:t>
            </w:r>
          </w:p>
        </w:tc>
      </w:tr>
      <w:tr>
        <w:trPr>
          <w:trHeight w:val="23"/>
        </w:trPr>
        <w:tc>
          <w:tcPr>
            <w:tcW w:w="8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906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Other permanent diferences</w:t>
            </w:r>
          </w:p>
        </w:tc>
        <w:tc>
          <w:tcPr>
            <w:tcW w:w="540" w:type="dxa"/>
            <w:vAlign w:val="bottom"/>
            <w:tcBorders>
              <w:bottom w:val="single" w:sz="8" w:color="DBDBDB"/>
            </w:tcBorders>
            <w:shd w:val="clear" w:color="auto" w:fill="DBDBDB"/>
          </w:tcPr>
          <w:p>
            <w:pPr>
              <w:jc w:val="right"/>
              <w:ind w:right="39"/>
              <w:spacing w:after="0" w:line="193" w:lineRule="exact"/>
              <w:rPr>
                <w:sz w:val="20"/>
                <w:szCs w:val="20"/>
                <w:color w:val="auto"/>
              </w:rPr>
            </w:pPr>
            <w:r>
              <w:rPr>
                <w:rFonts w:ascii="Calibri" w:cs="Calibri" w:eastAsia="Calibri" w:hAnsi="Calibri"/>
                <w:sz w:val="16"/>
                <w:szCs w:val="16"/>
                <w:color w:val="auto"/>
              </w:rPr>
              <w:t>(1.7)</w:t>
            </w:r>
          </w:p>
        </w:tc>
        <w:tc>
          <w:tcPr>
            <w:tcW w:w="120" w:type="dxa"/>
            <w:vAlign w:val="bottom"/>
            <w:tcBorders>
              <w:bottom w:val="single" w:sz="8" w:color="DBDBDB"/>
            </w:tcBorders>
            <w:shd w:val="clear" w:color="auto" w:fill="DBDBDB"/>
          </w:tcPr>
          <w:p>
            <w:pPr>
              <w:spacing w:after="0"/>
              <w:rPr>
                <w:sz w:val="17"/>
                <w:szCs w:val="17"/>
                <w:color w:val="auto"/>
              </w:rPr>
            </w:pPr>
          </w:p>
        </w:tc>
        <w:tc>
          <w:tcPr>
            <w:tcW w:w="1520" w:type="dxa"/>
            <w:vAlign w:val="bottom"/>
            <w:tcBorders>
              <w:bottom w:val="single" w:sz="8" w:color="DBDBDB"/>
            </w:tcBorders>
            <w:shd w:val="clear" w:color="auto" w:fill="DBDBDB"/>
          </w:tcPr>
          <w:p>
            <w:pPr>
              <w:jc w:val="right"/>
              <w:ind w:right="59"/>
              <w:spacing w:after="0" w:line="193" w:lineRule="exact"/>
              <w:rPr>
                <w:sz w:val="20"/>
                <w:szCs w:val="20"/>
                <w:color w:val="auto"/>
              </w:rPr>
            </w:pPr>
            <w:r>
              <w:rPr>
                <w:rFonts w:ascii="Calibri" w:cs="Calibri" w:eastAsia="Calibri" w:hAnsi="Calibri"/>
                <w:sz w:val="16"/>
                <w:szCs w:val="16"/>
                <w:color w:val="auto"/>
              </w:rPr>
              <w:t>(2.0)</w:t>
            </w:r>
          </w:p>
        </w:tc>
      </w:tr>
      <w:tr>
        <w:trPr>
          <w:trHeight w:val="193"/>
        </w:trPr>
        <w:tc>
          <w:tcPr>
            <w:tcW w:w="906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Stock opton cancellatons</w:t>
            </w:r>
          </w:p>
        </w:tc>
        <w:tc>
          <w:tcPr>
            <w:tcW w:w="54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(1.8)</w:t>
            </w:r>
          </w:p>
        </w:tc>
        <w:tc>
          <w:tcPr>
            <w:tcW w:w="120" w:type="dxa"/>
            <w:vAlign w:val="bottom"/>
          </w:tcPr>
          <w:p>
            <w:pPr>
              <w:spacing w:after="0"/>
              <w:rPr>
                <w:sz w:val="16"/>
                <w:szCs w:val="16"/>
                <w:color w:val="auto"/>
              </w:rPr>
            </w:pPr>
          </w:p>
        </w:tc>
        <w:tc>
          <w:tcPr>
            <w:tcW w:w="15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(3.7)</w:t>
            </w:r>
          </w:p>
        </w:tc>
      </w:tr>
      <w:tr>
        <w:trPr>
          <w:trHeight w:val="23"/>
        </w:trPr>
        <w:tc>
          <w:tcPr>
            <w:tcW w:w="8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906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Stock opton shortalls</w:t>
            </w:r>
          </w:p>
        </w:tc>
        <w:tc>
          <w:tcPr>
            <w:tcW w:w="660" w:type="dxa"/>
            <w:vAlign w:val="bottom"/>
            <w:tcBorders>
              <w:bottom w:val="single" w:sz="8" w:color="DBDBDB"/>
            </w:tcBorders>
            <w:gridSpan w:val="2"/>
            <w:shd w:val="clear" w:color="auto" w:fill="DBDBDB"/>
          </w:tcPr>
          <w:p>
            <w:pPr>
              <w:jc w:val="right"/>
              <w:ind w:right="280"/>
              <w:spacing w:after="0" w:line="193" w:lineRule="exact"/>
              <w:rPr>
                <w:sz w:val="20"/>
                <w:szCs w:val="20"/>
                <w:color w:val="auto"/>
              </w:rPr>
            </w:pPr>
            <w:r>
              <w:rPr>
                <w:rFonts w:ascii="Calibri" w:cs="Calibri" w:eastAsia="Calibri" w:hAnsi="Calibri"/>
                <w:sz w:val="16"/>
                <w:szCs w:val="16"/>
                <w:color w:val="auto"/>
              </w:rPr>
              <w:t>—</w:t>
            </w:r>
          </w:p>
        </w:tc>
        <w:tc>
          <w:tcPr>
            <w:tcW w:w="1520" w:type="dxa"/>
            <w:vAlign w:val="bottom"/>
            <w:tcBorders>
              <w:bottom w:val="single" w:sz="8" w:color="DBDBDB"/>
            </w:tcBorders>
            <w:shd w:val="clear" w:color="auto" w:fill="DBDBDB"/>
          </w:tcPr>
          <w:p>
            <w:pPr>
              <w:jc w:val="right"/>
              <w:ind w:right="59"/>
              <w:spacing w:after="0" w:line="193" w:lineRule="exact"/>
              <w:rPr>
                <w:sz w:val="20"/>
                <w:szCs w:val="20"/>
                <w:color w:val="auto"/>
              </w:rPr>
            </w:pPr>
            <w:r>
              <w:rPr>
                <w:rFonts w:ascii="Calibri" w:cs="Calibri" w:eastAsia="Calibri" w:hAnsi="Calibri"/>
                <w:sz w:val="16"/>
                <w:szCs w:val="16"/>
                <w:color w:val="auto"/>
              </w:rPr>
              <w:t>(1.7)</w:t>
            </w:r>
          </w:p>
        </w:tc>
      </w:tr>
      <w:tr>
        <w:trPr>
          <w:trHeight w:val="193"/>
        </w:trPr>
        <w:tc>
          <w:tcPr>
            <w:tcW w:w="906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Efect of rate changes</w:t>
            </w:r>
          </w:p>
        </w:tc>
        <w:tc>
          <w:tcPr>
            <w:tcW w:w="540" w:type="dxa"/>
            <w:vAlign w:val="bottom"/>
          </w:tcPr>
          <w:p>
            <w:pPr>
              <w:jc w:val="right"/>
              <w:ind w:right="79"/>
              <w:spacing w:after="0" w:line="193" w:lineRule="exact"/>
              <w:rPr>
                <w:sz w:val="20"/>
                <w:szCs w:val="20"/>
                <w:color w:val="auto"/>
              </w:rPr>
            </w:pPr>
            <w:r>
              <w:rPr>
                <w:rFonts w:ascii="Calibri" w:cs="Calibri" w:eastAsia="Calibri" w:hAnsi="Calibri"/>
                <w:sz w:val="16"/>
                <w:szCs w:val="16"/>
                <w:color w:val="auto"/>
              </w:rPr>
              <w:t>13.5</w:t>
            </w:r>
          </w:p>
        </w:tc>
        <w:tc>
          <w:tcPr>
            <w:tcW w:w="120" w:type="dxa"/>
            <w:vAlign w:val="bottom"/>
          </w:tcPr>
          <w:p>
            <w:pPr>
              <w:spacing w:after="0"/>
              <w:rPr>
                <w:sz w:val="16"/>
                <w:szCs w:val="16"/>
                <w:color w:val="auto"/>
              </w:rPr>
            </w:pPr>
          </w:p>
        </w:tc>
        <w:tc>
          <w:tcPr>
            <w:tcW w:w="1520" w:type="dxa"/>
            <w:vAlign w:val="bottom"/>
          </w:tcPr>
          <w:p>
            <w:pPr>
              <w:jc w:val="right"/>
              <w:ind w:right="59"/>
              <w:spacing w:after="0" w:line="193" w:lineRule="exact"/>
              <w:rPr>
                <w:sz w:val="20"/>
                <w:szCs w:val="20"/>
                <w:color w:val="auto"/>
              </w:rPr>
            </w:pPr>
            <w:r>
              <w:rPr>
                <w:rFonts w:ascii="Calibri" w:cs="Calibri" w:eastAsia="Calibri" w:hAnsi="Calibri"/>
                <w:sz w:val="16"/>
                <w:szCs w:val="16"/>
                <w:color w:val="auto"/>
              </w:rPr>
              <w:t>(7.7)</w:t>
            </w:r>
          </w:p>
        </w:tc>
      </w:tr>
      <w:tr>
        <w:trPr>
          <w:trHeight w:val="23"/>
        </w:trPr>
        <w:tc>
          <w:tcPr>
            <w:tcW w:w="8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9060" w:type="dxa"/>
            <w:vAlign w:val="bottom"/>
            <w:tcBorders>
              <w:bottom w:val="single" w:sz="8" w:color="DBDBDB"/>
            </w:tcBorders>
            <w:gridSpan w:val="2"/>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Provision to return adjustment</w:t>
            </w:r>
          </w:p>
        </w:tc>
        <w:tc>
          <w:tcPr>
            <w:tcW w:w="540" w:type="dxa"/>
            <w:vAlign w:val="bottom"/>
            <w:tcBorders>
              <w:bottom w:val="single" w:sz="8" w:color="DBDBDB"/>
            </w:tcBorders>
            <w:shd w:val="clear" w:color="auto" w:fill="DBDBDB"/>
          </w:tcPr>
          <w:p>
            <w:pPr>
              <w:jc w:val="right"/>
              <w:ind w:right="39"/>
              <w:spacing w:after="0" w:line="193" w:lineRule="exact"/>
              <w:rPr>
                <w:sz w:val="20"/>
                <w:szCs w:val="20"/>
                <w:color w:val="auto"/>
              </w:rPr>
            </w:pPr>
            <w:r>
              <w:rPr>
                <w:rFonts w:ascii="Calibri" w:cs="Calibri" w:eastAsia="Calibri" w:hAnsi="Calibri"/>
                <w:sz w:val="16"/>
                <w:szCs w:val="16"/>
                <w:color w:val="auto"/>
              </w:rPr>
              <w:t>(1.0)</w:t>
            </w:r>
          </w:p>
        </w:tc>
        <w:tc>
          <w:tcPr>
            <w:tcW w:w="120" w:type="dxa"/>
            <w:vAlign w:val="bottom"/>
            <w:tcBorders>
              <w:bottom w:val="single" w:sz="8" w:color="DBDBDB"/>
            </w:tcBorders>
            <w:shd w:val="clear" w:color="auto" w:fill="DBDBDB"/>
          </w:tcPr>
          <w:p>
            <w:pPr>
              <w:spacing w:after="0"/>
              <w:rPr>
                <w:sz w:val="17"/>
                <w:szCs w:val="17"/>
                <w:color w:val="auto"/>
              </w:rPr>
            </w:pPr>
          </w:p>
        </w:tc>
        <w:tc>
          <w:tcPr>
            <w:tcW w:w="1520" w:type="dxa"/>
            <w:vAlign w:val="bottom"/>
            <w:tcBorders>
              <w:bottom w:val="single" w:sz="8" w:color="DBDBDB"/>
            </w:tcBorders>
            <w:shd w:val="clear" w:color="auto" w:fill="DBDBDB"/>
          </w:tcPr>
          <w:p>
            <w:pPr>
              <w:jc w:val="right"/>
              <w:ind w:right="59"/>
              <w:spacing w:after="0" w:line="193" w:lineRule="exact"/>
              <w:rPr>
                <w:sz w:val="20"/>
                <w:szCs w:val="20"/>
                <w:color w:val="auto"/>
              </w:rPr>
            </w:pPr>
            <w:r>
              <w:rPr>
                <w:rFonts w:ascii="Calibri" w:cs="Calibri" w:eastAsia="Calibri" w:hAnsi="Calibri"/>
                <w:sz w:val="16"/>
                <w:szCs w:val="16"/>
                <w:color w:val="auto"/>
              </w:rPr>
              <w:t>(0.3)</w:t>
            </w:r>
          </w:p>
        </w:tc>
      </w:tr>
      <w:tr>
        <w:trPr>
          <w:trHeight w:val="193"/>
        </w:trPr>
        <w:tc>
          <w:tcPr>
            <w:tcW w:w="9060" w:type="dxa"/>
            <w:vAlign w:val="bottom"/>
            <w:gridSpan w:val="2"/>
          </w:tcPr>
          <w:p>
            <w:pPr>
              <w:ind w:left="20"/>
              <w:spacing w:after="0" w:line="193" w:lineRule="exact"/>
              <w:rPr>
                <w:sz w:val="20"/>
                <w:szCs w:val="20"/>
                <w:color w:val="auto"/>
              </w:rPr>
            </w:pPr>
            <w:r>
              <w:rPr>
                <w:rFonts w:ascii="Calibri" w:cs="Calibri" w:eastAsia="Calibri" w:hAnsi="Calibri"/>
                <w:sz w:val="16"/>
                <w:szCs w:val="16"/>
                <w:color w:val="auto"/>
              </w:rPr>
              <w:t>Other</w:t>
            </w:r>
          </w:p>
        </w:tc>
        <w:tc>
          <w:tcPr>
            <w:tcW w:w="660" w:type="dxa"/>
            <w:vAlign w:val="bottom"/>
            <w:gridSpan w:val="2"/>
          </w:tcPr>
          <w:p>
            <w:pPr>
              <w:jc w:val="right"/>
              <w:ind w:right="280"/>
              <w:spacing w:after="0" w:line="193" w:lineRule="exact"/>
              <w:rPr>
                <w:sz w:val="20"/>
                <w:szCs w:val="20"/>
                <w:color w:val="auto"/>
              </w:rPr>
            </w:pPr>
            <w:r>
              <w:rPr>
                <w:rFonts w:ascii="Calibri" w:cs="Calibri" w:eastAsia="Calibri" w:hAnsi="Calibri"/>
                <w:sz w:val="16"/>
                <w:szCs w:val="16"/>
                <w:color w:val="auto"/>
              </w:rPr>
              <w:t>—</w:t>
            </w:r>
          </w:p>
        </w:tc>
        <w:tc>
          <w:tcPr>
            <w:tcW w:w="1520" w:type="dxa"/>
            <w:vAlign w:val="bottom"/>
          </w:tcPr>
          <w:p>
            <w:pPr>
              <w:jc w:val="right"/>
              <w:ind w:right="99"/>
              <w:spacing w:after="0" w:line="193" w:lineRule="exact"/>
              <w:rPr>
                <w:sz w:val="20"/>
                <w:szCs w:val="20"/>
                <w:color w:val="auto"/>
              </w:rPr>
            </w:pPr>
            <w:r>
              <w:rPr>
                <w:rFonts w:ascii="Calibri" w:cs="Calibri" w:eastAsia="Calibri" w:hAnsi="Calibri"/>
                <w:sz w:val="16"/>
                <w:szCs w:val="16"/>
                <w:color w:val="auto"/>
              </w:rPr>
              <w:t>0.5</w:t>
            </w:r>
          </w:p>
        </w:tc>
      </w:tr>
      <w:tr>
        <w:trPr>
          <w:trHeight w:val="23"/>
        </w:trPr>
        <w:tc>
          <w:tcPr>
            <w:tcW w:w="8100" w:type="dxa"/>
            <w:vAlign w:val="bottom"/>
            <w:tcBorders>
              <w:bottom w:val="single" w:sz="8" w:color="DBDBDB"/>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5"/>
        </w:trPr>
        <w:tc>
          <w:tcPr>
            <w:tcW w:w="8100" w:type="dxa"/>
            <w:vAlign w:val="bottom"/>
            <w:tcBorders>
              <w:bottom w:val="single" w:sz="8" w:color="DBDBDB"/>
            </w:tcBorders>
            <w:shd w:val="clear" w:color="auto" w:fill="DBDBDB"/>
          </w:tcPr>
          <w:p>
            <w:pPr>
              <w:ind w:left="20"/>
              <w:spacing w:after="0" w:line="182" w:lineRule="exact"/>
              <w:rPr>
                <w:sz w:val="20"/>
                <w:szCs w:val="20"/>
                <w:color w:val="auto"/>
              </w:rPr>
            </w:pPr>
            <w:r>
              <w:rPr>
                <w:rFonts w:ascii="Calibri" w:cs="Calibri" w:eastAsia="Calibri" w:hAnsi="Calibri"/>
                <w:sz w:val="16"/>
                <w:szCs w:val="16"/>
                <w:color w:val="auto"/>
              </w:rPr>
              <w:t>Efectve tax rate</w:t>
            </w:r>
          </w:p>
        </w:tc>
        <w:tc>
          <w:tcPr>
            <w:tcW w:w="960" w:type="dxa"/>
            <w:vAlign w:val="bottom"/>
            <w:tcBorders>
              <w:bottom w:val="single" w:sz="8" w:color="DBDBDB"/>
            </w:tcBorders>
            <w:shd w:val="clear" w:color="auto" w:fill="DBDBDB"/>
          </w:tcPr>
          <w:p>
            <w:pPr>
              <w:spacing w:after="0"/>
              <w:rPr>
                <w:sz w:val="19"/>
                <w:szCs w:val="19"/>
                <w:color w:val="auto"/>
              </w:rPr>
            </w:pPr>
          </w:p>
        </w:tc>
        <w:tc>
          <w:tcPr>
            <w:tcW w:w="54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 %</w:t>
            </w:r>
          </w:p>
        </w:tc>
        <w:tc>
          <w:tcPr>
            <w:tcW w:w="120" w:type="dxa"/>
            <w:vAlign w:val="bottom"/>
            <w:tcBorders>
              <w:bottom w:val="single" w:sz="8" w:color="DBDBDB"/>
            </w:tcBorders>
            <w:shd w:val="clear" w:color="auto" w:fill="DBDBDB"/>
          </w:tcPr>
          <w:p>
            <w:pPr>
              <w:spacing w:after="0"/>
              <w:rPr>
                <w:sz w:val="19"/>
                <w:szCs w:val="19"/>
                <w:color w:val="auto"/>
              </w:rPr>
            </w:pPr>
          </w:p>
        </w:tc>
        <w:tc>
          <w:tcPr>
            <w:tcW w:w="152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 %</w:t>
            </w:r>
          </w:p>
        </w:tc>
      </w:tr>
      <w:tr>
        <w:trPr>
          <w:trHeight w:val="20"/>
        </w:trPr>
        <w:tc>
          <w:tcPr>
            <w:tcW w:w="8100" w:type="dxa"/>
            <w:vAlign w:val="bottom"/>
            <w:tcBorders>
              <w:top w:val="single" w:sz="8" w:color="DBDBDB"/>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Deferred income taxes refect the net tax efects of temporary diferences between the carrying amounts of assets and liabilites for fnancial reportng purposes and the amounts used for income tax purposes. When realizaton of the deferred tax asset is more likely than not to occur, the beneft related to the deductble temporary diferences atributable to operatons is recognized as a reducton of income tax expense. A valuaton allowance is recorded against deferred tax assets if it is more likely than not that some or all of the deferred tax assets will not be realized. The Company cannot be certain that future taxable income will be sufcient to realize its deferred tax assets. Accordingly, the Company has recorded a valuaton allowance against the Company’s otherwise recognizable net deferred tax assets. The Company contnues to maintain the underlying tax benefts to ofset future taxable income and to monitor the need for a valuaton allowance based on the proftability of its future operatons. The valuaton allowance increased by approximately $22.5 million and $4.7 million during the years ended December 31, 2024 and 2023, respectvely. Signifcant components of the Company’s deferred tax assets and liabilites are as follows (in thousands):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3" w:name="page164"/>
    <w:bookmarkEnd w:id="16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Calibri" w:cs="Calibri" w:eastAsia="Calibri" w:hAnsi="Calibri"/>
                <w:sz w:val="16"/>
                <w:szCs w:val="16"/>
                <w:b w:val="1"/>
                <w:bCs w:val="1"/>
                <w:color w:val="auto"/>
              </w:rPr>
              <w:t>December 31,</w:t>
            </w:r>
          </w:p>
        </w:tc>
        <w:tc>
          <w:tcPr>
            <w:tcW w:w="940" w:type="dxa"/>
            <w:vAlign w:val="bottom"/>
          </w:tcPr>
          <w:p>
            <w:pPr>
              <w:spacing w:after="0"/>
              <w:rPr>
                <w:sz w:val="16"/>
                <w:szCs w:val="16"/>
                <w:color w:val="auto"/>
              </w:rPr>
            </w:pPr>
          </w:p>
        </w:tc>
      </w:tr>
      <w:tr>
        <w:trPr>
          <w:trHeight w:val="28"/>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7"/>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9"/>
              <w:spacing w:after="0" w:line="187" w:lineRule="exact"/>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ind w:right="479"/>
              <w:spacing w:after="0" w:line="187" w:lineRule="exact"/>
              <w:rPr>
                <w:sz w:val="20"/>
                <w:szCs w:val="20"/>
                <w:color w:val="auto"/>
              </w:rPr>
            </w:pPr>
            <w:r>
              <w:rPr>
                <w:rFonts w:ascii="Calibri" w:cs="Calibri" w:eastAsia="Calibri" w:hAnsi="Calibri"/>
                <w:sz w:val="16"/>
                <w:szCs w:val="16"/>
                <w:b w:val="1"/>
                <w:bCs w:val="1"/>
                <w:color w:val="auto"/>
              </w:rPr>
              <w:t>2023</w:t>
            </w:r>
          </w:p>
        </w:tc>
      </w:tr>
      <w:tr>
        <w:trPr>
          <w:trHeight w:val="23"/>
        </w:trPr>
        <w:tc>
          <w:tcPr>
            <w:tcW w:w="826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0"/>
        </w:trPr>
        <w:tc>
          <w:tcPr>
            <w:tcW w:w="8260" w:type="dxa"/>
            <w:vAlign w:val="bottom"/>
            <w:tcBorders>
              <w:bottom w:val="single" w:sz="8" w:color="DBDBDB"/>
            </w:tcBorders>
            <w:shd w:val="clear" w:color="auto" w:fill="DBDBDB"/>
          </w:tcPr>
          <w:p>
            <w:pPr>
              <w:ind w:left="20"/>
              <w:spacing w:after="0" w:line="182" w:lineRule="exact"/>
              <w:rPr>
                <w:sz w:val="20"/>
                <w:szCs w:val="20"/>
                <w:color w:val="auto"/>
              </w:rPr>
            </w:pPr>
            <w:r>
              <w:rPr>
                <w:rFonts w:ascii="Calibri" w:cs="Calibri" w:eastAsia="Calibri" w:hAnsi="Calibri"/>
                <w:sz w:val="16"/>
                <w:szCs w:val="16"/>
                <w:b w:val="1"/>
                <w:bCs w:val="1"/>
                <w:color w:val="auto"/>
              </w:rPr>
              <w:t>Deferred tax assets:</w:t>
            </w:r>
          </w:p>
        </w:tc>
        <w:tc>
          <w:tcPr>
            <w:tcW w:w="34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500" w:type="dxa"/>
            <w:vAlign w:val="bottom"/>
            <w:tcBorders>
              <w:bottom w:val="single" w:sz="8" w:color="DBDBDB"/>
            </w:tcBorders>
            <w:shd w:val="clear" w:color="auto" w:fill="DBDBDB"/>
          </w:tcPr>
          <w:p>
            <w:pPr>
              <w:spacing w:after="0"/>
              <w:rPr>
                <w:sz w:val="16"/>
                <w:szCs w:val="16"/>
                <w:color w:val="auto"/>
              </w:rPr>
            </w:pPr>
          </w:p>
        </w:tc>
        <w:tc>
          <w:tcPr>
            <w:tcW w:w="940" w:type="dxa"/>
            <w:vAlign w:val="bottom"/>
            <w:tcBorders>
              <w:bottom w:val="single" w:sz="8" w:color="DBDBDB"/>
            </w:tcBorders>
            <w:shd w:val="clear" w:color="auto" w:fill="DBDBDB"/>
          </w:tcPr>
          <w:p>
            <w:pPr>
              <w:spacing w:after="0"/>
              <w:rPr>
                <w:sz w:val="16"/>
                <w:szCs w:val="16"/>
                <w:color w:val="auto"/>
              </w:rPr>
            </w:pPr>
          </w:p>
        </w:tc>
      </w:tr>
      <w:tr>
        <w:trPr>
          <w:trHeight w:val="193"/>
        </w:trPr>
        <w:tc>
          <w:tcPr>
            <w:tcW w:w="8260" w:type="dxa"/>
            <w:vAlign w:val="bottom"/>
          </w:tcPr>
          <w:p>
            <w:pPr>
              <w:ind w:left="220"/>
              <w:spacing w:after="0" w:line="193" w:lineRule="exact"/>
              <w:rPr>
                <w:sz w:val="20"/>
                <w:szCs w:val="20"/>
                <w:color w:val="auto"/>
              </w:rPr>
            </w:pPr>
            <w:r>
              <w:rPr>
                <w:rFonts w:ascii="Calibri" w:cs="Calibri" w:eastAsia="Calibri" w:hAnsi="Calibri"/>
                <w:sz w:val="16"/>
                <w:szCs w:val="16"/>
                <w:color w:val="auto"/>
              </w:rPr>
              <w:t>Accrued expenses and other current liabilites</w:t>
            </w:r>
          </w:p>
        </w:tc>
        <w:tc>
          <w:tcPr>
            <w:tcW w:w="340" w:type="dxa"/>
            <w:vAlign w:val="bottom"/>
          </w:tcPr>
          <w:p>
            <w:pPr>
              <w:jc w:val="right"/>
              <w:ind w:right="139"/>
              <w:spacing w:after="0" w:line="193" w:lineRule="exact"/>
              <w:rPr>
                <w:sz w:val="20"/>
                <w:szCs w:val="20"/>
                <w:color w:val="auto"/>
              </w:rPr>
            </w:pPr>
            <w:r>
              <w:rPr>
                <w:rFonts w:ascii="Calibri" w:cs="Calibri" w:eastAsia="Calibri" w:hAnsi="Calibri"/>
                <w:sz w:val="16"/>
                <w:szCs w:val="16"/>
                <w:color w:val="auto"/>
              </w:rPr>
              <w:t>$</w:t>
            </w: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1,757</w:t>
            </w:r>
          </w:p>
        </w:tc>
        <w:tc>
          <w:tcPr>
            <w:tcW w:w="100" w:type="dxa"/>
            <w:vAlign w:val="bottom"/>
          </w:tcPr>
          <w:p>
            <w:pPr>
              <w:spacing w:after="0"/>
              <w:rPr>
                <w:sz w:val="16"/>
                <w:szCs w:val="16"/>
                <w:color w:val="auto"/>
              </w:rPr>
            </w:pPr>
          </w:p>
        </w:tc>
        <w:tc>
          <w:tcPr>
            <w:tcW w:w="500" w:type="dxa"/>
            <w:vAlign w:val="bottom"/>
          </w:tcPr>
          <w:p>
            <w:pPr>
              <w:jc w:val="right"/>
              <w:ind w:right="319"/>
              <w:spacing w:after="0" w:line="193" w:lineRule="exact"/>
              <w:rPr>
                <w:sz w:val="20"/>
                <w:szCs w:val="20"/>
                <w:color w:val="auto"/>
              </w:rPr>
            </w:pPr>
            <w:r>
              <w:rPr>
                <w:rFonts w:ascii="Calibri" w:cs="Calibri" w:eastAsia="Calibri" w:hAnsi="Calibri"/>
                <w:sz w:val="16"/>
                <w:szCs w:val="16"/>
                <w:color w:val="auto"/>
                <w:w w:val="97"/>
              </w:rPr>
              <w:t>$</w:t>
            </w: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1,411</w:t>
            </w:r>
          </w:p>
        </w:tc>
      </w:tr>
      <w:tr>
        <w:trPr>
          <w:trHeight w:val="23"/>
        </w:trPr>
        <w:tc>
          <w:tcPr>
            <w:tcW w:w="8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8260" w:type="dxa"/>
            <w:vAlign w:val="bottom"/>
            <w:tcBorders>
              <w:bottom w:val="single" w:sz="8" w:color="DBDBDB"/>
            </w:tcBorders>
            <w:shd w:val="clear" w:color="auto" w:fill="DBDBDB"/>
          </w:tcPr>
          <w:p>
            <w:pPr>
              <w:ind w:left="220"/>
              <w:spacing w:after="0" w:line="193" w:lineRule="exact"/>
              <w:rPr>
                <w:sz w:val="20"/>
                <w:szCs w:val="20"/>
                <w:color w:val="auto"/>
              </w:rPr>
            </w:pPr>
            <w:r>
              <w:rPr>
                <w:rFonts w:ascii="Calibri" w:cs="Calibri" w:eastAsia="Calibri" w:hAnsi="Calibri"/>
                <w:sz w:val="16"/>
                <w:szCs w:val="16"/>
                <w:color w:val="auto"/>
              </w:rPr>
              <w:t>Deferred revenue</w:t>
            </w: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13,222</w:t>
            </w:r>
          </w:p>
        </w:tc>
        <w:tc>
          <w:tcPr>
            <w:tcW w:w="100" w:type="dxa"/>
            <w:vAlign w:val="bottom"/>
            <w:tcBorders>
              <w:bottom w:val="single" w:sz="8" w:color="DBDBDB"/>
            </w:tcBorders>
            <w:shd w:val="clear" w:color="auto" w:fill="DBDBDB"/>
          </w:tcPr>
          <w:p>
            <w:pPr>
              <w:spacing w:after="0"/>
              <w:rPr>
                <w:sz w:val="17"/>
                <w:szCs w:val="17"/>
                <w:color w:val="auto"/>
              </w:rPr>
            </w:pPr>
          </w:p>
        </w:tc>
        <w:tc>
          <w:tcPr>
            <w:tcW w:w="500" w:type="dxa"/>
            <w:vAlign w:val="bottom"/>
            <w:tcBorders>
              <w:bottom w:val="single" w:sz="8" w:color="DBDBDB"/>
            </w:tcBorders>
            <w:shd w:val="clear" w:color="auto" w:fill="DBDBDB"/>
          </w:tcPr>
          <w:p>
            <w:pPr>
              <w:spacing w:after="0"/>
              <w:rPr>
                <w:sz w:val="17"/>
                <w:szCs w:val="17"/>
                <w:color w:val="auto"/>
              </w:rPr>
            </w:pPr>
          </w:p>
        </w:tc>
        <w:tc>
          <w:tcPr>
            <w:tcW w:w="9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9,534</w:t>
            </w:r>
          </w:p>
        </w:tc>
      </w:tr>
      <w:tr>
        <w:trPr>
          <w:trHeight w:val="193"/>
        </w:trPr>
        <w:tc>
          <w:tcPr>
            <w:tcW w:w="8260" w:type="dxa"/>
            <w:vAlign w:val="bottom"/>
          </w:tcPr>
          <w:p>
            <w:pPr>
              <w:ind w:left="220"/>
              <w:spacing w:after="0" w:line="193" w:lineRule="exact"/>
              <w:rPr>
                <w:sz w:val="20"/>
                <w:szCs w:val="20"/>
                <w:color w:val="auto"/>
              </w:rPr>
            </w:pPr>
            <w:r>
              <w:rPr>
                <w:rFonts w:ascii="Calibri" w:cs="Calibri" w:eastAsia="Calibri" w:hAnsi="Calibri"/>
                <w:sz w:val="16"/>
                <w:szCs w:val="16"/>
                <w:color w:val="auto"/>
              </w:rPr>
              <w:t>Sale of royalty</w:t>
            </w: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13,595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12,346</w:t>
            </w:r>
          </w:p>
        </w:tc>
      </w:tr>
      <w:tr>
        <w:trPr>
          <w:trHeight w:val="23"/>
        </w:trPr>
        <w:tc>
          <w:tcPr>
            <w:tcW w:w="8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8260" w:type="dxa"/>
            <w:vAlign w:val="bottom"/>
            <w:tcBorders>
              <w:bottom w:val="single" w:sz="8" w:color="DBDBDB"/>
            </w:tcBorders>
            <w:shd w:val="clear" w:color="auto" w:fill="DBDBDB"/>
          </w:tcPr>
          <w:p>
            <w:pPr>
              <w:ind w:left="220"/>
              <w:spacing w:after="0" w:line="193" w:lineRule="exact"/>
              <w:rPr>
                <w:sz w:val="20"/>
                <w:szCs w:val="20"/>
                <w:color w:val="auto"/>
              </w:rPr>
            </w:pPr>
            <w:r>
              <w:rPr>
                <w:rFonts w:ascii="Calibri" w:cs="Calibri" w:eastAsia="Calibri" w:hAnsi="Calibri"/>
                <w:sz w:val="16"/>
                <w:szCs w:val="16"/>
                <w:color w:val="auto"/>
              </w:rPr>
              <w:t>Stock-based compensaton</w:t>
            </w: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6,238</w:t>
            </w:r>
          </w:p>
        </w:tc>
        <w:tc>
          <w:tcPr>
            <w:tcW w:w="100" w:type="dxa"/>
            <w:vAlign w:val="bottom"/>
            <w:tcBorders>
              <w:bottom w:val="single" w:sz="8" w:color="DBDBDB"/>
            </w:tcBorders>
            <w:shd w:val="clear" w:color="auto" w:fill="DBDBDB"/>
          </w:tcPr>
          <w:p>
            <w:pPr>
              <w:spacing w:after="0"/>
              <w:rPr>
                <w:sz w:val="17"/>
                <w:szCs w:val="17"/>
                <w:color w:val="auto"/>
              </w:rPr>
            </w:pPr>
          </w:p>
        </w:tc>
        <w:tc>
          <w:tcPr>
            <w:tcW w:w="500" w:type="dxa"/>
            <w:vAlign w:val="bottom"/>
            <w:tcBorders>
              <w:bottom w:val="single" w:sz="8" w:color="DBDBDB"/>
            </w:tcBorders>
            <w:shd w:val="clear" w:color="auto" w:fill="DBDBDB"/>
          </w:tcPr>
          <w:p>
            <w:pPr>
              <w:spacing w:after="0"/>
              <w:rPr>
                <w:sz w:val="17"/>
                <w:szCs w:val="17"/>
                <w:color w:val="auto"/>
              </w:rPr>
            </w:pPr>
          </w:p>
        </w:tc>
        <w:tc>
          <w:tcPr>
            <w:tcW w:w="9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6,183</w:t>
            </w:r>
          </w:p>
        </w:tc>
      </w:tr>
      <w:tr>
        <w:trPr>
          <w:trHeight w:val="193"/>
        </w:trPr>
        <w:tc>
          <w:tcPr>
            <w:tcW w:w="8260" w:type="dxa"/>
            <w:vAlign w:val="bottom"/>
          </w:tcPr>
          <w:p>
            <w:pPr>
              <w:ind w:left="220"/>
              <w:spacing w:after="0" w:line="193" w:lineRule="exact"/>
              <w:rPr>
                <w:sz w:val="20"/>
                <w:szCs w:val="20"/>
                <w:color w:val="auto"/>
              </w:rPr>
            </w:pPr>
            <w:r>
              <w:rPr>
                <w:rFonts w:ascii="Calibri" w:cs="Calibri" w:eastAsia="Calibri" w:hAnsi="Calibri"/>
                <w:sz w:val="16"/>
                <w:szCs w:val="16"/>
                <w:color w:val="auto"/>
              </w:rPr>
              <w:t>R&amp;D credits</w:t>
            </w: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6,152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4,843</w:t>
            </w:r>
          </w:p>
        </w:tc>
      </w:tr>
      <w:tr>
        <w:trPr>
          <w:trHeight w:val="23"/>
        </w:trPr>
        <w:tc>
          <w:tcPr>
            <w:tcW w:w="8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8260" w:type="dxa"/>
            <w:vAlign w:val="bottom"/>
            <w:tcBorders>
              <w:bottom w:val="single" w:sz="8" w:color="DBDBDB"/>
            </w:tcBorders>
            <w:shd w:val="clear" w:color="auto" w:fill="DBDBDB"/>
          </w:tcPr>
          <w:p>
            <w:pPr>
              <w:ind w:left="220"/>
              <w:spacing w:after="0" w:line="193" w:lineRule="exact"/>
              <w:rPr>
                <w:sz w:val="20"/>
                <w:szCs w:val="20"/>
                <w:color w:val="auto"/>
              </w:rPr>
            </w:pPr>
            <w:r>
              <w:rPr>
                <w:rFonts w:ascii="Calibri" w:cs="Calibri" w:eastAsia="Calibri" w:hAnsi="Calibri"/>
                <w:sz w:val="16"/>
                <w:szCs w:val="16"/>
                <w:color w:val="auto"/>
              </w:rPr>
              <w:t>Capitalized R&amp;D costs</w:t>
            </w: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21,270</w:t>
            </w:r>
          </w:p>
        </w:tc>
        <w:tc>
          <w:tcPr>
            <w:tcW w:w="100" w:type="dxa"/>
            <w:vAlign w:val="bottom"/>
            <w:tcBorders>
              <w:bottom w:val="single" w:sz="8" w:color="DBDBDB"/>
            </w:tcBorders>
            <w:shd w:val="clear" w:color="auto" w:fill="DBDBDB"/>
          </w:tcPr>
          <w:p>
            <w:pPr>
              <w:spacing w:after="0"/>
              <w:rPr>
                <w:sz w:val="17"/>
                <w:szCs w:val="17"/>
                <w:color w:val="auto"/>
              </w:rPr>
            </w:pPr>
          </w:p>
        </w:tc>
        <w:tc>
          <w:tcPr>
            <w:tcW w:w="500" w:type="dxa"/>
            <w:vAlign w:val="bottom"/>
            <w:tcBorders>
              <w:bottom w:val="single" w:sz="8" w:color="DBDBDB"/>
            </w:tcBorders>
            <w:shd w:val="clear" w:color="auto" w:fill="DBDBDB"/>
          </w:tcPr>
          <w:p>
            <w:pPr>
              <w:spacing w:after="0"/>
              <w:rPr>
                <w:sz w:val="17"/>
                <w:szCs w:val="17"/>
                <w:color w:val="auto"/>
              </w:rPr>
            </w:pPr>
          </w:p>
        </w:tc>
        <w:tc>
          <w:tcPr>
            <w:tcW w:w="9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18,295</w:t>
            </w:r>
          </w:p>
        </w:tc>
      </w:tr>
      <w:tr>
        <w:trPr>
          <w:trHeight w:val="193"/>
        </w:trPr>
        <w:tc>
          <w:tcPr>
            <w:tcW w:w="8260" w:type="dxa"/>
            <w:vAlign w:val="bottom"/>
          </w:tcPr>
          <w:p>
            <w:pPr>
              <w:ind w:left="220"/>
              <w:spacing w:after="0" w:line="193" w:lineRule="exact"/>
              <w:rPr>
                <w:sz w:val="20"/>
                <w:szCs w:val="20"/>
                <w:color w:val="auto"/>
              </w:rPr>
            </w:pPr>
            <w:r>
              <w:rPr>
                <w:rFonts w:ascii="Calibri" w:cs="Calibri" w:eastAsia="Calibri" w:hAnsi="Calibri"/>
                <w:sz w:val="16"/>
                <w:szCs w:val="16"/>
                <w:color w:val="auto"/>
              </w:rPr>
              <w:t>Other non-current liabilites</w:t>
            </w: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2,515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3,434</w:t>
            </w:r>
          </w:p>
        </w:tc>
      </w:tr>
      <w:tr>
        <w:trPr>
          <w:trHeight w:val="23"/>
        </w:trPr>
        <w:tc>
          <w:tcPr>
            <w:tcW w:w="8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8260" w:type="dxa"/>
            <w:vAlign w:val="bottom"/>
            <w:tcBorders>
              <w:bottom w:val="single" w:sz="8" w:color="DBDBDB"/>
            </w:tcBorders>
            <w:shd w:val="clear" w:color="auto" w:fill="DBDBDB"/>
          </w:tcPr>
          <w:p>
            <w:pPr>
              <w:ind w:left="220"/>
              <w:spacing w:after="0" w:line="193" w:lineRule="exact"/>
              <w:rPr>
                <w:sz w:val="20"/>
                <w:szCs w:val="20"/>
                <w:color w:val="auto"/>
              </w:rPr>
            </w:pPr>
            <w:r>
              <w:rPr>
                <w:rFonts w:ascii="Calibri" w:cs="Calibri" w:eastAsia="Calibri" w:hAnsi="Calibri"/>
                <w:sz w:val="16"/>
                <w:szCs w:val="16"/>
                <w:color w:val="auto"/>
              </w:rPr>
              <w:t>Net operatng loss carryforward</w:t>
            </w: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291,723</w:t>
            </w:r>
          </w:p>
        </w:tc>
        <w:tc>
          <w:tcPr>
            <w:tcW w:w="100" w:type="dxa"/>
            <w:vAlign w:val="bottom"/>
            <w:tcBorders>
              <w:bottom w:val="single" w:sz="8" w:color="DBDBDB"/>
            </w:tcBorders>
            <w:shd w:val="clear" w:color="auto" w:fill="DBDBDB"/>
          </w:tcPr>
          <w:p>
            <w:pPr>
              <w:spacing w:after="0"/>
              <w:rPr>
                <w:sz w:val="17"/>
                <w:szCs w:val="17"/>
                <w:color w:val="auto"/>
              </w:rPr>
            </w:pPr>
          </w:p>
        </w:tc>
        <w:tc>
          <w:tcPr>
            <w:tcW w:w="500" w:type="dxa"/>
            <w:vAlign w:val="bottom"/>
            <w:tcBorders>
              <w:bottom w:val="single" w:sz="8" w:color="DBDBDB"/>
            </w:tcBorders>
            <w:shd w:val="clear" w:color="auto" w:fill="DBDBDB"/>
          </w:tcPr>
          <w:p>
            <w:pPr>
              <w:spacing w:after="0"/>
              <w:rPr>
                <w:sz w:val="17"/>
                <w:szCs w:val="17"/>
                <w:color w:val="auto"/>
              </w:rPr>
            </w:pPr>
          </w:p>
        </w:tc>
        <w:tc>
          <w:tcPr>
            <w:tcW w:w="9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288,939</w:t>
            </w:r>
          </w:p>
        </w:tc>
      </w:tr>
      <w:tr>
        <w:trPr>
          <w:trHeight w:val="193"/>
        </w:trPr>
        <w:tc>
          <w:tcPr>
            <w:tcW w:w="8260" w:type="dxa"/>
            <w:vAlign w:val="bottom"/>
          </w:tcPr>
          <w:p>
            <w:pPr>
              <w:ind w:left="220"/>
              <w:spacing w:after="0" w:line="193" w:lineRule="exact"/>
              <w:rPr>
                <w:sz w:val="20"/>
                <w:szCs w:val="20"/>
                <w:color w:val="auto"/>
              </w:rPr>
            </w:pPr>
            <w:r>
              <w:rPr>
                <w:rFonts w:ascii="Calibri" w:cs="Calibri" w:eastAsia="Calibri" w:hAnsi="Calibri"/>
                <w:sz w:val="16"/>
                <w:szCs w:val="16"/>
                <w:color w:val="auto"/>
              </w:rPr>
              <w:t>ASC 842 lease liability</w:t>
            </w: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2,248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2,959</w:t>
            </w:r>
          </w:p>
        </w:tc>
      </w:tr>
      <w:tr>
        <w:trPr>
          <w:trHeight w:val="23"/>
        </w:trPr>
        <w:tc>
          <w:tcPr>
            <w:tcW w:w="8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8260" w:type="dxa"/>
            <w:vAlign w:val="bottom"/>
            <w:tcBorders>
              <w:bottom w:val="single" w:sz="8" w:color="DBDBDB"/>
            </w:tcBorders>
            <w:shd w:val="clear" w:color="auto" w:fill="DBDBDB"/>
          </w:tcPr>
          <w:p>
            <w:pPr>
              <w:ind w:left="220"/>
              <w:spacing w:after="0" w:line="193" w:lineRule="exact"/>
              <w:rPr>
                <w:sz w:val="20"/>
                <w:szCs w:val="20"/>
                <w:color w:val="auto"/>
              </w:rPr>
            </w:pPr>
            <w:r>
              <w:rPr>
                <w:rFonts w:ascii="Calibri" w:cs="Calibri" w:eastAsia="Calibri" w:hAnsi="Calibri"/>
                <w:sz w:val="16"/>
                <w:szCs w:val="16"/>
                <w:color w:val="auto"/>
              </w:rPr>
              <w:t>Inventories reserve</w:t>
            </w: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841</w:t>
            </w:r>
          </w:p>
        </w:tc>
        <w:tc>
          <w:tcPr>
            <w:tcW w:w="100" w:type="dxa"/>
            <w:vAlign w:val="bottom"/>
            <w:tcBorders>
              <w:bottom w:val="single" w:sz="8" w:color="DBDBDB"/>
            </w:tcBorders>
            <w:shd w:val="clear" w:color="auto" w:fill="DBDBDB"/>
          </w:tcPr>
          <w:p>
            <w:pPr>
              <w:spacing w:after="0"/>
              <w:rPr>
                <w:sz w:val="17"/>
                <w:szCs w:val="17"/>
                <w:color w:val="auto"/>
              </w:rPr>
            </w:pPr>
          </w:p>
        </w:tc>
        <w:tc>
          <w:tcPr>
            <w:tcW w:w="500" w:type="dxa"/>
            <w:vAlign w:val="bottom"/>
            <w:tcBorders>
              <w:bottom w:val="single" w:sz="8" w:color="DBDBDB"/>
            </w:tcBorders>
            <w:shd w:val="clear" w:color="auto" w:fill="DBDBDB"/>
          </w:tcPr>
          <w:p>
            <w:pPr>
              <w:spacing w:after="0"/>
              <w:rPr>
                <w:sz w:val="17"/>
                <w:szCs w:val="17"/>
                <w:color w:val="auto"/>
              </w:rPr>
            </w:pPr>
          </w:p>
        </w:tc>
        <w:tc>
          <w:tcPr>
            <w:tcW w:w="9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4,537</w:t>
            </w:r>
          </w:p>
        </w:tc>
      </w:tr>
      <w:tr>
        <w:trPr>
          <w:trHeight w:val="193"/>
        </w:trPr>
        <w:tc>
          <w:tcPr>
            <w:tcW w:w="8260" w:type="dxa"/>
            <w:vAlign w:val="bottom"/>
          </w:tcPr>
          <w:p>
            <w:pPr>
              <w:ind w:left="220"/>
              <w:spacing w:after="0" w:line="193" w:lineRule="exact"/>
              <w:rPr>
                <w:sz w:val="20"/>
                <w:szCs w:val="20"/>
                <w:color w:val="auto"/>
              </w:rPr>
            </w:pPr>
            <w:r>
              <w:rPr>
                <w:rFonts w:ascii="Calibri" w:cs="Calibri" w:eastAsia="Calibri" w:hAnsi="Calibri"/>
                <w:sz w:val="16"/>
                <w:szCs w:val="16"/>
                <w:color w:val="auto"/>
              </w:rPr>
              <w:t>Return reserve</w:t>
            </w: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1,500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1,624</w:t>
            </w:r>
          </w:p>
        </w:tc>
      </w:tr>
      <w:tr>
        <w:trPr>
          <w:trHeight w:val="23"/>
        </w:trPr>
        <w:tc>
          <w:tcPr>
            <w:tcW w:w="8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8260" w:type="dxa"/>
            <w:vAlign w:val="bottom"/>
            <w:tcBorders>
              <w:bottom w:val="single" w:sz="8" w:color="DBDBDB"/>
            </w:tcBorders>
            <w:shd w:val="clear" w:color="auto" w:fill="DBDBDB"/>
          </w:tcPr>
          <w:p>
            <w:pPr>
              <w:ind w:left="220"/>
              <w:spacing w:after="0" w:line="193" w:lineRule="exact"/>
              <w:rPr>
                <w:sz w:val="20"/>
                <w:szCs w:val="20"/>
                <w:color w:val="auto"/>
              </w:rPr>
            </w:pPr>
            <w:r>
              <w:rPr>
                <w:rFonts w:ascii="Calibri" w:cs="Calibri" w:eastAsia="Calibri" w:hAnsi="Calibri"/>
                <w:sz w:val="16"/>
                <w:szCs w:val="16"/>
                <w:color w:val="auto"/>
              </w:rPr>
              <w:t>Working Capital Fund liability</w:t>
            </w: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10,123</w:t>
            </w:r>
          </w:p>
        </w:tc>
        <w:tc>
          <w:tcPr>
            <w:tcW w:w="100" w:type="dxa"/>
            <w:vAlign w:val="bottom"/>
            <w:tcBorders>
              <w:bottom w:val="single" w:sz="8" w:color="DBDBDB"/>
            </w:tcBorders>
            <w:shd w:val="clear" w:color="auto" w:fill="DBDBDB"/>
          </w:tcPr>
          <w:p>
            <w:pPr>
              <w:spacing w:after="0"/>
              <w:rPr>
                <w:sz w:val="17"/>
                <w:szCs w:val="17"/>
                <w:color w:val="auto"/>
              </w:rPr>
            </w:pPr>
          </w:p>
        </w:tc>
        <w:tc>
          <w:tcPr>
            <w:tcW w:w="500" w:type="dxa"/>
            <w:vAlign w:val="bottom"/>
            <w:tcBorders>
              <w:bottom w:val="single" w:sz="8" w:color="DBDBDB"/>
            </w:tcBorders>
            <w:shd w:val="clear" w:color="auto" w:fill="DBDBDB"/>
          </w:tcPr>
          <w:p>
            <w:pPr>
              <w:spacing w:after="0"/>
              <w:rPr>
                <w:sz w:val="17"/>
                <w:szCs w:val="17"/>
                <w:color w:val="auto"/>
              </w:rPr>
            </w:pPr>
          </w:p>
        </w:tc>
        <w:tc>
          <w:tcPr>
            <w:tcW w:w="9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8,829</w:t>
            </w:r>
          </w:p>
        </w:tc>
      </w:tr>
      <w:tr>
        <w:trPr>
          <w:trHeight w:val="193"/>
        </w:trPr>
        <w:tc>
          <w:tcPr>
            <w:tcW w:w="8260" w:type="dxa"/>
            <w:vAlign w:val="bottom"/>
          </w:tcPr>
          <w:p>
            <w:pPr>
              <w:ind w:left="220"/>
              <w:spacing w:after="0" w:line="193" w:lineRule="exact"/>
              <w:rPr>
                <w:sz w:val="20"/>
                <w:szCs w:val="20"/>
                <w:color w:val="auto"/>
              </w:rPr>
            </w:pPr>
            <w:r>
              <w:rPr>
                <w:rFonts w:ascii="Calibri" w:cs="Calibri" w:eastAsia="Calibri" w:hAnsi="Calibri"/>
                <w:sz w:val="16"/>
                <w:szCs w:val="16"/>
                <w:color w:val="auto"/>
              </w:rPr>
              <w:t>Intangible assets</w:t>
            </w: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2,040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23"/>
        </w:trPr>
        <w:tc>
          <w:tcPr>
            <w:tcW w:w="8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8260" w:type="dxa"/>
            <w:vAlign w:val="bottom"/>
            <w:tcBorders>
              <w:bottom w:val="single" w:sz="8" w:color="DBDBDB"/>
            </w:tcBorders>
            <w:shd w:val="clear" w:color="auto" w:fill="DBDBDB"/>
          </w:tcPr>
          <w:p>
            <w:pPr>
              <w:ind w:left="220"/>
              <w:spacing w:after="0" w:line="193" w:lineRule="exact"/>
              <w:rPr>
                <w:sz w:val="20"/>
                <w:szCs w:val="20"/>
                <w:color w:val="auto"/>
              </w:rPr>
            </w:pPr>
            <w:r>
              <w:rPr>
                <w:rFonts w:ascii="Calibri" w:cs="Calibri" w:eastAsia="Calibri" w:hAnsi="Calibri"/>
                <w:sz w:val="16"/>
                <w:szCs w:val="16"/>
                <w:color w:val="auto"/>
              </w:rPr>
              <w:t>Other</w:t>
            </w:r>
          </w:p>
        </w:tc>
        <w:tc>
          <w:tcPr>
            <w:tcW w:w="34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17,954</w:t>
            </w:r>
          </w:p>
        </w:tc>
        <w:tc>
          <w:tcPr>
            <w:tcW w:w="100" w:type="dxa"/>
            <w:vAlign w:val="bottom"/>
            <w:tcBorders>
              <w:bottom w:val="single" w:sz="8" w:color="DBDBDB"/>
            </w:tcBorders>
            <w:shd w:val="clear" w:color="auto" w:fill="DBDBDB"/>
          </w:tcPr>
          <w:p>
            <w:pPr>
              <w:spacing w:after="0"/>
              <w:rPr>
                <w:sz w:val="18"/>
                <w:szCs w:val="18"/>
                <w:color w:val="auto"/>
              </w:rPr>
            </w:pPr>
          </w:p>
        </w:tc>
        <w:tc>
          <w:tcPr>
            <w:tcW w:w="500" w:type="dxa"/>
            <w:vAlign w:val="bottom"/>
            <w:tcBorders>
              <w:bottom w:val="single" w:sz="8" w:color="DBDBDB"/>
            </w:tcBorders>
            <w:shd w:val="clear" w:color="auto" w:fill="DBDBDB"/>
          </w:tcPr>
          <w:p>
            <w:pPr>
              <w:spacing w:after="0"/>
              <w:rPr>
                <w:sz w:val="18"/>
                <w:szCs w:val="18"/>
                <w:color w:val="auto"/>
              </w:rPr>
            </w:pPr>
          </w:p>
        </w:tc>
        <w:tc>
          <w:tcPr>
            <w:tcW w:w="9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14,036</w:t>
            </w:r>
          </w:p>
        </w:tc>
      </w:tr>
      <w:tr>
        <w:trPr>
          <w:trHeight w:val="187"/>
        </w:trPr>
        <w:tc>
          <w:tcPr>
            <w:tcW w:w="8260" w:type="dxa"/>
            <w:vAlign w:val="bottom"/>
          </w:tcPr>
          <w:p>
            <w:pPr>
              <w:ind w:left="360"/>
              <w:spacing w:after="0" w:line="182" w:lineRule="exact"/>
              <w:rPr>
                <w:sz w:val="20"/>
                <w:szCs w:val="20"/>
                <w:color w:val="auto"/>
              </w:rPr>
            </w:pPr>
            <w:r>
              <w:rPr>
                <w:rFonts w:ascii="Calibri" w:cs="Calibri" w:eastAsia="Calibri" w:hAnsi="Calibri"/>
                <w:sz w:val="16"/>
                <w:szCs w:val="16"/>
                <w:color w:val="auto"/>
              </w:rPr>
              <w:t>Total deferred tax assets</w:t>
            </w: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391,178</w:t>
            </w:r>
          </w:p>
        </w:tc>
        <w:tc>
          <w:tcPr>
            <w:tcW w:w="1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376,970</w:t>
            </w:r>
          </w:p>
        </w:tc>
      </w:tr>
      <w:tr>
        <w:trPr>
          <w:trHeight w:val="23"/>
        </w:trPr>
        <w:tc>
          <w:tcPr>
            <w:tcW w:w="8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8260" w:type="dxa"/>
            <w:vAlign w:val="bottom"/>
            <w:tcBorders>
              <w:bottom w:val="single" w:sz="8" w:color="DBDBDB"/>
            </w:tcBorders>
            <w:shd w:val="clear" w:color="auto" w:fill="DBDBDB"/>
          </w:tcPr>
          <w:p>
            <w:pPr>
              <w:ind w:left="140"/>
              <w:spacing w:after="0" w:line="193" w:lineRule="exact"/>
              <w:rPr>
                <w:sz w:val="20"/>
                <w:szCs w:val="20"/>
                <w:color w:val="auto"/>
              </w:rPr>
            </w:pPr>
            <w:r>
              <w:rPr>
                <w:rFonts w:ascii="Calibri" w:cs="Calibri" w:eastAsia="Calibri" w:hAnsi="Calibri"/>
                <w:sz w:val="16"/>
                <w:szCs w:val="16"/>
                <w:color w:val="auto"/>
              </w:rPr>
              <w:t>Less valuaton allowance</w:t>
            </w:r>
          </w:p>
        </w:tc>
        <w:tc>
          <w:tcPr>
            <w:tcW w:w="34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(387,803)</w:t>
            </w:r>
          </w:p>
        </w:tc>
        <w:tc>
          <w:tcPr>
            <w:tcW w:w="100" w:type="dxa"/>
            <w:vAlign w:val="bottom"/>
            <w:tcBorders>
              <w:bottom w:val="single" w:sz="8" w:color="DBDBDB"/>
            </w:tcBorders>
            <w:shd w:val="clear" w:color="auto" w:fill="DBDBDB"/>
          </w:tcPr>
          <w:p>
            <w:pPr>
              <w:spacing w:after="0"/>
              <w:rPr>
                <w:sz w:val="18"/>
                <w:szCs w:val="18"/>
                <w:color w:val="auto"/>
              </w:rPr>
            </w:pPr>
          </w:p>
        </w:tc>
        <w:tc>
          <w:tcPr>
            <w:tcW w:w="500" w:type="dxa"/>
            <w:vAlign w:val="bottom"/>
            <w:tcBorders>
              <w:bottom w:val="single" w:sz="8" w:color="DBDBDB"/>
            </w:tcBorders>
            <w:shd w:val="clear" w:color="auto" w:fill="DBDBDB"/>
          </w:tcPr>
          <w:p>
            <w:pPr>
              <w:spacing w:after="0"/>
              <w:rPr>
                <w:sz w:val="18"/>
                <w:szCs w:val="18"/>
                <w:color w:val="auto"/>
              </w:rPr>
            </w:pPr>
          </w:p>
        </w:tc>
        <w:tc>
          <w:tcPr>
            <w:tcW w:w="9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(365,330)</w:t>
            </w:r>
          </w:p>
        </w:tc>
      </w:tr>
      <w:tr>
        <w:trPr>
          <w:trHeight w:val="187"/>
        </w:trPr>
        <w:tc>
          <w:tcPr>
            <w:tcW w:w="8260" w:type="dxa"/>
            <w:vAlign w:val="bottom"/>
          </w:tcPr>
          <w:p>
            <w:pPr>
              <w:ind w:left="360"/>
              <w:spacing w:after="0" w:line="182" w:lineRule="exact"/>
              <w:rPr>
                <w:sz w:val="20"/>
                <w:szCs w:val="20"/>
                <w:color w:val="auto"/>
              </w:rPr>
            </w:pPr>
            <w:r>
              <w:rPr>
                <w:rFonts w:ascii="Calibri" w:cs="Calibri" w:eastAsia="Calibri" w:hAnsi="Calibri"/>
                <w:sz w:val="16"/>
                <w:szCs w:val="16"/>
                <w:color w:val="auto"/>
              </w:rPr>
              <w:t>Total deferred tax assets, net of valuaton allowance</w:t>
            </w: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3,375</w:t>
            </w:r>
          </w:p>
        </w:tc>
        <w:tc>
          <w:tcPr>
            <w:tcW w:w="1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11,640</w:t>
            </w:r>
          </w:p>
        </w:tc>
      </w:tr>
      <w:tr>
        <w:trPr>
          <w:trHeight w:val="23"/>
        </w:trPr>
        <w:tc>
          <w:tcPr>
            <w:tcW w:w="826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6"/>
        </w:trPr>
        <w:tc>
          <w:tcPr>
            <w:tcW w:w="8260" w:type="dxa"/>
            <w:vAlign w:val="bottom"/>
            <w:tcBorders>
              <w:bottom w:val="single" w:sz="8" w:color="DBDBDB"/>
            </w:tcBorders>
            <w:shd w:val="clear" w:color="auto" w:fill="DBDBDB"/>
          </w:tcPr>
          <w:p>
            <w:pPr>
              <w:ind w:left="20"/>
              <w:spacing w:after="0" w:line="174" w:lineRule="exact"/>
              <w:rPr>
                <w:sz w:val="20"/>
                <w:szCs w:val="20"/>
                <w:color w:val="auto"/>
              </w:rPr>
            </w:pPr>
            <w:r>
              <w:rPr>
                <w:rFonts w:ascii="Calibri" w:cs="Calibri" w:eastAsia="Calibri" w:hAnsi="Calibri"/>
                <w:sz w:val="16"/>
                <w:szCs w:val="16"/>
                <w:b w:val="1"/>
                <w:bCs w:val="1"/>
                <w:color w:val="auto"/>
              </w:rPr>
              <w:t>Deferred tax liabilites:</w:t>
            </w:r>
          </w:p>
        </w:tc>
        <w:tc>
          <w:tcPr>
            <w:tcW w:w="340" w:type="dxa"/>
            <w:vAlign w:val="bottom"/>
            <w:tcBorders>
              <w:bottom w:val="single" w:sz="8" w:color="DBDBDB"/>
            </w:tcBorders>
            <w:shd w:val="clear" w:color="auto" w:fill="DBDBDB"/>
          </w:tcPr>
          <w:p>
            <w:pPr>
              <w:spacing w:after="0"/>
              <w:rPr>
                <w:sz w:val="15"/>
                <w:szCs w:val="15"/>
                <w:color w:val="auto"/>
              </w:rPr>
            </w:pPr>
          </w:p>
        </w:tc>
        <w:tc>
          <w:tcPr>
            <w:tcW w:w="1100" w:type="dxa"/>
            <w:vAlign w:val="bottom"/>
            <w:tcBorders>
              <w:bottom w:val="single" w:sz="8" w:color="DBDBDB"/>
            </w:tcBorders>
            <w:shd w:val="clear" w:color="auto" w:fill="DBDBDB"/>
          </w:tcPr>
          <w:p>
            <w:pPr>
              <w:spacing w:after="0"/>
              <w:rPr>
                <w:sz w:val="15"/>
                <w:szCs w:val="15"/>
                <w:color w:val="auto"/>
              </w:rPr>
            </w:pPr>
          </w:p>
        </w:tc>
        <w:tc>
          <w:tcPr>
            <w:tcW w:w="100" w:type="dxa"/>
            <w:vAlign w:val="bottom"/>
            <w:tcBorders>
              <w:bottom w:val="single" w:sz="8" w:color="DBDBDB"/>
            </w:tcBorders>
            <w:shd w:val="clear" w:color="auto" w:fill="DBDBDB"/>
          </w:tcPr>
          <w:p>
            <w:pPr>
              <w:spacing w:after="0"/>
              <w:rPr>
                <w:sz w:val="15"/>
                <w:szCs w:val="15"/>
                <w:color w:val="auto"/>
              </w:rPr>
            </w:pPr>
          </w:p>
        </w:tc>
        <w:tc>
          <w:tcPr>
            <w:tcW w:w="500" w:type="dxa"/>
            <w:vAlign w:val="bottom"/>
            <w:tcBorders>
              <w:bottom w:val="single" w:sz="8" w:color="DBDBDB"/>
            </w:tcBorders>
            <w:shd w:val="clear" w:color="auto" w:fill="DBDBDB"/>
          </w:tcPr>
          <w:p>
            <w:pPr>
              <w:spacing w:after="0"/>
              <w:rPr>
                <w:sz w:val="15"/>
                <w:szCs w:val="15"/>
                <w:color w:val="auto"/>
              </w:rPr>
            </w:pPr>
          </w:p>
        </w:tc>
        <w:tc>
          <w:tcPr>
            <w:tcW w:w="940" w:type="dxa"/>
            <w:vAlign w:val="bottom"/>
            <w:tcBorders>
              <w:bottom w:val="single" w:sz="8" w:color="DBDBDB"/>
            </w:tcBorders>
            <w:shd w:val="clear" w:color="auto" w:fill="DBDBDB"/>
          </w:tcPr>
          <w:p>
            <w:pPr>
              <w:spacing w:after="0"/>
              <w:rPr>
                <w:sz w:val="15"/>
                <w:szCs w:val="15"/>
                <w:color w:val="auto"/>
              </w:rPr>
            </w:pPr>
          </w:p>
        </w:tc>
      </w:tr>
      <w:tr>
        <w:trPr>
          <w:trHeight w:val="193"/>
        </w:trPr>
        <w:tc>
          <w:tcPr>
            <w:tcW w:w="8260" w:type="dxa"/>
            <w:vAlign w:val="bottom"/>
          </w:tcPr>
          <w:p>
            <w:pPr>
              <w:ind w:left="220"/>
              <w:spacing w:after="0" w:line="193" w:lineRule="exact"/>
              <w:rPr>
                <w:sz w:val="20"/>
                <w:szCs w:val="20"/>
                <w:color w:val="auto"/>
              </w:rPr>
            </w:pPr>
            <w:r>
              <w:rPr>
                <w:rFonts w:ascii="Calibri" w:cs="Calibri" w:eastAsia="Calibri" w:hAnsi="Calibri"/>
                <w:sz w:val="16"/>
                <w:szCs w:val="16"/>
                <w:color w:val="auto"/>
              </w:rPr>
              <w:t>Intangible assets</w:t>
            </w:r>
          </w:p>
        </w:tc>
        <w:tc>
          <w:tcPr>
            <w:tcW w:w="340" w:type="dxa"/>
            <w:vAlign w:val="bottom"/>
          </w:tcPr>
          <w:p>
            <w:pPr>
              <w:spacing w:after="0"/>
              <w:rPr>
                <w:sz w:val="16"/>
                <w:szCs w:val="16"/>
                <w:color w:val="auto"/>
              </w:rPr>
            </w:pPr>
          </w:p>
        </w:tc>
        <w:tc>
          <w:tcPr>
            <w:tcW w:w="12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50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(6,868)</w:t>
            </w:r>
          </w:p>
        </w:tc>
      </w:tr>
      <w:tr>
        <w:trPr>
          <w:trHeight w:val="23"/>
        </w:trPr>
        <w:tc>
          <w:tcPr>
            <w:tcW w:w="8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8260" w:type="dxa"/>
            <w:vAlign w:val="bottom"/>
            <w:tcBorders>
              <w:bottom w:val="single" w:sz="8" w:color="DBDBDB"/>
            </w:tcBorders>
            <w:shd w:val="clear" w:color="auto" w:fill="DBDBDB"/>
          </w:tcPr>
          <w:p>
            <w:pPr>
              <w:ind w:left="220"/>
              <w:spacing w:after="0" w:line="193" w:lineRule="exact"/>
              <w:rPr>
                <w:sz w:val="20"/>
                <w:szCs w:val="20"/>
                <w:color w:val="auto"/>
              </w:rPr>
            </w:pPr>
            <w:r>
              <w:rPr>
                <w:rFonts w:ascii="Calibri" w:cs="Calibri" w:eastAsia="Calibri" w:hAnsi="Calibri"/>
                <w:sz w:val="16"/>
                <w:szCs w:val="16"/>
                <w:color w:val="auto"/>
              </w:rPr>
              <w:t>481(a) adjustments</w:t>
            </w: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(1,271)</w:t>
            </w:r>
          </w:p>
        </w:tc>
        <w:tc>
          <w:tcPr>
            <w:tcW w:w="100" w:type="dxa"/>
            <w:vAlign w:val="bottom"/>
            <w:tcBorders>
              <w:bottom w:val="single" w:sz="8" w:color="DBDBDB"/>
            </w:tcBorders>
            <w:shd w:val="clear" w:color="auto" w:fill="DBDBDB"/>
          </w:tcPr>
          <w:p>
            <w:pPr>
              <w:spacing w:after="0"/>
              <w:rPr>
                <w:sz w:val="17"/>
                <w:szCs w:val="17"/>
                <w:color w:val="auto"/>
              </w:rPr>
            </w:pPr>
          </w:p>
        </w:tc>
        <w:tc>
          <w:tcPr>
            <w:tcW w:w="500" w:type="dxa"/>
            <w:vAlign w:val="bottom"/>
            <w:tcBorders>
              <w:bottom w:val="single" w:sz="8" w:color="DBDBDB"/>
            </w:tcBorders>
            <w:shd w:val="clear" w:color="auto" w:fill="DBDBDB"/>
          </w:tcPr>
          <w:p>
            <w:pPr>
              <w:spacing w:after="0"/>
              <w:rPr>
                <w:sz w:val="17"/>
                <w:szCs w:val="17"/>
                <w:color w:val="auto"/>
              </w:rPr>
            </w:pPr>
          </w:p>
        </w:tc>
        <w:tc>
          <w:tcPr>
            <w:tcW w:w="9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(1,924)</w:t>
            </w:r>
          </w:p>
        </w:tc>
      </w:tr>
      <w:tr>
        <w:trPr>
          <w:trHeight w:val="193"/>
        </w:trPr>
        <w:tc>
          <w:tcPr>
            <w:tcW w:w="8260" w:type="dxa"/>
            <w:vAlign w:val="bottom"/>
          </w:tcPr>
          <w:p>
            <w:pPr>
              <w:ind w:left="220"/>
              <w:spacing w:after="0" w:line="193" w:lineRule="exact"/>
              <w:rPr>
                <w:sz w:val="20"/>
                <w:szCs w:val="20"/>
                <w:color w:val="auto"/>
              </w:rPr>
            </w:pPr>
            <w:r>
              <w:rPr>
                <w:rFonts w:ascii="Calibri" w:cs="Calibri" w:eastAsia="Calibri" w:hAnsi="Calibri"/>
                <w:sz w:val="16"/>
                <w:szCs w:val="16"/>
                <w:color w:val="auto"/>
              </w:rPr>
              <w:t>ROU asset (ASC 842)</w:t>
            </w: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(2,065)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line="193" w:lineRule="exact"/>
              <w:rPr>
                <w:sz w:val="20"/>
                <w:szCs w:val="20"/>
                <w:color w:val="auto"/>
              </w:rPr>
            </w:pPr>
            <w:r>
              <w:rPr>
                <w:rFonts w:ascii="Calibri" w:cs="Calibri" w:eastAsia="Calibri" w:hAnsi="Calibri"/>
                <w:sz w:val="16"/>
                <w:szCs w:val="16"/>
                <w:color w:val="auto"/>
              </w:rPr>
              <w:t>(2,734)</w:t>
            </w:r>
          </w:p>
        </w:tc>
      </w:tr>
      <w:tr>
        <w:trPr>
          <w:trHeight w:val="23"/>
        </w:trPr>
        <w:tc>
          <w:tcPr>
            <w:tcW w:w="8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8260" w:type="dxa"/>
            <w:vAlign w:val="bottom"/>
            <w:tcBorders>
              <w:bottom w:val="single" w:sz="8" w:color="DBDBDB"/>
            </w:tcBorders>
            <w:shd w:val="clear" w:color="auto" w:fill="DBDBDB"/>
          </w:tcPr>
          <w:p>
            <w:pPr>
              <w:ind w:left="220"/>
              <w:spacing w:after="0" w:line="193" w:lineRule="exact"/>
              <w:rPr>
                <w:sz w:val="20"/>
                <w:szCs w:val="20"/>
                <w:color w:val="auto"/>
              </w:rPr>
            </w:pPr>
            <w:r>
              <w:rPr>
                <w:rFonts w:ascii="Calibri" w:cs="Calibri" w:eastAsia="Calibri" w:hAnsi="Calibri"/>
                <w:sz w:val="16"/>
                <w:szCs w:val="16"/>
                <w:color w:val="auto"/>
              </w:rPr>
              <w:t>Other</w:t>
            </w:r>
          </w:p>
        </w:tc>
        <w:tc>
          <w:tcPr>
            <w:tcW w:w="34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(39)</w:t>
            </w:r>
          </w:p>
        </w:tc>
        <w:tc>
          <w:tcPr>
            <w:tcW w:w="100" w:type="dxa"/>
            <w:vAlign w:val="bottom"/>
            <w:tcBorders>
              <w:bottom w:val="single" w:sz="8" w:color="DBDBDB"/>
            </w:tcBorders>
            <w:shd w:val="clear" w:color="auto" w:fill="DBDBDB"/>
          </w:tcPr>
          <w:p>
            <w:pPr>
              <w:spacing w:after="0"/>
              <w:rPr>
                <w:sz w:val="18"/>
                <w:szCs w:val="18"/>
                <w:color w:val="auto"/>
              </w:rPr>
            </w:pPr>
          </w:p>
        </w:tc>
        <w:tc>
          <w:tcPr>
            <w:tcW w:w="500" w:type="dxa"/>
            <w:vAlign w:val="bottom"/>
            <w:tcBorders>
              <w:bottom w:val="single" w:sz="8" w:color="DBDBDB"/>
            </w:tcBorders>
            <w:shd w:val="clear" w:color="auto" w:fill="DBDBDB"/>
          </w:tcPr>
          <w:p>
            <w:pPr>
              <w:spacing w:after="0"/>
              <w:rPr>
                <w:sz w:val="18"/>
                <w:szCs w:val="18"/>
                <w:color w:val="auto"/>
              </w:rPr>
            </w:pPr>
          </w:p>
        </w:tc>
        <w:tc>
          <w:tcPr>
            <w:tcW w:w="9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(114)</w:t>
            </w:r>
          </w:p>
        </w:tc>
      </w:tr>
      <w:tr>
        <w:trPr>
          <w:trHeight w:val="187"/>
        </w:trPr>
        <w:tc>
          <w:tcPr>
            <w:tcW w:w="8260" w:type="dxa"/>
            <w:vAlign w:val="bottom"/>
          </w:tcPr>
          <w:p>
            <w:pPr>
              <w:ind w:left="20"/>
              <w:spacing w:after="0" w:line="182" w:lineRule="exact"/>
              <w:rPr>
                <w:sz w:val="20"/>
                <w:szCs w:val="20"/>
                <w:color w:val="auto"/>
              </w:rPr>
            </w:pPr>
            <w:r>
              <w:rPr>
                <w:rFonts w:ascii="Calibri" w:cs="Calibri" w:eastAsia="Calibri" w:hAnsi="Calibri"/>
                <w:sz w:val="16"/>
                <w:szCs w:val="16"/>
                <w:color w:val="auto"/>
              </w:rPr>
              <w:t>Total deferred tax liabilites</w:t>
            </w: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(3,375)</w:t>
            </w:r>
          </w:p>
        </w:tc>
        <w:tc>
          <w:tcPr>
            <w:tcW w:w="1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(11,640)</w:t>
            </w:r>
          </w:p>
        </w:tc>
      </w:tr>
      <w:tr>
        <w:trPr>
          <w:trHeight w:val="22"/>
        </w:trPr>
        <w:tc>
          <w:tcPr>
            <w:tcW w:w="826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4"/>
        </w:trPr>
        <w:tc>
          <w:tcPr>
            <w:tcW w:w="8260" w:type="dxa"/>
            <w:vAlign w:val="bottom"/>
            <w:tcBorders>
              <w:bottom w:val="single" w:sz="8" w:color="DBDBDB"/>
            </w:tcBorders>
            <w:shd w:val="clear" w:color="auto" w:fill="DBDBDB"/>
          </w:tcPr>
          <w:p>
            <w:pPr>
              <w:ind w:left="360"/>
              <w:spacing w:after="0"/>
              <w:rPr>
                <w:sz w:val="20"/>
                <w:szCs w:val="20"/>
                <w:color w:val="auto"/>
              </w:rPr>
            </w:pPr>
            <w:r>
              <w:rPr>
                <w:rFonts w:ascii="Calibri" w:cs="Calibri" w:eastAsia="Calibri" w:hAnsi="Calibri"/>
                <w:sz w:val="16"/>
                <w:szCs w:val="16"/>
                <w:color w:val="auto"/>
              </w:rPr>
              <w:t>Net deferred tax liability</w:t>
            </w:r>
          </w:p>
        </w:tc>
        <w:tc>
          <w:tcPr>
            <w:tcW w:w="340" w:type="dxa"/>
            <w:vAlign w:val="bottom"/>
            <w:tcBorders>
              <w:bottom w:val="single" w:sz="8" w:color="auto"/>
            </w:tcBorders>
            <w:shd w:val="clear" w:color="auto" w:fill="DBDBDB"/>
          </w:tcPr>
          <w:p>
            <w:pPr>
              <w:jc w:val="right"/>
              <w:ind w:right="139"/>
              <w:spacing w:after="0" w:line="193" w:lineRule="exact"/>
              <w:rPr>
                <w:sz w:val="20"/>
                <w:szCs w:val="20"/>
                <w:color w:val="auto"/>
              </w:rPr>
            </w:pPr>
            <w:r>
              <w:rPr>
                <w:rFonts w:ascii="Calibri" w:cs="Calibri" w:eastAsia="Calibri" w:hAnsi="Calibri"/>
                <w:sz w:val="16"/>
                <w:szCs w:val="16"/>
                <w:color w:val="auto"/>
              </w:rPr>
              <w:t>$</w:t>
            </w:r>
          </w:p>
        </w:tc>
        <w:tc>
          <w:tcPr>
            <w:tcW w:w="1100" w:type="dxa"/>
            <w:vAlign w:val="bottom"/>
            <w:tcBorders>
              <w:bottom w:val="single" w:sz="8" w:color="auto"/>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w:t>
            </w:r>
          </w:p>
        </w:tc>
        <w:tc>
          <w:tcPr>
            <w:tcW w:w="100" w:type="dxa"/>
            <w:vAlign w:val="bottom"/>
            <w:tcBorders>
              <w:bottom w:val="single" w:sz="8" w:color="DBDBDB"/>
            </w:tcBorders>
            <w:shd w:val="clear" w:color="auto" w:fill="DBDBDB"/>
          </w:tcPr>
          <w:p>
            <w:pPr>
              <w:spacing w:after="0"/>
              <w:rPr>
                <w:sz w:val="19"/>
                <w:szCs w:val="19"/>
                <w:color w:val="auto"/>
              </w:rPr>
            </w:pPr>
          </w:p>
        </w:tc>
        <w:tc>
          <w:tcPr>
            <w:tcW w:w="500" w:type="dxa"/>
            <w:vAlign w:val="bottom"/>
            <w:tcBorders>
              <w:bottom w:val="single" w:sz="8" w:color="auto"/>
            </w:tcBorders>
            <w:shd w:val="clear" w:color="auto" w:fill="DBDBDB"/>
          </w:tcPr>
          <w:p>
            <w:pPr>
              <w:jc w:val="right"/>
              <w:ind w:right="319"/>
              <w:spacing w:after="0" w:line="193" w:lineRule="exact"/>
              <w:rPr>
                <w:sz w:val="20"/>
                <w:szCs w:val="20"/>
                <w:color w:val="auto"/>
              </w:rPr>
            </w:pPr>
            <w:r>
              <w:rPr>
                <w:rFonts w:ascii="Calibri" w:cs="Calibri" w:eastAsia="Calibri" w:hAnsi="Calibri"/>
                <w:sz w:val="16"/>
                <w:szCs w:val="16"/>
                <w:color w:val="auto"/>
                <w:w w:val="97"/>
              </w:rPr>
              <w:t>$</w:t>
            </w:r>
          </w:p>
        </w:tc>
        <w:tc>
          <w:tcPr>
            <w:tcW w:w="940" w:type="dxa"/>
            <w:vAlign w:val="bottom"/>
            <w:tcBorders>
              <w:bottom w:val="single" w:sz="8" w:color="auto"/>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20"/>
        </w:trPr>
        <w:tc>
          <w:tcPr>
            <w:tcW w:w="826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940" w:type="dxa"/>
            <w:vAlign w:val="bottom"/>
            <w:tcBorders>
              <w:top w:val="single" w:sz="8" w:color="DBDBDB"/>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 xml:space="preserve">As of December 31, 2024 and 2023, the Company had approximately $1,245.8 million and $1,230.4 million, respectvely, of federal net operatng losses, or </w:t>
      </w:r>
      <w:r>
        <w:rPr>
          <w:rFonts w:ascii="Calibri" w:cs="Calibri" w:eastAsia="Calibri" w:hAnsi="Calibri"/>
          <w:sz w:val="17"/>
          <w:szCs w:val="17"/>
          <w:u w:val="single" w:color="auto"/>
          <w:color w:val="auto"/>
        </w:rPr>
        <w:t>NOLs</w:t>
      </w:r>
      <w:r>
        <w:rPr>
          <w:rFonts w:ascii="Calibri" w:cs="Calibri" w:eastAsia="Calibri" w:hAnsi="Calibri"/>
          <w:sz w:val="17"/>
          <w:szCs w:val="17"/>
          <w:color w:val="auto"/>
        </w:rPr>
        <w:t>, carry-forwards which expire through 2037. Included in the $1,245.8 million of federal NOLs are losses of $663.7 million that will carry forward indefnitely as a result of the Tax Cuts and Jobs Act. Additonally, at December 31, 2024 and 2023, the Company had approximately $584.3 million and $590.8 million, respectvely, of state NOL carry-forwards, which expire through 2044. The Company also has approximately $4.0 million of federal research and development tax credit carryforwards which expire through 2040 and $2.7 million of state R&amp;D tax credit carryforwards which expire through 2038.</w:t>
      </w:r>
    </w:p>
    <w:p>
      <w:pPr>
        <w:spacing w:after="0" w:line="10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Under the provisions of the IRC, the NOLs and tax credit carry-forwards are subject to review and possible adjustment by the Internal Revenue Service and state tax authorites. NOLs and tax credit carryforwards may become subject to an annual limitaton under IRC Sectons 382 and 383 if there is more than a 50% change in ownership of the stockholders that own 5% or more of the Company’s outstanding stock over a three-year period. The Company completed an evaluaton of its ownership changes and concluded that an ownership change did occur on December 12, 2018 for both Akebia and Keryx in connecton with the Merger. As a consequence of this ownership change, the Company’s NOLs and tax credit carryforwards allocable to the tax periods preceding the ownership change became subject to limitaton under Secton 382 of the IRC. The Company reduced its associated deferred tax assets by $44.9 million as a result of the limitaton. The Company completed an evaluaton of its ownership changes as of March 31, 2022 and concluded that an ownership change had not occur since the previous evaluaton done through December 12, 2018. The Company may experience ownership changes in the future as a result of subsequent shifs in our stock ownership, some of which may be outside the Company’s control. As a result, the Company’s ability to utlize these atributes to ofset taxable income may be subject to limitatons.</w:t>
      </w:r>
    </w:p>
    <w:p>
      <w:pPr>
        <w:spacing w:after="0" w:line="11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has not conducted a full study of its research and development credit carryforwards. A study may result in an adjustment to the Company’s research and development credit carryforwards; however, untl a study is completed, and any adjustment is known, no amounts will be presented as an uncertain tax positon. A full valuaton allowance has been provided against the Company’s research and development credit carryforwards and, if an adjustment is required, this adjustment would be ofset by an adjustment to the valuaton allowance. Thus, there would be no impact to the balance sheet or statement of operatons at this tme, if an adjustment were required.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4" w:name="page165"/>
    <w:bookmarkEnd w:id="16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fles income tax returns in the U.S. federal and various state and local jurisdictons. For federal and state income tax purposes, the 2022, 2021 and 2020 tax years remain open for examinaton under the normal three-year statute of limitatons. The statute of limitatons for income tax audits in the U.S. will commence upon utlizaton of NOLs and will expire three years from the fling of the tax return the loss was utlized 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reconciliaton of the beginning and ending amounts of unrecognized tax benefts for the years ending December 31, 2024 and 2023 are as follows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shd w:val="clear" w:color="auto" w:fill="DBDBDB"/>
          </w:tcPr>
          <w:p>
            <w:pPr>
              <w:ind w:left="20"/>
              <w:spacing w:after="0"/>
              <w:rPr>
                <w:sz w:val="20"/>
                <w:szCs w:val="20"/>
                <w:color w:val="auto"/>
              </w:rPr>
            </w:pPr>
            <w:r>
              <w:rPr>
                <w:rFonts w:ascii="Calibri" w:cs="Calibri" w:eastAsia="Calibri" w:hAnsi="Calibri"/>
                <w:sz w:val="16"/>
                <w:szCs w:val="16"/>
                <w:color w:val="auto"/>
              </w:rPr>
              <w:t>Balance at December 31, 2022</w:t>
            </w:r>
          </w:p>
        </w:tc>
        <w:tc>
          <w:tcPr>
            <w:tcW w:w="520" w:type="dxa"/>
            <w:vAlign w:val="bottom"/>
            <w:shd w:val="clear" w:color="auto" w:fill="DBDBDB"/>
          </w:tcPr>
          <w:p>
            <w:pPr>
              <w:jc w:val="right"/>
              <w:ind w:right="339"/>
              <w:spacing w:after="0"/>
              <w:rPr>
                <w:sz w:val="20"/>
                <w:szCs w:val="20"/>
                <w:color w:val="auto"/>
              </w:rPr>
            </w:pPr>
            <w:r>
              <w:rPr>
                <w:rFonts w:ascii="Calibri" w:cs="Calibri" w:eastAsia="Calibri" w:hAnsi="Calibri"/>
                <w:sz w:val="16"/>
                <w:szCs w:val="16"/>
                <w:color w:val="auto"/>
                <w:w w:val="97"/>
              </w:rPr>
              <w:t>$</w:t>
            </w:r>
          </w:p>
        </w:tc>
        <w:tc>
          <w:tcPr>
            <w:tcW w:w="920" w:type="dxa"/>
            <w:vAlign w:val="bottom"/>
            <w:shd w:val="clear" w:color="auto" w:fill="DBDBDB"/>
          </w:tcPr>
          <w:p>
            <w:pPr>
              <w:jc w:val="right"/>
              <w:spacing w:after="0"/>
              <w:rPr>
                <w:sz w:val="20"/>
                <w:szCs w:val="20"/>
                <w:color w:val="auto"/>
              </w:rPr>
            </w:pPr>
            <w:r>
              <w:rPr>
                <w:rFonts w:ascii="Calibri" w:cs="Calibri" w:eastAsia="Calibri" w:hAnsi="Calibri"/>
                <w:sz w:val="16"/>
                <w:szCs w:val="16"/>
                <w:color w:val="auto"/>
              </w:rPr>
              <w:t>2,697</w:t>
            </w:r>
          </w:p>
        </w:tc>
      </w:tr>
      <w:tr>
        <w:trPr>
          <w:trHeight w:val="193"/>
        </w:trPr>
        <w:tc>
          <w:tcPr>
            <w:tcW w:w="9800" w:type="dxa"/>
            <w:vAlign w:val="bottom"/>
          </w:tcPr>
          <w:p>
            <w:pPr>
              <w:ind w:left="180"/>
              <w:spacing w:after="0" w:line="193" w:lineRule="exact"/>
              <w:rPr>
                <w:sz w:val="20"/>
                <w:szCs w:val="20"/>
                <w:color w:val="auto"/>
              </w:rPr>
            </w:pPr>
            <w:r>
              <w:rPr>
                <w:rFonts w:ascii="Calibri" w:cs="Calibri" w:eastAsia="Calibri" w:hAnsi="Calibri"/>
                <w:sz w:val="16"/>
                <w:szCs w:val="16"/>
                <w:color w:val="auto"/>
              </w:rPr>
              <w:t>Reductons based on tax positons of current years</w:t>
            </w:r>
          </w:p>
        </w:tc>
        <w:tc>
          <w:tcPr>
            <w:tcW w:w="52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(2,697)</w:t>
            </w:r>
          </w:p>
        </w:tc>
      </w:tr>
      <w:tr>
        <w:trPr>
          <w:trHeight w:val="23"/>
        </w:trPr>
        <w:tc>
          <w:tcPr>
            <w:tcW w:w="9800" w:type="dxa"/>
            <w:vAlign w:val="bottom"/>
            <w:tcBorders>
              <w:bottom w:val="single" w:sz="8" w:color="DBDBDB"/>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0"/>
        </w:trPr>
        <w:tc>
          <w:tcPr>
            <w:tcW w:w="9800" w:type="dxa"/>
            <w:vAlign w:val="bottom"/>
            <w:tcBorders>
              <w:bottom w:val="single" w:sz="8" w:color="DBDBDB"/>
            </w:tcBorders>
            <w:shd w:val="clear" w:color="auto" w:fill="DBDBDB"/>
          </w:tcPr>
          <w:p>
            <w:pPr>
              <w:ind w:left="20"/>
              <w:spacing w:after="0" w:line="182" w:lineRule="exact"/>
              <w:rPr>
                <w:sz w:val="20"/>
                <w:szCs w:val="20"/>
                <w:color w:val="auto"/>
              </w:rPr>
            </w:pPr>
            <w:r>
              <w:rPr>
                <w:rFonts w:ascii="Calibri" w:cs="Calibri" w:eastAsia="Calibri" w:hAnsi="Calibri"/>
                <w:sz w:val="16"/>
                <w:szCs w:val="16"/>
                <w:color w:val="auto"/>
              </w:rPr>
              <w:t>Balance at December 31, 2023</w:t>
            </w:r>
          </w:p>
        </w:tc>
        <w:tc>
          <w:tcPr>
            <w:tcW w:w="520" w:type="dxa"/>
            <w:vAlign w:val="bottom"/>
            <w:tcBorders>
              <w:bottom w:val="single" w:sz="8" w:color="DBDBDB"/>
            </w:tcBorders>
            <w:shd w:val="clear" w:color="auto" w:fill="DBDBDB"/>
          </w:tcPr>
          <w:p>
            <w:pPr>
              <w:spacing w:after="0"/>
              <w:rPr>
                <w:sz w:val="16"/>
                <w:szCs w:val="16"/>
                <w:color w:val="auto"/>
              </w:rPr>
            </w:pPr>
          </w:p>
        </w:tc>
        <w:tc>
          <w:tcPr>
            <w:tcW w:w="92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w:t>
            </w:r>
          </w:p>
        </w:tc>
      </w:tr>
      <w:tr>
        <w:trPr>
          <w:trHeight w:val="193"/>
        </w:trPr>
        <w:tc>
          <w:tcPr>
            <w:tcW w:w="9800" w:type="dxa"/>
            <w:vAlign w:val="bottom"/>
          </w:tcPr>
          <w:p>
            <w:pPr>
              <w:ind w:left="180"/>
              <w:spacing w:after="0" w:line="193" w:lineRule="exact"/>
              <w:rPr>
                <w:sz w:val="20"/>
                <w:szCs w:val="20"/>
                <w:color w:val="auto"/>
              </w:rPr>
            </w:pPr>
            <w:r>
              <w:rPr>
                <w:rFonts w:ascii="Calibri" w:cs="Calibri" w:eastAsia="Calibri" w:hAnsi="Calibri"/>
                <w:sz w:val="16"/>
                <w:szCs w:val="16"/>
                <w:color w:val="auto"/>
              </w:rPr>
              <w:t>Reductons based on tax positons of current years</w:t>
            </w:r>
          </w:p>
        </w:tc>
        <w:tc>
          <w:tcPr>
            <w:tcW w:w="520" w:type="dxa"/>
            <w:vAlign w:val="bottom"/>
          </w:tcPr>
          <w:p>
            <w:pPr>
              <w:spacing w:after="0"/>
              <w:rPr>
                <w:sz w:val="16"/>
                <w:szCs w:val="16"/>
                <w:color w:val="auto"/>
              </w:rPr>
            </w:pP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23"/>
        </w:trPr>
        <w:tc>
          <w:tcPr>
            <w:tcW w:w="9800" w:type="dxa"/>
            <w:vAlign w:val="bottom"/>
            <w:tcBorders>
              <w:bottom w:val="single" w:sz="8" w:color="DBDBDB"/>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4"/>
        </w:trPr>
        <w:tc>
          <w:tcPr>
            <w:tcW w:w="9800" w:type="dxa"/>
            <w:vAlign w:val="bottom"/>
            <w:tcBorders>
              <w:bottom w:val="single" w:sz="8" w:color="DBDBDB"/>
            </w:tcBorders>
            <w:shd w:val="clear" w:color="auto" w:fill="DBDBDB"/>
          </w:tcPr>
          <w:p>
            <w:pPr>
              <w:ind w:left="20"/>
              <w:spacing w:after="0"/>
              <w:rPr>
                <w:sz w:val="20"/>
                <w:szCs w:val="20"/>
                <w:color w:val="auto"/>
              </w:rPr>
            </w:pPr>
            <w:r>
              <w:rPr>
                <w:rFonts w:ascii="Calibri" w:cs="Calibri" w:eastAsia="Calibri" w:hAnsi="Calibri"/>
                <w:sz w:val="16"/>
                <w:szCs w:val="16"/>
                <w:color w:val="auto"/>
              </w:rPr>
              <w:t>Balance at December 31, 2024</w:t>
            </w:r>
          </w:p>
        </w:tc>
        <w:tc>
          <w:tcPr>
            <w:tcW w:w="520" w:type="dxa"/>
            <w:vAlign w:val="bottom"/>
            <w:tcBorders>
              <w:bottom w:val="single" w:sz="8" w:color="auto"/>
            </w:tcBorders>
            <w:shd w:val="clear" w:color="auto" w:fill="DBDBDB"/>
          </w:tcPr>
          <w:p>
            <w:pPr>
              <w:jc w:val="right"/>
              <w:ind w:right="339"/>
              <w:spacing w:after="0" w:line="193" w:lineRule="exact"/>
              <w:rPr>
                <w:sz w:val="20"/>
                <w:szCs w:val="20"/>
                <w:color w:val="auto"/>
              </w:rPr>
            </w:pPr>
            <w:r>
              <w:rPr>
                <w:rFonts w:ascii="Calibri" w:cs="Calibri" w:eastAsia="Calibri" w:hAnsi="Calibri"/>
                <w:sz w:val="16"/>
                <w:szCs w:val="16"/>
                <w:color w:val="auto"/>
                <w:w w:val="97"/>
              </w:rPr>
              <w:t>$</w:t>
            </w:r>
          </w:p>
        </w:tc>
        <w:tc>
          <w:tcPr>
            <w:tcW w:w="920" w:type="dxa"/>
            <w:vAlign w:val="bottom"/>
            <w:tcBorders>
              <w:bottom w:val="single" w:sz="8" w:color="auto"/>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20"/>
        </w:trPr>
        <w:tc>
          <w:tcPr>
            <w:tcW w:w="9800" w:type="dxa"/>
            <w:vAlign w:val="bottom"/>
            <w:tcBorders>
              <w:top w:val="single" w:sz="8" w:color="DBDBDB"/>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spacing w:after="0" w:line="227" w:lineRule="auto"/>
        <w:rPr>
          <w:sz w:val="20"/>
          <w:szCs w:val="20"/>
          <w:color w:val="auto"/>
        </w:rPr>
      </w:pPr>
      <w:r>
        <w:rPr>
          <w:rFonts w:ascii="Calibri" w:cs="Calibri" w:eastAsia="Calibri" w:hAnsi="Calibri"/>
          <w:sz w:val="18"/>
          <w:szCs w:val="18"/>
          <w:color w:val="auto"/>
        </w:rPr>
        <w:t>The Company does not believe there will be a material change in its unrecognized tax positons over the next twelve months. All of the unrecognized tax benefts, if recognized, would be ofset by the valuaton allowance.</w:t>
      </w:r>
    </w:p>
    <w:p>
      <w:pPr>
        <w:spacing w:after="0" w:line="34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16. NET LOSS PER SHARE</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Potentally dilutve securites, warrants, common stock optons, RSUs and SARs have been excluded from the calculaton of diluted net loss per share as their efects would be ant-dilutve. For periods in which the Company reports a net loss, the weighted average number of shares outstanding used to calculate both basic and diluted net loss per share were the same. The shares in the table below were excluded from the calculaton of diluted net loss per share, prior to the use of the treasury stock method, due to their ant-dilutve efect: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60" w:type="dxa"/>
            <w:vAlign w:val="bottom"/>
          </w:tcPr>
          <w:p>
            <w:pPr>
              <w:spacing w:after="0"/>
              <w:rPr>
                <w:sz w:val="16"/>
                <w:szCs w:val="16"/>
                <w:color w:val="auto"/>
              </w:rPr>
            </w:pPr>
          </w:p>
        </w:tc>
        <w:tc>
          <w:tcPr>
            <w:tcW w:w="2980" w:type="dxa"/>
            <w:vAlign w:val="bottom"/>
            <w:gridSpan w:val="3"/>
          </w:tcPr>
          <w:p>
            <w:pPr>
              <w:jc w:val="right"/>
              <w:ind w:right="519"/>
              <w:spacing w:after="0"/>
              <w:rPr>
                <w:sz w:val="20"/>
                <w:szCs w:val="20"/>
                <w:color w:val="auto"/>
              </w:rPr>
            </w:pPr>
            <w:r>
              <w:rPr>
                <w:rFonts w:ascii="Calibri" w:cs="Calibri" w:eastAsia="Calibri" w:hAnsi="Calibri"/>
                <w:sz w:val="16"/>
                <w:szCs w:val="16"/>
                <w:b w:val="1"/>
                <w:bCs w:val="1"/>
                <w:color w:val="auto"/>
              </w:rPr>
              <w:t>Years Ended December 31,</w:t>
            </w:r>
          </w:p>
        </w:tc>
      </w:tr>
      <w:tr>
        <w:trPr>
          <w:trHeight w:val="28"/>
        </w:trPr>
        <w:tc>
          <w:tcPr>
            <w:tcW w:w="82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7"/>
        </w:trPr>
        <w:tc>
          <w:tcPr>
            <w:tcW w:w="8260" w:type="dxa"/>
            <w:vAlign w:val="bottom"/>
          </w:tcPr>
          <w:p>
            <w:pPr>
              <w:spacing w:after="0"/>
              <w:rPr>
                <w:sz w:val="16"/>
                <w:szCs w:val="16"/>
                <w:color w:val="auto"/>
              </w:rPr>
            </w:pPr>
          </w:p>
        </w:tc>
        <w:tc>
          <w:tcPr>
            <w:tcW w:w="1440" w:type="dxa"/>
            <w:vAlign w:val="bottom"/>
          </w:tcPr>
          <w:p>
            <w:pPr>
              <w:jc w:val="right"/>
              <w:ind w:right="479"/>
              <w:spacing w:after="0" w:line="187" w:lineRule="exact"/>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6"/>
                <w:szCs w:val="16"/>
                <w:color w:val="auto"/>
              </w:rPr>
            </w:pPr>
          </w:p>
        </w:tc>
        <w:tc>
          <w:tcPr>
            <w:tcW w:w="1440" w:type="dxa"/>
            <w:vAlign w:val="bottom"/>
          </w:tcPr>
          <w:p>
            <w:pPr>
              <w:jc w:val="right"/>
              <w:ind w:right="479"/>
              <w:spacing w:after="0" w:line="187" w:lineRule="exact"/>
              <w:rPr>
                <w:sz w:val="20"/>
                <w:szCs w:val="20"/>
                <w:color w:val="auto"/>
              </w:rPr>
            </w:pPr>
            <w:r>
              <w:rPr>
                <w:rFonts w:ascii="Calibri" w:cs="Calibri" w:eastAsia="Calibri" w:hAnsi="Calibri"/>
                <w:sz w:val="16"/>
                <w:szCs w:val="16"/>
                <w:b w:val="1"/>
                <w:bCs w:val="1"/>
                <w:color w:val="auto"/>
              </w:rPr>
              <w:t>2023</w:t>
            </w:r>
          </w:p>
        </w:tc>
      </w:tr>
      <w:tr>
        <w:trPr>
          <w:trHeight w:val="23"/>
        </w:trPr>
        <w:tc>
          <w:tcPr>
            <w:tcW w:w="8260" w:type="dxa"/>
            <w:vAlign w:val="bottom"/>
            <w:tcBorders>
              <w:bottom w:val="single" w:sz="8" w:color="DBDBDB"/>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90"/>
        </w:trPr>
        <w:tc>
          <w:tcPr>
            <w:tcW w:w="8260" w:type="dxa"/>
            <w:vAlign w:val="bottom"/>
            <w:tcBorders>
              <w:bottom w:val="single" w:sz="8" w:color="DBDBDB"/>
            </w:tcBorders>
            <w:shd w:val="clear" w:color="auto" w:fill="DBDBDB"/>
          </w:tcPr>
          <w:p>
            <w:pPr>
              <w:ind w:left="20"/>
              <w:spacing w:after="0" w:line="174" w:lineRule="exact"/>
              <w:rPr>
                <w:sz w:val="20"/>
                <w:szCs w:val="20"/>
                <w:color w:val="auto"/>
              </w:rPr>
            </w:pPr>
            <w:r>
              <w:rPr>
                <w:rFonts w:ascii="Calibri" w:cs="Calibri" w:eastAsia="Calibri" w:hAnsi="Calibri"/>
                <w:sz w:val="16"/>
                <w:szCs w:val="16"/>
                <w:color w:val="auto"/>
              </w:rPr>
              <w:t>Warrants</w:t>
            </w:r>
          </w:p>
        </w:tc>
        <w:tc>
          <w:tcPr>
            <w:tcW w:w="144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3,076,923</w:t>
            </w:r>
          </w:p>
        </w:tc>
        <w:tc>
          <w:tcPr>
            <w:tcW w:w="100" w:type="dxa"/>
            <w:vAlign w:val="bottom"/>
            <w:tcBorders>
              <w:bottom w:val="single" w:sz="8" w:color="DBDBDB"/>
            </w:tcBorders>
            <w:shd w:val="clear" w:color="auto" w:fill="DBDBDB"/>
          </w:tcPr>
          <w:p>
            <w:pPr>
              <w:spacing w:after="0"/>
              <w:rPr>
                <w:sz w:val="16"/>
                <w:szCs w:val="16"/>
                <w:color w:val="auto"/>
              </w:rPr>
            </w:pPr>
          </w:p>
        </w:tc>
        <w:tc>
          <w:tcPr>
            <w:tcW w:w="144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w:t>
            </w:r>
          </w:p>
        </w:tc>
      </w:tr>
      <w:tr>
        <w:trPr>
          <w:trHeight w:val="193"/>
        </w:trPr>
        <w:tc>
          <w:tcPr>
            <w:tcW w:w="8260" w:type="dxa"/>
            <w:vAlign w:val="bottom"/>
          </w:tcPr>
          <w:p>
            <w:pPr>
              <w:ind w:left="20"/>
              <w:spacing w:after="0" w:line="193" w:lineRule="exact"/>
              <w:rPr>
                <w:sz w:val="20"/>
                <w:szCs w:val="20"/>
                <w:color w:val="auto"/>
              </w:rPr>
            </w:pPr>
            <w:r>
              <w:rPr>
                <w:rFonts w:ascii="Calibri" w:cs="Calibri" w:eastAsia="Calibri" w:hAnsi="Calibri"/>
                <w:sz w:val="16"/>
                <w:szCs w:val="16"/>
                <w:color w:val="auto"/>
              </w:rPr>
              <w:t>Outstanding common stock optons</w:t>
            </w:r>
          </w:p>
        </w:tc>
        <w:tc>
          <w:tcPr>
            <w:tcW w:w="1440" w:type="dxa"/>
            <w:vAlign w:val="bottom"/>
          </w:tcPr>
          <w:p>
            <w:pPr>
              <w:jc w:val="right"/>
              <w:spacing w:after="0" w:line="193" w:lineRule="exact"/>
              <w:rPr>
                <w:sz w:val="20"/>
                <w:szCs w:val="20"/>
                <w:color w:val="auto"/>
              </w:rPr>
            </w:pPr>
            <w:r>
              <w:rPr>
                <w:rFonts w:ascii="Calibri" w:cs="Calibri" w:eastAsia="Calibri" w:hAnsi="Calibri"/>
                <w:sz w:val="16"/>
                <w:szCs w:val="16"/>
                <w:color w:val="auto"/>
              </w:rPr>
              <w:t>16,049,012</w:t>
            </w:r>
          </w:p>
        </w:tc>
        <w:tc>
          <w:tcPr>
            <w:tcW w:w="100" w:type="dxa"/>
            <w:vAlign w:val="bottom"/>
          </w:tcPr>
          <w:p>
            <w:pPr>
              <w:spacing w:after="0"/>
              <w:rPr>
                <w:sz w:val="16"/>
                <w:szCs w:val="16"/>
                <w:color w:val="auto"/>
              </w:rPr>
            </w:pPr>
          </w:p>
        </w:tc>
        <w:tc>
          <w:tcPr>
            <w:tcW w:w="1440" w:type="dxa"/>
            <w:vAlign w:val="bottom"/>
          </w:tcPr>
          <w:p>
            <w:pPr>
              <w:jc w:val="right"/>
              <w:spacing w:after="0" w:line="193" w:lineRule="exact"/>
              <w:rPr>
                <w:sz w:val="20"/>
                <w:szCs w:val="20"/>
                <w:color w:val="auto"/>
              </w:rPr>
            </w:pPr>
            <w:r>
              <w:rPr>
                <w:rFonts w:ascii="Calibri" w:cs="Calibri" w:eastAsia="Calibri" w:hAnsi="Calibri"/>
                <w:sz w:val="16"/>
                <w:szCs w:val="16"/>
                <w:color w:val="auto"/>
              </w:rPr>
              <w:t>12,690,624</w:t>
            </w:r>
          </w:p>
        </w:tc>
      </w:tr>
      <w:tr>
        <w:trPr>
          <w:trHeight w:val="23"/>
        </w:trPr>
        <w:tc>
          <w:tcPr>
            <w:tcW w:w="8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8260" w:type="dxa"/>
            <w:vAlign w:val="bottom"/>
            <w:tcBorders>
              <w:bottom w:val="single" w:sz="8" w:color="DBDBDB"/>
            </w:tcBorders>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Unvested restricted stock units</w:t>
            </w:r>
          </w:p>
        </w:tc>
        <w:tc>
          <w:tcPr>
            <w:tcW w:w="14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5,429,790</w:t>
            </w:r>
          </w:p>
        </w:tc>
        <w:tc>
          <w:tcPr>
            <w:tcW w:w="100" w:type="dxa"/>
            <w:vAlign w:val="bottom"/>
            <w:tcBorders>
              <w:bottom w:val="single" w:sz="8" w:color="DBDBDB"/>
            </w:tcBorders>
            <w:shd w:val="clear" w:color="auto" w:fill="DBDBDB"/>
          </w:tcPr>
          <w:p>
            <w:pPr>
              <w:spacing w:after="0"/>
              <w:rPr>
                <w:sz w:val="17"/>
                <w:szCs w:val="17"/>
                <w:color w:val="auto"/>
              </w:rPr>
            </w:pPr>
          </w:p>
        </w:tc>
        <w:tc>
          <w:tcPr>
            <w:tcW w:w="144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3,930,167</w:t>
            </w:r>
          </w:p>
        </w:tc>
      </w:tr>
      <w:tr>
        <w:trPr>
          <w:trHeight w:val="193"/>
        </w:trPr>
        <w:tc>
          <w:tcPr>
            <w:tcW w:w="8260" w:type="dxa"/>
            <w:vAlign w:val="bottom"/>
          </w:tcPr>
          <w:p>
            <w:pPr>
              <w:ind w:left="20"/>
              <w:spacing w:after="0" w:line="193" w:lineRule="exact"/>
              <w:rPr>
                <w:sz w:val="20"/>
                <w:szCs w:val="20"/>
                <w:color w:val="auto"/>
              </w:rPr>
            </w:pPr>
            <w:r>
              <w:rPr>
                <w:rFonts w:ascii="Calibri" w:cs="Calibri" w:eastAsia="Calibri" w:hAnsi="Calibri"/>
                <w:sz w:val="16"/>
                <w:szCs w:val="16"/>
                <w:color w:val="auto"/>
              </w:rPr>
              <w:t>Stock appreciaton rights</w:t>
            </w:r>
          </w:p>
        </w:tc>
        <w:tc>
          <w:tcPr>
            <w:tcW w:w="1440" w:type="dxa"/>
            <w:vAlign w:val="bottom"/>
          </w:tcPr>
          <w:p>
            <w:pPr>
              <w:jc w:val="right"/>
              <w:spacing w:after="0" w:line="193" w:lineRule="exact"/>
              <w:rPr>
                <w:sz w:val="20"/>
                <w:szCs w:val="20"/>
                <w:color w:val="auto"/>
              </w:rPr>
            </w:pPr>
            <w:r>
              <w:rPr>
                <w:rFonts w:ascii="Calibri" w:cs="Calibri" w:eastAsia="Calibri" w:hAnsi="Calibri"/>
                <w:sz w:val="16"/>
                <w:szCs w:val="16"/>
                <w:color w:val="auto"/>
              </w:rPr>
              <w:t>635,313</w:t>
            </w:r>
          </w:p>
        </w:tc>
        <w:tc>
          <w:tcPr>
            <w:tcW w:w="100" w:type="dxa"/>
            <w:vAlign w:val="bottom"/>
          </w:tcPr>
          <w:p>
            <w:pPr>
              <w:spacing w:after="0"/>
              <w:rPr>
                <w:sz w:val="16"/>
                <w:szCs w:val="16"/>
                <w:color w:val="auto"/>
              </w:rPr>
            </w:pPr>
          </w:p>
        </w:tc>
        <w:tc>
          <w:tcPr>
            <w:tcW w:w="1440" w:type="dxa"/>
            <w:vAlign w:val="bottom"/>
          </w:tcPr>
          <w:p>
            <w:pPr>
              <w:jc w:val="right"/>
              <w:spacing w:after="0" w:line="193" w:lineRule="exact"/>
              <w:rPr>
                <w:sz w:val="20"/>
                <w:szCs w:val="20"/>
                <w:color w:val="auto"/>
              </w:rPr>
            </w:pPr>
            <w:r>
              <w:rPr>
                <w:rFonts w:ascii="Calibri" w:cs="Calibri" w:eastAsia="Calibri" w:hAnsi="Calibri"/>
                <w:sz w:val="16"/>
                <w:szCs w:val="16"/>
                <w:color w:val="auto"/>
              </w:rPr>
              <w:t>635,313</w:t>
            </w:r>
          </w:p>
        </w:tc>
      </w:tr>
      <w:tr>
        <w:trPr>
          <w:trHeight w:val="23"/>
        </w:trPr>
        <w:tc>
          <w:tcPr>
            <w:tcW w:w="8260" w:type="dxa"/>
            <w:vAlign w:val="bottom"/>
            <w:tcBorders>
              <w:bottom w:val="single" w:sz="8" w:color="DBDBDB"/>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5"/>
        </w:trPr>
        <w:tc>
          <w:tcPr>
            <w:tcW w:w="8260" w:type="dxa"/>
            <w:vAlign w:val="bottom"/>
            <w:tcBorders>
              <w:bottom w:val="single" w:sz="8" w:color="DBDBDB"/>
            </w:tcBorders>
            <w:shd w:val="clear" w:color="auto" w:fill="DBDBDB"/>
          </w:tcPr>
          <w:p>
            <w:pPr>
              <w:ind w:left="360"/>
              <w:spacing w:after="0" w:line="182" w:lineRule="exact"/>
              <w:rPr>
                <w:sz w:val="20"/>
                <w:szCs w:val="20"/>
                <w:color w:val="auto"/>
              </w:rPr>
            </w:pPr>
            <w:r>
              <w:rPr>
                <w:rFonts w:ascii="Calibri" w:cs="Calibri" w:eastAsia="Calibri" w:hAnsi="Calibri"/>
                <w:sz w:val="16"/>
                <w:szCs w:val="16"/>
                <w:color w:val="auto"/>
              </w:rPr>
              <w:t>Total</w:t>
            </w:r>
          </w:p>
        </w:tc>
        <w:tc>
          <w:tcPr>
            <w:tcW w:w="144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25,191,038</w:t>
            </w:r>
          </w:p>
        </w:tc>
        <w:tc>
          <w:tcPr>
            <w:tcW w:w="100" w:type="dxa"/>
            <w:vAlign w:val="bottom"/>
            <w:tcBorders>
              <w:bottom w:val="single" w:sz="8" w:color="DBDBDB"/>
            </w:tcBorders>
            <w:shd w:val="clear" w:color="auto" w:fill="DBDBDB"/>
          </w:tcPr>
          <w:p>
            <w:pPr>
              <w:spacing w:after="0"/>
              <w:rPr>
                <w:sz w:val="19"/>
                <w:szCs w:val="19"/>
                <w:color w:val="auto"/>
              </w:rPr>
            </w:pPr>
          </w:p>
        </w:tc>
        <w:tc>
          <w:tcPr>
            <w:tcW w:w="144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17,256,104</w:t>
            </w:r>
          </w:p>
        </w:tc>
      </w:tr>
      <w:tr>
        <w:trPr>
          <w:trHeight w:val="20"/>
        </w:trPr>
        <w:tc>
          <w:tcPr>
            <w:tcW w:w="8260" w:type="dxa"/>
            <w:vAlign w:val="bottom"/>
            <w:tcBorders>
              <w:top w:val="single" w:sz="8" w:color="DBDBDB"/>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hanging="332"/>
        <w:spacing w:after="0" w:line="245" w:lineRule="auto"/>
        <w:tabs>
          <w:tab w:leader="none" w:pos="321" w:val="left"/>
        </w:tabs>
        <w:numPr>
          <w:ilvl w:val="0"/>
          <w:numId w:val="74"/>
        </w:numPr>
        <w:rPr>
          <w:rFonts w:ascii="Calibri" w:cs="Calibri" w:eastAsia="Calibri" w:hAnsi="Calibri"/>
          <w:sz w:val="14"/>
          <w:szCs w:val="14"/>
          <w:color w:val="auto"/>
        </w:rPr>
      </w:pPr>
      <w:r>
        <w:rPr>
          <w:rFonts w:ascii="Calibri" w:cs="Calibri" w:eastAsia="Calibri" w:hAnsi="Calibri"/>
          <w:sz w:val="14"/>
          <w:szCs w:val="14"/>
          <w:color w:val="auto"/>
        </w:rPr>
        <w:t>On the Tranche C Closing Date, the Company became obligated to issue to the Warrant Holder additonal warrants to purchase 1,153,846 shares of the common stock which are excluded from this table.</w:t>
      </w:r>
    </w:p>
    <w:p>
      <w:pPr>
        <w:spacing w:after="0" w:line="11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17. Segment Informaton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operates as one operatng segment focused on developing and commercializing innovatve therapeutcs primarily in the U.S. The accountng policies of the segment are the same as those described in the summary of signifcant accountng policies.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determinaton of a single business segment is consistent with the consolidated fnancial informaton regularly reviewed by the chief executve ofcer, who is the Company's CODM, in assessing segment performance and deciding how to allocate resources on a consolidated basis.</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CODM makes decisions on resource allocaton, assesses performance of the business, and monitors budget versus actual results using income from operatons. Net income is also a measure that is considered in monitoring budget versus actual results. The measure of segment assets is reported on the consolidated balance sheets as total consolidated assets.</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The following table presents informaton about reported segment revenues, segment proft and signifcant segment expenses for the years ended</w:t>
      </w:r>
    </w:p>
    <w:p>
      <w:pPr>
        <w:spacing w:after="0" w:line="235" w:lineRule="auto"/>
        <w:rPr>
          <w:sz w:val="20"/>
          <w:szCs w:val="20"/>
          <w:color w:val="auto"/>
        </w:rPr>
      </w:pPr>
      <w:r>
        <w:rPr>
          <w:rFonts w:ascii="Calibri" w:cs="Calibri" w:eastAsia="Calibri" w:hAnsi="Calibri"/>
          <w:sz w:val="18"/>
          <w:szCs w:val="18"/>
          <w:color w:val="auto"/>
        </w:rPr>
        <w:t>December 31, 2024 and 2023:</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5" w:name="page166"/>
    <w:bookmarkEnd w:id="16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519"/>
              <w:spacing w:after="0"/>
              <w:rPr>
                <w:sz w:val="20"/>
                <w:szCs w:val="20"/>
                <w:color w:val="auto"/>
              </w:rPr>
            </w:pPr>
            <w:r>
              <w:rPr>
                <w:rFonts w:ascii="Calibri" w:cs="Calibri" w:eastAsia="Calibri" w:hAnsi="Calibri"/>
                <w:sz w:val="16"/>
                <w:szCs w:val="16"/>
                <w:b w:val="1"/>
                <w:bCs w:val="1"/>
                <w:color w:val="auto"/>
              </w:rPr>
              <w:t>Years Ended December 31,</w:t>
            </w:r>
          </w:p>
        </w:tc>
      </w:tr>
      <w:tr>
        <w:trPr>
          <w:trHeight w:val="28"/>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7"/>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9"/>
              <w:spacing w:after="0" w:line="187" w:lineRule="exact"/>
              <w:rPr>
                <w:sz w:val="20"/>
                <w:szCs w:val="20"/>
                <w:color w:val="auto"/>
              </w:rPr>
            </w:pPr>
            <w:r>
              <w:rPr>
                <w:rFonts w:ascii="Calibri" w:cs="Calibri" w:eastAsia="Calibri" w:hAnsi="Calibri"/>
                <w:sz w:val="16"/>
                <w:szCs w:val="16"/>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79"/>
              <w:spacing w:after="0" w:line="187" w:lineRule="exact"/>
              <w:rPr>
                <w:sz w:val="20"/>
                <w:szCs w:val="20"/>
                <w:color w:val="auto"/>
              </w:rPr>
            </w:pPr>
            <w:r>
              <w:rPr>
                <w:rFonts w:ascii="Calibri" w:cs="Calibri" w:eastAsia="Calibri" w:hAnsi="Calibri"/>
                <w:sz w:val="16"/>
                <w:szCs w:val="16"/>
                <w:b w:val="1"/>
                <w:bCs w:val="1"/>
                <w:color w:val="auto"/>
              </w:rPr>
              <w:t>2023</w:t>
            </w:r>
          </w:p>
        </w:tc>
      </w:tr>
      <w:tr>
        <w:trPr>
          <w:trHeight w:val="23"/>
        </w:trPr>
        <w:tc>
          <w:tcPr>
            <w:tcW w:w="826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0"/>
        </w:trPr>
        <w:tc>
          <w:tcPr>
            <w:tcW w:w="8260" w:type="dxa"/>
            <w:vAlign w:val="bottom"/>
            <w:tcBorders>
              <w:bottom w:val="single" w:sz="8" w:color="DBDBDB"/>
            </w:tcBorders>
            <w:shd w:val="clear" w:color="auto" w:fill="DBDBDB"/>
          </w:tcPr>
          <w:p>
            <w:pPr>
              <w:ind w:left="20"/>
              <w:spacing w:after="0" w:line="182" w:lineRule="exact"/>
              <w:rPr>
                <w:sz w:val="20"/>
                <w:szCs w:val="20"/>
                <w:color w:val="auto"/>
              </w:rPr>
            </w:pPr>
            <w:r>
              <w:rPr>
                <w:rFonts w:ascii="Calibri" w:cs="Calibri" w:eastAsia="Calibri" w:hAnsi="Calibri"/>
                <w:sz w:val="16"/>
                <w:szCs w:val="16"/>
                <w:color w:val="auto"/>
              </w:rPr>
              <w:t>Revenues</w:t>
            </w:r>
          </w:p>
        </w:tc>
        <w:tc>
          <w:tcPr>
            <w:tcW w:w="340" w:type="dxa"/>
            <w:vAlign w:val="bottom"/>
            <w:tcBorders>
              <w:bottom w:val="single" w:sz="8" w:color="DBDBDB"/>
            </w:tcBorders>
            <w:shd w:val="clear" w:color="auto" w:fill="DBDBDB"/>
          </w:tcPr>
          <w:p>
            <w:pPr>
              <w:jc w:val="right"/>
              <w:ind w:right="139"/>
              <w:spacing w:after="0" w:line="187" w:lineRule="exact"/>
              <w:rPr>
                <w:sz w:val="20"/>
                <w:szCs w:val="20"/>
                <w:color w:val="auto"/>
              </w:rPr>
            </w:pPr>
            <w:r>
              <w:rPr>
                <w:rFonts w:ascii="Calibri" w:cs="Calibri" w:eastAsia="Calibri" w:hAnsi="Calibri"/>
                <w:sz w:val="16"/>
                <w:szCs w:val="16"/>
                <w:color w:val="auto"/>
              </w:rPr>
              <w:t>$</w:t>
            </w:r>
          </w:p>
        </w:tc>
        <w:tc>
          <w:tcPr>
            <w:tcW w:w="110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160,180</w:t>
            </w:r>
          </w:p>
        </w:tc>
        <w:tc>
          <w:tcPr>
            <w:tcW w:w="10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DBDBDB"/>
            </w:tcBorders>
            <w:shd w:val="clear" w:color="auto" w:fill="DBDBDB"/>
          </w:tcPr>
          <w:p>
            <w:pPr>
              <w:jc w:val="right"/>
              <w:ind w:right="159"/>
              <w:spacing w:after="0" w:line="187" w:lineRule="exact"/>
              <w:rPr>
                <w:sz w:val="20"/>
                <w:szCs w:val="20"/>
                <w:color w:val="auto"/>
              </w:rPr>
            </w:pPr>
            <w:r>
              <w:rPr>
                <w:rFonts w:ascii="Calibri" w:cs="Calibri" w:eastAsia="Calibri" w:hAnsi="Calibri"/>
                <w:sz w:val="16"/>
                <w:szCs w:val="16"/>
                <w:color w:val="auto"/>
                <w:w w:val="97"/>
              </w:rPr>
              <w:t>$</w:t>
            </w:r>
          </w:p>
        </w:tc>
        <w:tc>
          <w:tcPr>
            <w:tcW w:w="110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194,623</w:t>
            </w:r>
          </w:p>
        </w:tc>
      </w:tr>
      <w:tr>
        <w:trPr>
          <w:trHeight w:val="193"/>
        </w:trPr>
        <w:tc>
          <w:tcPr>
            <w:tcW w:w="8260" w:type="dxa"/>
            <w:vAlign w:val="bottom"/>
          </w:tcPr>
          <w:p>
            <w:pPr>
              <w:ind w:left="20"/>
              <w:spacing w:after="0" w:line="193" w:lineRule="exact"/>
              <w:rPr>
                <w:sz w:val="20"/>
                <w:szCs w:val="20"/>
                <w:color w:val="auto"/>
              </w:rPr>
            </w:pPr>
            <w:r>
              <w:rPr>
                <w:rFonts w:ascii="Calibri" w:cs="Calibri" w:eastAsia="Calibri" w:hAnsi="Calibri"/>
                <w:sz w:val="16"/>
                <w:szCs w:val="16"/>
                <w:color w:val="auto"/>
              </w:rPr>
              <w:t>Less: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8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8260" w:type="dxa"/>
            <w:vAlign w:val="bottom"/>
            <w:tcBorders>
              <w:bottom w:val="single" w:sz="8" w:color="DBDBDB"/>
            </w:tcBorders>
            <w:shd w:val="clear" w:color="auto" w:fill="DBDBDB"/>
          </w:tcPr>
          <w:p>
            <w:pPr>
              <w:ind w:left="140"/>
              <w:spacing w:after="0" w:line="193" w:lineRule="exact"/>
              <w:rPr>
                <w:sz w:val="20"/>
                <w:szCs w:val="20"/>
                <w:color w:val="auto"/>
              </w:rPr>
            </w:pPr>
            <w:r>
              <w:rPr>
                <w:rFonts w:ascii="Calibri" w:cs="Calibri" w:eastAsia="Calibri" w:hAnsi="Calibri"/>
                <w:sz w:val="16"/>
                <w:szCs w:val="16"/>
                <w:color w:val="auto"/>
              </w:rPr>
              <w:t>Direct cost of product and other revenue</w:t>
            </w: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15,970</w:t>
            </w:r>
          </w:p>
        </w:tc>
        <w:tc>
          <w:tcPr>
            <w:tcW w:w="10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26,525</w:t>
            </w:r>
          </w:p>
        </w:tc>
      </w:tr>
      <w:tr>
        <w:trPr>
          <w:trHeight w:val="193"/>
        </w:trPr>
        <w:tc>
          <w:tcPr>
            <w:tcW w:w="8260" w:type="dxa"/>
            <w:vAlign w:val="bottom"/>
          </w:tcPr>
          <w:p>
            <w:pPr>
              <w:ind w:left="140"/>
              <w:spacing w:after="0" w:line="193" w:lineRule="exact"/>
              <w:rPr>
                <w:sz w:val="20"/>
                <w:szCs w:val="20"/>
                <w:color w:val="auto"/>
              </w:rPr>
            </w:pPr>
            <w:r>
              <w:rPr>
                <w:rFonts w:ascii="Calibri" w:cs="Calibri" w:eastAsia="Calibri" w:hAnsi="Calibri"/>
                <w:sz w:val="16"/>
                <w:szCs w:val="16"/>
                <w:color w:val="auto"/>
              </w:rPr>
              <w:t>Panion royalty</w:t>
            </w: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9,097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10,048</w:t>
            </w:r>
          </w:p>
        </w:tc>
      </w:tr>
      <w:tr>
        <w:trPr>
          <w:trHeight w:val="23"/>
        </w:trPr>
        <w:tc>
          <w:tcPr>
            <w:tcW w:w="8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8260" w:type="dxa"/>
            <w:vAlign w:val="bottom"/>
            <w:tcBorders>
              <w:bottom w:val="single" w:sz="8" w:color="DBDBDB"/>
            </w:tcBorders>
            <w:shd w:val="clear" w:color="auto" w:fill="DBDBDB"/>
          </w:tcPr>
          <w:p>
            <w:pPr>
              <w:ind w:left="140"/>
              <w:spacing w:after="0" w:line="193" w:lineRule="exact"/>
              <w:rPr>
                <w:sz w:val="20"/>
                <w:szCs w:val="20"/>
                <w:color w:val="auto"/>
              </w:rPr>
            </w:pPr>
            <w:r>
              <w:rPr>
                <w:rFonts w:ascii="Calibri" w:cs="Calibri" w:eastAsia="Calibri" w:hAnsi="Calibri"/>
                <w:sz w:val="16"/>
                <w:szCs w:val="16"/>
                <w:color w:val="auto"/>
              </w:rPr>
              <w:t>Excess frm purchase commitment charge</w:t>
            </w: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2,068</w:t>
            </w:r>
          </w:p>
        </w:tc>
        <w:tc>
          <w:tcPr>
            <w:tcW w:w="10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1,533</w:t>
            </w:r>
          </w:p>
        </w:tc>
      </w:tr>
      <w:tr>
        <w:trPr>
          <w:trHeight w:val="193"/>
        </w:trPr>
        <w:tc>
          <w:tcPr>
            <w:tcW w:w="8260" w:type="dxa"/>
            <w:vAlign w:val="bottom"/>
          </w:tcPr>
          <w:p>
            <w:pPr>
              <w:ind w:left="140"/>
              <w:spacing w:after="0" w:line="193" w:lineRule="exact"/>
              <w:rPr>
                <w:sz w:val="20"/>
                <w:szCs w:val="20"/>
                <w:color w:val="auto"/>
              </w:rPr>
            </w:pPr>
            <w:r>
              <w:rPr>
                <w:rFonts w:ascii="Calibri" w:cs="Calibri" w:eastAsia="Calibri" w:hAnsi="Calibri"/>
                <w:sz w:val="16"/>
                <w:szCs w:val="16"/>
                <w:color w:val="auto"/>
              </w:rPr>
              <w:t>Amortzaton of intangible asset</w:t>
            </w: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36,042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36,042</w:t>
            </w:r>
          </w:p>
        </w:tc>
      </w:tr>
      <w:tr>
        <w:trPr>
          <w:trHeight w:val="23"/>
        </w:trPr>
        <w:tc>
          <w:tcPr>
            <w:tcW w:w="8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8260" w:type="dxa"/>
            <w:vAlign w:val="bottom"/>
            <w:tcBorders>
              <w:bottom w:val="single" w:sz="8" w:color="DBDBDB"/>
            </w:tcBorders>
            <w:shd w:val="clear" w:color="auto" w:fill="DBDBDB"/>
          </w:tcPr>
          <w:p>
            <w:pPr>
              <w:ind w:left="140"/>
              <w:spacing w:after="0" w:line="193" w:lineRule="exact"/>
              <w:rPr>
                <w:sz w:val="20"/>
                <w:szCs w:val="20"/>
                <w:color w:val="auto"/>
              </w:rPr>
            </w:pPr>
            <w:r>
              <w:rPr>
                <w:rFonts w:ascii="Calibri" w:cs="Calibri" w:eastAsia="Calibri" w:hAnsi="Calibri"/>
                <w:sz w:val="16"/>
                <w:szCs w:val="16"/>
                <w:color w:val="auto"/>
              </w:rPr>
              <w:t>Research and development</w:t>
            </w: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37,652</w:t>
            </w:r>
          </w:p>
        </w:tc>
        <w:tc>
          <w:tcPr>
            <w:tcW w:w="10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63,079</w:t>
            </w:r>
          </w:p>
        </w:tc>
      </w:tr>
      <w:tr>
        <w:trPr>
          <w:trHeight w:val="193"/>
        </w:trPr>
        <w:tc>
          <w:tcPr>
            <w:tcW w:w="8260" w:type="dxa"/>
            <w:vAlign w:val="bottom"/>
          </w:tcPr>
          <w:p>
            <w:pPr>
              <w:ind w:left="140"/>
              <w:spacing w:after="0" w:line="193" w:lineRule="exact"/>
              <w:rPr>
                <w:sz w:val="20"/>
                <w:szCs w:val="20"/>
                <w:color w:val="auto"/>
              </w:rPr>
            </w:pPr>
            <w:r>
              <w:rPr>
                <w:rFonts w:ascii="Calibri" w:cs="Calibri" w:eastAsia="Calibri" w:hAnsi="Calibri"/>
                <w:sz w:val="16"/>
                <w:szCs w:val="16"/>
                <w:color w:val="auto"/>
              </w:rPr>
              <w:t>Selling, general and administratve</w:t>
            </w: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106,545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100,233</w:t>
            </w:r>
          </w:p>
        </w:tc>
      </w:tr>
      <w:tr>
        <w:trPr>
          <w:trHeight w:val="23"/>
        </w:trPr>
        <w:tc>
          <w:tcPr>
            <w:tcW w:w="8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8260" w:type="dxa"/>
            <w:vAlign w:val="bottom"/>
            <w:tcBorders>
              <w:bottom w:val="single" w:sz="8" w:color="DBDBDB"/>
            </w:tcBorders>
            <w:shd w:val="clear" w:color="auto" w:fill="DBDBDB"/>
          </w:tcPr>
          <w:p>
            <w:pPr>
              <w:ind w:left="140"/>
              <w:spacing w:after="0" w:line="193" w:lineRule="exact"/>
              <w:rPr>
                <w:sz w:val="20"/>
                <w:szCs w:val="20"/>
                <w:color w:val="auto"/>
              </w:rPr>
            </w:pPr>
            <w:r>
              <w:rPr>
                <w:rFonts w:ascii="Calibri" w:cs="Calibri" w:eastAsia="Calibri" w:hAnsi="Calibri"/>
                <w:sz w:val="16"/>
                <w:szCs w:val="16"/>
                <w:color w:val="auto"/>
              </w:rPr>
              <w:t>License</w:t>
            </w: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3,220</w:t>
            </w:r>
          </w:p>
        </w:tc>
        <w:tc>
          <w:tcPr>
            <w:tcW w:w="10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3,237</w:t>
            </w:r>
          </w:p>
        </w:tc>
      </w:tr>
      <w:tr>
        <w:trPr>
          <w:trHeight w:val="193"/>
        </w:trPr>
        <w:tc>
          <w:tcPr>
            <w:tcW w:w="8260" w:type="dxa"/>
            <w:vAlign w:val="bottom"/>
          </w:tcPr>
          <w:p>
            <w:pPr>
              <w:ind w:left="140"/>
              <w:spacing w:after="0" w:line="193" w:lineRule="exact"/>
              <w:rPr>
                <w:sz w:val="20"/>
                <w:szCs w:val="20"/>
                <w:color w:val="auto"/>
              </w:rPr>
            </w:pPr>
            <w:r>
              <w:rPr>
                <w:rFonts w:ascii="Calibri" w:cs="Calibri" w:eastAsia="Calibri" w:hAnsi="Calibri"/>
                <w:sz w:val="16"/>
                <w:szCs w:val="16"/>
                <w:color w:val="auto"/>
              </w:rPr>
              <w:t>Restructuring</w:t>
            </w: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58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181</w:t>
            </w:r>
          </w:p>
        </w:tc>
      </w:tr>
      <w:tr>
        <w:trPr>
          <w:trHeight w:val="23"/>
        </w:trPr>
        <w:tc>
          <w:tcPr>
            <w:tcW w:w="826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0"/>
        </w:trPr>
        <w:tc>
          <w:tcPr>
            <w:tcW w:w="8260" w:type="dxa"/>
            <w:vAlign w:val="bottom"/>
            <w:tcBorders>
              <w:bottom w:val="single" w:sz="8" w:color="DBDBDB"/>
            </w:tcBorders>
            <w:shd w:val="clear" w:color="auto" w:fill="DBDBDB"/>
          </w:tcPr>
          <w:p>
            <w:pPr>
              <w:ind w:left="20"/>
              <w:spacing w:after="0" w:line="182" w:lineRule="exact"/>
              <w:rPr>
                <w:sz w:val="20"/>
                <w:szCs w:val="20"/>
                <w:color w:val="auto"/>
              </w:rPr>
            </w:pPr>
            <w:r>
              <w:rPr>
                <w:rFonts w:ascii="Calibri" w:cs="Calibri" w:eastAsia="Calibri" w:hAnsi="Calibri"/>
                <w:sz w:val="16"/>
                <w:szCs w:val="16"/>
                <w:color w:val="auto"/>
              </w:rPr>
              <w:t>Loss from operatons</w:t>
            </w:r>
          </w:p>
        </w:tc>
        <w:tc>
          <w:tcPr>
            <w:tcW w:w="34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(50,472)</w:t>
            </w:r>
          </w:p>
        </w:tc>
        <w:tc>
          <w:tcPr>
            <w:tcW w:w="10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(46,256)</w:t>
            </w:r>
          </w:p>
        </w:tc>
      </w:tr>
      <w:tr>
        <w:trPr>
          <w:trHeight w:val="270"/>
        </w:trPr>
        <w:tc>
          <w:tcPr>
            <w:tcW w:w="8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196"/>
        </w:trPr>
        <w:tc>
          <w:tcPr>
            <w:tcW w:w="8260" w:type="dxa"/>
            <w:vAlign w:val="bottom"/>
            <w:tcBorders>
              <w:bottom w:val="single" w:sz="8" w:color="DBDBDB"/>
            </w:tcBorders>
            <w:shd w:val="clear" w:color="auto" w:fill="DBDBDB"/>
          </w:tcPr>
          <w:p>
            <w:pPr>
              <w:ind w:left="20"/>
              <w:spacing w:after="0" w:line="193" w:lineRule="exact"/>
              <w:rPr>
                <w:sz w:val="20"/>
                <w:szCs w:val="20"/>
                <w:color w:val="auto"/>
              </w:rPr>
            </w:pPr>
            <w:r>
              <w:rPr>
                <w:rFonts w:ascii="Calibri" w:cs="Calibri" w:eastAsia="Calibri" w:hAnsi="Calibri"/>
                <w:sz w:val="16"/>
                <w:szCs w:val="16"/>
                <w:color w:val="auto"/>
              </w:rPr>
              <w:t>Other income (expense)</w:t>
            </w: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spacing w:after="0"/>
              <w:rPr>
                <w:sz w:val="17"/>
                <w:szCs w:val="17"/>
                <w:color w:val="auto"/>
              </w:rPr>
            </w:pPr>
          </w:p>
        </w:tc>
      </w:tr>
      <w:tr>
        <w:trPr>
          <w:trHeight w:val="193"/>
        </w:trPr>
        <w:tc>
          <w:tcPr>
            <w:tcW w:w="8260" w:type="dxa"/>
            <w:vAlign w:val="bottom"/>
          </w:tcPr>
          <w:p>
            <w:pPr>
              <w:ind w:left="360"/>
              <w:spacing w:after="0" w:line="193" w:lineRule="exact"/>
              <w:rPr>
                <w:sz w:val="20"/>
                <w:szCs w:val="20"/>
                <w:color w:val="auto"/>
              </w:rPr>
            </w:pPr>
            <w:r>
              <w:rPr>
                <w:rFonts w:ascii="Calibri" w:cs="Calibri" w:eastAsia="Calibri" w:hAnsi="Calibri"/>
                <w:sz w:val="16"/>
                <w:szCs w:val="16"/>
                <w:color w:val="auto"/>
              </w:rPr>
              <w:t>Interest expense</w:t>
            </w: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(18,185)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(6,032)</w:t>
            </w:r>
          </w:p>
        </w:tc>
      </w:tr>
      <w:tr>
        <w:trPr>
          <w:trHeight w:val="23"/>
        </w:trPr>
        <w:tc>
          <w:tcPr>
            <w:tcW w:w="8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8260" w:type="dxa"/>
            <w:vAlign w:val="bottom"/>
            <w:tcBorders>
              <w:bottom w:val="single" w:sz="8" w:color="DBDBDB"/>
            </w:tcBorders>
            <w:shd w:val="clear" w:color="auto" w:fill="DBDBDB"/>
          </w:tcPr>
          <w:p>
            <w:pPr>
              <w:ind w:left="360"/>
              <w:spacing w:after="0" w:line="193" w:lineRule="exact"/>
              <w:rPr>
                <w:sz w:val="20"/>
                <w:szCs w:val="20"/>
                <w:color w:val="auto"/>
              </w:rPr>
            </w:pPr>
            <w:r>
              <w:rPr>
                <w:rFonts w:ascii="Calibri" w:cs="Calibri" w:eastAsia="Calibri" w:hAnsi="Calibri"/>
                <w:sz w:val="16"/>
                <w:szCs w:val="16"/>
                <w:color w:val="auto"/>
              </w:rPr>
              <w:t>Other (expense) income</w:t>
            </w: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94</w:t>
            </w:r>
          </w:p>
        </w:tc>
        <w:tc>
          <w:tcPr>
            <w:tcW w:w="10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887</w:t>
            </w:r>
          </w:p>
        </w:tc>
      </w:tr>
      <w:tr>
        <w:trPr>
          <w:trHeight w:val="193"/>
        </w:trPr>
        <w:tc>
          <w:tcPr>
            <w:tcW w:w="8260" w:type="dxa"/>
            <w:vAlign w:val="bottom"/>
          </w:tcPr>
          <w:p>
            <w:pPr>
              <w:ind w:left="360"/>
              <w:spacing w:after="0" w:line="193" w:lineRule="exact"/>
              <w:rPr>
                <w:sz w:val="20"/>
                <w:szCs w:val="20"/>
                <w:color w:val="auto"/>
              </w:rPr>
            </w:pPr>
            <w:r>
              <w:rPr>
                <w:rFonts w:ascii="Calibri" w:cs="Calibri" w:eastAsia="Calibri" w:hAnsi="Calibri"/>
                <w:sz w:val="16"/>
                <w:szCs w:val="16"/>
                <w:color w:val="auto"/>
              </w:rPr>
              <w:t>Change in fair value of warrant liability</w:t>
            </w: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(330)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23"/>
        </w:trPr>
        <w:tc>
          <w:tcPr>
            <w:tcW w:w="8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8260" w:type="dxa"/>
            <w:vAlign w:val="bottom"/>
            <w:tcBorders>
              <w:bottom w:val="single" w:sz="8" w:color="DBDBDB"/>
            </w:tcBorders>
            <w:shd w:val="clear" w:color="auto" w:fill="DBDBDB"/>
          </w:tcPr>
          <w:p>
            <w:pPr>
              <w:ind w:left="360"/>
              <w:spacing w:after="0" w:line="193" w:lineRule="exact"/>
              <w:rPr>
                <w:sz w:val="20"/>
                <w:szCs w:val="20"/>
                <w:color w:val="auto"/>
              </w:rPr>
            </w:pPr>
            <w:r>
              <w:rPr>
                <w:rFonts w:ascii="Calibri" w:cs="Calibri" w:eastAsia="Calibri" w:hAnsi="Calibri"/>
                <w:sz w:val="16"/>
                <w:szCs w:val="16"/>
                <w:color w:val="auto"/>
              </w:rPr>
              <w:t>Loss on extnguishment of debt</w:t>
            </w: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(517)</w:t>
            </w:r>
          </w:p>
        </w:tc>
        <w:tc>
          <w:tcPr>
            <w:tcW w:w="100" w:type="dxa"/>
            <w:vAlign w:val="bottom"/>
            <w:tcBorders>
              <w:bottom w:val="single" w:sz="8" w:color="DBDBDB"/>
            </w:tcBorders>
            <w:shd w:val="clear" w:color="auto" w:fill="DBDBDB"/>
          </w:tcPr>
          <w:p>
            <w:pPr>
              <w:spacing w:after="0"/>
              <w:rPr>
                <w:sz w:val="17"/>
                <w:szCs w:val="17"/>
                <w:color w:val="auto"/>
              </w:rPr>
            </w:pPr>
          </w:p>
        </w:tc>
        <w:tc>
          <w:tcPr>
            <w:tcW w:w="34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193"/>
        </w:trPr>
        <w:tc>
          <w:tcPr>
            <w:tcW w:w="8260" w:type="dxa"/>
            <w:vAlign w:val="bottom"/>
          </w:tcPr>
          <w:p>
            <w:pPr>
              <w:ind w:left="360"/>
              <w:spacing w:after="0" w:line="193" w:lineRule="exact"/>
              <w:rPr>
                <w:sz w:val="20"/>
                <w:szCs w:val="20"/>
                <w:color w:val="auto"/>
              </w:rPr>
            </w:pPr>
            <w:r>
              <w:rPr>
                <w:rFonts w:ascii="Calibri" w:cs="Calibri" w:eastAsia="Calibri" w:hAnsi="Calibri"/>
                <w:sz w:val="16"/>
                <w:szCs w:val="16"/>
                <w:color w:val="auto"/>
              </w:rPr>
              <w:t>Loss on terminaton of lease</w:t>
            </w:r>
          </w:p>
        </w:tc>
        <w:tc>
          <w:tcPr>
            <w:tcW w:w="340" w:type="dxa"/>
            <w:vAlign w:val="bottom"/>
          </w:tcPr>
          <w:p>
            <w:pPr>
              <w:spacing w:after="0"/>
              <w:rPr>
                <w:sz w:val="16"/>
                <w:szCs w:val="16"/>
                <w:color w:val="auto"/>
              </w:rPr>
            </w:pPr>
          </w:p>
        </w:tc>
        <w:tc>
          <w:tcPr>
            <w:tcW w:w="1200" w:type="dxa"/>
            <w:vAlign w:val="bottom"/>
            <w:gridSpan w:val="2"/>
          </w:tcPr>
          <w:p>
            <w:pPr>
              <w:jc w:val="right"/>
              <w:ind w:right="160"/>
              <w:spacing w:after="0" w:line="193" w:lineRule="exact"/>
              <w:rPr>
                <w:sz w:val="20"/>
                <w:szCs w:val="20"/>
                <w:color w:val="auto"/>
              </w:rPr>
            </w:pPr>
            <w:r>
              <w:rPr>
                <w:rFonts w:ascii="Calibri" w:cs="Calibri" w:eastAsia="Calibri" w:hAnsi="Calibri"/>
                <w:sz w:val="16"/>
                <w:szCs w:val="16"/>
                <w:color w:val="auto"/>
              </w:rPr>
              <w:t>—</w:t>
            </w:r>
          </w:p>
        </w:tc>
        <w:tc>
          <w:tcPr>
            <w:tcW w:w="340" w:type="dxa"/>
            <w:vAlign w:val="bottom"/>
          </w:tcPr>
          <w:p>
            <w:pPr>
              <w:spacing w:after="0"/>
              <w:rPr>
                <w:sz w:val="16"/>
                <w:szCs w:val="16"/>
                <w:color w:val="auto"/>
              </w:rPr>
            </w:pPr>
          </w:p>
        </w:tc>
        <w:tc>
          <w:tcPr>
            <w:tcW w:w="1100" w:type="dxa"/>
            <w:vAlign w:val="bottom"/>
          </w:tcPr>
          <w:p>
            <w:pPr>
              <w:jc w:val="right"/>
              <w:spacing w:after="0" w:line="193" w:lineRule="exact"/>
              <w:rPr>
                <w:sz w:val="20"/>
                <w:szCs w:val="20"/>
                <w:color w:val="auto"/>
              </w:rPr>
            </w:pPr>
            <w:r>
              <w:rPr>
                <w:rFonts w:ascii="Calibri" w:cs="Calibri" w:eastAsia="Calibri" w:hAnsi="Calibri"/>
                <w:sz w:val="16"/>
                <w:szCs w:val="16"/>
                <w:color w:val="auto"/>
              </w:rPr>
              <w:t>(524)</w:t>
            </w:r>
          </w:p>
        </w:tc>
      </w:tr>
      <w:tr>
        <w:trPr>
          <w:trHeight w:val="23"/>
        </w:trPr>
        <w:tc>
          <w:tcPr>
            <w:tcW w:w="826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9"/>
        </w:trPr>
        <w:tc>
          <w:tcPr>
            <w:tcW w:w="8260" w:type="dxa"/>
            <w:vAlign w:val="bottom"/>
            <w:tcBorders>
              <w:bottom w:val="single" w:sz="8" w:color="DBDBDB"/>
            </w:tcBorders>
            <w:shd w:val="clear" w:color="auto" w:fill="DBDBDB"/>
          </w:tcPr>
          <w:p>
            <w:pPr>
              <w:ind w:left="20"/>
              <w:spacing w:after="0" w:line="174" w:lineRule="exact"/>
              <w:rPr>
                <w:sz w:val="20"/>
                <w:szCs w:val="20"/>
                <w:color w:val="auto"/>
              </w:rPr>
            </w:pPr>
            <w:r>
              <w:rPr>
                <w:rFonts w:ascii="Calibri" w:cs="Calibri" w:eastAsia="Calibri" w:hAnsi="Calibri"/>
                <w:sz w:val="16"/>
                <w:szCs w:val="16"/>
                <w:color w:val="auto"/>
              </w:rPr>
              <w:t>Net loss before income taxes</w:t>
            </w:r>
          </w:p>
        </w:tc>
        <w:tc>
          <w:tcPr>
            <w:tcW w:w="340" w:type="dxa"/>
            <w:vAlign w:val="bottom"/>
            <w:tcBorders>
              <w:bottom w:val="single" w:sz="8" w:color="DBDBDB"/>
            </w:tcBorders>
            <w:shd w:val="clear" w:color="auto" w:fill="DBDBDB"/>
          </w:tcPr>
          <w:p>
            <w:pPr>
              <w:jc w:val="right"/>
              <w:ind w:right="139"/>
              <w:spacing w:after="0" w:line="187" w:lineRule="exact"/>
              <w:rPr>
                <w:sz w:val="20"/>
                <w:szCs w:val="20"/>
                <w:color w:val="auto"/>
              </w:rPr>
            </w:pPr>
            <w:r>
              <w:rPr>
                <w:rFonts w:ascii="Calibri" w:cs="Calibri" w:eastAsia="Calibri" w:hAnsi="Calibri"/>
                <w:sz w:val="16"/>
                <w:szCs w:val="16"/>
                <w:color w:val="auto"/>
              </w:rPr>
              <w:t>$</w:t>
            </w:r>
          </w:p>
        </w:tc>
        <w:tc>
          <w:tcPr>
            <w:tcW w:w="110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(69,410)</w:t>
            </w:r>
          </w:p>
        </w:tc>
        <w:tc>
          <w:tcPr>
            <w:tcW w:w="10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DBDBDB"/>
            </w:tcBorders>
            <w:shd w:val="clear" w:color="auto" w:fill="DBDBDB"/>
          </w:tcPr>
          <w:p>
            <w:pPr>
              <w:jc w:val="right"/>
              <w:ind w:right="159"/>
              <w:spacing w:after="0" w:line="187" w:lineRule="exact"/>
              <w:rPr>
                <w:sz w:val="20"/>
                <w:szCs w:val="20"/>
                <w:color w:val="auto"/>
              </w:rPr>
            </w:pPr>
            <w:r>
              <w:rPr>
                <w:rFonts w:ascii="Calibri" w:cs="Calibri" w:eastAsia="Calibri" w:hAnsi="Calibri"/>
                <w:sz w:val="16"/>
                <w:szCs w:val="16"/>
                <w:color w:val="auto"/>
                <w:w w:val="97"/>
              </w:rPr>
              <w:t>$</w:t>
            </w:r>
          </w:p>
        </w:tc>
        <w:tc>
          <w:tcPr>
            <w:tcW w:w="1100" w:type="dxa"/>
            <w:vAlign w:val="bottom"/>
            <w:tcBorders>
              <w:bottom w:val="single" w:sz="8" w:color="DBDBDB"/>
            </w:tcBorders>
            <w:shd w:val="clear" w:color="auto" w:fill="DBDBDB"/>
          </w:tcPr>
          <w:p>
            <w:pPr>
              <w:jc w:val="right"/>
              <w:spacing w:after="0" w:line="187" w:lineRule="exact"/>
              <w:rPr>
                <w:sz w:val="20"/>
                <w:szCs w:val="20"/>
                <w:color w:val="auto"/>
              </w:rPr>
            </w:pPr>
            <w:r>
              <w:rPr>
                <w:rFonts w:ascii="Calibri" w:cs="Calibri" w:eastAsia="Calibri" w:hAnsi="Calibri"/>
                <w:sz w:val="16"/>
                <w:szCs w:val="16"/>
                <w:color w:val="auto"/>
              </w:rPr>
              <w:t>(51,925)</w:t>
            </w:r>
          </w:p>
        </w:tc>
      </w:tr>
      <w:tr>
        <w:trPr>
          <w:trHeight w:val="187"/>
        </w:trPr>
        <w:tc>
          <w:tcPr>
            <w:tcW w:w="8260" w:type="dxa"/>
            <w:vAlign w:val="bottom"/>
          </w:tcPr>
          <w:p>
            <w:pPr>
              <w:ind w:left="20"/>
              <w:spacing w:after="0" w:line="174" w:lineRule="exact"/>
              <w:rPr>
                <w:sz w:val="20"/>
                <w:szCs w:val="20"/>
                <w:color w:val="auto"/>
              </w:rPr>
            </w:pPr>
            <w:r>
              <w:rPr>
                <w:rFonts w:ascii="Calibri" w:cs="Calibri" w:eastAsia="Calibri" w:hAnsi="Calibri"/>
                <w:sz w:val="16"/>
                <w:szCs w:val="16"/>
                <w:b w:val="1"/>
                <w:bCs w:val="1"/>
                <w:color w:val="auto"/>
              </w:rPr>
              <w:t>Net loss</w:t>
            </w:r>
          </w:p>
        </w:tc>
        <w:tc>
          <w:tcPr>
            <w:tcW w:w="340" w:type="dxa"/>
            <w:vAlign w:val="bottom"/>
            <w:tcBorders>
              <w:top w:val="single" w:sz="8" w:color="auto"/>
            </w:tcBorders>
          </w:tcPr>
          <w:p>
            <w:pPr>
              <w:jc w:val="right"/>
              <w:ind w:right="139"/>
              <w:spacing w:after="0" w:line="187" w:lineRule="exact"/>
              <w:rPr>
                <w:sz w:val="20"/>
                <w:szCs w:val="20"/>
                <w:color w:val="auto"/>
              </w:rPr>
            </w:pPr>
            <w:r>
              <w:rPr>
                <w:rFonts w:ascii="Calibri" w:cs="Calibri" w:eastAsia="Calibri" w:hAnsi="Calibri"/>
                <w:sz w:val="16"/>
                <w:szCs w:val="16"/>
                <w:color w:val="auto"/>
              </w:rPr>
              <w:t>$</w:t>
            </w:r>
          </w:p>
        </w:tc>
        <w:tc>
          <w:tcPr>
            <w:tcW w:w="1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(69,410)</w:t>
            </w:r>
          </w:p>
        </w:tc>
        <w:tc>
          <w:tcPr>
            <w:tcW w:w="100" w:type="dxa"/>
            <w:vAlign w:val="bottom"/>
          </w:tcPr>
          <w:p>
            <w:pPr>
              <w:spacing w:after="0"/>
              <w:rPr>
                <w:sz w:val="16"/>
                <w:szCs w:val="16"/>
                <w:color w:val="auto"/>
              </w:rPr>
            </w:pPr>
          </w:p>
        </w:tc>
        <w:tc>
          <w:tcPr>
            <w:tcW w:w="340" w:type="dxa"/>
            <w:vAlign w:val="bottom"/>
            <w:tcBorders>
              <w:top w:val="single" w:sz="8" w:color="auto"/>
            </w:tcBorders>
          </w:tcPr>
          <w:p>
            <w:pPr>
              <w:jc w:val="right"/>
              <w:ind w:right="159"/>
              <w:spacing w:after="0" w:line="187" w:lineRule="exact"/>
              <w:rPr>
                <w:sz w:val="20"/>
                <w:szCs w:val="20"/>
                <w:color w:val="auto"/>
              </w:rPr>
            </w:pPr>
            <w:r>
              <w:rPr>
                <w:rFonts w:ascii="Calibri" w:cs="Calibri" w:eastAsia="Calibri" w:hAnsi="Calibri"/>
                <w:sz w:val="16"/>
                <w:szCs w:val="16"/>
                <w:color w:val="auto"/>
                <w:w w:val="97"/>
              </w:rPr>
              <w:t>$</w:t>
            </w:r>
          </w:p>
        </w:tc>
        <w:tc>
          <w:tcPr>
            <w:tcW w:w="1100" w:type="dxa"/>
            <w:vAlign w:val="bottom"/>
            <w:tcBorders>
              <w:top w:val="single" w:sz="8" w:color="auto"/>
            </w:tcBorders>
          </w:tcPr>
          <w:p>
            <w:pPr>
              <w:jc w:val="right"/>
              <w:spacing w:after="0" w:line="187" w:lineRule="exact"/>
              <w:rPr>
                <w:sz w:val="20"/>
                <w:szCs w:val="20"/>
                <w:color w:val="auto"/>
              </w:rPr>
            </w:pPr>
            <w:r>
              <w:rPr>
                <w:rFonts w:ascii="Calibri" w:cs="Calibri" w:eastAsia="Calibri" w:hAnsi="Calibri"/>
                <w:sz w:val="16"/>
                <w:szCs w:val="16"/>
                <w:color w:val="auto"/>
              </w:rPr>
              <w:t>(51,925)</w:t>
            </w:r>
          </w:p>
        </w:tc>
      </w:tr>
      <w:tr>
        <w:trPr>
          <w:trHeight w:val="23"/>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18. SUBSEQUENT EVENTS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 has evaluated events and transactons occurring afer the balance sheet date through the fling date of this Form 10-K with the Securites and Exchange Commission, to ensure that the audited consolidated fnancial statements include appropriate disclosure of events both recognized in the accompanying consolidated fnancial statements as of December 31, 2024, and events which occurred subsequently but were not recognized in the consolidated fnancial statements. The Company has concluded that no subsequent events have occurred that require disclosure other than the following:</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Second Amendment to the BlackRock Credit Agreement</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On February 3, 2025, the Company and Kreos entered into the Second Amendment, which amends certain provisions of the BlackRock Credit Agreement. The Term Loan Facility provided the Company access to three tranches: (i) an inital tranche of $37.0 million, which was funded on January 29, 2024, (ii) an additonal tranche of $8.0 million, which was funded on April 19, 2024, and (iii) a fnal tranche of $10.0 million, which was available in a single draw through an expiry date of December 31, 2024, or the </w:t>
      </w:r>
      <w:r>
        <w:rPr>
          <w:rFonts w:ascii="Calibri" w:cs="Calibri" w:eastAsia="Calibri" w:hAnsi="Calibri"/>
          <w:sz w:val="18"/>
          <w:szCs w:val="18"/>
          <w:u w:val="single" w:color="auto"/>
          <w:color w:val="auto"/>
        </w:rPr>
        <w:t>Prior Tranche C Loan</w:t>
      </w:r>
      <w:r>
        <w:rPr>
          <w:rFonts w:ascii="Calibri" w:cs="Calibri" w:eastAsia="Calibri" w:hAnsi="Calibri"/>
          <w:sz w:val="18"/>
          <w:szCs w:val="18"/>
          <w:color w:val="auto"/>
        </w:rPr>
        <w:t xml:space="preserve">. As a result of the Second Amendment, the Prior Tranche C Loan expiry date was extended untl February 3, 2025, or the </w:t>
      </w:r>
      <w:r>
        <w:rPr>
          <w:rFonts w:ascii="Calibri" w:cs="Calibri" w:eastAsia="Calibri" w:hAnsi="Calibri"/>
          <w:sz w:val="18"/>
          <w:szCs w:val="18"/>
          <w:u w:val="single" w:color="auto"/>
          <w:color w:val="auto"/>
        </w:rPr>
        <w:t>Extended Tranche C Loan</w:t>
      </w:r>
      <w:r>
        <w:rPr>
          <w:rFonts w:ascii="Calibri" w:cs="Calibri" w:eastAsia="Calibri" w:hAnsi="Calibri"/>
          <w:sz w:val="18"/>
          <w:szCs w:val="18"/>
          <w:color w:val="auto"/>
        </w:rPr>
        <w:t>. The terms of the Extended Tranche C Loan are substantally similar to the terms of the Prior Tranche C Loan, however, interest will accrue on the Extended Tranche C Loan as if it was advanced on December 31, 2024.</w:t>
      </w:r>
    </w:p>
    <w:p>
      <w:pPr>
        <w:spacing w:after="0" w:line="108" w:lineRule="exact"/>
        <w:rPr>
          <w:sz w:val="20"/>
          <w:szCs w:val="20"/>
          <w:color w:val="auto"/>
        </w:rPr>
      </w:pPr>
    </w:p>
    <w:p>
      <w:pPr>
        <w:spacing w:after="0"/>
        <w:rPr>
          <w:sz w:val="20"/>
          <w:szCs w:val="20"/>
          <w:color w:val="auto"/>
        </w:rPr>
      </w:pPr>
      <w:r>
        <w:rPr>
          <w:rFonts w:ascii="Calibri" w:cs="Calibri" w:eastAsia="Calibri" w:hAnsi="Calibri"/>
          <w:sz w:val="18"/>
          <w:szCs w:val="18"/>
          <w:color w:val="auto"/>
        </w:rPr>
        <w:t>On the Tranche C Closing Date, the Company received $9.3 million, afer deductng debt issuance costs, feeds and expenses.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On February 3, 2025, in connecton with the drawdown of the Extended Tranche C Loan, in accordance with the warrant agreement, dated as of January 29, 2024, between the Company and the Warrant Holder, the Company issued a warrant to the Warrant Holder to purchase 1,153,846 shares of the Company's common stock, at an exercise price per share of $1.30. The warrant is exercisable for eight years from the date of issuance.</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See Note 7, </w:t>
      </w:r>
      <w:r>
        <w:rPr>
          <w:rFonts w:ascii="Calibri" w:cs="Calibri" w:eastAsia="Calibri" w:hAnsi="Calibri"/>
          <w:sz w:val="18"/>
          <w:szCs w:val="18"/>
          <w:i w:val="1"/>
          <w:iCs w:val="1"/>
          <w:color w:val="auto"/>
        </w:rPr>
        <w:t>Indebtedness</w:t>
      </w:r>
      <w:r>
        <w:rPr>
          <w:rFonts w:ascii="Calibri" w:cs="Calibri" w:eastAsia="Calibri" w:hAnsi="Calibri"/>
          <w:sz w:val="18"/>
          <w:szCs w:val="18"/>
          <w:color w:val="auto"/>
        </w:rPr>
        <w:t>, for further informaton on the BlackRock Credit Agreement.</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9. Changes in and Disagreements with Accountants on Accountng and Financial Disclosure</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6" w:name="page167"/>
    <w:bookmarkEnd w:id="16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9A. Controls and Procedures</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Management’s Evaluaton of our Disclosure Controls and Procedures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“Disclosure controls and procedures”, as defned in Rules 13a-15(e) and 15d-15(e) under the Securites Exchange Act of 1934, as amended, or the </w:t>
      </w:r>
      <w:r>
        <w:rPr>
          <w:rFonts w:ascii="Calibri" w:cs="Calibri" w:eastAsia="Calibri" w:hAnsi="Calibri"/>
          <w:sz w:val="18"/>
          <w:szCs w:val="18"/>
          <w:u w:val="single" w:color="auto"/>
          <w:color w:val="auto"/>
        </w:rPr>
        <w:t>Exchange</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auto"/>
        </w:rPr>
        <w:t>Act</w:t>
      </w:r>
      <w:r>
        <w:rPr>
          <w:rFonts w:ascii="Calibri" w:cs="Calibri" w:eastAsia="Calibri" w:hAnsi="Calibri"/>
          <w:sz w:val="18"/>
          <w:szCs w:val="18"/>
          <w:color w:val="auto"/>
        </w:rPr>
        <w:t xml:space="preserve">, are controls and other procedures that are designed to ensure that informaton required to be disclosed in our reports fled or submited under the Exchange Act is recorded, processed, summarized and reported within the tme periods specifed in the U.S. Securites and Exchange Commission, or the </w:t>
      </w:r>
      <w:r>
        <w:rPr>
          <w:rFonts w:ascii="Calibri" w:cs="Calibri" w:eastAsia="Calibri" w:hAnsi="Calibri"/>
          <w:sz w:val="18"/>
          <w:szCs w:val="18"/>
          <w:u w:val="single" w:color="auto"/>
          <w:color w:val="auto"/>
        </w:rPr>
        <w:t>SEC</w:t>
      </w:r>
      <w:r>
        <w:rPr>
          <w:rFonts w:ascii="Calibri" w:cs="Calibri" w:eastAsia="Calibri" w:hAnsi="Calibri"/>
          <w:sz w:val="18"/>
          <w:szCs w:val="18"/>
          <w:color w:val="auto"/>
        </w:rPr>
        <w:t>, rules and forms. Disclosure controls and procedures include, without limitaton, controls and procedures designed to ensure that informaton required to be disclosed in company reports fled or submited under the Exchange Act is accumulated and communicated to our management, including our principal executve and principal fnancial ofcers, as appropriate to allow tmely decisions regarding required disclosure.</w:t>
      </w:r>
    </w:p>
    <w:p>
      <w:pPr>
        <w:spacing w:after="0" w:line="11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required by Rules 13a-15 and 15d-15 under the Exchange Act, our management, with the partcipaton of our principal executve ofcer and principal fnancial ofcer, carried out an evaluaton of our disclosure controls and procedures as of December 31, 2024. Based upon their evaluaton, our principal executve ofcer and principal fnancial ofcer concluded that as of December 31, 2024, our disclosure controls and procedures were not efectve because of a material weakness in the design of our internal control over fnancial reportng related to our accountng for inventories and inventory related transactons which is described in more detail below.</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Management’s Annual Report on Internal Control Over Financial Reportng</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management, with the partcipaton of our principal executve ofcer and principal fnancial ofcer, is responsible for establishing and maintaining adequate internal control over fnancial reportng. Internal control over fnancial reportng is defned in Rule 13a-15(f) or 15d-15(f) promulgated under the Exchange Act as a process designed by, or under the supervision of, our principal executve ofcer and principal fnancial ofcer and efected by our board of directors, management and other personnel to provide reasonable assurance regarding the reliability of our fnancial reportng and the preparaton of fnancial statements for external purposes in accordance with accountng principles generally accepted in the United States of America.</w:t>
      </w:r>
    </w:p>
    <w:p>
      <w:pPr>
        <w:spacing w:after="0" w:line="112"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Our management conducted the assessment of the efectveness of our internal control over fnancial reportng as of December 31, 2024, based on criteria established in Internal Control—Integrated Framework issued by the Commitee of Sponsoring Organizatons of the Treadway Commission in 2013.</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a result of this assessment, our management has concluded that the material weakness in our internal control over fnancial reportng relatng to our inventory process as reported in our Annual Report on Form 10-K for the year ended December 31, 2023 was not fully remediated as of December 31, 2024 and that our internal control over fnancial reportng as of December 31, 2024 was not efectve as described below.</w:t>
      </w:r>
    </w:p>
    <w:p>
      <w:pPr>
        <w:spacing w:after="0" w:line="111"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color w:val="auto"/>
        </w:rPr>
        <w:t>A material weakness is a defciency, or combinaton of defciencies, in internal control over fnancial reportng, such that there is a reasonable possibility that a material misstatement of a company’s annual or interim consolidated fnancial statements will not be prevented or detected on a tmely basis.</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Material Weakness - Inventory</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During 2024 we strengthened our controls and remediated three of the fve components of the previously reported material weakness related to (i) the review of inventory reconciliatons, (ii) the validaton of the inventory costng and (iii) the verifcaton that the existence of all inventories subject to physical inventory counts were accurately counted.</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color w:val="auto"/>
        </w:rPr>
        <w:t>To remediate the above components of the material weakness we:</w:t>
      </w:r>
    </w:p>
    <w:p>
      <w:pPr>
        <w:spacing w:after="0" w:line="104" w:lineRule="exact"/>
        <w:rPr>
          <w:sz w:val="20"/>
          <w:szCs w:val="20"/>
          <w:color w:val="auto"/>
        </w:rPr>
      </w:pPr>
    </w:p>
    <w:p>
      <w:pPr>
        <w:ind w:left="640" w:hanging="308"/>
        <w:spacing w:after="0"/>
        <w:tabs>
          <w:tab w:leader="none" w:pos="640" w:val="left"/>
        </w:tabs>
        <w:numPr>
          <w:ilvl w:val="0"/>
          <w:numId w:val="75"/>
        </w:numPr>
        <w:rPr>
          <w:rFonts w:ascii="Calibri" w:cs="Calibri" w:eastAsia="Calibri" w:hAnsi="Calibri"/>
          <w:sz w:val="18"/>
          <w:szCs w:val="18"/>
          <w:color w:val="auto"/>
        </w:rPr>
      </w:pPr>
      <w:r>
        <w:rPr>
          <w:rFonts w:ascii="Calibri" w:cs="Calibri" w:eastAsia="Calibri" w:hAnsi="Calibri"/>
          <w:sz w:val="18"/>
          <w:szCs w:val="18"/>
          <w:color w:val="auto"/>
        </w:rPr>
        <w:t>Designed and implemented new controls throughout 2024,</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75"/>
        </w:numPr>
        <w:rPr>
          <w:rFonts w:ascii="Calibri" w:cs="Calibri" w:eastAsia="Calibri" w:hAnsi="Calibri"/>
          <w:sz w:val="18"/>
          <w:szCs w:val="18"/>
          <w:color w:val="auto"/>
        </w:rPr>
      </w:pPr>
      <w:r>
        <w:rPr>
          <w:rFonts w:ascii="Calibri" w:cs="Calibri" w:eastAsia="Calibri" w:hAnsi="Calibri"/>
          <w:sz w:val="18"/>
          <w:szCs w:val="18"/>
          <w:color w:val="auto"/>
        </w:rPr>
        <w:t>Hired accountng personnel with U.S. GAAP experience specifc to inventory accountng and</w:t>
      </w:r>
    </w:p>
    <w:p>
      <w:pPr>
        <w:spacing w:after="0" w:line="104" w:lineRule="exact"/>
        <w:rPr>
          <w:rFonts w:ascii="Calibri" w:cs="Calibri" w:eastAsia="Calibri" w:hAnsi="Calibri"/>
          <w:sz w:val="18"/>
          <w:szCs w:val="18"/>
          <w:color w:val="auto"/>
        </w:rPr>
      </w:pPr>
    </w:p>
    <w:p>
      <w:pPr>
        <w:ind w:left="640" w:hanging="308"/>
        <w:spacing w:after="0"/>
        <w:tabs>
          <w:tab w:leader="none" w:pos="640" w:val="left"/>
        </w:tabs>
        <w:numPr>
          <w:ilvl w:val="0"/>
          <w:numId w:val="75"/>
        </w:numPr>
        <w:rPr>
          <w:rFonts w:ascii="Calibri" w:cs="Calibri" w:eastAsia="Calibri" w:hAnsi="Calibri"/>
          <w:sz w:val="18"/>
          <w:szCs w:val="18"/>
          <w:color w:val="auto"/>
        </w:rPr>
      </w:pPr>
      <w:r>
        <w:rPr>
          <w:rFonts w:ascii="Calibri" w:cs="Calibri" w:eastAsia="Calibri" w:hAnsi="Calibri"/>
          <w:sz w:val="18"/>
          <w:szCs w:val="18"/>
          <w:color w:val="auto"/>
        </w:rPr>
        <w:t>Enhanced our monitoring and oversight controls related to physical inventory counts.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However, as of December 31, 2024, our management concluded that despite the above, we did not maintain efectve controls over inventory. Specifcally, we did not efectvely document controls that operated with a sufcient level of precision to evaluate the completeness, accuracy and reasonableness of the product sales forecast, which is used in the evaluaton of excess inventory, including the calculaton of excess frm purchase commitments and the classifcaton of current and non-current inventory, or the </w:t>
      </w:r>
      <w:r>
        <w:rPr>
          <w:rFonts w:ascii="Calibri" w:cs="Calibri" w:eastAsia="Calibri" w:hAnsi="Calibri"/>
          <w:sz w:val="18"/>
          <w:szCs w:val="18"/>
          <w:u w:val="single" w:color="auto"/>
          <w:color w:val="auto"/>
        </w:rPr>
        <w:t>Remaining Control Defciencies</w:t>
      </w:r>
      <w:r>
        <w:rPr>
          <w:rFonts w:ascii="Calibri" w:cs="Calibri" w:eastAsia="Calibri" w:hAnsi="Calibri"/>
          <w:sz w:val="18"/>
          <w:szCs w:val="18"/>
          <w:color w:val="auto"/>
        </w:rPr>
        <w: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Remaining Control Defciencies resulted in certain immaterial accountng errors, which have been corrected prior to the issuance of the annual consolidated fnancial statements for the year ended December 31, 2024. However, because the material weakness creates a reasonable possibility that a material misstatement to our fnancial statements would not be prevented or detected on a tmely basis, our management concluded that as of December 31, 2024, the internal control over fnancial reportng was not efectve.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7" w:name="page168"/>
    <w:bookmarkEnd w:id="16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Remediaton Eforts of the Material Weakness - Inventories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management has taken and plans to contnue to take actons to remediate the Remaining Control Defciencies in our internal control over fnancial reportng.</w:t>
      </w:r>
    </w:p>
    <w:p>
      <w:pPr>
        <w:spacing w:after="0" w:line="11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have begun the following remediaton plan: increasing the level of precision of our review controls that support the completeness, accuracy and reasonableness of the sales forecast used to support our inventory evaluatons, including the identfcaton and consideraton of contrary evidence that could detect a potental error in the sales forecast.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As management contnues to evaluate and work to improve our internal control over fnancial reportng, management may determine it is necessary to take additonal measures to address the material weakness. Untl the controls have been operatng for a sufcient period of tme and management has concluded, through testng, that these controls are operatng efectvely, the material weakness described above will contnue to exist.</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Ernst &amp; Young LLP, the independent registered public accountng frm that audited the consolidated fnancial statements included in this Annual Report on Form 10-K, has issued an atestaton report on the efectveness of internal control over fnancial reportng as of December 31, 2024, included below.</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Changes in Internal Control over Financial Reportng</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Except for the remediaton eforts as noted above, there have been no changes in our internal control over fnancial reportng during the quarter ended December 31, 2024, as defned in Rules 13a-15(f) and 15d-15(f) promulgated under the Exchange Act, that have materially afected, or are reasonably likely to materially afect, our internal control over fnancial reportng.</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Limitatons of Efectveness of Controls and Procedures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designing and evaluatng our disclosure controls and procedures, management recognizes that any controls and procedures, no mater how well designed and operated, can provide only reasonable assurance of achieving their objectves and management necessarily applies its judgment in evaluatng the cost-beneft relatonship of possible controls and procedures.</w:t>
      </w:r>
    </w:p>
    <w:p>
      <w:pPr>
        <w:spacing w:after="0" w:line="111" w:lineRule="exact"/>
        <w:rPr>
          <w:sz w:val="20"/>
          <w:szCs w:val="20"/>
          <w:color w:val="auto"/>
        </w:rPr>
      </w:pPr>
    </w:p>
    <w:p>
      <w:pPr>
        <w:ind w:right="3520" w:firstLine="3530"/>
        <w:spacing w:after="0" w:line="351" w:lineRule="auto"/>
        <w:rPr>
          <w:sz w:val="20"/>
          <w:szCs w:val="20"/>
          <w:color w:val="auto"/>
        </w:rPr>
      </w:pPr>
      <w:r>
        <w:rPr>
          <w:rFonts w:ascii="Calibri" w:cs="Calibri" w:eastAsia="Calibri" w:hAnsi="Calibri"/>
          <w:sz w:val="18"/>
          <w:szCs w:val="18"/>
          <w:b w:val="1"/>
          <w:bCs w:val="1"/>
          <w:color w:val="auto"/>
        </w:rPr>
        <w:t xml:space="preserve">Report of Independent Registered Public Accountng Firm </w:t>
      </w:r>
      <w:r>
        <w:rPr>
          <w:rFonts w:ascii="Calibri" w:cs="Calibri" w:eastAsia="Calibri" w:hAnsi="Calibri"/>
          <w:sz w:val="18"/>
          <w:szCs w:val="18"/>
          <w:color w:val="auto"/>
        </w:rPr>
        <w:t xml:space="preserve">To the Stockholders and the Board of Directors of Akebia Therapeutcs, Inc. </w:t>
      </w:r>
      <w:r>
        <w:rPr>
          <w:rFonts w:ascii="Calibri" w:cs="Calibri" w:eastAsia="Calibri" w:hAnsi="Calibri"/>
          <w:sz w:val="18"/>
          <w:szCs w:val="18"/>
          <w:b w:val="1"/>
          <w:bCs w:val="1"/>
          <w:color w:val="auto"/>
        </w:rPr>
        <w:t>Opinion on Internal Control Over Financial Reportng</w:t>
      </w:r>
    </w:p>
    <w:p>
      <w:pPr>
        <w:spacing w:after="0" w:line="8" w:lineRule="exact"/>
        <w:rPr>
          <w:sz w:val="20"/>
          <w:szCs w:val="20"/>
          <w:color w:val="auto"/>
        </w:rPr>
      </w:pPr>
    </w:p>
    <w:p>
      <w:pPr>
        <w:jc w:val="both"/>
        <w:spacing w:after="0" w:line="252" w:lineRule="auto"/>
        <w:rPr>
          <w:sz w:val="20"/>
          <w:szCs w:val="20"/>
          <w:color w:val="auto"/>
        </w:rPr>
      </w:pPr>
      <w:r>
        <w:rPr>
          <w:rFonts w:ascii="Calibri" w:cs="Calibri" w:eastAsia="Calibri" w:hAnsi="Calibri"/>
          <w:sz w:val="17"/>
          <w:szCs w:val="17"/>
          <w:color w:val="auto"/>
        </w:rPr>
        <w:t>We have audited Akebia Therapeutcs, Inc.’s internal control over fnancial reportng as of December 31, 2024, based on criteria established in Internal Control —Integrated Framework issued by the Commitee of Sponsoring Organizatons of the Treadway Commission (2013 framework) (the COSO criteria). In our opinion, because of the efect of the material weakness described below on the achievement of the objectves of the control criteria, Akebia Therapeutcs, Inc. (the “Company”) has not maintained efectve internal control over fnancial reportng as of December 31, 2024, based on the COSO criteria.</w:t>
      </w:r>
    </w:p>
    <w:p>
      <w:pPr>
        <w:spacing w:after="0" w:line="10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 material weakness is a defciency, or combinaton of defciencies, in internal control over fnancial reportng, such that there is a reasonable possibility that a material misstatement of the company’s annual or interim fnancial statements will not be prevented or detected on a tmely basis. The following material weakness has been identfed and included in management’s assessment. The Company did not maintain efectve review controls that operated with a sufcient level of precision to evaluate the completeness, accuracy and reasonableness of the product sales forecast, which is used in the evaluaton of excess inventory, including the calculaton of excess frm purchase commitments, and the classifcaton of current and non-current inventory.</w:t>
      </w:r>
    </w:p>
    <w:p>
      <w:pPr>
        <w:spacing w:after="0" w:line="112"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also have audited, in accordance with the standards of the Public Company Accountng Oversight Board (United States) (PCAOB), the consolidated balance sheets of the Company as of December 31, 2024 and 2023, the related consolidated statements of operatons and comprehensive loss, stockholders’ (defcit) equity and cash fows for each of the two years in the period ended December 31, 2024, and the related notes. This material weakness was considered in determining the nature, tming and extent of audit tests applied in our audit of the 2024 consolidated fnancial statements, and this report does not afect our report dated March 13, 2025, which expressed an unqualifed opinion thereon.</w:t>
      </w:r>
    </w:p>
    <w:p>
      <w:pPr>
        <w:spacing w:after="0" w:line="1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Basis for Opinion</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Company’s management is responsible for maintaining efectve internal control over fnancial reportng and for its assessment of the efectveness of internal control over fnancial reportng included in the accompanying Management’s Annual Report on Internal Control over Financial Reportng. Our responsibility is to express an opinion on the Company’s internal control over fnancial reportng based on our audit. We are a public accountng frm registered with the PCAOB and are required to be independent with respect to the Company in accordance with the U.S. federal securites laws and the applicable rules and regulatons of the Securites and Exchange Commission and the PCAOB.</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8" w:name="page169"/>
    <w:bookmarkEnd w:id="16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We conducted our audit in accordance with the standards of the PCAOB. Those standards require that we plan and perform the audit to obtain reasonable assurance about whether efectve internal control over fnancial reportng was maintained in all material respects.</w:t>
      </w:r>
    </w:p>
    <w:p>
      <w:pPr>
        <w:spacing w:after="0" w:line="200" w:lineRule="exact"/>
        <w:rPr>
          <w:sz w:val="20"/>
          <w:szCs w:val="20"/>
          <w:color w:val="auto"/>
        </w:rPr>
      </w:pPr>
    </w:p>
    <w:p>
      <w:pPr>
        <w:spacing w:after="0" w:line="26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Our audit included obtaining an understanding of internal control over fnancial reportng, assessing the risk that a material weakness exists, testng and evaluatng the design and operatng efectveness of internal control based on the assessed risk, and performing such other procedures as we considered necessary in the circumstances. We believe that our audit provides a reasonable basis for our opinion.</w:t>
      </w:r>
    </w:p>
    <w:p>
      <w:pPr>
        <w:spacing w:after="0" w:line="10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Defniton and Limitatons of Internal Control Over Financial Reportng</w:t>
      </w:r>
    </w:p>
    <w:p>
      <w:pPr>
        <w:spacing w:after="0" w:line="109"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A company’s internal control over fnancial reportng is a process designed to provide reasonable assurance regarding the reliability of fnancial reportng and the preparaton of fnancial statements for external purposes in accordance with generally accepted accountng principles. A company’s internal control over fnancial reportng includes those policies and procedures that (1) pertain to the maintenance of records that, in reasonable detail, accurately and fairly refect the transactons and dispositons of the assets of the company; (2) provide reasonable assurance that transactons are recorded as necessary to permit preparaton of fnancial statements in accordance with generally accepted accountng principles, and that receipts and expenditures of the company are being made only in accordance with authorizatons of management and directors of the company; and (3) provide reasonable assurance regarding preventon or tmely detecton of unauthorized acquisiton, use, or dispositon of the company’s assets that could have a material efect on the fnancial statements.</w:t>
      </w:r>
    </w:p>
    <w:p>
      <w:pPr>
        <w:spacing w:after="0" w:line="10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Because of its inherent limitatons, internal control over fnancial reportng may not prevent or detect misstatements. Also, projectons of any evaluaton of efectveness to future periods are subject to the risk that controls may become inadequate because of changes in conditons, or that the degree of compliance with the policies or procedures may deteriorate.</w:t>
      </w:r>
    </w:p>
    <w:p>
      <w:pPr>
        <w:spacing w:after="0" w:line="335" w:lineRule="exact"/>
        <w:rPr>
          <w:sz w:val="20"/>
          <w:szCs w:val="20"/>
          <w:color w:val="auto"/>
        </w:rPr>
      </w:pPr>
    </w:p>
    <w:p>
      <w:pPr>
        <w:spacing w:after="0"/>
        <w:rPr>
          <w:sz w:val="20"/>
          <w:szCs w:val="20"/>
          <w:color w:val="auto"/>
        </w:rPr>
      </w:pPr>
      <w:r>
        <w:rPr>
          <w:rFonts w:ascii="Calibri" w:cs="Calibri" w:eastAsia="Calibri" w:hAnsi="Calibri"/>
          <w:sz w:val="18"/>
          <w:szCs w:val="18"/>
          <w:color w:val="auto"/>
        </w:rPr>
        <w:t>/s/ Ernst &amp; Young LLP</w:t>
      </w:r>
    </w:p>
    <w:p>
      <w:pPr>
        <w:spacing w:after="0" w:line="226" w:lineRule="exact"/>
        <w:rPr>
          <w:sz w:val="20"/>
          <w:szCs w:val="20"/>
          <w:color w:val="auto"/>
        </w:rPr>
      </w:pPr>
    </w:p>
    <w:p>
      <w:pPr>
        <w:spacing w:after="0"/>
        <w:rPr>
          <w:sz w:val="20"/>
          <w:szCs w:val="20"/>
          <w:color w:val="auto"/>
        </w:rPr>
      </w:pPr>
      <w:r>
        <w:rPr>
          <w:rFonts w:ascii="Calibri" w:cs="Calibri" w:eastAsia="Calibri" w:hAnsi="Calibri"/>
          <w:sz w:val="18"/>
          <w:szCs w:val="18"/>
          <w:color w:val="auto"/>
        </w:rPr>
        <w:t>Boston, Massachusets</w:t>
      </w:r>
    </w:p>
    <w:p>
      <w:pPr>
        <w:spacing w:after="0" w:line="221" w:lineRule="auto"/>
        <w:rPr>
          <w:sz w:val="20"/>
          <w:szCs w:val="20"/>
          <w:color w:val="auto"/>
        </w:rPr>
      </w:pPr>
      <w:r>
        <w:rPr>
          <w:rFonts w:ascii="Calibri" w:cs="Calibri" w:eastAsia="Calibri" w:hAnsi="Calibri"/>
          <w:sz w:val="18"/>
          <w:szCs w:val="18"/>
          <w:color w:val="auto"/>
        </w:rPr>
        <w:t>March 13, 2025</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9B. Other Informaton</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Rule 10b5-1 - Director and Ofcer Trading Arrangements</w:t>
      </w:r>
    </w:p>
    <w:p>
      <w:pPr>
        <w:spacing w:after="0" w:line="109"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 xml:space="preserve">From tme to tme, the Company's directors and ofcers (as defned in Rule 16a-1(f) under the Securites Exchange Act of 1934, as amended, or the </w:t>
      </w:r>
      <w:r>
        <w:rPr>
          <w:rFonts w:ascii="Calibri" w:cs="Calibri" w:eastAsia="Calibri" w:hAnsi="Calibri"/>
          <w:sz w:val="18"/>
          <w:szCs w:val="18"/>
          <w:u w:val="single" w:color="auto"/>
          <w:color w:val="auto"/>
        </w:rPr>
        <w:t>Exchange</w:t>
      </w:r>
      <w:r>
        <w:rPr>
          <w:rFonts w:ascii="Calibri" w:cs="Calibri" w:eastAsia="Calibri" w:hAnsi="Calibri"/>
          <w:sz w:val="18"/>
          <w:szCs w:val="18"/>
          <w:color w:val="auto"/>
        </w:rPr>
        <w:t xml:space="preserve"> </w:t>
      </w:r>
      <w:r>
        <w:rPr>
          <w:rFonts w:ascii="Calibri" w:cs="Calibri" w:eastAsia="Calibri" w:hAnsi="Calibri"/>
          <w:sz w:val="18"/>
          <w:szCs w:val="18"/>
          <w:u w:val="single" w:color="auto"/>
          <w:color w:val="auto"/>
        </w:rPr>
        <w:t>Act</w:t>
      </w:r>
      <w:r>
        <w:rPr>
          <w:rFonts w:ascii="Calibri" w:cs="Calibri" w:eastAsia="Calibri" w:hAnsi="Calibri"/>
          <w:sz w:val="18"/>
          <w:szCs w:val="18"/>
          <w:color w:val="auto"/>
        </w:rPr>
        <w:t>, engage in open-market transactons with respect to Company securites, including to satsfy tax withholding obligatons when equity awards vest or are exercised, and for diversifcaton or other personal reasons.</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Transactons in Company securites by directors and ofcers are required to be made in accordance with the Company’s insider trading policy, which requires that the transactons be in accordance with applicable U.S. federal securites laws that prohibit trading while in possession of material nonpublic informaton. Rule 10b5-1 under the Exchange Act provides an afrmatve defense that enables directors and ofcers to prearrange transactons in the Company’s securites in a manner that avoids concerns about initatng transactons while in possession of material nonpublic informaton.</w:t>
      </w:r>
    </w:p>
    <w:p>
      <w:pPr>
        <w:spacing w:after="0" w:line="11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 following table describes, for the fourth quarter of 2024, each trading arrangement for the sale or purchase of Company securites adopted or terminated by our directors and ofcers that is either (1) a contract, instructon or writen plan intended to satsfy the afrmatve defense conditons of Rule 10b5-1(c) (a “Rule 10b5-1 trading arrangement”) or (2) a “non-Rule 10b5-1 trading arrangement” (as defned in Item 408(c) of Regulaton S-K):</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420" w:type="dxa"/>
            <w:vAlign w:val="bottom"/>
            <w:vMerge w:val="restart"/>
          </w:tcPr>
          <w:p>
            <w:pPr>
              <w:ind w:left="300"/>
              <w:spacing w:after="0"/>
              <w:rPr>
                <w:sz w:val="20"/>
                <w:szCs w:val="20"/>
                <w:color w:val="auto"/>
              </w:rPr>
            </w:pPr>
            <w:r>
              <w:rPr>
                <w:rFonts w:ascii="Calibri" w:cs="Calibri" w:eastAsia="Calibri" w:hAnsi="Calibri"/>
                <w:sz w:val="18"/>
                <w:szCs w:val="18"/>
                <w:b w:val="1"/>
                <w:bCs w:val="1"/>
                <w:color w:val="auto"/>
              </w:rPr>
              <w:t>Name (Title)</w:t>
            </w:r>
          </w:p>
        </w:tc>
        <w:tc>
          <w:tcPr>
            <w:tcW w:w="1660" w:type="dxa"/>
            <w:vAlign w:val="bottom"/>
          </w:tcPr>
          <w:p>
            <w:pPr>
              <w:jc w:val="center"/>
              <w:ind w:left="10"/>
              <w:spacing w:after="0"/>
              <w:rPr>
                <w:sz w:val="20"/>
                <w:szCs w:val="20"/>
                <w:color w:val="auto"/>
              </w:rPr>
            </w:pPr>
            <w:r>
              <w:rPr>
                <w:rFonts w:ascii="Calibri" w:cs="Calibri" w:eastAsia="Calibri" w:hAnsi="Calibri"/>
                <w:sz w:val="18"/>
                <w:szCs w:val="18"/>
                <w:b w:val="1"/>
                <w:bCs w:val="1"/>
                <w:color w:val="auto"/>
                <w:w w:val="98"/>
              </w:rPr>
              <w:t>Acton Taken (Date</w:t>
            </w:r>
          </w:p>
        </w:tc>
        <w:tc>
          <w:tcPr>
            <w:tcW w:w="2700" w:type="dxa"/>
            <w:vAlign w:val="bottom"/>
            <w:vMerge w:val="restart"/>
          </w:tcPr>
          <w:p>
            <w:pPr>
              <w:jc w:val="center"/>
              <w:spacing w:after="0"/>
              <w:rPr>
                <w:sz w:val="20"/>
                <w:szCs w:val="20"/>
                <w:color w:val="auto"/>
              </w:rPr>
            </w:pPr>
            <w:r>
              <w:rPr>
                <w:rFonts w:ascii="Calibri" w:cs="Calibri" w:eastAsia="Calibri" w:hAnsi="Calibri"/>
                <w:sz w:val="18"/>
                <w:szCs w:val="18"/>
                <w:b w:val="1"/>
                <w:bCs w:val="1"/>
                <w:color w:val="auto"/>
                <w:w w:val="96"/>
              </w:rPr>
              <w:t>Type of Trading Arrangement</w:t>
            </w:r>
          </w:p>
        </w:tc>
        <w:tc>
          <w:tcPr>
            <w:tcW w:w="1580" w:type="dxa"/>
            <w:vAlign w:val="bottom"/>
          </w:tcPr>
          <w:p>
            <w:pPr>
              <w:jc w:val="center"/>
              <w:spacing w:after="0"/>
              <w:rPr>
                <w:sz w:val="20"/>
                <w:szCs w:val="20"/>
                <w:color w:val="auto"/>
              </w:rPr>
            </w:pPr>
            <w:r>
              <w:rPr>
                <w:rFonts w:ascii="Calibri" w:cs="Calibri" w:eastAsia="Calibri" w:hAnsi="Calibri"/>
                <w:sz w:val="18"/>
                <w:szCs w:val="18"/>
                <w:b w:val="1"/>
                <w:bCs w:val="1"/>
                <w:color w:val="auto"/>
                <w:w w:val="96"/>
              </w:rPr>
              <w:t>Nature of Trading</w:t>
            </w:r>
          </w:p>
        </w:tc>
        <w:tc>
          <w:tcPr>
            <w:tcW w:w="1880" w:type="dxa"/>
            <w:vAlign w:val="bottom"/>
          </w:tcPr>
          <w:p>
            <w:pPr>
              <w:jc w:val="center"/>
              <w:spacing w:after="0"/>
              <w:rPr>
                <w:sz w:val="20"/>
                <w:szCs w:val="20"/>
                <w:color w:val="auto"/>
              </w:rPr>
            </w:pPr>
            <w:r>
              <w:rPr>
                <w:rFonts w:ascii="Calibri" w:cs="Calibri" w:eastAsia="Calibri" w:hAnsi="Calibri"/>
                <w:sz w:val="18"/>
                <w:szCs w:val="18"/>
                <w:b w:val="1"/>
                <w:bCs w:val="1"/>
                <w:color w:val="auto"/>
                <w:w w:val="98"/>
              </w:rPr>
              <w:t>Duraton of Trading</w:t>
            </w:r>
          </w:p>
        </w:tc>
        <w:tc>
          <w:tcPr>
            <w:tcW w:w="1980" w:type="dxa"/>
            <w:vAlign w:val="bottom"/>
          </w:tcPr>
          <w:p>
            <w:pPr>
              <w:jc w:val="center"/>
              <w:spacing w:after="0"/>
              <w:rPr>
                <w:sz w:val="20"/>
                <w:szCs w:val="20"/>
                <w:color w:val="auto"/>
              </w:rPr>
            </w:pPr>
            <w:r>
              <w:rPr>
                <w:rFonts w:ascii="Calibri" w:cs="Calibri" w:eastAsia="Calibri" w:hAnsi="Calibri"/>
                <w:sz w:val="18"/>
                <w:szCs w:val="18"/>
                <w:b w:val="1"/>
                <w:bCs w:val="1"/>
                <w:color w:val="auto"/>
                <w:w w:val="96"/>
              </w:rPr>
              <w:t>Aggregate Number of</w:t>
            </w:r>
          </w:p>
        </w:tc>
        <w:tc>
          <w:tcPr>
            <w:tcW w:w="0" w:type="dxa"/>
            <w:vAlign w:val="bottom"/>
          </w:tcPr>
          <w:p>
            <w:pPr>
              <w:spacing w:after="0"/>
              <w:rPr>
                <w:sz w:val="1"/>
                <w:szCs w:val="1"/>
                <w:color w:val="auto"/>
              </w:rPr>
            </w:pPr>
          </w:p>
        </w:tc>
      </w:tr>
      <w:tr>
        <w:trPr>
          <w:trHeight w:val="107"/>
        </w:trPr>
        <w:tc>
          <w:tcPr>
            <w:tcW w:w="1420" w:type="dxa"/>
            <w:vAlign w:val="bottom"/>
            <w:vMerge w:val="continue"/>
          </w:tcPr>
          <w:p>
            <w:pPr>
              <w:spacing w:after="0"/>
              <w:rPr>
                <w:sz w:val="9"/>
                <w:szCs w:val="9"/>
                <w:color w:val="auto"/>
              </w:rPr>
            </w:pPr>
          </w:p>
        </w:tc>
        <w:tc>
          <w:tcPr>
            <w:tcW w:w="1660" w:type="dxa"/>
            <w:vAlign w:val="bottom"/>
            <w:vMerge w:val="restart"/>
          </w:tcPr>
          <w:p>
            <w:pPr>
              <w:jc w:val="center"/>
              <w:ind w:left="10"/>
              <w:spacing w:after="0" w:line="215" w:lineRule="exact"/>
              <w:rPr>
                <w:sz w:val="20"/>
                <w:szCs w:val="20"/>
                <w:color w:val="auto"/>
              </w:rPr>
            </w:pPr>
            <w:r>
              <w:rPr>
                <w:rFonts w:ascii="Calibri" w:cs="Calibri" w:eastAsia="Calibri" w:hAnsi="Calibri"/>
                <w:sz w:val="18"/>
                <w:szCs w:val="18"/>
                <w:b w:val="1"/>
                <w:bCs w:val="1"/>
                <w:color w:val="auto"/>
              </w:rPr>
              <w:t>of Acton)</w:t>
            </w:r>
          </w:p>
        </w:tc>
        <w:tc>
          <w:tcPr>
            <w:tcW w:w="2700" w:type="dxa"/>
            <w:vAlign w:val="bottom"/>
            <w:vMerge w:val="continue"/>
          </w:tcPr>
          <w:p>
            <w:pPr>
              <w:spacing w:after="0"/>
              <w:rPr>
                <w:sz w:val="9"/>
                <w:szCs w:val="9"/>
                <w:color w:val="auto"/>
              </w:rPr>
            </w:pPr>
          </w:p>
        </w:tc>
        <w:tc>
          <w:tcPr>
            <w:tcW w:w="1580" w:type="dxa"/>
            <w:vAlign w:val="bottom"/>
            <w:vMerge w:val="restart"/>
          </w:tcPr>
          <w:p>
            <w:pPr>
              <w:jc w:val="center"/>
              <w:spacing w:after="0" w:line="215" w:lineRule="exact"/>
              <w:rPr>
                <w:sz w:val="20"/>
                <w:szCs w:val="20"/>
                <w:color w:val="auto"/>
              </w:rPr>
            </w:pPr>
            <w:r>
              <w:rPr>
                <w:rFonts w:ascii="Calibri" w:cs="Calibri" w:eastAsia="Calibri" w:hAnsi="Calibri"/>
                <w:sz w:val="18"/>
                <w:szCs w:val="18"/>
                <w:b w:val="1"/>
                <w:bCs w:val="1"/>
                <w:color w:val="auto"/>
                <w:w w:val="96"/>
              </w:rPr>
              <w:t>Arrangement</w:t>
            </w:r>
          </w:p>
        </w:tc>
        <w:tc>
          <w:tcPr>
            <w:tcW w:w="1880" w:type="dxa"/>
            <w:vAlign w:val="bottom"/>
            <w:vMerge w:val="restart"/>
          </w:tcPr>
          <w:p>
            <w:pPr>
              <w:jc w:val="center"/>
              <w:spacing w:after="0" w:line="215" w:lineRule="exact"/>
              <w:rPr>
                <w:sz w:val="20"/>
                <w:szCs w:val="20"/>
                <w:color w:val="auto"/>
              </w:rPr>
            </w:pPr>
            <w:r>
              <w:rPr>
                <w:rFonts w:ascii="Calibri" w:cs="Calibri" w:eastAsia="Calibri" w:hAnsi="Calibri"/>
                <w:sz w:val="18"/>
                <w:szCs w:val="18"/>
                <w:b w:val="1"/>
                <w:bCs w:val="1"/>
                <w:color w:val="auto"/>
                <w:w w:val="96"/>
              </w:rPr>
              <w:t>Arrangement</w:t>
            </w:r>
          </w:p>
        </w:tc>
        <w:tc>
          <w:tcPr>
            <w:tcW w:w="1980" w:type="dxa"/>
            <w:vAlign w:val="bottom"/>
            <w:vMerge w:val="restart"/>
          </w:tcPr>
          <w:p>
            <w:pPr>
              <w:jc w:val="center"/>
              <w:spacing w:after="0" w:line="215" w:lineRule="exact"/>
              <w:rPr>
                <w:sz w:val="20"/>
                <w:szCs w:val="20"/>
                <w:color w:val="auto"/>
              </w:rPr>
            </w:pPr>
            <w:r>
              <w:rPr>
                <w:rFonts w:ascii="Calibri" w:cs="Calibri" w:eastAsia="Calibri" w:hAnsi="Calibri"/>
                <w:sz w:val="18"/>
                <w:szCs w:val="18"/>
                <w:b w:val="1"/>
                <w:bCs w:val="1"/>
                <w:color w:val="auto"/>
              </w:rPr>
              <w:t>Securites</w:t>
            </w: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270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1880" w:type="dxa"/>
            <w:vAlign w:val="bottom"/>
            <w:vMerge w:val="continue"/>
          </w:tcPr>
          <w:p>
            <w:pPr>
              <w:spacing w:after="0"/>
              <w:rPr>
                <w:sz w:val="9"/>
                <w:szCs w:val="9"/>
                <w:color w:val="auto"/>
              </w:rPr>
            </w:pPr>
          </w:p>
        </w:tc>
        <w:tc>
          <w:tcPr>
            <w:tcW w:w="1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3080" w:type="dxa"/>
            <w:vAlign w:val="bottom"/>
            <w:tcBorders>
              <w:bottom w:val="single" w:sz="8" w:color="auto"/>
            </w:tcBorders>
            <w:gridSpan w:val="2"/>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080" w:type="dxa"/>
            <w:vAlign w:val="bottom"/>
            <w:gridSpan w:val="2"/>
          </w:tcPr>
          <w:p>
            <w:pPr>
              <w:ind w:left="20"/>
              <w:spacing w:after="0" w:line="187" w:lineRule="exact"/>
              <w:rPr>
                <w:sz w:val="20"/>
                <w:szCs w:val="20"/>
                <w:color w:val="auto"/>
              </w:rPr>
            </w:pPr>
            <w:r>
              <w:rPr>
                <w:rFonts w:ascii="Calibri" w:cs="Calibri" w:eastAsia="Calibri" w:hAnsi="Calibri"/>
                <w:sz w:val="18"/>
                <w:szCs w:val="18"/>
                <w:b w:val="1"/>
                <w:bCs w:val="1"/>
                <w:color w:val="auto"/>
              </w:rPr>
              <w:t xml:space="preserve">Richard C. Malabre  </w:t>
            </w:r>
            <w:r>
              <w:rPr>
                <w:rFonts w:ascii="Calibri" w:cs="Calibri" w:eastAsia="Calibri" w:hAnsi="Calibri"/>
                <w:sz w:val="18"/>
                <w:szCs w:val="18"/>
                <w:color w:val="auto"/>
              </w:rPr>
              <w:t>December 12, 2024</w:t>
            </w:r>
          </w:p>
        </w:tc>
        <w:tc>
          <w:tcPr>
            <w:tcW w:w="2700" w:type="dxa"/>
            <w:vAlign w:val="bottom"/>
          </w:tcPr>
          <w:p>
            <w:pPr>
              <w:jc w:val="center"/>
              <w:spacing w:after="0" w:line="187" w:lineRule="exact"/>
              <w:rPr>
                <w:sz w:val="20"/>
                <w:szCs w:val="20"/>
                <w:color w:val="auto"/>
              </w:rPr>
            </w:pPr>
            <w:r>
              <w:rPr>
                <w:rFonts w:ascii="Calibri" w:cs="Calibri" w:eastAsia="Calibri" w:hAnsi="Calibri"/>
                <w:sz w:val="18"/>
                <w:szCs w:val="18"/>
                <w:color w:val="auto"/>
                <w:w w:val="99"/>
              </w:rPr>
              <w:t>Rule 10b5-1 Non-Discretonary</w:t>
            </w:r>
          </w:p>
        </w:tc>
        <w:tc>
          <w:tcPr>
            <w:tcW w:w="1580" w:type="dxa"/>
            <w:vAlign w:val="bottom"/>
          </w:tcPr>
          <w:p>
            <w:pPr>
              <w:jc w:val="center"/>
              <w:spacing w:after="0" w:line="187" w:lineRule="exact"/>
              <w:rPr>
                <w:sz w:val="20"/>
                <w:szCs w:val="20"/>
                <w:color w:val="auto"/>
              </w:rPr>
            </w:pPr>
            <w:r>
              <w:rPr>
                <w:rFonts w:ascii="Calibri" w:cs="Calibri" w:eastAsia="Calibri" w:hAnsi="Calibri"/>
                <w:sz w:val="18"/>
                <w:szCs w:val="18"/>
                <w:color w:val="auto"/>
                <w:w w:val="99"/>
              </w:rPr>
              <w:t>Sale</w:t>
            </w:r>
          </w:p>
        </w:tc>
        <w:tc>
          <w:tcPr>
            <w:tcW w:w="1880" w:type="dxa"/>
            <w:vAlign w:val="bottom"/>
          </w:tcPr>
          <w:p>
            <w:pPr>
              <w:jc w:val="center"/>
              <w:spacing w:after="0" w:line="187" w:lineRule="exact"/>
              <w:rPr>
                <w:sz w:val="20"/>
                <w:szCs w:val="20"/>
                <w:color w:val="auto"/>
              </w:rPr>
            </w:pPr>
            <w:r>
              <w:rPr>
                <w:rFonts w:ascii="Calibri" w:cs="Calibri" w:eastAsia="Calibri" w:hAnsi="Calibri"/>
                <w:sz w:val="18"/>
                <w:szCs w:val="18"/>
                <w:color w:val="auto"/>
                <w:w w:val="99"/>
              </w:rPr>
              <w:t>Untl March 17, 2026</w:t>
            </w:r>
          </w:p>
        </w:tc>
        <w:tc>
          <w:tcPr>
            <w:tcW w:w="1980" w:type="dxa"/>
            <w:vAlign w:val="bottom"/>
          </w:tcPr>
          <w:p>
            <w:pPr>
              <w:jc w:val="center"/>
              <w:spacing w:after="0" w:line="187" w:lineRule="exact"/>
              <w:rPr>
                <w:sz w:val="20"/>
                <w:szCs w:val="20"/>
                <w:color w:val="auto"/>
              </w:rPr>
            </w:pPr>
            <w:r>
              <w:rPr>
                <w:rFonts w:ascii="Calibri" w:cs="Calibri" w:eastAsia="Calibri" w:hAnsi="Calibri"/>
                <w:sz w:val="18"/>
                <w:szCs w:val="18"/>
                <w:color w:val="auto"/>
                <w:w w:val="96"/>
              </w:rPr>
              <w:t>Up to an aggregate of</w:t>
            </w:r>
          </w:p>
        </w:tc>
        <w:tc>
          <w:tcPr>
            <w:tcW w:w="0" w:type="dxa"/>
            <w:vAlign w:val="bottom"/>
          </w:tcPr>
          <w:p>
            <w:pPr>
              <w:spacing w:after="0"/>
              <w:rPr>
                <w:sz w:val="1"/>
                <w:szCs w:val="1"/>
                <w:color w:val="auto"/>
              </w:rPr>
            </w:pPr>
          </w:p>
        </w:tc>
      </w:tr>
      <w:tr>
        <w:trPr>
          <w:trHeight w:val="238"/>
        </w:trPr>
        <w:tc>
          <w:tcPr>
            <w:tcW w:w="142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(Senior Vice</w:t>
            </w:r>
          </w:p>
        </w:tc>
        <w:tc>
          <w:tcPr>
            <w:tcW w:w="1660" w:type="dxa"/>
            <w:vAlign w:val="bottom"/>
          </w:tcPr>
          <w:p>
            <w:pPr>
              <w:spacing w:after="0"/>
              <w:rPr>
                <w:sz w:val="20"/>
                <w:szCs w:val="20"/>
                <w:color w:val="auto"/>
              </w:rPr>
            </w:pPr>
          </w:p>
        </w:tc>
        <w:tc>
          <w:tcPr>
            <w:tcW w:w="2700" w:type="dxa"/>
            <w:vAlign w:val="bottom"/>
          </w:tcPr>
          <w:p>
            <w:pPr>
              <w:jc w:val="center"/>
              <w:spacing w:after="0" w:line="215" w:lineRule="exact"/>
              <w:rPr>
                <w:sz w:val="20"/>
                <w:szCs w:val="20"/>
                <w:color w:val="auto"/>
              </w:rPr>
            </w:pPr>
            <w:r>
              <w:rPr>
                <w:rFonts w:ascii="Calibri" w:cs="Calibri" w:eastAsia="Calibri" w:hAnsi="Calibri"/>
                <w:sz w:val="18"/>
                <w:szCs w:val="18"/>
                <w:color w:val="auto"/>
                <w:w w:val="98"/>
              </w:rPr>
              <w:t>Opton Exercise and Stock Sale Plan</w:t>
            </w:r>
          </w:p>
        </w:tc>
        <w:tc>
          <w:tcPr>
            <w:tcW w:w="15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Calibri" w:cs="Calibri" w:eastAsia="Calibri" w:hAnsi="Calibri"/>
                <w:sz w:val="18"/>
                <w:szCs w:val="18"/>
                <w:color w:val="auto"/>
                <w:w w:val="98"/>
              </w:rPr>
              <w:t>85,002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15175" cy="5575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15175" cy="557530"/>
                    </a:xfrm>
                    <a:prstGeom prst="rect">
                      <a:avLst/>
                    </a:prstGeom>
                    <a:noFill/>
                  </pic:spPr>
                </pic:pic>
              </a:graphicData>
            </a:graphic>
          </wp:anchor>
        </w:drawing>
      </w:r>
    </w:p>
    <w:p>
      <w:pPr>
        <w:ind w:left="20"/>
        <w:spacing w:after="0" w:line="195" w:lineRule="auto"/>
        <w:rPr>
          <w:sz w:val="20"/>
          <w:szCs w:val="20"/>
          <w:color w:val="auto"/>
        </w:rPr>
      </w:pPr>
      <w:r>
        <w:rPr>
          <w:rFonts w:ascii="Calibri" w:cs="Calibri" w:eastAsia="Calibri" w:hAnsi="Calibri"/>
          <w:sz w:val="18"/>
          <w:szCs w:val="18"/>
          <w:b w:val="1"/>
          <w:bCs w:val="1"/>
          <w:color w:val="auto"/>
        </w:rPr>
        <w:t>President, Chief</w:t>
      </w:r>
    </w:p>
    <w:p>
      <w:pPr>
        <w:ind w:left="20"/>
        <w:spacing w:after="0" w:line="221" w:lineRule="auto"/>
        <w:rPr>
          <w:sz w:val="20"/>
          <w:szCs w:val="20"/>
          <w:color w:val="auto"/>
        </w:rPr>
      </w:pPr>
      <w:r>
        <w:rPr>
          <w:rFonts w:ascii="Calibri" w:cs="Calibri" w:eastAsia="Calibri" w:hAnsi="Calibri"/>
          <w:sz w:val="18"/>
          <w:szCs w:val="18"/>
          <w:b w:val="1"/>
          <w:bCs w:val="1"/>
          <w:color w:val="auto"/>
        </w:rPr>
        <w:t>Accountng Ofcer)</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9C. Disclosure Regarding Foreign Jurisdictons that Prevent Inspectons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Akebia Therapeutcs, Inc. | Form 10-K | Page 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9" w:name="page170"/>
    <w:bookmarkEnd w:id="16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alibri" w:cs="Calibri" w:eastAsia="Calibri" w:hAnsi="Calibri"/>
          <w:sz w:val="18"/>
          <w:szCs w:val="18"/>
          <w:color w:val="auto"/>
        </w:rPr>
        <w:t>Not applicable.</w:t>
      </w:r>
    </w:p>
    <w:p>
      <w:pPr>
        <w:spacing w:after="0" w:line="347" w:lineRule="exact"/>
        <w:rPr>
          <w:sz w:val="20"/>
          <w:szCs w:val="20"/>
          <w:color w:val="auto"/>
        </w:rPr>
      </w:pPr>
    </w:p>
    <w:p>
      <w:pPr>
        <w:jc w:val="center"/>
        <w:ind w:right="40"/>
        <w:spacing w:after="0"/>
        <w:rPr>
          <w:sz w:val="20"/>
          <w:szCs w:val="20"/>
          <w:color w:val="auto"/>
        </w:rPr>
      </w:pPr>
      <w:r>
        <w:rPr>
          <w:rFonts w:ascii="Calibri" w:cs="Calibri" w:eastAsia="Calibri" w:hAnsi="Calibri"/>
          <w:sz w:val="18"/>
          <w:szCs w:val="18"/>
          <w:b w:val="1"/>
          <w:bCs w:val="1"/>
          <w:u w:val="single" w:color="auto"/>
          <w:color w:val="auto"/>
        </w:rPr>
        <w:t>PART III</w:t>
      </w:r>
    </w:p>
    <w:p>
      <w:pPr>
        <w:spacing w:after="0" w:line="11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10. Director, Executve Ofcers and Corporate Governance</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informaton required by this Item 10 will be included in our Defnitve Proxy Statement to be fled with the Securites and Exchange Commission, or SEC, with respect to our 2025 Annual Meetng of Stockholders and is incorporated herein by reference.</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11. Executve Compensaton</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informaton required by this Item 11 will be included in our Defnitve Proxy Statement to be fled with the SEC with respect to our 2025 Annual Meetng of Stockholders and, other than the informaton required by Item 402(v) of Regulaton S-K, is incorporated herein by reference.</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12. Security Ownership of Certain Benefcial Owners and Management and Related Stockholder Maters</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informaton required by this Item 12 will be included in our Defnitve Proxy Statement to be fled with the SEC with respect to our 2025 Annual Meetng of Stockholders and is incorporated herein by reference.</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13. Certain Relatonships and Related Transactons, and Director Independence</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informaton required by this Item 13 will be included in our Defnitve Proxy Statement to be fled with the SEC with respect to our 2025 Annual Meetng of Stockholders and is incorporated herein by reference.</w:t>
      </w:r>
    </w:p>
    <w:p>
      <w:pPr>
        <w:spacing w:after="0" w:line="10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14. Principal Accountant Fees and Services</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informaton required by this Item 14 will be included in our Defnitve Proxy Statement to be fled with the SEC with respect to our 2025 Annual Meetng of Stockholders and is incorporated herein by reference.</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Akebia Therapeutcs, Inc. | Form 10-K | Page 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0" w:name="page171"/>
    <w:bookmarkEnd w:id="17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340"/>
        <w:spacing w:after="0"/>
        <w:rPr>
          <w:sz w:val="20"/>
          <w:szCs w:val="20"/>
          <w:color w:val="auto"/>
        </w:rPr>
      </w:pPr>
      <w:r>
        <w:rPr>
          <w:rFonts w:ascii="Calibri" w:cs="Calibri" w:eastAsia="Calibri" w:hAnsi="Calibri"/>
          <w:sz w:val="18"/>
          <w:szCs w:val="18"/>
          <w:b w:val="1"/>
          <w:bCs w:val="1"/>
          <w:color w:val="auto"/>
        </w:rPr>
        <w:t>PART IV</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15. Exhibits and Financial Statement Schedules</w:t>
      </w:r>
    </w:p>
    <w:p>
      <w:pPr>
        <w:spacing w:after="0" w:line="104" w:lineRule="exact"/>
        <w:rPr>
          <w:sz w:val="20"/>
          <w:szCs w:val="20"/>
          <w:color w:val="auto"/>
        </w:rPr>
      </w:pPr>
    </w:p>
    <w:p>
      <w:pPr>
        <w:ind w:left="600" w:hanging="309"/>
        <w:spacing w:after="0"/>
        <w:tabs>
          <w:tab w:leader="none" w:pos="600" w:val="left"/>
        </w:tabs>
        <w:numPr>
          <w:ilvl w:val="0"/>
          <w:numId w:val="76"/>
        </w:numPr>
        <w:rPr>
          <w:rFonts w:ascii="Calibri" w:cs="Calibri" w:eastAsia="Calibri" w:hAnsi="Calibri"/>
          <w:sz w:val="18"/>
          <w:szCs w:val="18"/>
          <w:color w:val="auto"/>
        </w:rPr>
      </w:pPr>
      <w:r>
        <w:rPr>
          <w:rFonts w:ascii="Calibri" w:cs="Calibri" w:eastAsia="Calibri" w:hAnsi="Calibri"/>
          <w:sz w:val="18"/>
          <w:szCs w:val="18"/>
          <w:color w:val="auto"/>
        </w:rPr>
        <w:t>Documents fled as part of this Annual Report on Form 10-K.</w:t>
      </w:r>
    </w:p>
    <w:p>
      <w:pPr>
        <w:spacing w:after="0" w:line="104" w:lineRule="exact"/>
        <w:rPr>
          <w:rFonts w:ascii="Calibri" w:cs="Calibri" w:eastAsia="Calibri" w:hAnsi="Calibri"/>
          <w:sz w:val="18"/>
          <w:szCs w:val="18"/>
          <w:color w:val="auto"/>
        </w:rPr>
      </w:pPr>
    </w:p>
    <w:p>
      <w:pPr>
        <w:ind w:left="600" w:hanging="309"/>
        <w:spacing w:after="0"/>
        <w:tabs>
          <w:tab w:leader="none" w:pos="600" w:val="left"/>
        </w:tabs>
        <w:numPr>
          <w:ilvl w:val="0"/>
          <w:numId w:val="76"/>
        </w:numPr>
        <w:rPr>
          <w:rFonts w:ascii="Calibri" w:cs="Calibri" w:eastAsia="Calibri" w:hAnsi="Calibri"/>
          <w:sz w:val="18"/>
          <w:szCs w:val="18"/>
          <w:color w:val="auto"/>
        </w:rPr>
      </w:pPr>
      <w:r>
        <w:rPr>
          <w:rFonts w:ascii="Calibri" w:cs="Calibri" w:eastAsia="Calibri" w:hAnsi="Calibri"/>
          <w:sz w:val="18"/>
          <w:szCs w:val="18"/>
          <w:color w:val="auto"/>
        </w:rPr>
        <w:t>Consolidated Financial Statements</w:t>
      </w:r>
    </w:p>
    <w:p>
      <w:pPr>
        <w:spacing w:after="0" w:line="104" w:lineRule="exact"/>
        <w:rPr>
          <w:sz w:val="20"/>
          <w:szCs w:val="20"/>
          <w:color w:val="auto"/>
        </w:rPr>
      </w:pPr>
    </w:p>
    <w:p>
      <w:pPr>
        <w:ind w:left="580"/>
        <w:spacing w:after="0"/>
        <w:rPr>
          <w:sz w:val="20"/>
          <w:szCs w:val="20"/>
          <w:color w:val="auto"/>
        </w:rPr>
      </w:pPr>
      <w:r>
        <w:rPr>
          <w:rFonts w:ascii="Calibri" w:cs="Calibri" w:eastAsia="Calibri" w:hAnsi="Calibri"/>
          <w:sz w:val="18"/>
          <w:szCs w:val="18"/>
          <w:color w:val="auto"/>
        </w:rPr>
        <w:t>Report of Independent Registered Public Accountng Firm</w:t>
      </w:r>
    </w:p>
    <w:p>
      <w:pPr>
        <w:spacing w:after="0" w:line="104" w:lineRule="exact"/>
        <w:rPr>
          <w:sz w:val="20"/>
          <w:szCs w:val="20"/>
          <w:color w:val="auto"/>
        </w:rPr>
      </w:pPr>
    </w:p>
    <w:p>
      <w:pPr>
        <w:ind w:left="580"/>
        <w:spacing w:after="0"/>
        <w:rPr>
          <w:sz w:val="20"/>
          <w:szCs w:val="20"/>
          <w:color w:val="auto"/>
        </w:rPr>
      </w:pPr>
      <w:r>
        <w:rPr>
          <w:rFonts w:ascii="Calibri" w:cs="Calibri" w:eastAsia="Calibri" w:hAnsi="Calibri"/>
          <w:sz w:val="18"/>
          <w:szCs w:val="18"/>
          <w:color w:val="auto"/>
        </w:rPr>
        <w:t>Consolidated Balance Sheets</w:t>
      </w:r>
    </w:p>
    <w:p>
      <w:pPr>
        <w:spacing w:after="0" w:line="104" w:lineRule="exact"/>
        <w:rPr>
          <w:sz w:val="20"/>
          <w:szCs w:val="20"/>
          <w:color w:val="auto"/>
        </w:rPr>
      </w:pPr>
    </w:p>
    <w:p>
      <w:pPr>
        <w:ind w:left="580"/>
        <w:spacing w:after="0"/>
        <w:rPr>
          <w:sz w:val="20"/>
          <w:szCs w:val="20"/>
          <w:color w:val="auto"/>
        </w:rPr>
      </w:pPr>
      <w:r>
        <w:rPr>
          <w:rFonts w:ascii="Calibri" w:cs="Calibri" w:eastAsia="Calibri" w:hAnsi="Calibri"/>
          <w:sz w:val="18"/>
          <w:szCs w:val="18"/>
          <w:color w:val="auto"/>
        </w:rPr>
        <w:t>Consolidated Statements of Operatons and Comprehensive Loss</w:t>
      </w:r>
    </w:p>
    <w:p>
      <w:pPr>
        <w:spacing w:after="0" w:line="104" w:lineRule="exact"/>
        <w:rPr>
          <w:sz w:val="20"/>
          <w:szCs w:val="20"/>
          <w:color w:val="auto"/>
        </w:rPr>
      </w:pPr>
    </w:p>
    <w:p>
      <w:pPr>
        <w:ind w:left="580"/>
        <w:spacing w:after="0"/>
        <w:rPr>
          <w:sz w:val="20"/>
          <w:szCs w:val="20"/>
          <w:color w:val="auto"/>
        </w:rPr>
      </w:pPr>
      <w:r>
        <w:rPr>
          <w:rFonts w:ascii="Calibri" w:cs="Calibri" w:eastAsia="Calibri" w:hAnsi="Calibri"/>
          <w:sz w:val="18"/>
          <w:szCs w:val="18"/>
          <w:color w:val="auto"/>
        </w:rPr>
        <w:t>Consolidated Statements of Stockholders’ (Defcit) Equity</w:t>
      </w:r>
    </w:p>
    <w:p>
      <w:pPr>
        <w:spacing w:after="0" w:line="104" w:lineRule="exact"/>
        <w:rPr>
          <w:sz w:val="20"/>
          <w:szCs w:val="20"/>
          <w:color w:val="auto"/>
        </w:rPr>
      </w:pPr>
    </w:p>
    <w:p>
      <w:pPr>
        <w:ind w:left="580"/>
        <w:spacing w:after="0"/>
        <w:rPr>
          <w:sz w:val="20"/>
          <w:szCs w:val="20"/>
          <w:color w:val="auto"/>
        </w:rPr>
      </w:pPr>
      <w:r>
        <w:rPr>
          <w:rFonts w:ascii="Calibri" w:cs="Calibri" w:eastAsia="Calibri" w:hAnsi="Calibri"/>
          <w:sz w:val="18"/>
          <w:szCs w:val="18"/>
          <w:color w:val="auto"/>
        </w:rPr>
        <w:t>Consolidated Statements of Cash Flows</w:t>
      </w:r>
    </w:p>
    <w:p>
      <w:pPr>
        <w:spacing w:after="0" w:line="104" w:lineRule="exact"/>
        <w:rPr>
          <w:sz w:val="20"/>
          <w:szCs w:val="20"/>
          <w:color w:val="auto"/>
        </w:rPr>
      </w:pPr>
    </w:p>
    <w:p>
      <w:pPr>
        <w:ind w:left="580"/>
        <w:spacing w:after="0"/>
        <w:rPr>
          <w:sz w:val="20"/>
          <w:szCs w:val="20"/>
          <w:color w:val="auto"/>
        </w:rPr>
      </w:pPr>
      <w:r>
        <w:rPr>
          <w:rFonts w:ascii="Calibri" w:cs="Calibri" w:eastAsia="Calibri" w:hAnsi="Calibri"/>
          <w:sz w:val="18"/>
          <w:szCs w:val="18"/>
          <w:color w:val="auto"/>
        </w:rPr>
        <w:t>Notes to Consolidated Financial Statements</w:t>
      </w:r>
    </w:p>
    <w:p>
      <w:pPr>
        <w:spacing w:after="0" w:line="104" w:lineRule="exact"/>
        <w:rPr>
          <w:sz w:val="20"/>
          <w:szCs w:val="20"/>
          <w:color w:val="auto"/>
        </w:rPr>
      </w:pPr>
    </w:p>
    <w:p>
      <w:pPr>
        <w:ind w:left="300"/>
        <w:spacing w:after="0"/>
        <w:rPr>
          <w:sz w:val="20"/>
          <w:szCs w:val="20"/>
          <w:color w:val="auto"/>
        </w:rPr>
      </w:pPr>
      <w:r>
        <w:rPr>
          <w:rFonts w:ascii="Calibri" w:cs="Calibri" w:eastAsia="Calibri" w:hAnsi="Calibri"/>
          <w:sz w:val="18"/>
          <w:szCs w:val="18"/>
          <w:color w:val="auto"/>
        </w:rPr>
        <w:t>(2)  Schedules</w:t>
      </w:r>
    </w:p>
    <w:p>
      <w:pPr>
        <w:spacing w:after="0" w:line="217" w:lineRule="exact"/>
        <w:rPr>
          <w:sz w:val="20"/>
          <w:szCs w:val="20"/>
          <w:color w:val="auto"/>
        </w:rPr>
      </w:pPr>
    </w:p>
    <w:p>
      <w:pPr>
        <w:ind w:left="500"/>
        <w:spacing w:after="0"/>
        <w:rPr>
          <w:sz w:val="20"/>
          <w:szCs w:val="20"/>
          <w:color w:val="auto"/>
        </w:rPr>
      </w:pPr>
      <w:r>
        <w:rPr>
          <w:rFonts w:ascii="Calibri" w:cs="Calibri" w:eastAsia="Calibri" w:hAnsi="Calibri"/>
          <w:sz w:val="17"/>
          <w:szCs w:val="17"/>
          <w:color w:val="auto"/>
        </w:rPr>
        <w:t>Schedules have been omited as all required informaton has been disclosed in the consolidated fnancial statements and related footnotes.</w:t>
      </w:r>
    </w:p>
    <w:p>
      <w:pPr>
        <w:spacing w:after="0" w:line="112" w:lineRule="exact"/>
        <w:rPr>
          <w:sz w:val="20"/>
          <w:szCs w:val="20"/>
          <w:color w:val="auto"/>
        </w:rPr>
      </w:pPr>
    </w:p>
    <w:p>
      <w:pPr>
        <w:ind w:left="300"/>
        <w:spacing w:after="0"/>
        <w:rPr>
          <w:sz w:val="20"/>
          <w:szCs w:val="20"/>
          <w:color w:val="auto"/>
        </w:rPr>
      </w:pPr>
      <w:r>
        <w:rPr>
          <w:rFonts w:ascii="Calibri" w:cs="Calibri" w:eastAsia="Calibri" w:hAnsi="Calibri"/>
          <w:sz w:val="18"/>
          <w:szCs w:val="18"/>
          <w:color w:val="auto"/>
        </w:rPr>
        <w:t>(3)  Exhibits</w:t>
      </w:r>
    </w:p>
    <w:p>
      <w:pPr>
        <w:spacing w:after="0" w:line="212" w:lineRule="exact"/>
        <w:rPr>
          <w:sz w:val="20"/>
          <w:szCs w:val="20"/>
          <w:color w:val="auto"/>
        </w:rPr>
      </w:pPr>
    </w:p>
    <w:p>
      <w:pPr>
        <w:ind w:left="500"/>
        <w:spacing w:after="0"/>
        <w:rPr>
          <w:sz w:val="20"/>
          <w:szCs w:val="20"/>
          <w:color w:val="auto"/>
        </w:rPr>
      </w:pPr>
      <w:r>
        <w:rPr>
          <w:rFonts w:ascii="Calibri" w:cs="Calibri" w:eastAsia="Calibri" w:hAnsi="Calibri"/>
          <w:sz w:val="18"/>
          <w:szCs w:val="18"/>
          <w:color w:val="auto"/>
        </w:rPr>
        <w:t>The Exhibits listed below are fled as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80"/>
        <w:spacing w:after="0"/>
        <w:rPr>
          <w:sz w:val="20"/>
          <w:szCs w:val="20"/>
          <w:color w:val="auto"/>
        </w:rPr>
      </w:pPr>
      <w:r>
        <w:rPr>
          <w:rFonts w:ascii="Calibri" w:cs="Calibri" w:eastAsia="Calibri" w:hAnsi="Calibri"/>
          <w:sz w:val="18"/>
          <w:szCs w:val="18"/>
          <w:color w:val="auto"/>
        </w:rPr>
        <w:t>Akebia Therapeutcs, Inc. | Form 10-K | Page 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328" w:right="1179" w:bottom="1440" w:gutter="0" w:footer="0" w:header="0"/>
        </w:sectPr>
      </w:pPr>
    </w:p>
    <w:bookmarkStart w:id="171" w:name="page172"/>
    <w:bookmarkEnd w:id="17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4"/>
          </w:tcPr>
          <w:p>
            <w:pPr>
              <w:ind w:left="500"/>
              <w:spacing w:after="0"/>
              <w:rPr>
                <w:sz w:val="20"/>
                <w:szCs w:val="20"/>
                <w:color w:val="auto"/>
              </w:rPr>
            </w:pPr>
            <w:r>
              <w:rPr>
                <w:rFonts w:ascii="Calibri" w:cs="Calibri" w:eastAsia="Calibri" w:hAnsi="Calibri"/>
                <w:sz w:val="16"/>
                <w:szCs w:val="16"/>
                <w:color w:val="auto"/>
                <w:w w:val="99"/>
              </w:rPr>
              <w:t>Incorporated by Reference</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460" w:type="dxa"/>
            <w:vAlign w:val="bottom"/>
            <w:gridSpan w:val="2"/>
            <w:vMerge w:val="restart"/>
          </w:tcPr>
          <w:p>
            <w:pPr>
              <w:ind w:left="20"/>
              <w:spacing w:after="0"/>
              <w:rPr>
                <w:sz w:val="20"/>
                <w:szCs w:val="20"/>
                <w:color w:val="auto"/>
              </w:rPr>
            </w:pPr>
            <w:r>
              <w:rPr>
                <w:rFonts w:ascii="Calibri" w:cs="Calibri" w:eastAsia="Calibri" w:hAnsi="Calibri"/>
                <w:sz w:val="16"/>
                <w:szCs w:val="16"/>
                <w:b w:val="1"/>
                <w:bCs w:val="1"/>
                <w:color w:val="auto"/>
              </w:rPr>
              <w:t>Exhibit</w:t>
            </w: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4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jc w:val="center"/>
              <w:ind w:right="100"/>
              <w:spacing w:after="0" w:line="150" w:lineRule="exact"/>
              <w:rPr>
                <w:sz w:val="20"/>
                <w:szCs w:val="20"/>
                <w:color w:val="auto"/>
              </w:rPr>
            </w:pPr>
            <w:r>
              <w:rPr>
                <w:rFonts w:ascii="Calibri" w:cs="Calibri" w:eastAsia="Calibri" w:hAnsi="Calibri"/>
                <w:sz w:val="16"/>
                <w:szCs w:val="16"/>
                <w:color w:val="auto"/>
              </w:rPr>
              <w:t>Schedule/</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center"/>
              <w:spacing w:after="0" w:line="150" w:lineRule="exact"/>
              <w:rPr>
                <w:sz w:val="20"/>
                <w:szCs w:val="20"/>
                <w:color w:val="auto"/>
              </w:rPr>
            </w:pPr>
            <w:r>
              <w:rPr>
                <w:rFonts w:ascii="Calibri" w:cs="Calibri" w:eastAsia="Calibri" w:hAnsi="Calibri"/>
                <w:sz w:val="16"/>
                <w:szCs w:val="16"/>
                <w:color w:val="auto"/>
              </w:rPr>
              <w:t>Filed Date/ Period End</w:t>
            </w:r>
          </w:p>
        </w:tc>
        <w:tc>
          <w:tcPr>
            <w:tcW w:w="0" w:type="dxa"/>
            <w:vAlign w:val="bottom"/>
          </w:tcPr>
          <w:p>
            <w:pPr>
              <w:spacing w:after="0"/>
              <w:rPr>
                <w:sz w:val="1"/>
                <w:szCs w:val="1"/>
                <w:color w:val="auto"/>
              </w:rPr>
            </w:pPr>
          </w:p>
        </w:tc>
      </w:tr>
      <w:tr>
        <w:trPr>
          <w:trHeight w:val="193"/>
        </w:trPr>
        <w:tc>
          <w:tcPr>
            <w:tcW w:w="1460" w:type="dxa"/>
            <w:vAlign w:val="bottom"/>
            <w:gridSpan w:val="2"/>
          </w:tcPr>
          <w:p>
            <w:pPr>
              <w:ind w:left="20"/>
              <w:spacing w:after="0" w:line="193" w:lineRule="exact"/>
              <w:rPr>
                <w:sz w:val="20"/>
                <w:szCs w:val="20"/>
                <w:color w:val="auto"/>
              </w:rPr>
            </w:pPr>
            <w:r>
              <w:rPr>
                <w:rFonts w:ascii="Calibri" w:cs="Calibri" w:eastAsia="Calibri" w:hAnsi="Calibri"/>
                <w:sz w:val="16"/>
                <w:szCs w:val="16"/>
                <w:b w:val="1"/>
                <w:bCs w:val="1"/>
                <w:color w:val="auto"/>
              </w:rPr>
              <w:t>Number</w:t>
            </w:r>
          </w:p>
        </w:tc>
        <w:tc>
          <w:tcPr>
            <w:tcW w:w="20" w:type="dxa"/>
            <w:vAlign w:val="bottom"/>
          </w:tcPr>
          <w:p>
            <w:pPr>
              <w:spacing w:after="0"/>
              <w:rPr>
                <w:sz w:val="16"/>
                <w:szCs w:val="16"/>
                <w:color w:val="auto"/>
              </w:rPr>
            </w:pPr>
          </w:p>
        </w:tc>
        <w:tc>
          <w:tcPr>
            <w:tcW w:w="4820" w:type="dxa"/>
            <w:vAlign w:val="bottom"/>
            <w:gridSpan w:val="26"/>
          </w:tcPr>
          <w:p>
            <w:pPr>
              <w:spacing w:after="0" w:line="193" w:lineRule="exact"/>
              <w:rPr>
                <w:sz w:val="20"/>
                <w:szCs w:val="20"/>
                <w:color w:val="auto"/>
              </w:rPr>
            </w:pPr>
            <w:r>
              <w:rPr>
                <w:rFonts w:ascii="Calibri" w:cs="Calibri" w:eastAsia="Calibri" w:hAnsi="Calibri"/>
                <w:sz w:val="16"/>
                <w:szCs w:val="16"/>
                <w:b w:val="1"/>
                <w:bCs w:val="1"/>
                <w:color w:val="auto"/>
              </w:rPr>
              <w:t>Descripton of Exhibit</w:t>
            </w:r>
          </w:p>
        </w:tc>
        <w:tc>
          <w:tcPr>
            <w:tcW w:w="1080" w:type="dxa"/>
            <w:vAlign w:val="bottom"/>
            <w:gridSpan w:val="2"/>
          </w:tcPr>
          <w:p>
            <w:pPr>
              <w:jc w:val="center"/>
              <w:ind w:right="100"/>
              <w:spacing w:after="0" w:line="193" w:lineRule="exact"/>
              <w:rPr>
                <w:sz w:val="20"/>
                <w:szCs w:val="20"/>
                <w:color w:val="auto"/>
              </w:rPr>
            </w:pPr>
            <w:r>
              <w:rPr>
                <w:rFonts w:ascii="Calibri" w:cs="Calibri" w:eastAsia="Calibri" w:hAnsi="Calibri"/>
                <w:sz w:val="16"/>
                <w:szCs w:val="16"/>
                <w:color w:val="auto"/>
                <w:w w:val="99"/>
              </w:rPr>
              <w:t>Form</w:t>
            </w:r>
          </w:p>
        </w:tc>
        <w:tc>
          <w:tcPr>
            <w:tcW w:w="1260" w:type="dxa"/>
            <w:vAlign w:val="bottom"/>
            <w:gridSpan w:val="2"/>
          </w:tcPr>
          <w:p>
            <w:pPr>
              <w:ind w:left="340"/>
              <w:spacing w:after="0" w:line="193" w:lineRule="exact"/>
              <w:rPr>
                <w:sz w:val="20"/>
                <w:szCs w:val="20"/>
                <w:color w:val="auto"/>
              </w:rPr>
            </w:pPr>
            <w:r>
              <w:rPr>
                <w:rFonts w:ascii="Calibri" w:cs="Calibri" w:eastAsia="Calibri" w:hAnsi="Calibri"/>
                <w:sz w:val="16"/>
                <w:szCs w:val="16"/>
                <w:color w:val="auto"/>
              </w:rPr>
              <w:t>File No.</w:t>
            </w:r>
          </w:p>
        </w:tc>
        <w:tc>
          <w:tcPr>
            <w:tcW w:w="1000" w:type="dxa"/>
            <w:vAlign w:val="bottom"/>
            <w:gridSpan w:val="2"/>
          </w:tcPr>
          <w:p>
            <w:pPr>
              <w:ind w:left="220"/>
              <w:spacing w:after="0" w:line="193" w:lineRule="exact"/>
              <w:rPr>
                <w:sz w:val="20"/>
                <w:szCs w:val="20"/>
                <w:color w:val="auto"/>
              </w:rPr>
            </w:pPr>
            <w:r>
              <w:rPr>
                <w:rFonts w:ascii="Calibri" w:cs="Calibri" w:eastAsia="Calibri" w:hAnsi="Calibri"/>
                <w:sz w:val="16"/>
                <w:szCs w:val="16"/>
                <w:color w:val="auto"/>
              </w:rPr>
              <w:t>Exhibit</w:t>
            </w:r>
          </w:p>
        </w:tc>
        <w:tc>
          <w:tcPr>
            <w:tcW w:w="1580" w:type="dxa"/>
            <w:vAlign w:val="bottom"/>
          </w:tcPr>
          <w:p>
            <w:pPr>
              <w:jc w:val="center"/>
              <w:spacing w:after="0" w:line="193" w:lineRule="exact"/>
              <w:rPr>
                <w:sz w:val="20"/>
                <w:szCs w:val="20"/>
                <w:color w:val="auto"/>
              </w:rPr>
            </w:pPr>
            <w:r>
              <w:rPr>
                <w:rFonts w:ascii="Calibri" w:cs="Calibri" w:eastAsia="Calibri" w:hAnsi="Calibri"/>
                <w:sz w:val="16"/>
                <w:szCs w:val="16"/>
                <w:color w:val="auto"/>
              </w:rPr>
              <w:t>Date</w:t>
            </w:r>
          </w:p>
        </w:tc>
        <w:tc>
          <w:tcPr>
            <w:tcW w:w="0" w:type="dxa"/>
            <w:vAlign w:val="bottom"/>
          </w:tcPr>
          <w:p>
            <w:pPr>
              <w:spacing w:after="0"/>
              <w:rPr>
                <w:sz w:val="1"/>
                <w:szCs w:val="1"/>
                <w:color w:val="auto"/>
              </w:rPr>
            </w:pPr>
          </w:p>
        </w:tc>
      </w:tr>
      <w:tr>
        <w:trPr>
          <w:trHeight w:val="28"/>
        </w:trPr>
        <w:tc>
          <w:tcPr>
            <w:tcW w:w="10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1040" w:type="dxa"/>
            <w:vAlign w:val="bottom"/>
          </w:tcPr>
          <w:p>
            <w:pPr>
              <w:ind w:left="220"/>
              <w:spacing w:after="0"/>
              <w:rPr>
                <w:sz w:val="20"/>
                <w:szCs w:val="20"/>
                <w:color w:val="auto"/>
              </w:rPr>
            </w:pPr>
            <w:r>
              <w:rPr>
                <w:rFonts w:ascii="Calibri" w:cs="Calibri" w:eastAsia="Calibri" w:hAnsi="Calibri"/>
                <w:sz w:val="16"/>
                <w:szCs w:val="16"/>
                <w:color w:val="auto"/>
              </w:rPr>
              <w:t>2.1**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26"/>
          </w:tcPr>
          <w:p>
            <w:pPr>
              <w:spacing w:after="0"/>
              <w:rPr>
                <w:rFonts w:ascii="Calibri" w:cs="Calibri" w:eastAsia="Calibri" w:hAnsi="Calibri"/>
                <w:sz w:val="16"/>
                <w:szCs w:val="16"/>
                <w:color w:val="0000FF"/>
              </w:rPr>
            </w:pPr>
            <w:hyperlink r:id="rId195">
              <w:r>
                <w:rPr>
                  <w:rFonts w:ascii="Calibri" w:cs="Calibri" w:eastAsia="Calibri" w:hAnsi="Calibri"/>
                  <w:sz w:val="16"/>
                  <w:szCs w:val="16"/>
                  <w:color w:val="0000FF"/>
                </w:rPr>
                <w:t>Agreement and Plan of Merger, dated as of June 28, 2018, by and among</w:t>
              </w:r>
            </w:hyperlink>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8-K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w w:val="98"/>
              </w:rPr>
              <w:t>2.1</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June 28, 2018</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60" w:type="dxa"/>
            <w:vAlign w:val="bottom"/>
            <w:tcBorders>
              <w:top w:val="single" w:sz="8" w:color="0000FF"/>
            </w:tcBorders>
            <w:gridSpan w:val="23"/>
          </w:tcPr>
          <w:p>
            <w:pPr>
              <w:spacing w:after="0" w:line="142" w:lineRule="exact"/>
              <w:rPr>
                <w:rFonts w:ascii="Calibri" w:cs="Calibri" w:eastAsia="Calibri" w:hAnsi="Calibri"/>
                <w:sz w:val="15"/>
                <w:szCs w:val="15"/>
                <w:color w:val="0000FF"/>
              </w:rPr>
            </w:pPr>
            <w:hyperlink r:id="rId195">
              <w:r>
                <w:rPr>
                  <w:rFonts w:ascii="Calibri" w:cs="Calibri" w:eastAsia="Calibri" w:hAnsi="Calibri"/>
                  <w:sz w:val="15"/>
                  <w:szCs w:val="15"/>
                  <w:color w:val="0000FF"/>
                </w:rPr>
                <w:t>Akebia Therapeutcs, Inc., Alpha Therapeutcs Merger Sub, Inc.,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tcBorders>
              <w:top w:val="single" w:sz="8" w:color="0000FF"/>
              <w:bottom w:val="single" w:sz="8" w:color="0000FF"/>
            </w:tcBorders>
            <w:gridSpan w:val="4"/>
          </w:tcPr>
          <w:p>
            <w:pPr>
              <w:spacing w:after="0" w:line="142" w:lineRule="exact"/>
              <w:rPr>
                <w:rFonts w:ascii="Calibri" w:cs="Calibri" w:eastAsia="Calibri" w:hAnsi="Calibri"/>
                <w:sz w:val="15"/>
                <w:szCs w:val="15"/>
                <w:color w:val="0000FF"/>
              </w:rPr>
            </w:pPr>
            <w:hyperlink r:id="rId195">
              <w:r>
                <w:rPr>
                  <w:rFonts w:ascii="Calibri" w:cs="Calibri" w:eastAsia="Calibri" w:hAnsi="Calibri"/>
                  <w:sz w:val="15"/>
                  <w:szCs w:val="15"/>
                  <w:color w:val="0000FF"/>
                </w:rPr>
                <w:t>Keryx Biopharmaceutcals, Inc.</w:t>
              </w:r>
            </w:hyperlink>
          </w:p>
        </w:tc>
        <w:tc>
          <w:tcPr>
            <w:tcW w:w="242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2"/>
        </w:trPr>
        <w:tc>
          <w:tcPr>
            <w:tcW w:w="1040" w:type="dxa"/>
            <w:vAlign w:val="bottom"/>
          </w:tcPr>
          <w:p>
            <w:pPr>
              <w:ind w:left="220"/>
              <w:spacing w:after="0"/>
              <w:rPr>
                <w:sz w:val="20"/>
                <w:szCs w:val="20"/>
                <w:color w:val="auto"/>
              </w:rPr>
            </w:pPr>
            <w:r>
              <w:rPr>
                <w:rFonts w:ascii="Calibri" w:cs="Calibri" w:eastAsia="Calibri" w:hAnsi="Calibri"/>
                <w:sz w:val="16"/>
                <w:szCs w:val="16"/>
                <w:color w:val="auto"/>
              </w:rPr>
              <w:t>2.2</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26"/>
          </w:tcPr>
          <w:p>
            <w:pPr>
              <w:spacing w:after="0"/>
              <w:rPr>
                <w:rFonts w:ascii="Calibri" w:cs="Calibri" w:eastAsia="Calibri" w:hAnsi="Calibri"/>
                <w:sz w:val="16"/>
                <w:szCs w:val="16"/>
                <w:color w:val="0000FF"/>
              </w:rPr>
            </w:pPr>
            <w:hyperlink r:id="rId196">
              <w:r>
                <w:rPr>
                  <w:rFonts w:ascii="Calibri" w:cs="Calibri" w:eastAsia="Calibri" w:hAnsi="Calibri"/>
                  <w:sz w:val="16"/>
                  <w:szCs w:val="16"/>
                  <w:color w:val="0000FF"/>
                </w:rPr>
                <w:t>First Amendment to Agreement and Plan of Merger, dated as of October</w:t>
              </w:r>
            </w:hyperlink>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8-K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w w:val="98"/>
              </w:rPr>
              <w:t>2.1</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October 1, 2018</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40" w:type="dxa"/>
            <w:vAlign w:val="bottom"/>
            <w:tcBorders>
              <w:top w:val="single" w:sz="8" w:color="0000FF"/>
            </w:tcBorders>
            <w:gridSpan w:val="22"/>
          </w:tcPr>
          <w:p>
            <w:pPr>
              <w:spacing w:after="0" w:line="142" w:lineRule="exact"/>
              <w:rPr>
                <w:rFonts w:ascii="Calibri" w:cs="Calibri" w:eastAsia="Calibri" w:hAnsi="Calibri"/>
                <w:sz w:val="15"/>
                <w:szCs w:val="15"/>
                <w:color w:val="0000FF"/>
              </w:rPr>
            </w:pPr>
            <w:hyperlink r:id="rId196">
              <w:r>
                <w:rPr>
                  <w:rFonts w:ascii="Calibri" w:cs="Calibri" w:eastAsia="Calibri" w:hAnsi="Calibri"/>
                  <w:sz w:val="15"/>
                  <w:szCs w:val="15"/>
                  <w:color w:val="0000FF"/>
                </w:rPr>
                <w:t>1, 2018, by and among Akebia Therapeutcs, Inc., Alpha Therapeutcs</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0" w:type="dxa"/>
            <w:vAlign w:val="bottom"/>
            <w:tcBorders>
              <w:top w:val="single" w:sz="8" w:color="0000FF"/>
              <w:bottom w:val="single" w:sz="8" w:color="0000FF"/>
            </w:tcBorders>
            <w:gridSpan w:val="11"/>
          </w:tcPr>
          <w:p>
            <w:pPr>
              <w:spacing w:after="0" w:line="142" w:lineRule="exact"/>
              <w:rPr>
                <w:rFonts w:ascii="Calibri" w:cs="Calibri" w:eastAsia="Calibri" w:hAnsi="Calibri"/>
                <w:sz w:val="15"/>
                <w:szCs w:val="15"/>
                <w:color w:val="0000FF"/>
              </w:rPr>
            </w:pPr>
            <w:hyperlink r:id="rId196">
              <w:r>
                <w:rPr>
                  <w:rFonts w:ascii="Calibri" w:cs="Calibri" w:eastAsia="Calibri" w:hAnsi="Calibri"/>
                  <w:sz w:val="15"/>
                  <w:szCs w:val="15"/>
                  <w:color w:val="0000FF"/>
                </w:rPr>
                <w:t>Merger Sub, Inc. and Keryx Biopharmaceutcals, Inc.</w:t>
              </w:r>
            </w:hyperlink>
          </w:p>
        </w:tc>
        <w:tc>
          <w:tcPr>
            <w:tcW w:w="112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2"/>
        </w:trPr>
        <w:tc>
          <w:tcPr>
            <w:tcW w:w="1040" w:type="dxa"/>
            <w:vAlign w:val="bottom"/>
          </w:tcPr>
          <w:p>
            <w:pPr>
              <w:ind w:left="220"/>
              <w:spacing w:after="0"/>
              <w:rPr>
                <w:sz w:val="20"/>
                <w:szCs w:val="20"/>
                <w:color w:val="auto"/>
              </w:rPr>
            </w:pPr>
            <w:r>
              <w:rPr>
                <w:rFonts w:ascii="Calibri" w:cs="Calibri" w:eastAsia="Calibri" w:hAnsi="Calibri"/>
                <w:sz w:val="16"/>
                <w:szCs w:val="16"/>
                <w:color w:val="auto"/>
              </w:rPr>
              <w:t>3.1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26"/>
          </w:tcPr>
          <w:p>
            <w:pPr>
              <w:spacing w:after="0"/>
              <w:rPr>
                <w:rFonts w:ascii="Calibri" w:cs="Calibri" w:eastAsia="Calibri" w:hAnsi="Calibri"/>
                <w:sz w:val="16"/>
                <w:szCs w:val="16"/>
                <w:color w:val="0000FF"/>
              </w:rPr>
            </w:pPr>
            <w:hyperlink r:id="rId197">
              <w:r>
                <w:rPr>
                  <w:rFonts w:ascii="Calibri" w:cs="Calibri" w:eastAsia="Calibri" w:hAnsi="Calibri"/>
                  <w:sz w:val="16"/>
                  <w:szCs w:val="16"/>
                  <w:color w:val="0000FF"/>
                </w:rPr>
                <w:t>Ninth Amended and Restated Certfcate of Incorporaton</w:t>
              </w:r>
            </w:hyperlink>
          </w:p>
        </w:tc>
        <w:tc>
          <w:tcPr>
            <w:tcW w:w="1080" w:type="dxa"/>
            <w:vAlign w:val="bottom"/>
            <w:gridSpan w:val="2"/>
          </w:tcPr>
          <w:p>
            <w:pPr>
              <w:jc w:val="center"/>
              <w:ind w:right="100"/>
              <w:spacing w:after="0"/>
              <w:rPr>
                <w:sz w:val="20"/>
                <w:szCs w:val="20"/>
                <w:color w:val="auto"/>
              </w:rPr>
            </w:pPr>
            <w:r>
              <w:rPr>
                <w:rFonts w:ascii="Calibri" w:cs="Calibri" w:eastAsia="Calibri" w:hAnsi="Calibri"/>
                <w:sz w:val="16"/>
                <w:szCs w:val="16"/>
                <w:color w:val="auto"/>
              </w:rPr>
              <w:t>8-K</w:t>
            </w:r>
          </w:p>
        </w:tc>
        <w:tc>
          <w:tcPr>
            <w:tcW w:w="1180" w:type="dxa"/>
            <w:vAlign w:val="bottom"/>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Calibri" w:cs="Calibri" w:eastAsia="Calibri" w:hAnsi="Calibri"/>
                <w:sz w:val="16"/>
                <w:szCs w:val="16"/>
                <w:color w:val="auto"/>
                <w:w w:val="98"/>
              </w:rPr>
              <w:t>3.1</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Calibri" w:cs="Calibri" w:eastAsia="Calibri" w:hAnsi="Calibri"/>
                <w:sz w:val="16"/>
                <w:szCs w:val="16"/>
                <w:color w:val="auto"/>
              </w:rPr>
              <w:t>March 28, 2014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tcPr>
          <w:p>
            <w:pPr>
              <w:ind w:left="220"/>
              <w:spacing w:after="0"/>
              <w:rPr>
                <w:sz w:val="20"/>
                <w:szCs w:val="20"/>
                <w:color w:val="auto"/>
              </w:rPr>
            </w:pPr>
            <w:r>
              <w:rPr>
                <w:rFonts w:ascii="Calibri" w:cs="Calibri" w:eastAsia="Calibri" w:hAnsi="Calibri"/>
                <w:sz w:val="16"/>
                <w:szCs w:val="16"/>
                <w:color w:val="auto"/>
              </w:rPr>
              <w:t>3.2</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26"/>
          </w:tcPr>
          <w:p>
            <w:pPr>
              <w:spacing w:after="0"/>
              <w:rPr>
                <w:rFonts w:ascii="Calibri" w:cs="Calibri" w:eastAsia="Calibri" w:hAnsi="Calibri"/>
                <w:sz w:val="16"/>
                <w:szCs w:val="16"/>
                <w:color w:val="0000FF"/>
              </w:rPr>
            </w:pPr>
            <w:hyperlink r:id="rId198">
              <w:r>
                <w:rPr>
                  <w:rFonts w:ascii="Calibri" w:cs="Calibri" w:eastAsia="Calibri" w:hAnsi="Calibri"/>
                  <w:sz w:val="16"/>
                  <w:szCs w:val="16"/>
                  <w:color w:val="0000FF"/>
                </w:rPr>
                <w:t>Certfcate of Amendment of Ninth Amended and Restated Certfcate of</w:t>
              </w:r>
            </w:hyperlink>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8-K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w w:val="98"/>
              </w:rPr>
              <w:t>3.1</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June 9, 2020</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2740" w:type="dxa"/>
            <w:vAlign w:val="bottom"/>
            <w:tcBorders>
              <w:top w:val="single" w:sz="8" w:color="0000FF"/>
            </w:tcBorders>
            <w:gridSpan w:val="9"/>
            <w:vMerge w:val="restart"/>
          </w:tcPr>
          <w:p>
            <w:pPr>
              <w:spacing w:after="0" w:line="142" w:lineRule="exact"/>
              <w:rPr>
                <w:rFonts w:ascii="Calibri" w:cs="Calibri" w:eastAsia="Calibri" w:hAnsi="Calibri"/>
                <w:sz w:val="15"/>
                <w:szCs w:val="15"/>
                <w:color w:val="0000FF"/>
              </w:rPr>
            </w:pPr>
            <w:hyperlink r:id="rId198">
              <w:r>
                <w:rPr>
                  <w:rFonts w:ascii="Calibri" w:cs="Calibri" w:eastAsia="Calibri" w:hAnsi="Calibri"/>
                  <w:sz w:val="15"/>
                  <w:szCs w:val="15"/>
                  <w:color w:val="0000FF"/>
                </w:rPr>
                <w:t>Incorporaton of Akebia Therapeutcs, Inc.</w:t>
              </w:r>
            </w:hyperlink>
          </w:p>
        </w:tc>
        <w:tc>
          <w:tcPr>
            <w:tcW w:w="1980" w:type="dxa"/>
            <w:vAlign w:val="bottom"/>
            <w:tcBorders>
              <w:top w:val="single" w:sz="8" w:color="0000FF"/>
            </w:tcBorders>
            <w:gridSpan w:val="12"/>
            <w:vMerge w:val="restart"/>
          </w:tcPr>
          <w:p>
            <w:pPr>
              <w:spacing w:after="0"/>
              <w:rPr>
                <w:sz w:val="7"/>
                <w:szCs w:val="7"/>
                <w:color w:val="auto"/>
              </w:rPr>
            </w:pPr>
          </w:p>
        </w:tc>
        <w:tc>
          <w:tcPr>
            <w:tcW w:w="100" w:type="dxa"/>
            <w:vAlign w:val="bottom"/>
            <w:gridSpan w:val="5"/>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740" w:type="dxa"/>
            <w:vAlign w:val="bottom"/>
            <w:tcBorders>
              <w:bottom w:val="single" w:sz="8" w:color="0000FF"/>
            </w:tcBorders>
            <w:gridSpan w:val="9"/>
            <w:vMerge w:val="continue"/>
          </w:tcPr>
          <w:p>
            <w:pPr>
              <w:spacing w:after="0"/>
              <w:rPr>
                <w:sz w:val="4"/>
                <w:szCs w:val="4"/>
                <w:color w:val="auto"/>
              </w:rPr>
            </w:pPr>
          </w:p>
        </w:tc>
        <w:tc>
          <w:tcPr>
            <w:tcW w:w="1980" w:type="dxa"/>
            <w:vAlign w:val="bottom"/>
            <w:gridSpan w:val="12"/>
            <w:vMerge w:val="continue"/>
          </w:tcPr>
          <w:p>
            <w:pPr>
              <w:spacing w:after="0"/>
              <w:rPr>
                <w:sz w:val="4"/>
                <w:szCs w:val="4"/>
                <w:color w:val="auto"/>
              </w:rPr>
            </w:pPr>
          </w:p>
        </w:tc>
        <w:tc>
          <w:tcPr>
            <w:tcW w:w="100" w:type="dxa"/>
            <w:vAlign w:val="bottom"/>
            <w:gridSpan w:val="5"/>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1040" w:type="dxa"/>
            <w:vAlign w:val="bottom"/>
          </w:tcPr>
          <w:p>
            <w:pPr>
              <w:ind w:left="220"/>
              <w:spacing w:after="0"/>
              <w:rPr>
                <w:sz w:val="20"/>
                <w:szCs w:val="20"/>
                <w:color w:val="auto"/>
              </w:rPr>
            </w:pPr>
            <w:r>
              <w:rPr>
                <w:rFonts w:ascii="Calibri" w:cs="Calibri" w:eastAsia="Calibri" w:hAnsi="Calibri"/>
                <w:sz w:val="16"/>
                <w:szCs w:val="16"/>
                <w:color w:val="auto"/>
              </w:rPr>
              <w:t>3.3</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tcBorders>
              <w:bottom w:val="single" w:sz="8" w:color="0000FF"/>
            </w:tcBorders>
            <w:gridSpan w:val="14"/>
          </w:tcPr>
          <w:p>
            <w:pPr>
              <w:spacing w:after="0"/>
              <w:rPr>
                <w:rFonts w:ascii="Calibri" w:cs="Calibri" w:eastAsia="Calibri" w:hAnsi="Calibri"/>
                <w:sz w:val="16"/>
                <w:szCs w:val="16"/>
                <w:color w:val="0000FF"/>
              </w:rPr>
            </w:pPr>
            <w:hyperlink r:id="rId199">
              <w:r>
                <w:rPr>
                  <w:rFonts w:ascii="Calibri" w:cs="Calibri" w:eastAsia="Calibri" w:hAnsi="Calibri"/>
                  <w:sz w:val="16"/>
                  <w:szCs w:val="16"/>
                  <w:color w:val="0000FF"/>
                </w:rPr>
                <w:t>Second Amended and Restated Bylaws of Akebia Therapeutcs, Inc.</w:t>
              </w:r>
            </w:hyperlink>
          </w:p>
        </w:tc>
        <w:tc>
          <w:tcPr>
            <w:tcW w:w="440" w:type="dxa"/>
            <w:vAlign w:val="bottom"/>
            <w:gridSpan w:val="12"/>
          </w:tcPr>
          <w:p>
            <w:pPr>
              <w:spacing w:after="0"/>
              <w:rPr>
                <w:sz w:val="24"/>
                <w:szCs w:val="24"/>
                <w:color w:val="auto"/>
              </w:rPr>
            </w:pPr>
          </w:p>
        </w:tc>
        <w:tc>
          <w:tcPr>
            <w:tcW w:w="1080" w:type="dxa"/>
            <w:vAlign w:val="bottom"/>
            <w:gridSpan w:val="2"/>
          </w:tcPr>
          <w:p>
            <w:pPr>
              <w:jc w:val="center"/>
              <w:ind w:right="100"/>
              <w:spacing w:after="0"/>
              <w:rPr>
                <w:sz w:val="20"/>
                <w:szCs w:val="20"/>
                <w:color w:val="auto"/>
              </w:rPr>
            </w:pPr>
            <w:r>
              <w:rPr>
                <w:rFonts w:ascii="Calibri" w:cs="Calibri" w:eastAsia="Calibri" w:hAnsi="Calibri"/>
                <w:sz w:val="16"/>
                <w:szCs w:val="16"/>
                <w:color w:val="auto"/>
              </w:rPr>
              <w:t>8-K</w:t>
            </w:r>
          </w:p>
        </w:tc>
        <w:tc>
          <w:tcPr>
            <w:tcW w:w="1180" w:type="dxa"/>
            <w:vAlign w:val="bottom"/>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Calibri" w:cs="Calibri" w:eastAsia="Calibri" w:hAnsi="Calibri"/>
                <w:sz w:val="16"/>
                <w:szCs w:val="16"/>
                <w:color w:val="auto"/>
                <w:w w:val="98"/>
              </w:rPr>
              <w:t>3.1</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Calibri" w:cs="Calibri" w:eastAsia="Calibri" w:hAnsi="Calibri"/>
                <w:sz w:val="16"/>
                <w:szCs w:val="16"/>
                <w:color w:val="auto"/>
              </w:rPr>
              <w:t>April 28, 2023</w:t>
            </w:r>
          </w:p>
        </w:tc>
        <w:tc>
          <w:tcPr>
            <w:tcW w:w="0" w:type="dxa"/>
            <w:vAlign w:val="bottom"/>
          </w:tcPr>
          <w:p>
            <w:pPr>
              <w:spacing w:after="0"/>
              <w:rPr>
                <w:sz w:val="1"/>
                <w:szCs w:val="1"/>
                <w:color w:val="auto"/>
              </w:rPr>
            </w:pPr>
          </w:p>
        </w:tc>
      </w:tr>
      <w:tr>
        <w:trPr>
          <w:trHeight w:val="412"/>
        </w:trPr>
        <w:tc>
          <w:tcPr>
            <w:tcW w:w="1040" w:type="dxa"/>
            <w:vAlign w:val="bottom"/>
          </w:tcPr>
          <w:p>
            <w:pPr>
              <w:ind w:left="220"/>
              <w:spacing w:after="0"/>
              <w:rPr>
                <w:sz w:val="20"/>
                <w:szCs w:val="20"/>
                <w:color w:val="auto"/>
              </w:rPr>
            </w:pPr>
            <w:r>
              <w:rPr>
                <w:rFonts w:ascii="Calibri" w:cs="Calibri" w:eastAsia="Calibri" w:hAnsi="Calibri"/>
                <w:sz w:val="16"/>
                <w:szCs w:val="16"/>
                <w:color w:val="auto"/>
              </w:rPr>
              <w:t>4.1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26"/>
          </w:tcPr>
          <w:p>
            <w:pPr>
              <w:spacing w:after="0"/>
              <w:rPr>
                <w:rFonts w:ascii="Calibri" w:cs="Calibri" w:eastAsia="Calibri" w:hAnsi="Calibri"/>
                <w:sz w:val="16"/>
                <w:szCs w:val="16"/>
                <w:color w:val="0000FF"/>
              </w:rPr>
            </w:pPr>
            <w:hyperlink r:id="rId200">
              <w:r>
                <w:rPr>
                  <w:rFonts w:ascii="Calibri" w:cs="Calibri" w:eastAsia="Calibri" w:hAnsi="Calibri"/>
                  <w:sz w:val="16"/>
                  <w:szCs w:val="16"/>
                  <w:color w:val="0000FF"/>
                </w:rPr>
                <w:t>Form of Common Stock Certfcate</w:t>
              </w:r>
            </w:hyperlink>
          </w:p>
        </w:tc>
        <w:tc>
          <w:tcPr>
            <w:tcW w:w="1080" w:type="dxa"/>
            <w:vAlign w:val="bottom"/>
            <w:gridSpan w:val="2"/>
          </w:tcPr>
          <w:p>
            <w:pPr>
              <w:jc w:val="center"/>
              <w:ind w:right="120"/>
              <w:spacing w:after="0"/>
              <w:rPr>
                <w:sz w:val="20"/>
                <w:szCs w:val="20"/>
                <w:color w:val="auto"/>
              </w:rPr>
            </w:pPr>
            <w:r>
              <w:rPr>
                <w:rFonts w:ascii="Calibri" w:cs="Calibri" w:eastAsia="Calibri" w:hAnsi="Calibri"/>
                <w:sz w:val="16"/>
                <w:szCs w:val="16"/>
                <w:color w:val="auto"/>
              </w:rPr>
              <w:t>S-1/A</w:t>
            </w:r>
          </w:p>
        </w:tc>
        <w:tc>
          <w:tcPr>
            <w:tcW w:w="1180" w:type="dxa"/>
            <w:vAlign w:val="bottom"/>
          </w:tcPr>
          <w:p>
            <w:pPr>
              <w:jc w:val="center"/>
              <w:spacing w:after="0"/>
              <w:rPr>
                <w:sz w:val="20"/>
                <w:szCs w:val="20"/>
                <w:color w:val="auto"/>
              </w:rPr>
            </w:pPr>
            <w:r>
              <w:rPr>
                <w:rFonts w:ascii="Calibri" w:cs="Calibri" w:eastAsia="Calibri" w:hAnsi="Calibri"/>
                <w:sz w:val="16"/>
                <w:szCs w:val="16"/>
                <w:color w:val="auto"/>
              </w:rPr>
              <w:t>333-193969</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Calibri" w:cs="Calibri" w:eastAsia="Calibri" w:hAnsi="Calibri"/>
                <w:sz w:val="16"/>
                <w:szCs w:val="16"/>
                <w:color w:val="auto"/>
                <w:w w:val="98"/>
              </w:rPr>
              <w:t>4.1</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Calibri" w:cs="Calibri" w:eastAsia="Calibri" w:hAnsi="Calibri"/>
                <w:sz w:val="16"/>
                <w:szCs w:val="16"/>
                <w:color w:val="auto"/>
              </w:rPr>
              <w:t>March 4, 2014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tcPr>
          <w:p>
            <w:pPr>
              <w:ind w:left="220"/>
              <w:spacing w:after="0"/>
              <w:rPr>
                <w:sz w:val="20"/>
                <w:szCs w:val="20"/>
                <w:color w:val="auto"/>
              </w:rPr>
            </w:pPr>
            <w:r>
              <w:rPr>
                <w:rFonts w:ascii="Calibri" w:cs="Calibri" w:eastAsia="Calibri" w:hAnsi="Calibri"/>
                <w:sz w:val="16"/>
                <w:szCs w:val="16"/>
                <w:color w:val="auto"/>
              </w:rPr>
              <w:t>4.2</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0" w:type="dxa"/>
            <w:vAlign w:val="bottom"/>
            <w:tcBorders>
              <w:bottom w:val="single" w:sz="8" w:color="0000FF"/>
            </w:tcBorders>
            <w:gridSpan w:val="25"/>
          </w:tcPr>
          <w:p>
            <w:pPr>
              <w:spacing w:after="0"/>
              <w:rPr>
                <w:rFonts w:ascii="Calibri" w:cs="Calibri" w:eastAsia="Calibri" w:hAnsi="Calibri"/>
                <w:sz w:val="16"/>
                <w:szCs w:val="16"/>
                <w:color w:val="0000FF"/>
              </w:rPr>
            </w:pPr>
            <w:hyperlink r:id="rId201">
              <w:r>
                <w:rPr>
                  <w:rFonts w:ascii="Calibri" w:cs="Calibri" w:eastAsia="Calibri" w:hAnsi="Calibri"/>
                  <w:sz w:val="16"/>
                  <w:szCs w:val="16"/>
                  <w:color w:val="0000FF"/>
                </w:rPr>
                <w:t>Fourth Amended and Restated Investors’ Rights Agreement, dated March</w:t>
              </w:r>
            </w:hyperlink>
          </w:p>
        </w:tc>
        <w:tc>
          <w:tcPr>
            <w:tcW w:w="20" w:type="dxa"/>
            <w:vAlign w:val="bottom"/>
          </w:tcPr>
          <w:p>
            <w:pPr>
              <w:spacing w:after="0"/>
              <w:rPr>
                <w:sz w:val="24"/>
                <w:szCs w:val="24"/>
                <w:color w:val="auto"/>
              </w:rPr>
            </w:pPr>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w w:val="98"/>
              </w:rPr>
              <w:t>4.4</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March 4, 2015</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gridSpan w:val="3"/>
            <w:vMerge w:val="restart"/>
          </w:tcPr>
          <w:p>
            <w:pPr>
              <w:ind w:left="20"/>
              <w:spacing w:after="0" w:line="142" w:lineRule="exact"/>
              <w:rPr>
                <w:rFonts w:ascii="Calibri" w:cs="Calibri" w:eastAsia="Calibri" w:hAnsi="Calibri"/>
                <w:sz w:val="15"/>
                <w:szCs w:val="15"/>
                <w:color w:val="0000FF"/>
              </w:rPr>
            </w:pPr>
            <w:hyperlink r:id="rId201">
              <w:r>
                <w:rPr>
                  <w:rFonts w:ascii="Calibri" w:cs="Calibri" w:eastAsia="Calibri" w:hAnsi="Calibri"/>
                  <w:sz w:val="15"/>
                  <w:szCs w:val="15"/>
                  <w:color w:val="0000FF"/>
                </w:rPr>
                <w:t>5, 2014</w:t>
              </w:r>
            </w:hyperlink>
          </w:p>
        </w:tc>
        <w:tc>
          <w:tcPr>
            <w:tcW w:w="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gridSpan w:val="3"/>
            <w:vMerge w:val="continue"/>
          </w:tcPr>
          <w:p>
            <w:pPr>
              <w:spacing w:after="0"/>
              <w:rPr>
                <w:sz w:val="4"/>
                <w:szCs w:val="4"/>
                <w:color w:val="auto"/>
              </w:rPr>
            </w:pPr>
          </w:p>
        </w:tc>
        <w:tc>
          <w:tcPr>
            <w:tcW w:w="6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tcPr>
          <w:p>
            <w:pPr>
              <w:ind w:left="220"/>
              <w:spacing w:after="0"/>
              <w:rPr>
                <w:sz w:val="20"/>
                <w:szCs w:val="20"/>
                <w:color w:val="auto"/>
              </w:rPr>
            </w:pPr>
            <w:r>
              <w:rPr>
                <w:rFonts w:ascii="Calibri" w:cs="Calibri" w:eastAsia="Calibri" w:hAnsi="Calibri"/>
                <w:sz w:val="16"/>
                <w:szCs w:val="16"/>
                <w:color w:val="auto"/>
              </w:rPr>
              <w:t>4.3#</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tcBorders>
              <w:bottom w:val="single" w:sz="8" w:color="0000FF"/>
            </w:tcBorders>
            <w:gridSpan w:val="19"/>
          </w:tcPr>
          <w:p>
            <w:pPr>
              <w:spacing w:after="0"/>
              <w:rPr>
                <w:rFonts w:ascii="Calibri" w:cs="Calibri" w:eastAsia="Calibri" w:hAnsi="Calibri"/>
                <w:sz w:val="16"/>
                <w:szCs w:val="16"/>
                <w:color w:val="0000FF"/>
              </w:rPr>
            </w:pPr>
            <w:hyperlink r:id="rId202">
              <w:r>
                <w:rPr>
                  <w:rFonts w:ascii="Calibri" w:cs="Calibri" w:eastAsia="Calibri" w:hAnsi="Calibri"/>
                  <w:sz w:val="16"/>
                  <w:szCs w:val="16"/>
                  <w:color w:val="0000FF"/>
                </w:rPr>
                <w:t>Amendment No. 1 to Fourth Amended and Restated Investors’ Rights</w:t>
              </w:r>
            </w:hyperlink>
          </w:p>
        </w:tc>
        <w:tc>
          <w:tcPr>
            <w:tcW w:w="280" w:type="dxa"/>
            <w:vAlign w:val="bottom"/>
            <w:gridSpan w:val="7"/>
          </w:tcPr>
          <w:p>
            <w:pPr>
              <w:spacing w:after="0"/>
              <w:rPr>
                <w:sz w:val="24"/>
                <w:szCs w:val="24"/>
                <w:color w:val="auto"/>
              </w:rPr>
            </w:pPr>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w w:val="98"/>
              </w:rPr>
              <w:t>4.5</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March 12, 2018</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20" w:type="dxa"/>
            <w:vAlign w:val="bottom"/>
            <w:gridSpan w:val="26"/>
            <w:vMerge w:val="restart"/>
          </w:tcPr>
          <w:p>
            <w:pPr>
              <w:spacing w:after="0" w:line="142" w:lineRule="exact"/>
              <w:rPr>
                <w:rFonts w:ascii="Calibri" w:cs="Calibri" w:eastAsia="Calibri" w:hAnsi="Calibri"/>
                <w:sz w:val="15"/>
                <w:szCs w:val="15"/>
                <w:color w:val="0000FF"/>
              </w:rPr>
            </w:pPr>
            <w:hyperlink r:id="rId202">
              <w:r>
                <w:rPr>
                  <w:rFonts w:ascii="Calibri" w:cs="Calibri" w:eastAsia="Calibri" w:hAnsi="Calibri"/>
                  <w:sz w:val="15"/>
                  <w:szCs w:val="15"/>
                  <w:color w:val="0000FF"/>
                </w:rPr>
                <w:t>Agreement, dated June 28, 2017</w:t>
              </w:r>
            </w:hyperlink>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820" w:type="dxa"/>
            <w:vAlign w:val="bottom"/>
            <w:gridSpan w:val="26"/>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tcPr>
          <w:p>
            <w:pPr>
              <w:ind w:left="220"/>
              <w:spacing w:after="0"/>
              <w:rPr>
                <w:sz w:val="20"/>
                <w:szCs w:val="20"/>
                <w:color w:val="auto"/>
              </w:rPr>
            </w:pPr>
            <w:r>
              <w:rPr>
                <w:rFonts w:ascii="Calibri" w:cs="Calibri" w:eastAsia="Calibri" w:hAnsi="Calibri"/>
                <w:sz w:val="16"/>
                <w:szCs w:val="16"/>
                <w:color w:val="auto"/>
              </w:rPr>
              <w:t>4.4#</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tcBorders>
              <w:bottom w:val="single" w:sz="8" w:color="0000FF"/>
            </w:tcBorders>
            <w:gridSpan w:val="16"/>
          </w:tcPr>
          <w:p>
            <w:pPr>
              <w:spacing w:after="0"/>
              <w:rPr>
                <w:rFonts w:ascii="Calibri" w:cs="Calibri" w:eastAsia="Calibri" w:hAnsi="Calibri"/>
                <w:sz w:val="16"/>
                <w:szCs w:val="16"/>
                <w:color w:val="0000FF"/>
              </w:rPr>
            </w:pPr>
            <w:hyperlink r:id="rId203">
              <w:r>
                <w:rPr>
                  <w:rFonts w:ascii="Calibri" w:cs="Calibri" w:eastAsia="Calibri" w:hAnsi="Calibri"/>
                  <w:sz w:val="16"/>
                  <w:szCs w:val="16"/>
                  <w:color w:val="0000FF"/>
                </w:rPr>
                <w:t>Investment Agreement between Akebia Therapeutcs, Inc. and Vifor</w:t>
              </w:r>
            </w:hyperlink>
          </w:p>
        </w:tc>
        <w:tc>
          <w:tcPr>
            <w:tcW w:w="380" w:type="dxa"/>
            <w:vAlign w:val="bottom"/>
            <w:gridSpan w:val="10"/>
          </w:tcPr>
          <w:p>
            <w:pPr>
              <w:spacing w:after="0"/>
              <w:rPr>
                <w:sz w:val="24"/>
                <w:szCs w:val="24"/>
                <w:color w:val="auto"/>
              </w:rPr>
            </w:pPr>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w w:val="98"/>
              </w:rPr>
              <w:t>4.1</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August 8, 2017</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20" w:type="dxa"/>
            <w:vAlign w:val="bottom"/>
            <w:gridSpan w:val="26"/>
            <w:vMerge w:val="restart"/>
          </w:tcPr>
          <w:p>
            <w:pPr>
              <w:spacing w:after="0" w:line="142" w:lineRule="exact"/>
              <w:rPr>
                <w:rFonts w:ascii="Calibri" w:cs="Calibri" w:eastAsia="Calibri" w:hAnsi="Calibri"/>
                <w:sz w:val="15"/>
                <w:szCs w:val="15"/>
                <w:color w:val="0000FF"/>
              </w:rPr>
            </w:pPr>
            <w:hyperlink r:id="rId203">
              <w:r>
                <w:rPr>
                  <w:rFonts w:ascii="Calibri" w:cs="Calibri" w:eastAsia="Calibri" w:hAnsi="Calibri"/>
                  <w:sz w:val="15"/>
                  <w:szCs w:val="15"/>
                  <w:color w:val="0000FF"/>
                </w:rPr>
                <w:t>(Internatonal) Ltd., dated May 12, 2017</w:t>
              </w:r>
            </w:hyperlink>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820" w:type="dxa"/>
            <w:vAlign w:val="bottom"/>
            <w:gridSpan w:val="26"/>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tcPr>
          <w:p>
            <w:pPr>
              <w:ind w:left="220"/>
              <w:spacing w:after="0"/>
              <w:rPr>
                <w:sz w:val="20"/>
                <w:szCs w:val="20"/>
                <w:color w:val="auto"/>
              </w:rPr>
            </w:pPr>
            <w:r>
              <w:rPr>
                <w:rFonts w:ascii="Calibri" w:cs="Calibri" w:eastAsia="Calibri" w:hAnsi="Calibri"/>
                <w:sz w:val="16"/>
                <w:szCs w:val="16"/>
                <w:color w:val="auto"/>
              </w:rPr>
              <w:t>4.5!</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40" w:type="dxa"/>
            <w:vAlign w:val="bottom"/>
            <w:tcBorders>
              <w:bottom w:val="single" w:sz="8" w:color="0000FF"/>
            </w:tcBorders>
            <w:gridSpan w:val="16"/>
          </w:tcPr>
          <w:p>
            <w:pPr>
              <w:spacing w:after="0"/>
              <w:rPr>
                <w:rFonts w:ascii="Calibri" w:cs="Calibri" w:eastAsia="Calibri" w:hAnsi="Calibri"/>
                <w:sz w:val="16"/>
                <w:szCs w:val="16"/>
                <w:color w:val="0000FF"/>
              </w:rPr>
            </w:pPr>
            <w:hyperlink r:id="rId204">
              <w:r>
                <w:rPr>
                  <w:rFonts w:ascii="Calibri" w:cs="Calibri" w:eastAsia="Calibri" w:hAnsi="Calibri"/>
                  <w:sz w:val="16"/>
                  <w:szCs w:val="16"/>
                  <w:color w:val="0000FF"/>
                </w:rPr>
                <w:t>Investment Agreement between Akebia Therapeutcs, Inc. and Vifor</w:t>
              </w:r>
            </w:hyperlink>
          </w:p>
        </w:tc>
        <w:tc>
          <w:tcPr>
            <w:tcW w:w="380" w:type="dxa"/>
            <w:vAlign w:val="bottom"/>
            <w:gridSpan w:val="10"/>
          </w:tcPr>
          <w:p>
            <w:pPr>
              <w:spacing w:after="0"/>
              <w:rPr>
                <w:sz w:val="24"/>
                <w:szCs w:val="24"/>
                <w:color w:val="auto"/>
              </w:rPr>
            </w:pPr>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w w:val="98"/>
              </w:rPr>
              <w:t>4.5</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March 1, 2022</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20" w:type="dxa"/>
            <w:vAlign w:val="bottom"/>
            <w:gridSpan w:val="26"/>
            <w:vMerge w:val="restart"/>
          </w:tcPr>
          <w:p>
            <w:pPr>
              <w:spacing w:after="0" w:line="142" w:lineRule="exact"/>
              <w:rPr>
                <w:rFonts w:ascii="Calibri" w:cs="Calibri" w:eastAsia="Calibri" w:hAnsi="Calibri"/>
                <w:sz w:val="15"/>
                <w:szCs w:val="15"/>
                <w:color w:val="0000FF"/>
              </w:rPr>
            </w:pPr>
            <w:hyperlink r:id="rId204">
              <w:r>
                <w:rPr>
                  <w:rFonts w:ascii="Calibri" w:cs="Calibri" w:eastAsia="Calibri" w:hAnsi="Calibri"/>
                  <w:sz w:val="15"/>
                  <w:szCs w:val="15"/>
                  <w:color w:val="0000FF"/>
                </w:rPr>
                <w:t>(Internatonal) Ltd., dated February 18, 2022</w:t>
              </w:r>
            </w:hyperlink>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820" w:type="dxa"/>
            <w:vAlign w:val="bottom"/>
            <w:gridSpan w:val="26"/>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93"/>
        </w:trPr>
        <w:tc>
          <w:tcPr>
            <w:tcW w:w="1040" w:type="dxa"/>
            <w:vAlign w:val="bottom"/>
          </w:tcPr>
          <w:p>
            <w:pPr>
              <w:ind w:left="220"/>
              <w:spacing w:after="0"/>
              <w:rPr>
                <w:sz w:val="20"/>
                <w:szCs w:val="20"/>
                <w:color w:val="auto"/>
              </w:rPr>
            </w:pPr>
            <w:r>
              <w:rPr>
                <w:rFonts w:ascii="Calibri" w:cs="Calibri" w:eastAsia="Calibri" w:hAnsi="Calibri"/>
                <w:sz w:val="16"/>
                <w:szCs w:val="16"/>
                <w:color w:val="auto"/>
              </w:rPr>
              <w:t>4.6</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Borders>
              <w:top w:val="single" w:sz="8" w:color="0000FF"/>
            </w:tcBorders>
            <w:gridSpan w:val="10"/>
          </w:tcPr>
          <w:p>
            <w:pPr>
              <w:spacing w:after="0"/>
              <w:rPr>
                <w:rFonts w:ascii="Calibri" w:cs="Calibri" w:eastAsia="Calibri" w:hAnsi="Calibri"/>
                <w:sz w:val="16"/>
                <w:szCs w:val="16"/>
                <w:color w:val="0000FF"/>
              </w:rPr>
            </w:pPr>
            <w:hyperlink r:id="rId205">
              <w:r>
                <w:rPr>
                  <w:rFonts w:ascii="Calibri" w:cs="Calibri" w:eastAsia="Calibri" w:hAnsi="Calibri"/>
                  <w:sz w:val="16"/>
                  <w:szCs w:val="16"/>
                  <w:color w:val="0000FF"/>
                </w:rPr>
                <w:t>Descripton of Registrant’s Securites</w:t>
              </w:r>
            </w:hyperlink>
          </w:p>
        </w:tc>
        <w:tc>
          <w:tcPr>
            <w:tcW w:w="1920" w:type="dxa"/>
            <w:vAlign w:val="bottom"/>
            <w:gridSpan w:val="16"/>
          </w:tcPr>
          <w:p>
            <w:pPr>
              <w:spacing w:after="0"/>
              <w:rPr>
                <w:sz w:val="24"/>
                <w:szCs w:val="24"/>
                <w:color w:val="auto"/>
              </w:rPr>
            </w:pPr>
          </w:p>
        </w:tc>
        <w:tc>
          <w:tcPr>
            <w:tcW w:w="1080" w:type="dxa"/>
            <w:vAlign w:val="bottom"/>
            <w:gridSpan w:val="2"/>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Calibri" w:cs="Calibri" w:eastAsia="Calibri" w:hAnsi="Calibri"/>
                <w:sz w:val="16"/>
                <w:szCs w:val="16"/>
                <w:color w:val="auto"/>
                <w:w w:val="98"/>
              </w:rPr>
              <w:t>4.6</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Calibri" w:cs="Calibri" w:eastAsia="Calibri" w:hAnsi="Calibri"/>
                <w:sz w:val="16"/>
                <w:szCs w:val="16"/>
                <w:color w:val="auto"/>
              </w:rPr>
              <w:t>February 25, 2021</w:t>
            </w:r>
          </w:p>
        </w:tc>
        <w:tc>
          <w:tcPr>
            <w:tcW w:w="0" w:type="dxa"/>
            <w:vAlign w:val="bottom"/>
          </w:tcPr>
          <w:p>
            <w:pPr>
              <w:spacing w:after="0"/>
              <w:rPr>
                <w:sz w:val="1"/>
                <w:szCs w:val="1"/>
                <w:color w:val="auto"/>
              </w:rPr>
            </w:pPr>
          </w:p>
        </w:tc>
      </w:tr>
      <w:tr>
        <w:trPr>
          <w:trHeight w:val="453"/>
        </w:trPr>
        <w:tc>
          <w:tcPr>
            <w:tcW w:w="1040" w:type="dxa"/>
            <w:vAlign w:val="bottom"/>
          </w:tcPr>
          <w:p>
            <w:pPr>
              <w:ind w:left="180"/>
              <w:spacing w:after="0"/>
              <w:rPr>
                <w:sz w:val="20"/>
                <w:szCs w:val="20"/>
                <w:color w:val="auto"/>
              </w:rPr>
            </w:pPr>
            <w:r>
              <w:rPr>
                <w:rFonts w:ascii="Calibri" w:cs="Calibri" w:eastAsia="Calibri" w:hAnsi="Calibri"/>
                <w:sz w:val="16"/>
                <w:szCs w:val="16"/>
                <w:color w:val="auto"/>
              </w:rPr>
              <w:t>4.7</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tcBorders>
              <w:top w:val="single" w:sz="8" w:color="0000FF"/>
            </w:tcBorders>
            <w:gridSpan w:val="7"/>
          </w:tcPr>
          <w:p>
            <w:pPr>
              <w:spacing w:after="0"/>
              <w:rPr>
                <w:rFonts w:ascii="Calibri" w:cs="Calibri" w:eastAsia="Calibri" w:hAnsi="Calibri"/>
                <w:sz w:val="16"/>
                <w:szCs w:val="16"/>
                <w:color w:val="0000FF"/>
              </w:rPr>
            </w:pPr>
            <w:hyperlink r:id="rId206">
              <w:r>
                <w:rPr>
                  <w:rFonts w:ascii="Calibri" w:cs="Calibri" w:eastAsia="Calibri" w:hAnsi="Calibri"/>
                  <w:sz w:val="16"/>
                  <w:szCs w:val="16"/>
                  <w:color w:val="0000FF"/>
                </w:rPr>
                <w:t>Form of Warrant</w:t>
              </w:r>
            </w:hyperlink>
          </w:p>
        </w:tc>
        <w:tc>
          <w:tcPr>
            <w:tcW w:w="2440" w:type="dxa"/>
            <w:vAlign w:val="bottom"/>
            <w:gridSpan w:val="19"/>
          </w:tcPr>
          <w:p>
            <w:pPr>
              <w:spacing w:after="0"/>
              <w:rPr>
                <w:sz w:val="24"/>
                <w:szCs w:val="24"/>
                <w:color w:val="auto"/>
              </w:rPr>
            </w:pPr>
          </w:p>
        </w:tc>
        <w:tc>
          <w:tcPr>
            <w:tcW w:w="1080" w:type="dxa"/>
            <w:vAlign w:val="bottom"/>
            <w:gridSpan w:val="2"/>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Calibri" w:cs="Calibri" w:eastAsia="Calibri" w:hAnsi="Calibri"/>
                <w:sz w:val="16"/>
                <w:szCs w:val="16"/>
                <w:color w:val="auto"/>
                <w:w w:val="98"/>
              </w:rPr>
              <w:t>4.7</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Calibri" w:cs="Calibri" w:eastAsia="Calibri" w:hAnsi="Calibri"/>
                <w:sz w:val="16"/>
                <w:szCs w:val="16"/>
                <w:color w:val="auto"/>
              </w:rPr>
              <w:t>March 14, 2024</w:t>
            </w: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600" w:type="dxa"/>
            <w:vAlign w:val="bottom"/>
            <w:gridSpan w:val="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460" w:type="dxa"/>
            <w:vAlign w:val="bottom"/>
            <w:gridSpan w:val="2"/>
          </w:tcPr>
          <w:p>
            <w:pPr>
              <w:ind w:left="220"/>
              <w:spacing w:after="0"/>
              <w:rPr>
                <w:sz w:val="20"/>
                <w:szCs w:val="20"/>
                <w:color w:val="auto"/>
              </w:rPr>
            </w:pPr>
            <w:r>
              <w:rPr>
                <w:rFonts w:ascii="Calibri" w:cs="Calibri" w:eastAsia="Calibri" w:hAnsi="Calibri"/>
                <w:sz w:val="16"/>
                <w:szCs w:val="16"/>
                <w:color w:val="auto"/>
              </w:rPr>
              <w:t>10.1†</w:t>
            </w:r>
          </w:p>
        </w:tc>
        <w:tc>
          <w:tcPr>
            <w:tcW w:w="20" w:type="dxa"/>
            <w:vAlign w:val="bottom"/>
          </w:tcPr>
          <w:p>
            <w:pPr>
              <w:spacing w:after="0"/>
              <w:rPr>
                <w:sz w:val="24"/>
                <w:szCs w:val="24"/>
                <w:color w:val="auto"/>
              </w:rPr>
            </w:pPr>
          </w:p>
        </w:tc>
        <w:tc>
          <w:tcPr>
            <w:tcW w:w="4820" w:type="dxa"/>
            <w:vAlign w:val="bottom"/>
            <w:gridSpan w:val="26"/>
          </w:tcPr>
          <w:p>
            <w:pPr>
              <w:spacing w:after="0"/>
              <w:rPr>
                <w:rFonts w:ascii="Calibri" w:cs="Calibri" w:eastAsia="Calibri" w:hAnsi="Calibri"/>
                <w:sz w:val="16"/>
                <w:szCs w:val="16"/>
                <w:color w:val="0000FF"/>
              </w:rPr>
            </w:pPr>
            <w:hyperlink r:id="rId207">
              <w:r>
                <w:rPr>
                  <w:rFonts w:ascii="Calibri" w:cs="Calibri" w:eastAsia="Calibri" w:hAnsi="Calibri"/>
                  <w:sz w:val="16"/>
                  <w:szCs w:val="16"/>
                  <w:color w:val="0000FF"/>
                </w:rPr>
                <w:t>Form of Director and Ofcer Indemnifcaton Agreement</w:t>
              </w:r>
            </w:hyperlink>
          </w:p>
        </w:tc>
        <w:tc>
          <w:tcPr>
            <w:tcW w:w="1080" w:type="dxa"/>
            <w:vAlign w:val="bottom"/>
            <w:gridSpan w:val="2"/>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Calibri" w:cs="Calibri" w:eastAsia="Calibri" w:hAnsi="Calibri"/>
                <w:sz w:val="16"/>
                <w:szCs w:val="16"/>
                <w:color w:val="auto"/>
              </w:rPr>
              <w:t>10.1</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Calibri" w:cs="Calibri" w:eastAsia="Calibri" w:hAnsi="Calibri"/>
                <w:sz w:val="16"/>
                <w:szCs w:val="16"/>
                <w:color w:val="auto"/>
              </w:rPr>
              <w:t>March 12, 2018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360" w:type="dxa"/>
            <w:vAlign w:val="bottom"/>
            <w:tcBorders>
              <w:right w:val="single" w:sz="8" w:color="0000FF"/>
            </w:tcBorders>
            <w:gridSpan w:val="11"/>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tcPr>
          <w:p>
            <w:pPr>
              <w:ind w:left="220"/>
              <w:spacing w:after="0"/>
              <w:rPr>
                <w:sz w:val="20"/>
                <w:szCs w:val="20"/>
                <w:color w:val="auto"/>
              </w:rPr>
            </w:pPr>
            <w:r>
              <w:rPr>
                <w:rFonts w:ascii="Calibri" w:cs="Calibri" w:eastAsia="Calibri" w:hAnsi="Calibri"/>
                <w:sz w:val="16"/>
                <w:szCs w:val="16"/>
                <w:color w:val="auto"/>
              </w:rPr>
              <w:t>10.2</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tcBorders>
              <w:bottom w:val="single" w:sz="8" w:color="0000FF"/>
            </w:tcBorders>
            <w:gridSpan w:val="20"/>
          </w:tcPr>
          <w:p>
            <w:pPr>
              <w:spacing w:after="0"/>
              <w:rPr>
                <w:rFonts w:ascii="Calibri" w:cs="Calibri" w:eastAsia="Calibri" w:hAnsi="Calibri"/>
                <w:sz w:val="16"/>
                <w:szCs w:val="16"/>
                <w:color w:val="0000FF"/>
              </w:rPr>
            </w:pPr>
            <w:hyperlink r:id="rId208">
              <w:r>
                <w:rPr>
                  <w:rFonts w:ascii="Calibri" w:cs="Calibri" w:eastAsia="Calibri" w:hAnsi="Calibri"/>
                  <w:sz w:val="16"/>
                  <w:szCs w:val="16"/>
                  <w:color w:val="0000FF"/>
                </w:rPr>
                <w:t>Ofce Lease Agreement Between MA-Riverview/245 First Street, L.L.C.</w:t>
              </w:r>
            </w:hyperlink>
          </w:p>
        </w:tc>
        <w:tc>
          <w:tcPr>
            <w:tcW w:w="200" w:type="dxa"/>
            <w:vAlign w:val="bottom"/>
            <w:gridSpan w:val="6"/>
          </w:tcPr>
          <w:p>
            <w:pPr>
              <w:spacing w:after="0"/>
              <w:rPr>
                <w:sz w:val="24"/>
                <w:szCs w:val="24"/>
                <w:color w:val="auto"/>
              </w:rPr>
            </w:pPr>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w w:val="98"/>
              </w:rPr>
              <w:t>S-1</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333-193969</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10.2</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February 14, 2014</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3680" w:type="dxa"/>
            <w:vAlign w:val="bottom"/>
            <w:gridSpan w:val="12"/>
            <w:vMerge w:val="restart"/>
          </w:tcPr>
          <w:p>
            <w:pPr>
              <w:spacing w:after="0" w:line="142" w:lineRule="exact"/>
              <w:rPr>
                <w:rFonts w:ascii="Calibri" w:cs="Calibri" w:eastAsia="Calibri" w:hAnsi="Calibri"/>
                <w:sz w:val="15"/>
                <w:szCs w:val="15"/>
                <w:color w:val="0000FF"/>
              </w:rPr>
            </w:pPr>
            <w:hyperlink r:id="rId208">
              <w:r>
                <w:rPr>
                  <w:rFonts w:ascii="Calibri" w:cs="Calibri" w:eastAsia="Calibri" w:hAnsi="Calibri"/>
                  <w:sz w:val="15"/>
                  <w:szCs w:val="15"/>
                  <w:color w:val="0000FF"/>
                </w:rPr>
                <w:t>and Akebia Therapeutcs, Inc., dated December 3, 2013</w:t>
              </w:r>
            </w:hyperlink>
          </w:p>
        </w:tc>
        <w:tc>
          <w:tcPr>
            <w:tcW w:w="1140" w:type="dxa"/>
            <w:vAlign w:val="bottom"/>
            <w:gridSpan w:val="14"/>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80" w:type="dxa"/>
            <w:vAlign w:val="bottom"/>
            <w:tcBorders>
              <w:bottom w:val="single" w:sz="8" w:color="0000FF"/>
            </w:tcBorders>
            <w:gridSpan w:val="12"/>
            <w:vMerge w:val="continue"/>
          </w:tcPr>
          <w:p>
            <w:pPr>
              <w:spacing w:after="0"/>
              <w:rPr>
                <w:sz w:val="4"/>
                <w:szCs w:val="4"/>
                <w:color w:val="auto"/>
              </w:rPr>
            </w:pPr>
          </w:p>
        </w:tc>
        <w:tc>
          <w:tcPr>
            <w:tcW w:w="1140" w:type="dxa"/>
            <w:vAlign w:val="bottom"/>
            <w:gridSpan w:val="14"/>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1040" w:type="dxa"/>
            <w:vAlign w:val="bottom"/>
          </w:tcPr>
          <w:p>
            <w:pPr>
              <w:ind w:left="220"/>
              <w:spacing w:after="0"/>
              <w:rPr>
                <w:sz w:val="20"/>
                <w:szCs w:val="20"/>
                <w:color w:val="auto"/>
              </w:rPr>
            </w:pPr>
            <w:r>
              <w:rPr>
                <w:rFonts w:ascii="Calibri" w:cs="Calibri" w:eastAsia="Calibri" w:hAnsi="Calibri"/>
                <w:sz w:val="16"/>
                <w:szCs w:val="16"/>
                <w:color w:val="auto"/>
              </w:rPr>
              <w:t>10.3</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26"/>
          </w:tcPr>
          <w:p>
            <w:pPr>
              <w:spacing w:after="0"/>
              <w:rPr>
                <w:rFonts w:ascii="Calibri" w:cs="Calibri" w:eastAsia="Calibri" w:hAnsi="Calibri"/>
                <w:sz w:val="16"/>
                <w:szCs w:val="16"/>
                <w:color w:val="0000FF"/>
              </w:rPr>
            </w:pPr>
            <w:hyperlink r:id="rId209">
              <w:r>
                <w:rPr>
                  <w:rFonts w:ascii="Calibri" w:cs="Calibri" w:eastAsia="Calibri" w:hAnsi="Calibri"/>
                  <w:sz w:val="16"/>
                  <w:szCs w:val="16"/>
                  <w:color w:val="0000FF"/>
                </w:rPr>
                <w:t>First Amendment to Ofce Lease Agreement Between Jamestown</w:t>
              </w:r>
            </w:hyperlink>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10.3</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March 4, 2015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980" w:type="dxa"/>
            <w:vAlign w:val="bottom"/>
            <w:gridSpan w:val="12"/>
            <w:shd w:val="clear" w:color="auto" w:fill="0000FF"/>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20" w:type="dxa"/>
            <w:vAlign w:val="bottom"/>
            <w:gridSpan w:val="26"/>
          </w:tcPr>
          <w:p>
            <w:pPr>
              <w:spacing w:after="0" w:line="142" w:lineRule="exact"/>
              <w:rPr>
                <w:rFonts w:ascii="Calibri" w:cs="Calibri" w:eastAsia="Calibri" w:hAnsi="Calibri"/>
                <w:sz w:val="15"/>
                <w:szCs w:val="15"/>
                <w:color w:val="0000FF"/>
              </w:rPr>
            </w:pPr>
            <w:hyperlink r:id="rId209">
              <w:r>
                <w:rPr>
                  <w:rFonts w:ascii="Calibri" w:cs="Calibri" w:eastAsia="Calibri" w:hAnsi="Calibri"/>
                  <w:sz w:val="15"/>
                  <w:szCs w:val="15"/>
                  <w:color w:val="0000FF"/>
                </w:rPr>
                <w:t>Premier 245 First, LLC and Akebia Therapeutcs, Inc., dated December 15,</w:t>
              </w:r>
            </w:hyperlink>
          </w:p>
        </w:tc>
        <w:tc>
          <w:tcPr>
            <w:tcW w:w="10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42" w:lineRule="exact"/>
              <w:rPr>
                <w:rFonts w:ascii="Calibri" w:cs="Calibri" w:eastAsia="Calibri" w:hAnsi="Calibri"/>
                <w:sz w:val="15"/>
                <w:szCs w:val="15"/>
                <w:color w:val="0000FF"/>
                <w:w w:val="98"/>
              </w:rPr>
            </w:pPr>
            <w:hyperlink r:id="rId209">
              <w:r>
                <w:rPr>
                  <w:rFonts w:ascii="Calibri" w:cs="Calibri" w:eastAsia="Calibri" w:hAnsi="Calibri"/>
                  <w:sz w:val="15"/>
                  <w:szCs w:val="15"/>
                  <w:color w:val="0000FF"/>
                  <w:w w:val="98"/>
                </w:rPr>
                <w:t>2014</w:t>
              </w:r>
            </w:hyperlink>
          </w:p>
        </w:tc>
        <w:tc>
          <w:tcPr>
            <w:tcW w:w="16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9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2"/>
        </w:trPr>
        <w:tc>
          <w:tcPr>
            <w:tcW w:w="1040" w:type="dxa"/>
            <w:vAlign w:val="bottom"/>
          </w:tcPr>
          <w:p>
            <w:pPr>
              <w:ind w:left="220"/>
              <w:spacing w:after="0"/>
              <w:rPr>
                <w:sz w:val="20"/>
                <w:szCs w:val="20"/>
                <w:color w:val="auto"/>
              </w:rPr>
            </w:pPr>
            <w:r>
              <w:rPr>
                <w:rFonts w:ascii="Calibri" w:cs="Calibri" w:eastAsia="Calibri" w:hAnsi="Calibri"/>
                <w:sz w:val="16"/>
                <w:szCs w:val="16"/>
                <w:color w:val="auto"/>
              </w:rPr>
              <w:t>10.4</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26"/>
          </w:tcPr>
          <w:p>
            <w:pPr>
              <w:spacing w:after="0"/>
              <w:rPr>
                <w:rFonts w:ascii="Calibri" w:cs="Calibri" w:eastAsia="Calibri" w:hAnsi="Calibri"/>
                <w:sz w:val="16"/>
                <w:szCs w:val="16"/>
                <w:color w:val="0000FF"/>
              </w:rPr>
            </w:pPr>
            <w:hyperlink r:id="rId210">
              <w:r>
                <w:rPr>
                  <w:rFonts w:ascii="Calibri" w:cs="Calibri" w:eastAsia="Calibri" w:hAnsi="Calibri"/>
                  <w:sz w:val="16"/>
                  <w:szCs w:val="16"/>
                  <w:color w:val="0000FF"/>
                </w:rPr>
                <w:t>Second Amendment to Ofce Lease Agreement Between Jamestown</w:t>
              </w:r>
            </w:hyperlink>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00" w:type="dxa"/>
            <w:vAlign w:val="bottom"/>
            <w:tcBorders>
              <w:top w:val="single" w:sz="8" w:color="0000FF"/>
            </w:tcBorders>
            <w:gridSpan w:val="17"/>
          </w:tcPr>
          <w:p>
            <w:pPr>
              <w:spacing w:after="0" w:line="142" w:lineRule="exact"/>
              <w:rPr>
                <w:rFonts w:ascii="Calibri" w:cs="Calibri" w:eastAsia="Calibri" w:hAnsi="Calibri"/>
                <w:sz w:val="15"/>
                <w:szCs w:val="15"/>
                <w:color w:val="0000FF"/>
              </w:rPr>
            </w:pPr>
            <w:hyperlink r:id="rId210">
              <w:r>
                <w:rPr>
                  <w:rFonts w:ascii="Calibri" w:cs="Calibri" w:eastAsia="Calibri" w:hAnsi="Calibri"/>
                  <w:sz w:val="15"/>
                  <w:szCs w:val="15"/>
                  <w:color w:val="0000FF"/>
                </w:rPr>
                <w:t>Premier 245 First, LLC and Akebia Therapeutcs, Inc., dated November</w:t>
              </w:r>
            </w:hyperlink>
          </w:p>
        </w:tc>
        <w:tc>
          <w:tcPr>
            <w:tcW w:w="320" w:type="dxa"/>
            <w:vAlign w:val="bottom"/>
            <w:gridSpan w:val="9"/>
          </w:tcPr>
          <w:p>
            <w:pPr>
              <w:jc w:val="right"/>
              <w:ind w:right="20"/>
              <w:spacing w:after="0" w:line="142" w:lineRule="exact"/>
              <w:rPr>
                <w:rFonts w:ascii="Calibri" w:cs="Calibri" w:eastAsia="Calibri" w:hAnsi="Calibri"/>
                <w:sz w:val="15"/>
                <w:szCs w:val="15"/>
                <w:color w:val="0000FF"/>
              </w:rPr>
            </w:pPr>
            <w:hyperlink r:id="rId210">
              <w:r>
                <w:rPr>
                  <w:rFonts w:ascii="Calibri" w:cs="Calibri" w:eastAsia="Calibri" w:hAnsi="Calibri"/>
                  <w:sz w:val="15"/>
                  <w:szCs w:val="15"/>
                  <w:color w:val="0000FF"/>
                </w:rPr>
                <w:t>23,</w:t>
              </w:r>
            </w:hyperlink>
          </w:p>
        </w:tc>
        <w:tc>
          <w:tcPr>
            <w:tcW w:w="1080" w:type="dxa"/>
            <w:vAlign w:val="bottom"/>
            <w:gridSpan w:val="2"/>
          </w:tcPr>
          <w:p>
            <w:pPr>
              <w:jc w:val="center"/>
              <w:ind w:right="100"/>
              <w:spacing w:after="0" w:line="142" w:lineRule="exact"/>
              <w:rPr>
                <w:sz w:val="20"/>
                <w:szCs w:val="20"/>
                <w:color w:val="auto"/>
              </w:rPr>
            </w:pPr>
            <w:r>
              <w:rPr>
                <w:rFonts w:ascii="Calibri" w:cs="Calibri" w:eastAsia="Calibri" w:hAnsi="Calibri"/>
                <w:sz w:val="15"/>
                <w:szCs w:val="15"/>
                <w:color w:val="auto"/>
              </w:rPr>
              <w:t>10-K</w:t>
            </w:r>
          </w:p>
        </w:tc>
        <w:tc>
          <w:tcPr>
            <w:tcW w:w="1180" w:type="dxa"/>
            <w:vAlign w:val="bottom"/>
          </w:tcPr>
          <w:p>
            <w:pPr>
              <w:jc w:val="center"/>
              <w:spacing w:after="0" w:line="142" w:lineRule="exact"/>
              <w:rPr>
                <w:sz w:val="20"/>
                <w:szCs w:val="20"/>
                <w:color w:val="auto"/>
              </w:rPr>
            </w:pPr>
            <w:r>
              <w:rPr>
                <w:rFonts w:ascii="Calibri" w:cs="Calibri" w:eastAsia="Calibri" w:hAnsi="Calibri"/>
                <w:sz w:val="15"/>
                <w:szCs w:val="15"/>
                <w:color w:val="auto"/>
              </w:rPr>
              <w:t>001-36352</w:t>
            </w:r>
          </w:p>
        </w:tc>
        <w:tc>
          <w:tcPr>
            <w:tcW w:w="8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Calibri" w:cs="Calibri" w:eastAsia="Calibri" w:hAnsi="Calibri"/>
                <w:sz w:val="15"/>
                <w:szCs w:val="15"/>
                <w:color w:val="auto"/>
              </w:rPr>
              <w:t>10.4</w:t>
            </w:r>
          </w:p>
        </w:tc>
        <w:tc>
          <w:tcPr>
            <w:tcW w:w="120" w:type="dxa"/>
            <w:vAlign w:val="bottom"/>
          </w:tcPr>
          <w:p>
            <w:pPr>
              <w:spacing w:after="0"/>
              <w:rPr>
                <w:sz w:val="12"/>
                <w:szCs w:val="12"/>
                <w:color w:val="auto"/>
              </w:rPr>
            </w:pPr>
          </w:p>
        </w:tc>
        <w:tc>
          <w:tcPr>
            <w:tcW w:w="1580" w:type="dxa"/>
            <w:vAlign w:val="bottom"/>
          </w:tcPr>
          <w:p>
            <w:pPr>
              <w:jc w:val="center"/>
              <w:spacing w:after="0" w:line="142" w:lineRule="exact"/>
              <w:rPr>
                <w:sz w:val="20"/>
                <w:szCs w:val="20"/>
                <w:color w:val="auto"/>
              </w:rPr>
            </w:pPr>
            <w:r>
              <w:rPr>
                <w:rFonts w:ascii="Calibri" w:cs="Calibri" w:eastAsia="Calibri" w:hAnsi="Calibri"/>
                <w:sz w:val="15"/>
                <w:szCs w:val="15"/>
                <w:color w:val="auto"/>
              </w:rPr>
              <w:t>March 14, 2016</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42" w:lineRule="exact"/>
              <w:rPr>
                <w:rFonts w:ascii="Calibri" w:cs="Calibri" w:eastAsia="Calibri" w:hAnsi="Calibri"/>
                <w:sz w:val="15"/>
                <w:szCs w:val="15"/>
                <w:color w:val="0000FF"/>
                <w:w w:val="98"/>
              </w:rPr>
            </w:pPr>
            <w:hyperlink r:id="rId210">
              <w:r>
                <w:rPr>
                  <w:rFonts w:ascii="Calibri" w:cs="Calibri" w:eastAsia="Calibri" w:hAnsi="Calibri"/>
                  <w:sz w:val="15"/>
                  <w:szCs w:val="15"/>
                  <w:color w:val="0000FF"/>
                  <w:w w:val="98"/>
                </w:rPr>
                <w:t>2015</w:t>
              </w:r>
            </w:hyperlink>
          </w:p>
        </w:tc>
        <w:tc>
          <w:tcPr>
            <w:tcW w:w="160" w:type="dxa"/>
            <w:vAlign w:val="bottom"/>
            <w:tcBorders>
              <w:top w:val="single" w:sz="8" w:color="0000FF"/>
            </w:tcBorders>
          </w:tcPr>
          <w:p>
            <w:pPr>
              <w:spacing w:after="0"/>
              <w:rPr>
                <w:sz w:val="12"/>
                <w:szCs w:val="12"/>
                <w:color w:val="auto"/>
              </w:rPr>
            </w:pPr>
          </w:p>
        </w:tc>
        <w:tc>
          <w:tcPr>
            <w:tcW w:w="600" w:type="dxa"/>
            <w:vAlign w:val="bottom"/>
            <w:tcBorders>
              <w:top w:val="single" w:sz="8" w:color="0000FF"/>
            </w:tcBorders>
          </w:tcPr>
          <w:p>
            <w:pPr>
              <w:spacing w:after="0"/>
              <w:rPr>
                <w:sz w:val="12"/>
                <w:szCs w:val="12"/>
                <w:color w:val="auto"/>
              </w:rPr>
            </w:pPr>
          </w:p>
        </w:tc>
        <w:tc>
          <w:tcPr>
            <w:tcW w:w="9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Akebia Therapeutcs, Inc. | Form 10-K | Page 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72" w:name="page173"/>
    <w:bookmarkEnd w:id="172"/>
    <w:p>
      <w:pPr>
        <w:spacing w:after="0"/>
        <w:rPr>
          <w:sz w:val="20"/>
          <w:szCs w:val="20"/>
          <w:color w:val="auto"/>
        </w:rPr>
      </w:pPr>
      <w:r>
        <w:rPr>
          <w:rFonts w:ascii="Calibri" w:cs="Calibri" w:eastAsia="Calibri" w:hAnsi="Calibri"/>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Calibri" w:cs="Calibri" w:eastAsia="Calibri" w:hAnsi="Calibri"/>
          <w:sz w:val="16"/>
          <w:szCs w:val="16"/>
          <w:b w:val="1"/>
          <w:bCs w:val="1"/>
          <w:color w:val="auto"/>
        </w:rPr>
        <w:t>Exhibit</w:t>
      </w:r>
    </w:p>
    <w:p>
      <w:pPr>
        <w:ind w:left="20"/>
        <w:spacing w:after="0" w:line="199" w:lineRule="auto"/>
        <w:rPr>
          <w:sz w:val="20"/>
          <w:szCs w:val="20"/>
          <w:color w:val="auto"/>
        </w:rPr>
      </w:pPr>
      <w:r>
        <w:rPr>
          <w:rFonts w:ascii="Calibri" w:cs="Calibri" w:eastAsia="Calibri" w:hAnsi="Calibri"/>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65151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2">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14"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10.5</w:t>
      </w:r>
    </w:p>
    <w:p>
      <w:pPr>
        <w:spacing w:after="0" w:line="399"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10.6</w:t>
      </w:r>
    </w:p>
    <w:p>
      <w:pPr>
        <w:spacing w:after="0" w:line="399"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10.7</w:t>
      </w:r>
    </w:p>
    <w:p>
      <w:pPr>
        <w:spacing w:after="0" w:line="399"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10.8</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10.9</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10.10†</w:t>
      </w:r>
    </w:p>
    <w:p>
      <w:pPr>
        <w:spacing w:after="0" w:line="264"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10.11†</w:t>
      </w:r>
    </w:p>
    <w:p>
      <w:pPr>
        <w:spacing w:after="0" w:line="264"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10.12†</w:t>
      </w:r>
    </w:p>
    <w:p>
      <w:pPr>
        <w:spacing w:after="0" w:line="399"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10.13†</w:t>
      </w:r>
    </w:p>
    <w:p>
      <w:pPr>
        <w:spacing w:after="0" w:line="399"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10.14†</w:t>
      </w: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10.15†</w:t>
      </w:r>
    </w:p>
    <w:p>
      <w:pPr>
        <w:spacing w:after="0" w:line="399"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10.16†</w:t>
      </w:r>
    </w:p>
    <w:p>
      <w:pPr>
        <w:spacing w:after="0" w:line="399"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10.17†</w:t>
      </w: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10.18†*</w:t>
      </w:r>
    </w:p>
    <w:p>
      <w:pPr>
        <w:spacing w:after="0" w:line="200" w:lineRule="exact"/>
        <w:rPr>
          <w:sz w:val="20"/>
          <w:szCs w:val="20"/>
          <w:color w:val="auto"/>
        </w:rPr>
      </w:pPr>
    </w:p>
    <w:p>
      <w:pPr>
        <w:spacing w:after="0" w:line="239"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10.19†</w:t>
      </w:r>
    </w:p>
    <w:p>
      <w:pPr>
        <w:spacing w:after="0" w:line="264"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10.20†</w:t>
      </w:r>
    </w:p>
    <w:p>
      <w:pPr>
        <w:spacing w:after="0" w:line="264"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10.21†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4"/>
          </w:tcPr>
          <w:p>
            <w:pPr>
              <w:ind w:left="500"/>
              <w:spacing w:after="0"/>
              <w:rPr>
                <w:sz w:val="20"/>
                <w:szCs w:val="20"/>
                <w:color w:val="auto"/>
              </w:rPr>
            </w:pPr>
            <w:r>
              <w:rPr>
                <w:rFonts w:ascii="Calibri" w:cs="Calibri" w:eastAsia="Calibri" w:hAnsi="Calibri"/>
                <w:sz w:val="16"/>
                <w:szCs w:val="16"/>
                <w:color w:val="auto"/>
                <w:w w:val="99"/>
              </w:rPr>
              <w:t>Incorporated by Reference</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jc w:val="center"/>
              <w:ind w:right="100"/>
              <w:spacing w:after="0" w:line="150" w:lineRule="exact"/>
              <w:rPr>
                <w:sz w:val="20"/>
                <w:szCs w:val="20"/>
                <w:color w:val="auto"/>
              </w:rPr>
            </w:pPr>
            <w:r>
              <w:rPr>
                <w:rFonts w:ascii="Calibri" w:cs="Calibri" w:eastAsia="Calibri" w:hAnsi="Calibri"/>
                <w:sz w:val="16"/>
                <w:szCs w:val="16"/>
                <w:color w:val="auto"/>
              </w:rPr>
              <w:t>Schedule/</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center"/>
              <w:spacing w:after="0" w:line="150" w:lineRule="exact"/>
              <w:rPr>
                <w:sz w:val="20"/>
                <w:szCs w:val="20"/>
                <w:color w:val="auto"/>
              </w:rPr>
            </w:pPr>
            <w:r>
              <w:rPr>
                <w:rFonts w:ascii="Calibri" w:cs="Calibri" w:eastAsia="Calibri" w:hAnsi="Calibri"/>
                <w:sz w:val="16"/>
                <w:szCs w:val="16"/>
                <w:color w:val="auto"/>
              </w:rPr>
              <w:t>Filed Date/ Period End</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20" w:type="dxa"/>
            <w:vAlign w:val="bottom"/>
            <w:gridSpan w:val="25"/>
          </w:tcPr>
          <w:p>
            <w:pPr>
              <w:spacing w:after="0" w:line="193" w:lineRule="exact"/>
              <w:rPr>
                <w:sz w:val="20"/>
                <w:szCs w:val="20"/>
                <w:color w:val="auto"/>
              </w:rPr>
            </w:pPr>
            <w:r>
              <w:rPr>
                <w:rFonts w:ascii="Calibri" w:cs="Calibri" w:eastAsia="Calibri" w:hAnsi="Calibri"/>
                <w:sz w:val="16"/>
                <w:szCs w:val="16"/>
                <w:b w:val="1"/>
                <w:bCs w:val="1"/>
                <w:color w:val="auto"/>
              </w:rPr>
              <w:t>Descripton of Exhibit</w:t>
            </w:r>
          </w:p>
        </w:tc>
        <w:tc>
          <w:tcPr>
            <w:tcW w:w="1080" w:type="dxa"/>
            <w:vAlign w:val="bottom"/>
            <w:gridSpan w:val="2"/>
          </w:tcPr>
          <w:p>
            <w:pPr>
              <w:jc w:val="center"/>
              <w:ind w:right="100"/>
              <w:spacing w:after="0" w:line="193" w:lineRule="exact"/>
              <w:rPr>
                <w:sz w:val="20"/>
                <w:szCs w:val="20"/>
                <w:color w:val="auto"/>
              </w:rPr>
            </w:pPr>
            <w:r>
              <w:rPr>
                <w:rFonts w:ascii="Calibri" w:cs="Calibri" w:eastAsia="Calibri" w:hAnsi="Calibri"/>
                <w:sz w:val="16"/>
                <w:szCs w:val="16"/>
                <w:color w:val="auto"/>
                <w:w w:val="99"/>
              </w:rPr>
              <w:t>Form</w:t>
            </w:r>
          </w:p>
        </w:tc>
        <w:tc>
          <w:tcPr>
            <w:tcW w:w="1260" w:type="dxa"/>
            <w:vAlign w:val="bottom"/>
            <w:gridSpan w:val="2"/>
          </w:tcPr>
          <w:p>
            <w:pPr>
              <w:ind w:left="340"/>
              <w:spacing w:after="0" w:line="193" w:lineRule="exact"/>
              <w:rPr>
                <w:sz w:val="20"/>
                <w:szCs w:val="20"/>
                <w:color w:val="auto"/>
              </w:rPr>
            </w:pPr>
            <w:r>
              <w:rPr>
                <w:rFonts w:ascii="Calibri" w:cs="Calibri" w:eastAsia="Calibri" w:hAnsi="Calibri"/>
                <w:sz w:val="16"/>
                <w:szCs w:val="16"/>
                <w:color w:val="auto"/>
              </w:rPr>
              <w:t>File No.</w:t>
            </w:r>
          </w:p>
        </w:tc>
        <w:tc>
          <w:tcPr>
            <w:tcW w:w="1000" w:type="dxa"/>
            <w:vAlign w:val="bottom"/>
            <w:gridSpan w:val="2"/>
          </w:tcPr>
          <w:p>
            <w:pPr>
              <w:ind w:left="220"/>
              <w:spacing w:after="0" w:line="193" w:lineRule="exact"/>
              <w:rPr>
                <w:sz w:val="20"/>
                <w:szCs w:val="20"/>
                <w:color w:val="auto"/>
              </w:rPr>
            </w:pPr>
            <w:r>
              <w:rPr>
                <w:rFonts w:ascii="Calibri" w:cs="Calibri" w:eastAsia="Calibri" w:hAnsi="Calibri"/>
                <w:sz w:val="16"/>
                <w:szCs w:val="16"/>
                <w:color w:val="auto"/>
              </w:rPr>
              <w:t>Exhibit</w:t>
            </w:r>
          </w:p>
        </w:tc>
        <w:tc>
          <w:tcPr>
            <w:tcW w:w="1580" w:type="dxa"/>
            <w:vAlign w:val="bottom"/>
          </w:tcPr>
          <w:p>
            <w:pPr>
              <w:jc w:val="center"/>
              <w:spacing w:after="0" w:line="193" w:lineRule="exact"/>
              <w:rPr>
                <w:sz w:val="20"/>
                <w:szCs w:val="20"/>
                <w:color w:val="auto"/>
              </w:rPr>
            </w:pPr>
            <w:r>
              <w:rPr>
                <w:rFonts w:ascii="Calibri" w:cs="Calibri" w:eastAsia="Calibri" w:hAnsi="Calibri"/>
                <w:sz w:val="16"/>
                <w:szCs w:val="16"/>
                <w:color w:val="auto"/>
              </w:rPr>
              <w:t>Date</w:t>
            </w:r>
          </w:p>
        </w:tc>
        <w:tc>
          <w:tcPr>
            <w:tcW w:w="0" w:type="dxa"/>
            <w:vAlign w:val="bottom"/>
          </w:tcPr>
          <w:p>
            <w:pPr>
              <w:spacing w:after="0"/>
              <w:rPr>
                <w:sz w:val="1"/>
                <w:szCs w:val="1"/>
                <w:color w:val="auto"/>
              </w:rPr>
            </w:pPr>
          </w:p>
        </w:tc>
      </w:tr>
      <w:tr>
        <w:trPr>
          <w:trHeight w:val="28"/>
        </w:trPr>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gridSpan w:val="25"/>
          </w:tcPr>
          <w:p>
            <w:pPr>
              <w:spacing w:after="0" w:line="156" w:lineRule="exact"/>
              <w:rPr>
                <w:rFonts w:ascii="Calibri" w:cs="Calibri" w:eastAsia="Calibri" w:hAnsi="Calibri"/>
                <w:sz w:val="16"/>
                <w:szCs w:val="16"/>
                <w:color w:val="0000FF"/>
              </w:rPr>
            </w:pPr>
            <w:hyperlink r:id="rId213">
              <w:r>
                <w:rPr>
                  <w:rFonts w:ascii="Calibri" w:cs="Calibri" w:eastAsia="Calibri" w:hAnsi="Calibri"/>
                  <w:sz w:val="16"/>
                  <w:szCs w:val="16"/>
                  <w:color w:val="0000FF"/>
                </w:rPr>
                <w:t>Third Amendment to Ofce Lease Agreement Between Jamestown</w:t>
              </w:r>
            </w:hyperlink>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10.1</w:t>
            </w:r>
          </w:p>
        </w:tc>
        <w:tc>
          <w:tcPr>
            <w:tcW w:w="120" w:type="dxa"/>
            <w:vAlign w:val="bottom"/>
          </w:tcPr>
          <w:p>
            <w:pPr>
              <w:spacing w:after="0"/>
              <w:rPr>
                <w:sz w:val="13"/>
                <w:szCs w:val="13"/>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November 9, 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4740" w:type="dxa"/>
            <w:vAlign w:val="bottom"/>
            <w:gridSpan w:val="23"/>
            <w:vMerge w:val="restart"/>
          </w:tcPr>
          <w:p>
            <w:pPr>
              <w:spacing w:after="0" w:line="142" w:lineRule="exact"/>
              <w:rPr>
                <w:rFonts w:ascii="Calibri" w:cs="Calibri" w:eastAsia="Calibri" w:hAnsi="Calibri"/>
                <w:sz w:val="15"/>
                <w:szCs w:val="15"/>
                <w:color w:val="0000FF"/>
              </w:rPr>
            </w:pPr>
            <w:hyperlink r:id="rId213">
              <w:r>
                <w:rPr>
                  <w:rFonts w:ascii="Calibri" w:cs="Calibri" w:eastAsia="Calibri" w:hAnsi="Calibri"/>
                  <w:sz w:val="15"/>
                  <w:szCs w:val="15"/>
                  <w:color w:val="0000FF"/>
                </w:rPr>
                <w:t>Premier 245 First, LLC and Akebia Therapeutcs, Inc., dated July 25, 2016</w:t>
              </w:r>
            </w:hyperlink>
          </w:p>
        </w:tc>
        <w:tc>
          <w:tcPr>
            <w:tcW w:w="80" w:type="dxa"/>
            <w:vAlign w:val="bottom"/>
            <w:gridSpan w:val="2"/>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4"/>
                <w:szCs w:val="4"/>
                <w:color w:val="auto"/>
              </w:rPr>
            </w:pPr>
          </w:p>
        </w:tc>
        <w:tc>
          <w:tcPr>
            <w:tcW w:w="4740" w:type="dxa"/>
            <w:vAlign w:val="bottom"/>
            <w:tcBorders>
              <w:bottom w:val="single" w:sz="8" w:color="0000FF"/>
            </w:tcBorders>
            <w:gridSpan w:val="23"/>
            <w:vMerge w:val="continue"/>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800" w:type="dxa"/>
            <w:vAlign w:val="bottom"/>
            <w:tcBorders>
              <w:bottom w:val="single" w:sz="8" w:color="0000FF"/>
            </w:tcBorders>
            <w:gridSpan w:val="24"/>
          </w:tcPr>
          <w:p>
            <w:pPr>
              <w:spacing w:after="0"/>
              <w:rPr>
                <w:rFonts w:ascii="Calibri" w:cs="Calibri" w:eastAsia="Calibri" w:hAnsi="Calibri"/>
                <w:sz w:val="16"/>
                <w:szCs w:val="16"/>
                <w:color w:val="0000FF"/>
              </w:rPr>
            </w:pPr>
            <w:hyperlink r:id="rId214">
              <w:r>
                <w:rPr>
                  <w:rFonts w:ascii="Calibri" w:cs="Calibri" w:eastAsia="Calibri" w:hAnsi="Calibri"/>
                  <w:sz w:val="16"/>
                  <w:szCs w:val="16"/>
                  <w:color w:val="0000FF"/>
                </w:rPr>
                <w:t>Fourth Amendment to Ofce Lease Agreement Between CLPF-Cambridge</w:t>
              </w:r>
            </w:hyperlink>
          </w:p>
        </w:tc>
        <w:tc>
          <w:tcPr>
            <w:tcW w:w="20" w:type="dxa"/>
            <w:vAlign w:val="bottom"/>
          </w:tcPr>
          <w:p>
            <w:pPr>
              <w:spacing w:after="0"/>
              <w:rPr>
                <w:sz w:val="24"/>
                <w:szCs w:val="24"/>
                <w:color w:val="auto"/>
              </w:rPr>
            </w:pPr>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10.6</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March 12, 2018</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520" w:type="dxa"/>
            <w:vAlign w:val="bottom"/>
            <w:gridSpan w:val="16"/>
            <w:vMerge w:val="restart"/>
          </w:tcPr>
          <w:p>
            <w:pPr>
              <w:spacing w:after="0" w:line="142" w:lineRule="exact"/>
              <w:rPr>
                <w:rFonts w:ascii="Calibri" w:cs="Calibri" w:eastAsia="Calibri" w:hAnsi="Calibri"/>
                <w:sz w:val="15"/>
                <w:szCs w:val="15"/>
                <w:color w:val="0000FF"/>
              </w:rPr>
            </w:pPr>
            <w:hyperlink r:id="rId214">
              <w:r>
                <w:rPr>
                  <w:rFonts w:ascii="Calibri" w:cs="Calibri" w:eastAsia="Calibri" w:hAnsi="Calibri"/>
                  <w:sz w:val="15"/>
                  <w:szCs w:val="15"/>
                  <w:color w:val="0000FF"/>
                </w:rPr>
                <w:t>Science Center, LLC and Akebia Therapeutcs, Inc., dated May 1, 2017</w:t>
              </w:r>
            </w:hyperlink>
          </w:p>
        </w:tc>
        <w:tc>
          <w:tcPr>
            <w:tcW w:w="300" w:type="dxa"/>
            <w:vAlign w:val="bottom"/>
            <w:gridSpan w:val="9"/>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4"/>
                <w:szCs w:val="4"/>
                <w:color w:val="auto"/>
              </w:rPr>
            </w:pPr>
          </w:p>
        </w:tc>
        <w:tc>
          <w:tcPr>
            <w:tcW w:w="4520" w:type="dxa"/>
            <w:vAlign w:val="bottom"/>
            <w:tcBorders>
              <w:bottom w:val="single" w:sz="8" w:color="0000FF"/>
            </w:tcBorders>
            <w:gridSpan w:val="16"/>
            <w:vMerge w:val="continue"/>
          </w:tcPr>
          <w:p>
            <w:pPr>
              <w:spacing w:after="0"/>
              <w:rPr>
                <w:sz w:val="4"/>
                <w:szCs w:val="4"/>
                <w:color w:val="auto"/>
              </w:rPr>
            </w:pPr>
          </w:p>
        </w:tc>
        <w:tc>
          <w:tcPr>
            <w:tcW w:w="300" w:type="dxa"/>
            <w:vAlign w:val="bottom"/>
            <w:gridSpan w:val="9"/>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660" w:type="dxa"/>
            <w:vAlign w:val="bottom"/>
            <w:tcBorders>
              <w:bottom w:val="single" w:sz="8" w:color="0000FF"/>
            </w:tcBorders>
            <w:gridSpan w:val="19"/>
          </w:tcPr>
          <w:p>
            <w:pPr>
              <w:spacing w:after="0"/>
              <w:rPr>
                <w:rFonts w:ascii="Calibri" w:cs="Calibri" w:eastAsia="Calibri" w:hAnsi="Calibri"/>
                <w:sz w:val="16"/>
                <w:szCs w:val="16"/>
                <w:color w:val="0000FF"/>
              </w:rPr>
            </w:pPr>
            <w:hyperlink r:id="rId215">
              <w:r>
                <w:rPr>
                  <w:rFonts w:ascii="Calibri" w:cs="Calibri" w:eastAsia="Calibri" w:hAnsi="Calibri"/>
                  <w:sz w:val="16"/>
                  <w:szCs w:val="16"/>
                  <w:color w:val="0000FF"/>
                </w:rPr>
                <w:t>Fifh Amendment to Ofce Lease Agreement Between CLPF-Cambridge</w:t>
              </w:r>
            </w:hyperlink>
          </w:p>
        </w:tc>
        <w:tc>
          <w:tcPr>
            <w:tcW w:w="160" w:type="dxa"/>
            <w:vAlign w:val="bottom"/>
            <w:gridSpan w:val="6"/>
          </w:tcPr>
          <w:p>
            <w:pPr>
              <w:spacing w:after="0"/>
              <w:rPr>
                <w:sz w:val="24"/>
                <w:szCs w:val="24"/>
                <w:color w:val="auto"/>
              </w:rPr>
            </w:pPr>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10.1</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August 8, 2018</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500" w:type="dxa"/>
            <w:vAlign w:val="bottom"/>
            <w:gridSpan w:val="15"/>
            <w:vMerge w:val="restart"/>
          </w:tcPr>
          <w:p>
            <w:pPr>
              <w:spacing w:after="0" w:line="142" w:lineRule="exact"/>
              <w:rPr>
                <w:rFonts w:ascii="Calibri" w:cs="Calibri" w:eastAsia="Calibri" w:hAnsi="Calibri"/>
                <w:sz w:val="15"/>
                <w:szCs w:val="15"/>
                <w:color w:val="0000FF"/>
              </w:rPr>
            </w:pPr>
            <w:hyperlink r:id="rId215">
              <w:r>
                <w:rPr>
                  <w:rFonts w:ascii="Calibri" w:cs="Calibri" w:eastAsia="Calibri" w:hAnsi="Calibri"/>
                  <w:sz w:val="15"/>
                  <w:szCs w:val="15"/>
                  <w:color w:val="0000FF"/>
                </w:rPr>
                <w:t>Science Center, LLC and Akebia Therapeutcs, Inc. dated April 9, 2018</w:t>
              </w:r>
            </w:hyperlink>
          </w:p>
        </w:tc>
        <w:tc>
          <w:tcPr>
            <w:tcW w:w="320" w:type="dxa"/>
            <w:vAlign w:val="bottom"/>
            <w:gridSpan w:val="10"/>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4"/>
                <w:szCs w:val="4"/>
                <w:color w:val="auto"/>
              </w:rPr>
            </w:pPr>
          </w:p>
        </w:tc>
        <w:tc>
          <w:tcPr>
            <w:tcW w:w="4500" w:type="dxa"/>
            <w:vAlign w:val="bottom"/>
            <w:tcBorders>
              <w:bottom w:val="single" w:sz="8" w:color="0000FF"/>
            </w:tcBorders>
            <w:gridSpan w:val="15"/>
            <w:vMerge w:val="continue"/>
          </w:tcPr>
          <w:p>
            <w:pPr>
              <w:spacing w:after="0"/>
              <w:rPr>
                <w:sz w:val="4"/>
                <w:szCs w:val="4"/>
                <w:color w:val="auto"/>
              </w:rPr>
            </w:pPr>
          </w:p>
        </w:tc>
        <w:tc>
          <w:tcPr>
            <w:tcW w:w="320" w:type="dxa"/>
            <w:vAlign w:val="bottom"/>
            <w:gridSpan w:val="10"/>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820" w:type="dxa"/>
            <w:vAlign w:val="bottom"/>
            <w:gridSpan w:val="25"/>
          </w:tcPr>
          <w:p>
            <w:pPr>
              <w:spacing w:after="0"/>
              <w:rPr>
                <w:rFonts w:ascii="Calibri" w:cs="Calibri" w:eastAsia="Calibri" w:hAnsi="Calibri"/>
                <w:sz w:val="16"/>
                <w:szCs w:val="16"/>
                <w:color w:val="0000FF"/>
              </w:rPr>
            </w:pPr>
            <w:hyperlink r:id="rId216">
              <w:r>
                <w:rPr>
                  <w:rFonts w:ascii="Calibri" w:cs="Calibri" w:eastAsia="Calibri" w:hAnsi="Calibri"/>
                  <w:sz w:val="16"/>
                  <w:szCs w:val="16"/>
                  <w:color w:val="0000FF"/>
                </w:rPr>
                <w:t>Sixth Amendment to Ofce Lease Agreement Between CLPF-Cambridge</w:t>
              </w:r>
            </w:hyperlink>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10.8</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February 25, 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top w:val="single" w:sz="8" w:color="0000FF"/>
            </w:tcBorders>
            <w:gridSpan w:val="20"/>
          </w:tcPr>
          <w:p>
            <w:pPr>
              <w:spacing w:after="0" w:line="142" w:lineRule="exact"/>
              <w:rPr>
                <w:rFonts w:ascii="Calibri" w:cs="Calibri" w:eastAsia="Calibri" w:hAnsi="Calibri"/>
                <w:sz w:val="15"/>
                <w:szCs w:val="15"/>
                <w:color w:val="0000FF"/>
              </w:rPr>
            </w:pPr>
            <w:hyperlink r:id="rId216">
              <w:r>
                <w:rPr>
                  <w:rFonts w:ascii="Calibri" w:cs="Calibri" w:eastAsia="Calibri" w:hAnsi="Calibri"/>
                  <w:sz w:val="15"/>
                  <w:szCs w:val="15"/>
                  <w:color w:val="0000FF"/>
                </w:rPr>
                <w:t>Science Center, LLC and Akebia Therapeutcs, Inc. dated November 30,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42" w:lineRule="exact"/>
              <w:rPr>
                <w:rFonts w:ascii="Calibri" w:cs="Calibri" w:eastAsia="Calibri" w:hAnsi="Calibri"/>
                <w:sz w:val="15"/>
                <w:szCs w:val="15"/>
                <w:color w:val="0000FF"/>
                <w:w w:val="98"/>
              </w:rPr>
            </w:pPr>
            <w:hyperlink r:id="rId216">
              <w:r>
                <w:rPr>
                  <w:rFonts w:ascii="Calibri" w:cs="Calibri" w:eastAsia="Calibri" w:hAnsi="Calibri"/>
                  <w:sz w:val="15"/>
                  <w:szCs w:val="15"/>
                  <w:color w:val="0000FF"/>
                  <w:w w:val="98"/>
                </w:rPr>
                <w:t>2020</w:t>
              </w:r>
            </w:hyperlink>
          </w:p>
        </w:tc>
        <w:tc>
          <w:tcPr>
            <w:tcW w:w="2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9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7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180" w:type="dxa"/>
            <w:vAlign w:val="bottom"/>
            <w:tcBorders>
              <w:bottom w:val="single" w:sz="8" w:color="0000FF"/>
            </w:tcBorders>
            <w:gridSpan w:val="12"/>
          </w:tcPr>
          <w:p>
            <w:pPr>
              <w:spacing w:after="0"/>
              <w:rPr>
                <w:rFonts w:ascii="Calibri" w:cs="Calibri" w:eastAsia="Calibri" w:hAnsi="Calibri"/>
                <w:sz w:val="16"/>
                <w:szCs w:val="16"/>
                <w:color w:val="0000FF"/>
              </w:rPr>
            </w:pPr>
            <w:hyperlink r:id="rId217">
              <w:r>
                <w:rPr>
                  <w:rFonts w:ascii="Calibri" w:cs="Calibri" w:eastAsia="Calibri" w:hAnsi="Calibri"/>
                  <w:sz w:val="16"/>
                  <w:szCs w:val="16"/>
                  <w:color w:val="0000FF"/>
                </w:rPr>
                <w:t>Seventh Amendment to Ofce Lease Agreement Between CLPF-</w:t>
              </w:r>
            </w:hyperlink>
          </w:p>
        </w:tc>
        <w:tc>
          <w:tcPr>
            <w:tcW w:w="640" w:type="dxa"/>
            <w:vAlign w:val="bottom"/>
            <w:gridSpan w:val="13"/>
          </w:tcPr>
          <w:p>
            <w:pPr>
              <w:spacing w:after="0"/>
              <w:rPr>
                <w:sz w:val="24"/>
                <w:szCs w:val="24"/>
                <w:color w:val="auto"/>
              </w:rPr>
            </w:pPr>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10.1</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August 8, 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gridSpan w:val="25"/>
          </w:tcPr>
          <w:p>
            <w:pPr>
              <w:spacing w:after="0" w:line="142" w:lineRule="exact"/>
              <w:rPr>
                <w:rFonts w:ascii="Calibri" w:cs="Calibri" w:eastAsia="Calibri" w:hAnsi="Calibri"/>
                <w:sz w:val="15"/>
                <w:szCs w:val="15"/>
                <w:color w:val="0000FF"/>
              </w:rPr>
            </w:pPr>
            <w:hyperlink r:id="rId217">
              <w:r>
                <w:rPr>
                  <w:rFonts w:ascii="Calibri" w:cs="Calibri" w:eastAsia="Calibri" w:hAnsi="Calibri"/>
                  <w:sz w:val="15"/>
                  <w:szCs w:val="15"/>
                  <w:color w:val="0000FF"/>
                </w:rPr>
                <w:t>Cambridge Science Center, LLC and Akebia Therapeutcs, Inc. dated May</w:t>
              </w:r>
            </w:hyperlink>
          </w:p>
        </w:tc>
        <w:tc>
          <w:tcPr>
            <w:tcW w:w="10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 w:type="dxa"/>
            <w:vAlign w:val="bottom"/>
            <w:tcBorders>
              <w:top w:val="single" w:sz="8" w:color="0000FF"/>
              <w:bottom w:val="single" w:sz="8" w:color="0000FF"/>
            </w:tcBorders>
            <w:gridSpan w:val="2"/>
          </w:tcPr>
          <w:p>
            <w:pPr>
              <w:spacing w:after="0" w:line="142" w:lineRule="exact"/>
              <w:rPr>
                <w:rFonts w:ascii="Calibri" w:cs="Calibri" w:eastAsia="Calibri" w:hAnsi="Calibri"/>
                <w:sz w:val="15"/>
                <w:szCs w:val="15"/>
                <w:color w:val="0000FF"/>
              </w:rPr>
            </w:pPr>
            <w:hyperlink r:id="rId217">
              <w:r>
                <w:rPr>
                  <w:rFonts w:ascii="Calibri" w:cs="Calibri" w:eastAsia="Calibri" w:hAnsi="Calibri"/>
                  <w:sz w:val="15"/>
                  <w:szCs w:val="15"/>
                  <w:color w:val="0000FF"/>
                </w:rPr>
                <w:t>6, 2024.</w:t>
              </w:r>
            </w:hyperlink>
          </w:p>
        </w:tc>
        <w:tc>
          <w:tcPr>
            <w:tcW w:w="4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9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7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3300" w:type="dxa"/>
            <w:vAlign w:val="bottom"/>
            <w:tcBorders>
              <w:bottom w:val="single" w:sz="8" w:color="0000FF"/>
            </w:tcBorders>
            <w:gridSpan w:val="10"/>
          </w:tcPr>
          <w:p>
            <w:pPr>
              <w:spacing w:after="0"/>
              <w:rPr>
                <w:rFonts w:ascii="Calibri" w:cs="Calibri" w:eastAsia="Calibri" w:hAnsi="Calibri"/>
                <w:sz w:val="16"/>
                <w:szCs w:val="16"/>
                <w:color w:val="0000FF"/>
              </w:rPr>
            </w:pPr>
            <w:hyperlink r:id="rId218">
              <w:r>
                <w:rPr>
                  <w:rFonts w:ascii="Calibri" w:cs="Calibri" w:eastAsia="Calibri" w:hAnsi="Calibri"/>
                  <w:sz w:val="16"/>
                  <w:szCs w:val="16"/>
                  <w:color w:val="0000FF"/>
                </w:rPr>
                <w:t>Amended and Restated 2008 Equity Incentve Plan</w:t>
              </w:r>
            </w:hyperlink>
          </w:p>
        </w:tc>
        <w:tc>
          <w:tcPr>
            <w:tcW w:w="1520" w:type="dxa"/>
            <w:vAlign w:val="bottom"/>
            <w:gridSpan w:val="15"/>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Calibri" w:cs="Calibri" w:eastAsia="Calibri" w:hAnsi="Calibri"/>
                <w:sz w:val="16"/>
                <w:szCs w:val="16"/>
                <w:color w:val="auto"/>
                <w:w w:val="98"/>
              </w:rPr>
              <w:t>S-1</w:t>
            </w:r>
          </w:p>
        </w:tc>
        <w:tc>
          <w:tcPr>
            <w:tcW w:w="1180" w:type="dxa"/>
            <w:vAlign w:val="bottom"/>
          </w:tcPr>
          <w:p>
            <w:pPr>
              <w:jc w:val="center"/>
              <w:spacing w:after="0"/>
              <w:rPr>
                <w:sz w:val="20"/>
                <w:szCs w:val="20"/>
                <w:color w:val="auto"/>
              </w:rPr>
            </w:pPr>
            <w:r>
              <w:rPr>
                <w:rFonts w:ascii="Calibri" w:cs="Calibri" w:eastAsia="Calibri" w:hAnsi="Calibri"/>
                <w:sz w:val="16"/>
                <w:szCs w:val="16"/>
                <w:color w:val="auto"/>
              </w:rPr>
              <w:t>333-193969</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Calibri" w:cs="Calibri" w:eastAsia="Calibri" w:hAnsi="Calibri"/>
                <w:sz w:val="16"/>
                <w:szCs w:val="16"/>
                <w:color w:val="auto"/>
              </w:rPr>
              <w:t>10.5</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Calibri" w:cs="Calibri" w:eastAsia="Calibri" w:hAnsi="Calibri"/>
                <w:sz w:val="16"/>
                <w:szCs w:val="16"/>
                <w:color w:val="auto"/>
              </w:rPr>
              <w:t>February 14, 2014</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720" w:type="dxa"/>
            <w:vAlign w:val="bottom"/>
            <w:tcBorders>
              <w:bottom w:val="single" w:sz="8" w:color="0000FF"/>
            </w:tcBorders>
            <w:gridSpan w:val="22"/>
          </w:tcPr>
          <w:p>
            <w:pPr>
              <w:spacing w:after="0"/>
              <w:rPr>
                <w:rFonts w:ascii="Calibri" w:cs="Calibri" w:eastAsia="Calibri" w:hAnsi="Calibri"/>
                <w:sz w:val="16"/>
                <w:szCs w:val="16"/>
                <w:color w:val="0000FF"/>
              </w:rPr>
            </w:pPr>
            <w:hyperlink r:id="rId219">
              <w:r>
                <w:rPr>
                  <w:rFonts w:ascii="Calibri" w:cs="Calibri" w:eastAsia="Calibri" w:hAnsi="Calibri"/>
                  <w:sz w:val="16"/>
                  <w:szCs w:val="16"/>
                  <w:color w:val="0000FF"/>
                </w:rPr>
                <w:t>Amendment No. 1 to Amended and Restated 2008 Equity Incentve Plan</w:t>
              </w:r>
            </w:hyperlink>
          </w:p>
        </w:tc>
        <w:tc>
          <w:tcPr>
            <w:tcW w:w="100" w:type="dxa"/>
            <w:vAlign w:val="bottom"/>
            <w:gridSpan w:val="3"/>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Calibri" w:cs="Calibri" w:eastAsia="Calibri" w:hAnsi="Calibri"/>
                <w:sz w:val="16"/>
                <w:szCs w:val="16"/>
                <w:color w:val="auto"/>
                <w:w w:val="98"/>
              </w:rPr>
              <w:t>S-1</w:t>
            </w:r>
          </w:p>
        </w:tc>
        <w:tc>
          <w:tcPr>
            <w:tcW w:w="1180" w:type="dxa"/>
            <w:vAlign w:val="bottom"/>
          </w:tcPr>
          <w:p>
            <w:pPr>
              <w:jc w:val="center"/>
              <w:spacing w:after="0"/>
              <w:rPr>
                <w:sz w:val="20"/>
                <w:szCs w:val="20"/>
                <w:color w:val="auto"/>
              </w:rPr>
            </w:pPr>
            <w:r>
              <w:rPr>
                <w:rFonts w:ascii="Calibri" w:cs="Calibri" w:eastAsia="Calibri" w:hAnsi="Calibri"/>
                <w:sz w:val="16"/>
                <w:szCs w:val="16"/>
                <w:color w:val="auto"/>
              </w:rPr>
              <w:t>333-193969</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Calibri" w:cs="Calibri" w:eastAsia="Calibri" w:hAnsi="Calibri"/>
                <w:sz w:val="16"/>
                <w:szCs w:val="16"/>
                <w:color w:val="auto"/>
              </w:rPr>
              <w:t>10.6</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Calibri" w:cs="Calibri" w:eastAsia="Calibri" w:hAnsi="Calibri"/>
                <w:sz w:val="16"/>
                <w:szCs w:val="16"/>
                <w:color w:val="auto"/>
              </w:rPr>
              <w:t>February 14, 2014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720" w:type="dxa"/>
            <w:vAlign w:val="bottom"/>
            <w:tcBorders>
              <w:bottom w:val="single" w:sz="8" w:color="0000FF"/>
            </w:tcBorders>
            <w:gridSpan w:val="22"/>
          </w:tcPr>
          <w:p>
            <w:pPr>
              <w:spacing w:after="0"/>
              <w:rPr>
                <w:rFonts w:ascii="Calibri" w:cs="Calibri" w:eastAsia="Calibri" w:hAnsi="Calibri"/>
                <w:sz w:val="16"/>
                <w:szCs w:val="16"/>
                <w:color w:val="0000FF"/>
              </w:rPr>
            </w:pPr>
            <w:hyperlink r:id="rId220">
              <w:r>
                <w:rPr>
                  <w:rFonts w:ascii="Calibri" w:cs="Calibri" w:eastAsia="Calibri" w:hAnsi="Calibri"/>
                  <w:sz w:val="16"/>
                  <w:szCs w:val="16"/>
                  <w:color w:val="0000FF"/>
                </w:rPr>
                <w:t>Executve Employment Agreement with John P. Butler, dated September</w:t>
              </w:r>
            </w:hyperlink>
          </w:p>
        </w:tc>
        <w:tc>
          <w:tcPr>
            <w:tcW w:w="100" w:type="dxa"/>
            <w:vAlign w:val="bottom"/>
            <w:gridSpan w:val="3"/>
          </w:tcPr>
          <w:p>
            <w:pPr>
              <w:spacing w:after="0"/>
              <w:rPr>
                <w:sz w:val="24"/>
                <w:szCs w:val="24"/>
                <w:color w:val="auto"/>
              </w:rPr>
            </w:pPr>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w w:val="98"/>
              </w:rPr>
              <w:t>S-1</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333-193969</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10.7</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February 14, 2014</w:t>
            </w:r>
          </w:p>
        </w:tc>
        <w:tc>
          <w:tcPr>
            <w:tcW w:w="0" w:type="dxa"/>
            <w:vAlign w:val="bottom"/>
          </w:tcPr>
          <w:p>
            <w:pPr>
              <w:spacing w:after="0"/>
              <w:rPr>
                <w:sz w:val="1"/>
                <w:szCs w:val="1"/>
                <w:color w:val="auto"/>
              </w:rPr>
            </w:pPr>
          </w:p>
        </w:tc>
      </w:tr>
      <w:tr>
        <w:trPr>
          <w:trHeight w:val="88"/>
        </w:trPr>
        <w:tc>
          <w:tcPr>
            <w:tcW w:w="580" w:type="dxa"/>
            <w:vAlign w:val="bottom"/>
            <w:gridSpan w:val="4"/>
            <w:vMerge w:val="restart"/>
          </w:tcPr>
          <w:p>
            <w:pPr>
              <w:ind w:left="20"/>
              <w:spacing w:after="0" w:line="142" w:lineRule="exact"/>
              <w:rPr>
                <w:rFonts w:ascii="Calibri" w:cs="Calibri" w:eastAsia="Calibri" w:hAnsi="Calibri"/>
                <w:sz w:val="15"/>
                <w:szCs w:val="15"/>
                <w:color w:val="0000FF"/>
              </w:rPr>
            </w:pPr>
            <w:hyperlink r:id="rId220">
              <w:r>
                <w:rPr>
                  <w:rFonts w:ascii="Calibri" w:cs="Calibri" w:eastAsia="Calibri" w:hAnsi="Calibri"/>
                  <w:sz w:val="15"/>
                  <w:szCs w:val="15"/>
                  <w:color w:val="0000FF"/>
                </w:rPr>
                <w:t>16, 2013</w:t>
              </w:r>
            </w:hyperlink>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580" w:type="dxa"/>
            <w:vAlign w:val="bottom"/>
            <w:gridSpan w:val="4"/>
            <w:vMerge w:val="continue"/>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700" w:type="dxa"/>
            <w:vAlign w:val="bottom"/>
            <w:tcBorders>
              <w:bottom w:val="single" w:sz="8" w:color="0000FF"/>
            </w:tcBorders>
            <w:gridSpan w:val="21"/>
          </w:tcPr>
          <w:p>
            <w:pPr>
              <w:spacing w:after="0"/>
              <w:rPr>
                <w:rFonts w:ascii="Calibri" w:cs="Calibri" w:eastAsia="Calibri" w:hAnsi="Calibri"/>
                <w:sz w:val="16"/>
                <w:szCs w:val="16"/>
                <w:color w:val="0000FF"/>
              </w:rPr>
            </w:pPr>
            <w:hyperlink r:id="rId221">
              <w:r>
                <w:rPr>
                  <w:rFonts w:ascii="Calibri" w:cs="Calibri" w:eastAsia="Calibri" w:hAnsi="Calibri"/>
                  <w:sz w:val="16"/>
                  <w:szCs w:val="16"/>
                  <w:color w:val="0000FF"/>
                </w:rPr>
                <w:t>Form of Non-Statutory Stock Opton Agreement for Ofcers under 2014</w:t>
              </w:r>
            </w:hyperlink>
          </w:p>
        </w:tc>
        <w:tc>
          <w:tcPr>
            <w:tcW w:w="120" w:type="dxa"/>
            <w:vAlign w:val="bottom"/>
            <w:gridSpan w:val="4"/>
          </w:tcPr>
          <w:p>
            <w:pPr>
              <w:spacing w:after="0"/>
              <w:rPr>
                <w:sz w:val="24"/>
                <w:szCs w:val="24"/>
                <w:color w:val="auto"/>
              </w:rPr>
            </w:pPr>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S-1/A</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333-193969</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10.24</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March 4, 2014</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920" w:type="dxa"/>
            <w:vAlign w:val="bottom"/>
            <w:gridSpan w:val="4"/>
            <w:vMerge w:val="restart"/>
          </w:tcPr>
          <w:p>
            <w:pPr>
              <w:spacing w:after="0" w:line="142" w:lineRule="exact"/>
              <w:rPr>
                <w:rFonts w:ascii="Calibri" w:cs="Calibri" w:eastAsia="Calibri" w:hAnsi="Calibri"/>
                <w:sz w:val="15"/>
                <w:szCs w:val="15"/>
                <w:color w:val="0000FF"/>
              </w:rPr>
            </w:pPr>
            <w:hyperlink r:id="rId221">
              <w:r>
                <w:rPr>
                  <w:rFonts w:ascii="Calibri" w:cs="Calibri" w:eastAsia="Calibri" w:hAnsi="Calibri"/>
                  <w:sz w:val="15"/>
                  <w:szCs w:val="15"/>
                  <w:color w:val="0000FF"/>
                </w:rPr>
                <w:t>Incentve Plan</w:t>
              </w:r>
            </w:hyperlink>
          </w:p>
        </w:tc>
        <w:tc>
          <w:tcPr>
            <w:tcW w:w="3900" w:type="dxa"/>
            <w:vAlign w:val="bottom"/>
            <w:gridSpan w:val="21"/>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4"/>
                <w:szCs w:val="4"/>
                <w:color w:val="auto"/>
              </w:rPr>
            </w:pPr>
          </w:p>
        </w:tc>
        <w:tc>
          <w:tcPr>
            <w:tcW w:w="920" w:type="dxa"/>
            <w:vAlign w:val="bottom"/>
            <w:tcBorders>
              <w:bottom w:val="single" w:sz="8" w:color="0000FF"/>
            </w:tcBorders>
            <w:gridSpan w:val="4"/>
            <w:vMerge w:val="continue"/>
          </w:tcPr>
          <w:p>
            <w:pPr>
              <w:spacing w:after="0"/>
              <w:rPr>
                <w:sz w:val="4"/>
                <w:szCs w:val="4"/>
                <w:color w:val="auto"/>
              </w:rPr>
            </w:pPr>
          </w:p>
        </w:tc>
        <w:tc>
          <w:tcPr>
            <w:tcW w:w="3900" w:type="dxa"/>
            <w:vAlign w:val="bottom"/>
            <w:gridSpan w:val="21"/>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820" w:type="dxa"/>
            <w:vAlign w:val="bottom"/>
            <w:gridSpan w:val="25"/>
          </w:tcPr>
          <w:p>
            <w:pPr>
              <w:spacing w:after="0"/>
              <w:rPr>
                <w:rFonts w:ascii="Calibri" w:cs="Calibri" w:eastAsia="Calibri" w:hAnsi="Calibri"/>
                <w:sz w:val="16"/>
                <w:szCs w:val="16"/>
                <w:color w:val="0000FF"/>
              </w:rPr>
            </w:pPr>
            <w:hyperlink r:id="rId222">
              <w:r>
                <w:rPr>
                  <w:rFonts w:ascii="Calibri" w:cs="Calibri" w:eastAsia="Calibri" w:hAnsi="Calibri"/>
                  <w:sz w:val="16"/>
                  <w:szCs w:val="16"/>
                  <w:color w:val="0000FF"/>
                </w:rPr>
                <w:t>Form of Non-Statutory Stock Opton Agreement for Non-Employee</w:t>
              </w:r>
            </w:hyperlink>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S-1/A</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333-193969</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10.25</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March 4, 2014</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340" w:type="dxa"/>
            <w:vAlign w:val="bottom"/>
            <w:tcBorders>
              <w:top w:val="single" w:sz="8" w:color="0000FF"/>
            </w:tcBorders>
            <w:gridSpan w:val="9"/>
            <w:vMerge w:val="restart"/>
          </w:tcPr>
          <w:p>
            <w:pPr>
              <w:spacing w:after="0" w:line="142" w:lineRule="exact"/>
              <w:rPr>
                <w:rFonts w:ascii="Calibri" w:cs="Calibri" w:eastAsia="Calibri" w:hAnsi="Calibri"/>
                <w:sz w:val="15"/>
                <w:szCs w:val="15"/>
                <w:color w:val="0000FF"/>
              </w:rPr>
            </w:pPr>
            <w:hyperlink r:id="rId222">
              <w:r>
                <w:rPr>
                  <w:rFonts w:ascii="Calibri" w:cs="Calibri" w:eastAsia="Calibri" w:hAnsi="Calibri"/>
                  <w:sz w:val="15"/>
                  <w:szCs w:val="15"/>
                  <w:color w:val="0000FF"/>
                </w:rPr>
                <w:t>Directors under 2014 Incentve Plan</w:t>
              </w:r>
            </w:hyperlink>
          </w:p>
        </w:tc>
        <w:tc>
          <w:tcPr>
            <w:tcW w:w="2020" w:type="dxa"/>
            <w:vAlign w:val="bottom"/>
            <w:tcBorders>
              <w:top w:val="single" w:sz="8" w:color="0000FF"/>
            </w:tcBorders>
            <w:gridSpan w:val="4"/>
            <w:vMerge w:val="restart"/>
          </w:tcPr>
          <w:p>
            <w:pPr>
              <w:spacing w:after="0"/>
              <w:rPr>
                <w:sz w:val="7"/>
                <w:szCs w:val="7"/>
                <w:color w:val="auto"/>
              </w:rPr>
            </w:pPr>
          </w:p>
        </w:tc>
        <w:tc>
          <w:tcPr>
            <w:tcW w:w="460" w:type="dxa"/>
            <w:vAlign w:val="bottom"/>
            <w:gridSpan w:val="12"/>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4"/>
                <w:szCs w:val="4"/>
                <w:color w:val="auto"/>
              </w:rPr>
            </w:pPr>
          </w:p>
        </w:tc>
        <w:tc>
          <w:tcPr>
            <w:tcW w:w="2340" w:type="dxa"/>
            <w:vAlign w:val="bottom"/>
            <w:tcBorders>
              <w:bottom w:val="single" w:sz="8" w:color="0000FF"/>
            </w:tcBorders>
            <w:gridSpan w:val="9"/>
            <w:vMerge w:val="continue"/>
          </w:tcPr>
          <w:p>
            <w:pPr>
              <w:spacing w:after="0"/>
              <w:rPr>
                <w:sz w:val="4"/>
                <w:szCs w:val="4"/>
                <w:color w:val="auto"/>
              </w:rPr>
            </w:pPr>
          </w:p>
        </w:tc>
        <w:tc>
          <w:tcPr>
            <w:tcW w:w="2020" w:type="dxa"/>
            <w:vAlign w:val="bottom"/>
            <w:gridSpan w:val="4"/>
            <w:vMerge w:val="continue"/>
          </w:tcPr>
          <w:p>
            <w:pPr>
              <w:spacing w:after="0"/>
              <w:rPr>
                <w:sz w:val="4"/>
                <w:szCs w:val="4"/>
                <w:color w:val="auto"/>
              </w:rPr>
            </w:pPr>
          </w:p>
        </w:tc>
        <w:tc>
          <w:tcPr>
            <w:tcW w:w="460" w:type="dxa"/>
            <w:vAlign w:val="bottom"/>
            <w:gridSpan w:val="12"/>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740" w:type="dxa"/>
            <w:vAlign w:val="bottom"/>
            <w:tcBorders>
              <w:bottom w:val="single" w:sz="8" w:color="0000FF"/>
            </w:tcBorders>
            <w:gridSpan w:val="23"/>
          </w:tcPr>
          <w:p>
            <w:pPr>
              <w:spacing w:after="0"/>
              <w:rPr>
                <w:rFonts w:ascii="Calibri" w:cs="Calibri" w:eastAsia="Calibri" w:hAnsi="Calibri"/>
                <w:sz w:val="16"/>
                <w:szCs w:val="16"/>
                <w:color w:val="0000FF"/>
              </w:rPr>
            </w:pPr>
            <w:hyperlink r:id="rId223">
              <w:r>
                <w:rPr>
                  <w:rFonts w:ascii="Calibri" w:cs="Calibri" w:eastAsia="Calibri" w:hAnsi="Calibri"/>
                  <w:sz w:val="16"/>
                  <w:szCs w:val="16"/>
                  <w:color w:val="0000FF"/>
                </w:rPr>
                <w:t>Amended and Restated Non-Employee Director Compensaton Program,</w:t>
              </w:r>
            </w:hyperlink>
          </w:p>
        </w:tc>
        <w:tc>
          <w:tcPr>
            <w:tcW w:w="80" w:type="dxa"/>
            <w:vAlign w:val="bottom"/>
            <w:gridSpan w:val="2"/>
          </w:tcPr>
          <w:p>
            <w:pPr>
              <w:spacing w:after="0"/>
              <w:rPr>
                <w:sz w:val="24"/>
                <w:szCs w:val="24"/>
                <w:color w:val="auto"/>
              </w:rPr>
            </w:pPr>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10.1</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w w:val="99"/>
              </w:rPr>
              <w:t>May 8, 2023</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820" w:type="dxa"/>
            <w:vAlign w:val="bottom"/>
            <w:gridSpan w:val="25"/>
            <w:vMerge w:val="restart"/>
          </w:tcPr>
          <w:p>
            <w:pPr>
              <w:spacing w:after="0" w:line="142" w:lineRule="exact"/>
              <w:rPr>
                <w:rFonts w:ascii="Calibri" w:cs="Calibri" w:eastAsia="Calibri" w:hAnsi="Calibri"/>
                <w:sz w:val="15"/>
                <w:szCs w:val="15"/>
                <w:color w:val="0000FF"/>
              </w:rPr>
            </w:pPr>
            <w:hyperlink r:id="rId223">
              <w:r>
                <w:rPr>
                  <w:rFonts w:ascii="Calibri" w:cs="Calibri" w:eastAsia="Calibri" w:hAnsi="Calibri"/>
                  <w:sz w:val="15"/>
                  <w:szCs w:val="15"/>
                  <w:color w:val="0000FF"/>
                </w:rPr>
                <w:t>efectve April 27, 2023</w:t>
              </w:r>
            </w:hyperlink>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820" w:type="dxa"/>
            <w:vAlign w:val="bottom"/>
            <w:gridSpan w:val="25"/>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820" w:type="dxa"/>
            <w:vAlign w:val="bottom"/>
            <w:gridSpan w:val="25"/>
          </w:tcPr>
          <w:p>
            <w:pPr>
              <w:spacing w:after="0"/>
              <w:rPr>
                <w:rFonts w:ascii="Calibri" w:cs="Calibri" w:eastAsia="Calibri" w:hAnsi="Calibri"/>
                <w:sz w:val="16"/>
                <w:szCs w:val="16"/>
                <w:color w:val="0000FF"/>
              </w:rPr>
            </w:pPr>
            <w:hyperlink r:id="rId224">
              <w:r>
                <w:rPr>
                  <w:rFonts w:ascii="Calibri" w:cs="Calibri" w:eastAsia="Calibri" w:hAnsi="Calibri"/>
                  <w:sz w:val="16"/>
                  <w:szCs w:val="16"/>
                  <w:color w:val="0000FF"/>
                </w:rPr>
                <w:t>Second Amended and Restated Non-Employee Director Compensaton</w:t>
              </w:r>
            </w:hyperlink>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10.8</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August 28, 2023</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060" w:type="dxa"/>
            <w:vAlign w:val="bottom"/>
            <w:tcBorders>
              <w:top w:val="single" w:sz="8" w:color="0000FF"/>
            </w:tcBorders>
            <w:gridSpan w:val="7"/>
            <w:vMerge w:val="restart"/>
          </w:tcPr>
          <w:p>
            <w:pPr>
              <w:spacing w:after="0" w:line="142" w:lineRule="exact"/>
              <w:rPr>
                <w:rFonts w:ascii="Calibri" w:cs="Calibri" w:eastAsia="Calibri" w:hAnsi="Calibri"/>
                <w:sz w:val="15"/>
                <w:szCs w:val="15"/>
                <w:color w:val="0000FF"/>
              </w:rPr>
            </w:pPr>
            <w:hyperlink r:id="rId224">
              <w:r>
                <w:rPr>
                  <w:rFonts w:ascii="Calibri" w:cs="Calibri" w:eastAsia="Calibri" w:hAnsi="Calibri"/>
                  <w:sz w:val="15"/>
                  <w:szCs w:val="15"/>
                  <w:color w:val="0000FF"/>
                </w:rPr>
                <w:t>Program, efectve June 6, 2023</w:t>
              </w:r>
            </w:hyperlink>
          </w:p>
        </w:tc>
        <w:tc>
          <w:tcPr>
            <w:tcW w:w="2560" w:type="dxa"/>
            <w:vAlign w:val="bottom"/>
            <w:tcBorders>
              <w:top w:val="single" w:sz="8" w:color="0000FF"/>
            </w:tcBorders>
            <w:gridSpan w:val="11"/>
            <w:vMerge w:val="restart"/>
          </w:tcPr>
          <w:p>
            <w:pPr>
              <w:spacing w:after="0"/>
              <w:rPr>
                <w:sz w:val="7"/>
                <w:szCs w:val="7"/>
                <w:color w:val="auto"/>
              </w:rPr>
            </w:pPr>
          </w:p>
        </w:tc>
        <w:tc>
          <w:tcPr>
            <w:tcW w:w="200" w:type="dxa"/>
            <w:vAlign w:val="bottom"/>
            <w:gridSpan w:val="7"/>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4"/>
                <w:szCs w:val="4"/>
                <w:color w:val="auto"/>
              </w:rPr>
            </w:pPr>
          </w:p>
        </w:tc>
        <w:tc>
          <w:tcPr>
            <w:tcW w:w="2060" w:type="dxa"/>
            <w:vAlign w:val="bottom"/>
            <w:tcBorders>
              <w:bottom w:val="single" w:sz="8" w:color="0000FF"/>
            </w:tcBorders>
            <w:gridSpan w:val="7"/>
            <w:vMerge w:val="continue"/>
          </w:tcPr>
          <w:p>
            <w:pPr>
              <w:spacing w:after="0"/>
              <w:rPr>
                <w:sz w:val="4"/>
                <w:szCs w:val="4"/>
                <w:color w:val="auto"/>
              </w:rPr>
            </w:pPr>
          </w:p>
        </w:tc>
        <w:tc>
          <w:tcPr>
            <w:tcW w:w="2560" w:type="dxa"/>
            <w:vAlign w:val="bottom"/>
            <w:gridSpan w:val="11"/>
            <w:vMerge w:val="continue"/>
          </w:tcPr>
          <w:p>
            <w:pPr>
              <w:spacing w:after="0"/>
              <w:rPr>
                <w:sz w:val="4"/>
                <w:szCs w:val="4"/>
                <w:color w:val="auto"/>
              </w:rPr>
            </w:pPr>
          </w:p>
        </w:tc>
        <w:tc>
          <w:tcPr>
            <w:tcW w:w="200" w:type="dxa"/>
            <w:vAlign w:val="bottom"/>
            <w:gridSpan w:val="7"/>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480" w:type="dxa"/>
            <w:vAlign w:val="bottom"/>
            <w:tcBorders>
              <w:bottom w:val="single" w:sz="8" w:color="0000FF"/>
            </w:tcBorders>
            <w:gridSpan w:val="14"/>
          </w:tcPr>
          <w:p>
            <w:pPr>
              <w:spacing w:after="0"/>
              <w:rPr>
                <w:rFonts w:ascii="Calibri" w:cs="Calibri" w:eastAsia="Calibri" w:hAnsi="Calibri"/>
                <w:sz w:val="16"/>
                <w:szCs w:val="16"/>
                <w:color w:val="0000FF"/>
              </w:rPr>
            </w:pPr>
            <w:hyperlink r:id="rId225">
              <w:r>
                <w:rPr>
                  <w:rFonts w:ascii="Calibri" w:cs="Calibri" w:eastAsia="Calibri" w:hAnsi="Calibri"/>
                  <w:sz w:val="16"/>
                  <w:szCs w:val="16"/>
                  <w:color w:val="0000FF"/>
                </w:rPr>
                <w:t>Third Amended and Restated Non-Employee Director Compensaton</w:t>
              </w:r>
            </w:hyperlink>
          </w:p>
        </w:tc>
        <w:tc>
          <w:tcPr>
            <w:tcW w:w="340" w:type="dxa"/>
            <w:vAlign w:val="bottom"/>
            <w:gridSpan w:val="11"/>
          </w:tcPr>
          <w:p>
            <w:pPr>
              <w:spacing w:after="0"/>
              <w:rPr>
                <w:sz w:val="24"/>
                <w:szCs w:val="24"/>
                <w:color w:val="auto"/>
              </w:rPr>
            </w:pPr>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10.21</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March 14, 2024</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260" w:type="dxa"/>
            <w:vAlign w:val="bottom"/>
            <w:gridSpan w:val="8"/>
            <w:vMerge w:val="restart"/>
          </w:tcPr>
          <w:p>
            <w:pPr>
              <w:spacing w:after="0" w:line="142" w:lineRule="exact"/>
              <w:rPr>
                <w:rFonts w:ascii="Calibri" w:cs="Calibri" w:eastAsia="Calibri" w:hAnsi="Calibri"/>
                <w:sz w:val="15"/>
                <w:szCs w:val="15"/>
                <w:color w:val="0000FF"/>
              </w:rPr>
            </w:pPr>
            <w:hyperlink r:id="rId225">
              <w:r>
                <w:rPr>
                  <w:rFonts w:ascii="Calibri" w:cs="Calibri" w:eastAsia="Calibri" w:hAnsi="Calibri"/>
                  <w:sz w:val="15"/>
                  <w:szCs w:val="15"/>
                  <w:color w:val="0000FF"/>
                </w:rPr>
                <w:t>Program, efectve January 1, 2024</w:t>
              </w:r>
            </w:hyperlink>
          </w:p>
        </w:tc>
        <w:tc>
          <w:tcPr>
            <w:tcW w:w="2560" w:type="dxa"/>
            <w:vAlign w:val="bottom"/>
            <w:gridSpan w:val="17"/>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4"/>
                <w:szCs w:val="4"/>
                <w:color w:val="auto"/>
              </w:rPr>
            </w:pPr>
          </w:p>
        </w:tc>
        <w:tc>
          <w:tcPr>
            <w:tcW w:w="2260" w:type="dxa"/>
            <w:vAlign w:val="bottom"/>
            <w:tcBorders>
              <w:bottom w:val="single" w:sz="8" w:color="0000FF"/>
            </w:tcBorders>
            <w:gridSpan w:val="8"/>
            <w:vMerge w:val="continue"/>
          </w:tcPr>
          <w:p>
            <w:pPr>
              <w:spacing w:after="0"/>
              <w:rPr>
                <w:sz w:val="4"/>
                <w:szCs w:val="4"/>
                <w:color w:val="auto"/>
              </w:rPr>
            </w:pPr>
          </w:p>
        </w:tc>
        <w:tc>
          <w:tcPr>
            <w:tcW w:w="2560" w:type="dxa"/>
            <w:vAlign w:val="bottom"/>
            <w:gridSpan w:val="17"/>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820" w:type="dxa"/>
            <w:vAlign w:val="bottom"/>
            <w:gridSpan w:val="25"/>
          </w:tcPr>
          <w:p>
            <w:pPr>
              <w:spacing w:after="0"/>
              <w:rPr>
                <w:sz w:val="20"/>
                <w:szCs w:val="20"/>
                <w:color w:val="auto"/>
              </w:rPr>
            </w:pPr>
            <w:r>
              <w:rPr>
                <w:rFonts w:ascii="Calibri" w:cs="Calibri" w:eastAsia="Calibri" w:hAnsi="Calibri"/>
                <w:sz w:val="16"/>
                <w:szCs w:val="16"/>
                <w:color w:val="0000FF"/>
              </w:rPr>
              <w:t>Fourth Amended and Restated Non-Employee Director Compensaton</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40" w:type="dxa"/>
            <w:vAlign w:val="bottom"/>
            <w:tcBorders>
              <w:top w:val="single" w:sz="8" w:color="0000FF"/>
              <w:bottom w:val="single" w:sz="8" w:color="0000FF"/>
            </w:tcBorders>
            <w:gridSpan w:val="9"/>
          </w:tcPr>
          <w:p>
            <w:pPr>
              <w:spacing w:after="0" w:line="142" w:lineRule="exact"/>
              <w:rPr>
                <w:sz w:val="20"/>
                <w:szCs w:val="20"/>
                <w:color w:val="auto"/>
              </w:rPr>
            </w:pPr>
            <w:r>
              <w:rPr>
                <w:rFonts w:ascii="Calibri" w:cs="Calibri" w:eastAsia="Calibri" w:hAnsi="Calibri"/>
                <w:sz w:val="15"/>
                <w:szCs w:val="15"/>
                <w:color w:val="0000FF"/>
              </w:rPr>
              <w:t>Program, efectve January 27, 2025</w:t>
            </w:r>
          </w:p>
        </w:tc>
        <w:tc>
          <w:tcPr>
            <w:tcW w:w="2220" w:type="dxa"/>
            <w:vAlign w:val="bottom"/>
            <w:tcBorders>
              <w:top w:val="single" w:sz="8" w:color="0000FF"/>
            </w:tcBorders>
            <w:gridSpan w:val="8"/>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gridSpan w:val="7"/>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4820" w:type="dxa"/>
            <w:vAlign w:val="bottom"/>
            <w:gridSpan w:val="25"/>
          </w:tcPr>
          <w:p>
            <w:pPr>
              <w:spacing w:after="0"/>
              <w:rPr>
                <w:rFonts w:ascii="Calibri" w:cs="Calibri" w:eastAsia="Calibri" w:hAnsi="Calibri"/>
                <w:sz w:val="16"/>
                <w:szCs w:val="16"/>
                <w:color w:val="0000FF"/>
              </w:rPr>
            </w:pPr>
            <w:hyperlink r:id="rId226">
              <w:r>
                <w:rPr>
                  <w:rFonts w:ascii="Calibri" w:cs="Calibri" w:eastAsia="Calibri" w:hAnsi="Calibri"/>
                  <w:sz w:val="16"/>
                  <w:szCs w:val="16"/>
                  <w:color w:val="0000FF"/>
                </w:rPr>
                <w:t>Form of Executve Severance Agreement for Ofcers</w:t>
              </w:r>
            </w:hyperlink>
          </w:p>
        </w:tc>
        <w:tc>
          <w:tcPr>
            <w:tcW w:w="1080" w:type="dxa"/>
            <w:vAlign w:val="bottom"/>
            <w:gridSpan w:val="2"/>
          </w:tcPr>
          <w:p>
            <w:pPr>
              <w:jc w:val="center"/>
              <w:ind w:right="120"/>
              <w:spacing w:after="0"/>
              <w:rPr>
                <w:sz w:val="20"/>
                <w:szCs w:val="20"/>
                <w:color w:val="auto"/>
              </w:rPr>
            </w:pPr>
            <w:r>
              <w:rPr>
                <w:rFonts w:ascii="Calibri" w:cs="Calibri" w:eastAsia="Calibri" w:hAnsi="Calibri"/>
                <w:sz w:val="16"/>
                <w:szCs w:val="16"/>
                <w:color w:val="auto"/>
              </w:rPr>
              <w:t>S-1/A</w:t>
            </w:r>
          </w:p>
        </w:tc>
        <w:tc>
          <w:tcPr>
            <w:tcW w:w="1180" w:type="dxa"/>
            <w:vAlign w:val="bottom"/>
          </w:tcPr>
          <w:p>
            <w:pPr>
              <w:jc w:val="center"/>
              <w:spacing w:after="0"/>
              <w:rPr>
                <w:sz w:val="20"/>
                <w:szCs w:val="20"/>
                <w:color w:val="auto"/>
              </w:rPr>
            </w:pPr>
            <w:r>
              <w:rPr>
                <w:rFonts w:ascii="Calibri" w:cs="Calibri" w:eastAsia="Calibri" w:hAnsi="Calibri"/>
                <w:sz w:val="16"/>
                <w:szCs w:val="16"/>
                <w:color w:val="auto"/>
              </w:rPr>
              <w:t>333-193969</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Calibri" w:cs="Calibri" w:eastAsia="Calibri" w:hAnsi="Calibri"/>
                <w:sz w:val="16"/>
                <w:szCs w:val="16"/>
                <w:color w:val="auto"/>
              </w:rPr>
              <w:t>10.27</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Calibri" w:cs="Calibri" w:eastAsia="Calibri" w:hAnsi="Calibri"/>
                <w:sz w:val="16"/>
                <w:szCs w:val="16"/>
                <w:color w:val="auto"/>
              </w:rPr>
              <w:t>March 4, 2014</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280" w:type="dxa"/>
            <w:vAlign w:val="bottom"/>
            <w:tcBorders>
              <w:top w:val="single" w:sz="8" w:color="0000FF"/>
              <w:bottom w:val="single" w:sz="8" w:color="0000FF"/>
            </w:tcBorders>
            <w:gridSpan w:val="5"/>
          </w:tcPr>
          <w:p>
            <w:pPr>
              <w:spacing w:after="0"/>
              <w:rPr>
                <w:rFonts w:ascii="Calibri" w:cs="Calibri" w:eastAsia="Calibri" w:hAnsi="Calibri"/>
                <w:sz w:val="16"/>
                <w:szCs w:val="16"/>
                <w:color w:val="0000FF"/>
              </w:rPr>
            </w:pPr>
            <w:hyperlink r:id="rId227">
              <w:r>
                <w:rPr>
                  <w:rFonts w:ascii="Calibri" w:cs="Calibri" w:eastAsia="Calibri" w:hAnsi="Calibri"/>
                  <w:sz w:val="16"/>
                  <w:szCs w:val="16"/>
                  <w:color w:val="0000FF"/>
                </w:rPr>
                <w:t>2014 Incentve Plan</w:t>
              </w:r>
            </w:hyperlink>
          </w:p>
        </w:tc>
        <w:tc>
          <w:tcPr>
            <w:tcW w:w="2120" w:type="dxa"/>
            <w:vAlign w:val="bottom"/>
            <w:tcBorders>
              <w:top w:val="single" w:sz="8" w:color="0000FF"/>
            </w:tcBorders>
            <w:gridSpan w:val="6"/>
          </w:tcPr>
          <w:p>
            <w:pPr>
              <w:spacing w:after="0"/>
              <w:rPr>
                <w:sz w:val="24"/>
                <w:szCs w:val="24"/>
                <w:color w:val="auto"/>
              </w:rPr>
            </w:pPr>
          </w:p>
        </w:tc>
        <w:tc>
          <w:tcPr>
            <w:tcW w:w="1420" w:type="dxa"/>
            <w:vAlign w:val="bottom"/>
            <w:gridSpan w:val="14"/>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Calibri" w:cs="Calibri" w:eastAsia="Calibri" w:hAnsi="Calibri"/>
                <w:sz w:val="16"/>
                <w:szCs w:val="16"/>
                <w:color w:val="auto"/>
                <w:w w:val="98"/>
              </w:rPr>
              <w:t>S-1</w:t>
            </w:r>
          </w:p>
        </w:tc>
        <w:tc>
          <w:tcPr>
            <w:tcW w:w="1180" w:type="dxa"/>
            <w:vAlign w:val="bottom"/>
          </w:tcPr>
          <w:p>
            <w:pPr>
              <w:jc w:val="center"/>
              <w:spacing w:after="0"/>
              <w:rPr>
                <w:sz w:val="20"/>
                <w:szCs w:val="20"/>
                <w:color w:val="auto"/>
              </w:rPr>
            </w:pPr>
            <w:r>
              <w:rPr>
                <w:rFonts w:ascii="Calibri" w:cs="Calibri" w:eastAsia="Calibri" w:hAnsi="Calibri"/>
                <w:sz w:val="16"/>
                <w:szCs w:val="16"/>
                <w:color w:val="auto"/>
              </w:rPr>
              <w:t>333-193969</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Calibri" w:cs="Calibri" w:eastAsia="Calibri" w:hAnsi="Calibri"/>
                <w:sz w:val="16"/>
                <w:szCs w:val="16"/>
                <w:color w:val="auto"/>
              </w:rPr>
              <w:t>10.29</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Calibri" w:cs="Calibri" w:eastAsia="Calibri" w:hAnsi="Calibri"/>
                <w:sz w:val="16"/>
                <w:szCs w:val="16"/>
                <w:color w:val="auto"/>
              </w:rPr>
              <w:t>March 4, 2014</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820" w:type="dxa"/>
            <w:vAlign w:val="bottom"/>
            <w:gridSpan w:val="25"/>
          </w:tcPr>
          <w:p>
            <w:pPr>
              <w:spacing w:after="0"/>
              <w:rPr>
                <w:rFonts w:ascii="Calibri" w:cs="Calibri" w:eastAsia="Calibri" w:hAnsi="Calibri"/>
                <w:sz w:val="16"/>
                <w:szCs w:val="16"/>
                <w:color w:val="0000FF"/>
              </w:rPr>
            </w:pPr>
            <w:hyperlink r:id="rId228">
              <w:r>
                <w:rPr>
                  <w:rFonts w:ascii="Calibri" w:cs="Calibri" w:eastAsia="Calibri" w:hAnsi="Calibri"/>
                  <w:sz w:val="16"/>
                  <w:szCs w:val="16"/>
                  <w:color w:val="0000FF"/>
                </w:rPr>
                <w:t>Amendment No. 1 to the Akebia Therapeutcs, Inc. 2014 Incentve Plan</w:t>
              </w:r>
            </w:hyperlink>
          </w:p>
        </w:tc>
        <w:tc>
          <w:tcPr>
            <w:tcW w:w="1080" w:type="dxa"/>
            <w:vAlign w:val="bottom"/>
            <w:gridSpan w:val="2"/>
          </w:tcPr>
          <w:p>
            <w:pPr>
              <w:jc w:val="center"/>
              <w:ind w:right="120"/>
              <w:spacing w:after="0"/>
              <w:rPr>
                <w:sz w:val="20"/>
                <w:szCs w:val="20"/>
                <w:color w:val="auto"/>
              </w:rPr>
            </w:pPr>
            <w:r>
              <w:rPr>
                <w:rFonts w:ascii="Calibri" w:cs="Calibri" w:eastAsia="Calibri" w:hAnsi="Calibri"/>
                <w:sz w:val="16"/>
                <w:szCs w:val="16"/>
                <w:color w:val="auto"/>
                <w:w w:val="98"/>
              </w:rPr>
              <w:t>S-8</w:t>
            </w:r>
          </w:p>
        </w:tc>
        <w:tc>
          <w:tcPr>
            <w:tcW w:w="1180" w:type="dxa"/>
            <w:vAlign w:val="bottom"/>
          </w:tcPr>
          <w:p>
            <w:pPr>
              <w:jc w:val="center"/>
              <w:spacing w:after="0"/>
              <w:rPr>
                <w:sz w:val="20"/>
                <w:szCs w:val="20"/>
                <w:color w:val="auto"/>
              </w:rPr>
            </w:pPr>
            <w:r>
              <w:rPr>
                <w:rFonts w:ascii="Calibri" w:cs="Calibri" w:eastAsia="Calibri" w:hAnsi="Calibri"/>
                <w:sz w:val="16"/>
                <w:szCs w:val="16"/>
                <w:color w:val="auto"/>
              </w:rPr>
              <w:t>333-229366</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Calibri" w:cs="Calibri" w:eastAsia="Calibri" w:hAnsi="Calibri"/>
                <w:sz w:val="16"/>
                <w:szCs w:val="16"/>
                <w:color w:val="auto"/>
                <w:w w:val="98"/>
              </w:rPr>
              <w:t>4.4</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Calibri" w:cs="Calibri" w:eastAsia="Calibri" w:hAnsi="Calibri"/>
                <w:sz w:val="16"/>
                <w:szCs w:val="16"/>
                <w:color w:val="auto"/>
              </w:rPr>
              <w:t>January 25, 2019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1240" w:space="220"/>
            <w:col w:w="9760"/>
          </w:cols>
          <w:pgMar w:left="320" w:top="33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Akebia Therapeutcs, Inc. | Form 10-K | Page 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144145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type w:val="continuous"/>
        </w:sectPr>
      </w:pPr>
    </w:p>
    <w:bookmarkStart w:id="173" w:name="page174"/>
    <w:bookmarkEnd w:id="173"/>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4"/>
          </w:tcPr>
          <w:p>
            <w:pPr>
              <w:ind w:left="500"/>
              <w:spacing w:after="0"/>
              <w:rPr>
                <w:sz w:val="20"/>
                <w:szCs w:val="20"/>
                <w:color w:val="auto"/>
              </w:rPr>
            </w:pPr>
            <w:r>
              <w:rPr>
                <w:rFonts w:ascii="Calibri" w:cs="Calibri" w:eastAsia="Calibri" w:hAnsi="Calibri"/>
                <w:sz w:val="16"/>
                <w:szCs w:val="16"/>
                <w:color w:val="auto"/>
                <w:w w:val="99"/>
              </w:rPr>
              <w:t>Incorporated by Reference</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460" w:type="dxa"/>
            <w:vAlign w:val="bottom"/>
            <w:gridSpan w:val="2"/>
            <w:vMerge w:val="restart"/>
          </w:tcPr>
          <w:p>
            <w:pPr>
              <w:ind w:left="20"/>
              <w:spacing w:after="0"/>
              <w:rPr>
                <w:sz w:val="20"/>
                <w:szCs w:val="20"/>
                <w:color w:val="auto"/>
              </w:rPr>
            </w:pPr>
            <w:r>
              <w:rPr>
                <w:rFonts w:ascii="Calibri" w:cs="Calibri" w:eastAsia="Calibri" w:hAnsi="Calibri"/>
                <w:sz w:val="16"/>
                <w:szCs w:val="16"/>
                <w:b w:val="1"/>
                <w:bCs w:val="1"/>
                <w:color w:val="auto"/>
              </w:rPr>
              <w:t>Exhibit</w:t>
            </w: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4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2"/>
          </w:tcPr>
          <w:p>
            <w:pPr>
              <w:jc w:val="center"/>
              <w:ind w:right="100"/>
              <w:spacing w:after="0" w:line="150" w:lineRule="exact"/>
              <w:rPr>
                <w:sz w:val="20"/>
                <w:szCs w:val="20"/>
                <w:color w:val="auto"/>
              </w:rPr>
            </w:pPr>
            <w:r>
              <w:rPr>
                <w:rFonts w:ascii="Calibri" w:cs="Calibri" w:eastAsia="Calibri" w:hAnsi="Calibri"/>
                <w:sz w:val="16"/>
                <w:szCs w:val="16"/>
                <w:color w:val="auto"/>
              </w:rPr>
              <w:t>Schedule/</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center"/>
              <w:spacing w:after="0" w:line="150" w:lineRule="exact"/>
              <w:rPr>
                <w:sz w:val="20"/>
                <w:szCs w:val="20"/>
                <w:color w:val="auto"/>
              </w:rPr>
            </w:pPr>
            <w:r>
              <w:rPr>
                <w:rFonts w:ascii="Calibri" w:cs="Calibri" w:eastAsia="Calibri" w:hAnsi="Calibri"/>
                <w:sz w:val="16"/>
                <w:szCs w:val="16"/>
                <w:color w:val="auto"/>
              </w:rPr>
              <w:t>Filed Date/ Period End</w:t>
            </w:r>
          </w:p>
        </w:tc>
        <w:tc>
          <w:tcPr>
            <w:tcW w:w="0" w:type="dxa"/>
            <w:vAlign w:val="bottom"/>
          </w:tcPr>
          <w:p>
            <w:pPr>
              <w:spacing w:after="0"/>
              <w:rPr>
                <w:sz w:val="1"/>
                <w:szCs w:val="1"/>
                <w:color w:val="auto"/>
              </w:rPr>
            </w:pPr>
          </w:p>
        </w:tc>
      </w:tr>
      <w:tr>
        <w:trPr>
          <w:trHeight w:val="193"/>
        </w:trPr>
        <w:tc>
          <w:tcPr>
            <w:tcW w:w="1460" w:type="dxa"/>
            <w:vAlign w:val="bottom"/>
            <w:gridSpan w:val="2"/>
          </w:tcPr>
          <w:p>
            <w:pPr>
              <w:ind w:left="20"/>
              <w:spacing w:after="0" w:line="193" w:lineRule="exact"/>
              <w:rPr>
                <w:sz w:val="20"/>
                <w:szCs w:val="20"/>
                <w:color w:val="auto"/>
              </w:rPr>
            </w:pPr>
            <w:r>
              <w:rPr>
                <w:rFonts w:ascii="Calibri" w:cs="Calibri" w:eastAsia="Calibri" w:hAnsi="Calibri"/>
                <w:sz w:val="16"/>
                <w:szCs w:val="16"/>
                <w:b w:val="1"/>
                <w:bCs w:val="1"/>
                <w:color w:val="auto"/>
              </w:rPr>
              <w:t>Number</w:t>
            </w:r>
          </w:p>
        </w:tc>
        <w:tc>
          <w:tcPr>
            <w:tcW w:w="20" w:type="dxa"/>
            <w:vAlign w:val="bottom"/>
          </w:tcPr>
          <w:p>
            <w:pPr>
              <w:spacing w:after="0"/>
              <w:rPr>
                <w:sz w:val="16"/>
                <w:szCs w:val="16"/>
                <w:color w:val="auto"/>
              </w:rPr>
            </w:pPr>
          </w:p>
        </w:tc>
        <w:tc>
          <w:tcPr>
            <w:tcW w:w="4820" w:type="dxa"/>
            <w:vAlign w:val="bottom"/>
            <w:gridSpan w:val="24"/>
          </w:tcPr>
          <w:p>
            <w:pPr>
              <w:spacing w:after="0" w:line="193" w:lineRule="exact"/>
              <w:rPr>
                <w:sz w:val="20"/>
                <w:szCs w:val="20"/>
                <w:color w:val="auto"/>
              </w:rPr>
            </w:pPr>
            <w:r>
              <w:rPr>
                <w:rFonts w:ascii="Calibri" w:cs="Calibri" w:eastAsia="Calibri" w:hAnsi="Calibri"/>
                <w:sz w:val="16"/>
                <w:szCs w:val="16"/>
                <w:b w:val="1"/>
                <w:bCs w:val="1"/>
                <w:color w:val="auto"/>
              </w:rPr>
              <w:t>Descripton of Exhibit</w:t>
            </w:r>
          </w:p>
        </w:tc>
        <w:tc>
          <w:tcPr>
            <w:tcW w:w="1080" w:type="dxa"/>
            <w:vAlign w:val="bottom"/>
            <w:gridSpan w:val="2"/>
          </w:tcPr>
          <w:p>
            <w:pPr>
              <w:jc w:val="center"/>
              <w:ind w:right="100"/>
              <w:spacing w:after="0" w:line="193" w:lineRule="exact"/>
              <w:rPr>
                <w:sz w:val="20"/>
                <w:szCs w:val="20"/>
                <w:color w:val="auto"/>
              </w:rPr>
            </w:pPr>
            <w:r>
              <w:rPr>
                <w:rFonts w:ascii="Calibri" w:cs="Calibri" w:eastAsia="Calibri" w:hAnsi="Calibri"/>
                <w:sz w:val="16"/>
                <w:szCs w:val="16"/>
                <w:color w:val="auto"/>
                <w:w w:val="99"/>
              </w:rPr>
              <w:t>Form</w:t>
            </w:r>
          </w:p>
        </w:tc>
        <w:tc>
          <w:tcPr>
            <w:tcW w:w="1260" w:type="dxa"/>
            <w:vAlign w:val="bottom"/>
            <w:gridSpan w:val="2"/>
          </w:tcPr>
          <w:p>
            <w:pPr>
              <w:ind w:left="340"/>
              <w:spacing w:after="0" w:line="193" w:lineRule="exact"/>
              <w:rPr>
                <w:sz w:val="20"/>
                <w:szCs w:val="20"/>
                <w:color w:val="auto"/>
              </w:rPr>
            </w:pPr>
            <w:r>
              <w:rPr>
                <w:rFonts w:ascii="Calibri" w:cs="Calibri" w:eastAsia="Calibri" w:hAnsi="Calibri"/>
                <w:sz w:val="16"/>
                <w:szCs w:val="16"/>
                <w:color w:val="auto"/>
              </w:rPr>
              <w:t>File No.</w:t>
            </w:r>
          </w:p>
        </w:tc>
        <w:tc>
          <w:tcPr>
            <w:tcW w:w="1000" w:type="dxa"/>
            <w:vAlign w:val="bottom"/>
            <w:gridSpan w:val="2"/>
          </w:tcPr>
          <w:p>
            <w:pPr>
              <w:jc w:val="center"/>
              <w:ind w:right="100"/>
              <w:spacing w:after="0" w:line="193" w:lineRule="exact"/>
              <w:rPr>
                <w:sz w:val="20"/>
                <w:szCs w:val="20"/>
                <w:color w:val="auto"/>
              </w:rPr>
            </w:pPr>
            <w:r>
              <w:rPr>
                <w:rFonts w:ascii="Calibri" w:cs="Calibri" w:eastAsia="Calibri" w:hAnsi="Calibri"/>
                <w:sz w:val="16"/>
                <w:szCs w:val="16"/>
                <w:color w:val="auto"/>
              </w:rPr>
              <w:t>Exhibit</w:t>
            </w:r>
          </w:p>
        </w:tc>
        <w:tc>
          <w:tcPr>
            <w:tcW w:w="1580" w:type="dxa"/>
            <w:vAlign w:val="bottom"/>
          </w:tcPr>
          <w:p>
            <w:pPr>
              <w:jc w:val="center"/>
              <w:spacing w:after="0" w:line="193" w:lineRule="exact"/>
              <w:rPr>
                <w:sz w:val="20"/>
                <w:szCs w:val="20"/>
                <w:color w:val="auto"/>
              </w:rPr>
            </w:pPr>
            <w:r>
              <w:rPr>
                <w:rFonts w:ascii="Calibri" w:cs="Calibri" w:eastAsia="Calibri" w:hAnsi="Calibri"/>
                <w:sz w:val="16"/>
                <w:szCs w:val="16"/>
                <w:color w:val="auto"/>
              </w:rPr>
              <w:t>Date</w:t>
            </w:r>
          </w:p>
        </w:tc>
        <w:tc>
          <w:tcPr>
            <w:tcW w:w="0" w:type="dxa"/>
            <w:vAlign w:val="bottom"/>
          </w:tcPr>
          <w:p>
            <w:pPr>
              <w:spacing w:after="0"/>
              <w:rPr>
                <w:sz w:val="1"/>
                <w:szCs w:val="1"/>
                <w:color w:val="auto"/>
              </w:rPr>
            </w:pPr>
          </w:p>
        </w:tc>
      </w:tr>
      <w:tr>
        <w:trPr>
          <w:trHeight w:val="28"/>
        </w:trPr>
        <w:tc>
          <w:tcPr>
            <w:tcW w:w="10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460" w:type="dxa"/>
            <w:vAlign w:val="bottom"/>
            <w:gridSpan w:val="2"/>
          </w:tcPr>
          <w:p>
            <w:pPr>
              <w:ind w:left="220"/>
              <w:spacing w:after="0" w:line="183" w:lineRule="exact"/>
              <w:rPr>
                <w:sz w:val="20"/>
                <w:szCs w:val="20"/>
                <w:color w:val="auto"/>
              </w:rPr>
            </w:pPr>
            <w:r>
              <w:rPr>
                <w:rFonts w:ascii="Calibri" w:cs="Calibri" w:eastAsia="Calibri" w:hAnsi="Calibri"/>
                <w:sz w:val="16"/>
                <w:szCs w:val="16"/>
                <w:color w:val="auto"/>
              </w:rPr>
              <w:t>10.22†</w:t>
            </w:r>
          </w:p>
        </w:tc>
        <w:tc>
          <w:tcPr>
            <w:tcW w:w="20" w:type="dxa"/>
            <w:vAlign w:val="bottom"/>
          </w:tcPr>
          <w:p>
            <w:pPr>
              <w:spacing w:after="0"/>
              <w:rPr>
                <w:sz w:val="15"/>
                <w:szCs w:val="15"/>
                <w:color w:val="auto"/>
              </w:rPr>
            </w:pPr>
          </w:p>
        </w:tc>
        <w:tc>
          <w:tcPr>
            <w:tcW w:w="4820" w:type="dxa"/>
            <w:vAlign w:val="bottom"/>
            <w:gridSpan w:val="24"/>
          </w:tcPr>
          <w:p>
            <w:pPr>
              <w:spacing w:after="0" w:line="183" w:lineRule="exact"/>
              <w:rPr>
                <w:rFonts w:ascii="Calibri" w:cs="Calibri" w:eastAsia="Calibri" w:hAnsi="Calibri"/>
                <w:sz w:val="16"/>
                <w:szCs w:val="16"/>
                <w:color w:val="0000FF"/>
              </w:rPr>
            </w:pPr>
            <w:hyperlink r:id="rId230">
              <w:r>
                <w:rPr>
                  <w:rFonts w:ascii="Calibri" w:cs="Calibri" w:eastAsia="Calibri" w:hAnsi="Calibri"/>
                  <w:sz w:val="16"/>
                  <w:szCs w:val="16"/>
                  <w:color w:val="0000FF"/>
                </w:rPr>
                <w:t>Amended and Restated 2014 Employee Stock Purchase Plan</w:t>
              </w:r>
            </w:hyperlink>
          </w:p>
        </w:tc>
        <w:tc>
          <w:tcPr>
            <w:tcW w:w="1080" w:type="dxa"/>
            <w:vAlign w:val="bottom"/>
            <w:gridSpan w:val="2"/>
          </w:tcPr>
          <w:p>
            <w:pPr>
              <w:jc w:val="center"/>
              <w:ind w:right="100"/>
              <w:spacing w:after="0" w:line="183" w:lineRule="exact"/>
              <w:rPr>
                <w:sz w:val="20"/>
                <w:szCs w:val="20"/>
                <w:color w:val="auto"/>
              </w:rPr>
            </w:pPr>
            <w:r>
              <w:rPr>
                <w:rFonts w:ascii="Calibri" w:cs="Calibri" w:eastAsia="Calibri" w:hAnsi="Calibri"/>
                <w:sz w:val="16"/>
                <w:szCs w:val="16"/>
                <w:color w:val="auto"/>
                <w:w w:val="99"/>
              </w:rPr>
              <w:t>DEF 14A</w:t>
            </w:r>
          </w:p>
        </w:tc>
        <w:tc>
          <w:tcPr>
            <w:tcW w:w="1180" w:type="dxa"/>
            <w:vAlign w:val="bottom"/>
          </w:tcPr>
          <w:p>
            <w:pPr>
              <w:jc w:val="center"/>
              <w:spacing w:after="0" w:line="183" w:lineRule="exact"/>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Calibri" w:cs="Calibri" w:eastAsia="Calibri" w:hAnsi="Calibri"/>
                <w:sz w:val="14"/>
                <w:szCs w:val="14"/>
                <w:color w:val="auto"/>
              </w:rPr>
              <w:t>Appendix A</w:t>
            </w:r>
          </w:p>
        </w:tc>
        <w:tc>
          <w:tcPr>
            <w:tcW w:w="120" w:type="dxa"/>
            <w:vAlign w:val="bottom"/>
          </w:tcPr>
          <w:p>
            <w:pPr>
              <w:spacing w:after="0"/>
              <w:rPr>
                <w:sz w:val="15"/>
                <w:szCs w:val="15"/>
                <w:color w:val="auto"/>
              </w:rPr>
            </w:pPr>
          </w:p>
        </w:tc>
        <w:tc>
          <w:tcPr>
            <w:tcW w:w="1580" w:type="dxa"/>
            <w:vAlign w:val="bottom"/>
          </w:tcPr>
          <w:p>
            <w:pPr>
              <w:jc w:val="center"/>
              <w:spacing w:after="0" w:line="183" w:lineRule="exact"/>
              <w:rPr>
                <w:sz w:val="20"/>
                <w:szCs w:val="20"/>
                <w:color w:val="auto"/>
              </w:rPr>
            </w:pPr>
            <w:r>
              <w:rPr>
                <w:rFonts w:ascii="Calibri" w:cs="Calibri" w:eastAsia="Calibri" w:hAnsi="Calibri"/>
                <w:sz w:val="16"/>
                <w:szCs w:val="16"/>
                <w:color w:val="auto"/>
              </w:rPr>
              <w:t>April 26, 2019</w:t>
            </w: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10.23†</w:t>
            </w:r>
          </w:p>
        </w:tc>
        <w:tc>
          <w:tcPr>
            <w:tcW w:w="20" w:type="dxa"/>
            <w:vAlign w:val="bottom"/>
          </w:tcPr>
          <w:p>
            <w:pPr>
              <w:spacing w:after="0"/>
              <w:rPr>
                <w:sz w:val="24"/>
                <w:szCs w:val="24"/>
                <w:color w:val="auto"/>
              </w:rPr>
            </w:pPr>
          </w:p>
        </w:tc>
        <w:tc>
          <w:tcPr>
            <w:tcW w:w="4820" w:type="dxa"/>
            <w:vAlign w:val="bottom"/>
            <w:gridSpan w:val="24"/>
          </w:tcPr>
          <w:p>
            <w:pPr>
              <w:spacing w:after="0"/>
              <w:rPr>
                <w:rFonts w:ascii="Calibri" w:cs="Calibri" w:eastAsia="Calibri" w:hAnsi="Calibri"/>
                <w:sz w:val="16"/>
                <w:szCs w:val="16"/>
                <w:color w:val="0000FF"/>
              </w:rPr>
            </w:pPr>
            <w:hyperlink r:id="rId231">
              <w:r>
                <w:rPr>
                  <w:rFonts w:ascii="Calibri" w:cs="Calibri" w:eastAsia="Calibri" w:hAnsi="Calibri"/>
                  <w:sz w:val="16"/>
                  <w:szCs w:val="16"/>
                  <w:color w:val="0000FF"/>
                </w:rPr>
                <w:t>Amended and Restated Cash Incentve Plan, efectve January 19, 2022</w:t>
              </w:r>
            </w:hyperlink>
          </w:p>
        </w:tc>
        <w:tc>
          <w:tcPr>
            <w:tcW w:w="1080" w:type="dxa"/>
            <w:vAlign w:val="bottom"/>
            <w:gridSpan w:val="2"/>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Calibri" w:cs="Calibri" w:eastAsia="Calibri" w:hAnsi="Calibri"/>
                <w:sz w:val="16"/>
                <w:szCs w:val="16"/>
                <w:color w:val="auto"/>
              </w:rPr>
              <w:t>10.28</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Calibri" w:cs="Calibri" w:eastAsia="Calibri" w:hAnsi="Calibri"/>
                <w:sz w:val="16"/>
                <w:szCs w:val="16"/>
                <w:color w:val="auto"/>
              </w:rPr>
              <w:t>March 1, 2022</w:t>
            </w:r>
          </w:p>
        </w:tc>
        <w:tc>
          <w:tcPr>
            <w:tcW w:w="0" w:type="dxa"/>
            <w:vAlign w:val="bottom"/>
          </w:tcPr>
          <w:p>
            <w:pPr>
              <w:spacing w:after="0"/>
              <w:rPr>
                <w:sz w:val="1"/>
                <w:szCs w:val="1"/>
                <w:color w:val="auto"/>
              </w:rPr>
            </w:pPr>
          </w:p>
        </w:tc>
      </w:tr>
      <w:tr>
        <w:trPr>
          <w:trHeight w:val="466"/>
        </w:trPr>
        <w:tc>
          <w:tcPr>
            <w:tcW w:w="1460" w:type="dxa"/>
            <w:vAlign w:val="bottom"/>
            <w:gridSpan w:val="2"/>
          </w:tcPr>
          <w:p>
            <w:pPr>
              <w:ind w:left="140"/>
              <w:spacing w:after="0"/>
              <w:rPr>
                <w:sz w:val="20"/>
                <w:szCs w:val="20"/>
                <w:color w:val="auto"/>
              </w:rPr>
            </w:pPr>
            <w:r>
              <w:rPr>
                <w:rFonts w:ascii="Calibri" w:cs="Calibri" w:eastAsia="Calibri" w:hAnsi="Calibri"/>
                <w:sz w:val="16"/>
                <w:szCs w:val="16"/>
                <w:color w:val="auto"/>
              </w:rPr>
              <w:t>10.24†</w:t>
            </w:r>
          </w:p>
        </w:tc>
        <w:tc>
          <w:tcPr>
            <w:tcW w:w="20" w:type="dxa"/>
            <w:vAlign w:val="bottom"/>
          </w:tcPr>
          <w:p>
            <w:pPr>
              <w:spacing w:after="0"/>
              <w:rPr>
                <w:sz w:val="24"/>
                <w:szCs w:val="24"/>
                <w:color w:val="auto"/>
              </w:rPr>
            </w:pPr>
          </w:p>
        </w:tc>
        <w:tc>
          <w:tcPr>
            <w:tcW w:w="4420" w:type="dxa"/>
            <w:vAlign w:val="bottom"/>
            <w:tcBorders>
              <w:top w:val="single" w:sz="8" w:color="0000FF"/>
              <w:bottom w:val="single" w:sz="8" w:color="0000FF"/>
            </w:tcBorders>
            <w:gridSpan w:val="17"/>
          </w:tcPr>
          <w:p>
            <w:pPr>
              <w:spacing w:after="0"/>
              <w:rPr>
                <w:rFonts w:ascii="Calibri" w:cs="Calibri" w:eastAsia="Calibri" w:hAnsi="Calibri"/>
                <w:sz w:val="16"/>
                <w:szCs w:val="16"/>
                <w:color w:val="0000FF"/>
              </w:rPr>
            </w:pPr>
            <w:hyperlink r:id="rId232">
              <w:r>
                <w:rPr>
                  <w:rFonts w:ascii="Calibri" w:cs="Calibri" w:eastAsia="Calibri" w:hAnsi="Calibri"/>
                  <w:sz w:val="16"/>
                  <w:szCs w:val="16"/>
                  <w:color w:val="0000FF"/>
                </w:rPr>
                <w:t>Form of Ofcer Restricted Stock Unit Award Agreement under 2014</w:t>
              </w:r>
            </w:hyperlink>
          </w:p>
        </w:tc>
        <w:tc>
          <w:tcPr>
            <w:tcW w:w="200" w:type="dxa"/>
            <w:vAlign w:val="bottom"/>
            <w:tcBorders>
              <w:top w:val="single" w:sz="8" w:color="0000FF"/>
            </w:tcBorders>
            <w:gridSpan w:val="2"/>
          </w:tcPr>
          <w:p>
            <w:pPr>
              <w:spacing w:after="0"/>
              <w:rPr>
                <w:sz w:val="24"/>
                <w:szCs w:val="24"/>
                <w:color w:val="auto"/>
              </w:rPr>
            </w:pPr>
          </w:p>
        </w:tc>
        <w:tc>
          <w:tcPr>
            <w:tcW w:w="200" w:type="dxa"/>
            <w:vAlign w:val="bottom"/>
            <w:gridSpan w:val="5"/>
          </w:tcPr>
          <w:p>
            <w:pPr>
              <w:spacing w:after="0"/>
              <w:rPr>
                <w:sz w:val="24"/>
                <w:szCs w:val="24"/>
                <w:color w:val="auto"/>
              </w:rPr>
            </w:pPr>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10.18</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March 12, 2018</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gridSpan w:val="3"/>
            <w:vMerge w:val="restart"/>
          </w:tcPr>
          <w:p>
            <w:pPr>
              <w:spacing w:after="0" w:line="142" w:lineRule="exact"/>
              <w:rPr>
                <w:rFonts w:ascii="Calibri" w:cs="Calibri" w:eastAsia="Calibri" w:hAnsi="Calibri"/>
                <w:sz w:val="15"/>
                <w:szCs w:val="15"/>
                <w:color w:val="0000FF"/>
              </w:rPr>
            </w:pPr>
            <w:hyperlink r:id="rId232">
              <w:r>
                <w:rPr>
                  <w:rFonts w:ascii="Calibri" w:cs="Calibri" w:eastAsia="Calibri" w:hAnsi="Calibri"/>
                  <w:sz w:val="15"/>
                  <w:szCs w:val="15"/>
                  <w:color w:val="0000FF"/>
                </w:rPr>
                <w:t>Incentve Plan</w:t>
              </w:r>
            </w:hyperlink>
          </w:p>
        </w:tc>
        <w:tc>
          <w:tcPr>
            <w:tcW w:w="3900" w:type="dxa"/>
            <w:vAlign w:val="bottom"/>
            <w:gridSpan w:val="21"/>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Borders>
              <w:bottom w:val="single" w:sz="8" w:color="0000FF"/>
            </w:tcBorders>
            <w:gridSpan w:val="3"/>
            <w:vMerge w:val="continue"/>
          </w:tcPr>
          <w:p>
            <w:pPr>
              <w:spacing w:after="0"/>
              <w:rPr>
                <w:sz w:val="4"/>
                <w:szCs w:val="4"/>
                <w:color w:val="auto"/>
              </w:rPr>
            </w:pPr>
          </w:p>
        </w:tc>
        <w:tc>
          <w:tcPr>
            <w:tcW w:w="3900" w:type="dxa"/>
            <w:vAlign w:val="bottom"/>
            <w:gridSpan w:val="21"/>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1460" w:type="dxa"/>
            <w:vAlign w:val="bottom"/>
            <w:gridSpan w:val="2"/>
          </w:tcPr>
          <w:p>
            <w:pPr>
              <w:ind w:left="140"/>
              <w:spacing w:after="0"/>
              <w:rPr>
                <w:sz w:val="20"/>
                <w:szCs w:val="20"/>
                <w:color w:val="auto"/>
              </w:rPr>
            </w:pPr>
            <w:r>
              <w:rPr>
                <w:rFonts w:ascii="Calibri" w:cs="Calibri" w:eastAsia="Calibri" w:hAnsi="Calibri"/>
                <w:sz w:val="16"/>
                <w:szCs w:val="16"/>
                <w:color w:val="auto"/>
              </w:rPr>
              <w:t>10.25†</w:t>
            </w:r>
          </w:p>
        </w:tc>
        <w:tc>
          <w:tcPr>
            <w:tcW w:w="20" w:type="dxa"/>
            <w:vAlign w:val="bottom"/>
          </w:tcPr>
          <w:p>
            <w:pPr>
              <w:spacing w:after="0"/>
              <w:rPr>
                <w:sz w:val="24"/>
                <w:szCs w:val="24"/>
                <w:color w:val="auto"/>
              </w:rPr>
            </w:pPr>
          </w:p>
        </w:tc>
        <w:tc>
          <w:tcPr>
            <w:tcW w:w="4420" w:type="dxa"/>
            <w:vAlign w:val="bottom"/>
            <w:tcBorders>
              <w:bottom w:val="single" w:sz="8" w:color="0000FF"/>
            </w:tcBorders>
            <w:gridSpan w:val="17"/>
          </w:tcPr>
          <w:p>
            <w:pPr>
              <w:spacing w:after="0"/>
              <w:rPr>
                <w:rFonts w:ascii="Calibri" w:cs="Calibri" w:eastAsia="Calibri" w:hAnsi="Calibri"/>
                <w:sz w:val="16"/>
                <w:szCs w:val="16"/>
                <w:color w:val="0000FF"/>
              </w:rPr>
            </w:pPr>
            <w:hyperlink r:id="rId233">
              <w:r>
                <w:rPr>
                  <w:rFonts w:ascii="Calibri" w:cs="Calibri" w:eastAsia="Calibri" w:hAnsi="Calibri"/>
                  <w:sz w:val="16"/>
                  <w:szCs w:val="16"/>
                  <w:color w:val="0000FF"/>
                </w:rPr>
                <w:t>Form of Ofcer Restricted Stock Unit Award Agreement under 2014</w:t>
              </w:r>
            </w:hyperlink>
          </w:p>
        </w:tc>
        <w:tc>
          <w:tcPr>
            <w:tcW w:w="400" w:type="dxa"/>
            <w:vAlign w:val="bottom"/>
            <w:gridSpan w:val="7"/>
          </w:tcPr>
          <w:p>
            <w:pPr>
              <w:spacing w:after="0"/>
              <w:rPr>
                <w:sz w:val="24"/>
                <w:szCs w:val="24"/>
                <w:color w:val="auto"/>
              </w:rPr>
            </w:pPr>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10.29</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March 26, 2019</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gridSpan w:val="3"/>
            <w:vMerge w:val="restart"/>
          </w:tcPr>
          <w:p>
            <w:pPr>
              <w:spacing w:after="0" w:line="142" w:lineRule="exact"/>
              <w:rPr>
                <w:rFonts w:ascii="Calibri" w:cs="Calibri" w:eastAsia="Calibri" w:hAnsi="Calibri"/>
                <w:sz w:val="15"/>
                <w:szCs w:val="15"/>
                <w:color w:val="0000FF"/>
              </w:rPr>
            </w:pPr>
            <w:hyperlink r:id="rId233">
              <w:r>
                <w:rPr>
                  <w:rFonts w:ascii="Calibri" w:cs="Calibri" w:eastAsia="Calibri" w:hAnsi="Calibri"/>
                  <w:sz w:val="15"/>
                  <w:szCs w:val="15"/>
                  <w:color w:val="0000FF"/>
                </w:rPr>
                <w:t>Incentve Plan</w:t>
              </w:r>
            </w:hyperlink>
          </w:p>
        </w:tc>
        <w:tc>
          <w:tcPr>
            <w:tcW w:w="3900" w:type="dxa"/>
            <w:vAlign w:val="bottom"/>
            <w:gridSpan w:val="21"/>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Borders>
              <w:bottom w:val="single" w:sz="8" w:color="0000FF"/>
            </w:tcBorders>
            <w:gridSpan w:val="3"/>
            <w:vMerge w:val="continue"/>
          </w:tcPr>
          <w:p>
            <w:pPr>
              <w:spacing w:after="0"/>
              <w:rPr>
                <w:sz w:val="4"/>
                <w:szCs w:val="4"/>
                <w:color w:val="auto"/>
              </w:rPr>
            </w:pPr>
          </w:p>
        </w:tc>
        <w:tc>
          <w:tcPr>
            <w:tcW w:w="3900" w:type="dxa"/>
            <w:vAlign w:val="bottom"/>
            <w:gridSpan w:val="21"/>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1460" w:type="dxa"/>
            <w:vAlign w:val="bottom"/>
            <w:gridSpan w:val="2"/>
          </w:tcPr>
          <w:p>
            <w:pPr>
              <w:ind w:left="140"/>
              <w:spacing w:after="0"/>
              <w:rPr>
                <w:sz w:val="20"/>
                <w:szCs w:val="20"/>
                <w:color w:val="auto"/>
              </w:rPr>
            </w:pPr>
            <w:r>
              <w:rPr>
                <w:rFonts w:ascii="Calibri" w:cs="Calibri" w:eastAsia="Calibri" w:hAnsi="Calibri"/>
                <w:sz w:val="16"/>
                <w:szCs w:val="16"/>
                <w:color w:val="auto"/>
              </w:rPr>
              <w:t>10.26†</w:t>
            </w:r>
          </w:p>
        </w:tc>
        <w:tc>
          <w:tcPr>
            <w:tcW w:w="20" w:type="dxa"/>
            <w:vAlign w:val="bottom"/>
          </w:tcPr>
          <w:p>
            <w:pPr>
              <w:spacing w:after="0"/>
              <w:rPr>
                <w:sz w:val="24"/>
                <w:szCs w:val="24"/>
                <w:color w:val="auto"/>
              </w:rPr>
            </w:pPr>
          </w:p>
        </w:tc>
        <w:tc>
          <w:tcPr>
            <w:tcW w:w="4820" w:type="dxa"/>
            <w:vAlign w:val="bottom"/>
            <w:gridSpan w:val="24"/>
          </w:tcPr>
          <w:p>
            <w:pPr>
              <w:spacing w:after="0"/>
              <w:rPr>
                <w:rFonts w:ascii="Calibri" w:cs="Calibri" w:eastAsia="Calibri" w:hAnsi="Calibri"/>
                <w:sz w:val="16"/>
                <w:szCs w:val="16"/>
                <w:color w:val="0000FF"/>
              </w:rPr>
            </w:pPr>
            <w:hyperlink r:id="rId234">
              <w:r>
                <w:rPr>
                  <w:rFonts w:ascii="Calibri" w:cs="Calibri" w:eastAsia="Calibri" w:hAnsi="Calibri"/>
                  <w:sz w:val="16"/>
                  <w:szCs w:val="16"/>
                  <w:color w:val="0000FF"/>
                </w:rPr>
                <w:t>Form of Ofcer Inducement Award Non-Statutory Stock Opton</w:t>
              </w:r>
            </w:hyperlink>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w w:val="98"/>
              </w:rPr>
              <w:t>S-8</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333-222728</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w w:val="98"/>
              </w:rPr>
              <w:t>4.4</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January 26, 2018</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120" w:type="dxa"/>
            <w:vAlign w:val="bottom"/>
            <w:tcBorders>
              <w:top w:val="single" w:sz="8" w:color="0000FF"/>
            </w:tcBorders>
            <w:gridSpan w:val="13"/>
            <w:vMerge w:val="restart"/>
          </w:tcPr>
          <w:p>
            <w:pPr>
              <w:spacing w:after="0" w:line="142" w:lineRule="exact"/>
              <w:rPr>
                <w:rFonts w:ascii="Calibri" w:cs="Calibri" w:eastAsia="Calibri" w:hAnsi="Calibri"/>
                <w:sz w:val="15"/>
                <w:szCs w:val="15"/>
                <w:color w:val="0000FF"/>
              </w:rPr>
            </w:pPr>
            <w:hyperlink r:id="rId234">
              <w:r>
                <w:rPr>
                  <w:rFonts w:ascii="Calibri" w:cs="Calibri" w:eastAsia="Calibri" w:hAnsi="Calibri"/>
                  <w:sz w:val="15"/>
                  <w:szCs w:val="15"/>
                  <w:color w:val="0000FF"/>
                </w:rPr>
                <w:t>Agreement</w:t>
              </w:r>
            </w:hyperlink>
          </w:p>
        </w:tc>
        <w:tc>
          <w:tcPr>
            <w:tcW w:w="700" w:type="dxa"/>
            <w:vAlign w:val="bottom"/>
            <w:gridSpan w:val="11"/>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120" w:type="dxa"/>
            <w:vAlign w:val="bottom"/>
            <w:gridSpan w:val="13"/>
            <w:vMerge w:val="continue"/>
          </w:tcPr>
          <w:p>
            <w:pPr>
              <w:spacing w:after="0"/>
              <w:rPr>
                <w:sz w:val="4"/>
                <w:szCs w:val="4"/>
                <w:color w:val="auto"/>
              </w:rPr>
            </w:pPr>
          </w:p>
        </w:tc>
        <w:tc>
          <w:tcPr>
            <w:tcW w:w="700" w:type="dxa"/>
            <w:vAlign w:val="bottom"/>
            <w:gridSpan w:val="11"/>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10.27†</w:t>
            </w:r>
          </w:p>
        </w:tc>
        <w:tc>
          <w:tcPr>
            <w:tcW w:w="20" w:type="dxa"/>
            <w:vAlign w:val="bottom"/>
          </w:tcPr>
          <w:p>
            <w:pPr>
              <w:spacing w:after="0"/>
              <w:rPr>
                <w:sz w:val="24"/>
                <w:szCs w:val="24"/>
                <w:color w:val="auto"/>
              </w:rPr>
            </w:pPr>
          </w:p>
        </w:tc>
        <w:tc>
          <w:tcPr>
            <w:tcW w:w="4820" w:type="dxa"/>
            <w:vAlign w:val="bottom"/>
            <w:gridSpan w:val="24"/>
          </w:tcPr>
          <w:p>
            <w:pPr>
              <w:spacing w:after="0"/>
              <w:rPr>
                <w:rFonts w:ascii="Calibri" w:cs="Calibri" w:eastAsia="Calibri" w:hAnsi="Calibri"/>
                <w:sz w:val="16"/>
                <w:szCs w:val="16"/>
                <w:color w:val="0000FF"/>
              </w:rPr>
            </w:pPr>
            <w:hyperlink r:id="rId235">
              <w:r>
                <w:rPr>
                  <w:rFonts w:ascii="Calibri" w:cs="Calibri" w:eastAsia="Calibri" w:hAnsi="Calibri"/>
                  <w:sz w:val="16"/>
                  <w:szCs w:val="16"/>
                  <w:color w:val="0000FF"/>
                </w:rPr>
                <w:t>Form of Inducement Award Non-Statutory Stock Opton Agreement for</w:t>
              </w:r>
            </w:hyperlink>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w w:val="98"/>
              </w:rPr>
              <w:t>S-8</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333-222728</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w w:val="98"/>
              </w:rPr>
              <w:t>4.5</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January 26, 2018</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Borders>
              <w:top w:val="single" w:sz="8" w:color="0000FF"/>
            </w:tcBorders>
            <w:gridSpan w:val="2"/>
            <w:vMerge w:val="restart"/>
          </w:tcPr>
          <w:p>
            <w:pPr>
              <w:spacing w:after="0" w:line="142" w:lineRule="exact"/>
              <w:rPr>
                <w:rFonts w:ascii="Calibri" w:cs="Calibri" w:eastAsia="Calibri" w:hAnsi="Calibri"/>
                <w:sz w:val="15"/>
                <w:szCs w:val="15"/>
                <w:color w:val="0000FF"/>
              </w:rPr>
            </w:pPr>
            <w:hyperlink r:id="rId235">
              <w:r>
                <w:rPr>
                  <w:rFonts w:ascii="Calibri" w:cs="Calibri" w:eastAsia="Calibri" w:hAnsi="Calibri"/>
                  <w:sz w:val="15"/>
                  <w:szCs w:val="15"/>
                  <w:color w:val="0000FF"/>
                </w:rPr>
                <w:t>Non-Ofcers</w:t>
              </w:r>
            </w:hyperlink>
          </w:p>
        </w:tc>
        <w:tc>
          <w:tcPr>
            <w:tcW w:w="3820" w:type="dxa"/>
            <w:vAlign w:val="bottom"/>
            <w:tcBorders>
              <w:top w:val="single" w:sz="8" w:color="0000FF"/>
            </w:tcBorders>
            <w:gridSpan w:val="18"/>
            <w:vMerge w:val="restart"/>
          </w:tcPr>
          <w:p>
            <w:pPr>
              <w:spacing w:after="0"/>
              <w:rPr>
                <w:sz w:val="7"/>
                <w:szCs w:val="7"/>
                <w:color w:val="auto"/>
              </w:rPr>
            </w:pPr>
          </w:p>
        </w:tc>
        <w:tc>
          <w:tcPr>
            <w:tcW w:w="180" w:type="dxa"/>
            <w:vAlign w:val="bottom"/>
            <w:gridSpan w:val="4"/>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Borders>
              <w:bottom w:val="single" w:sz="8" w:color="0000FF"/>
            </w:tcBorders>
            <w:gridSpan w:val="2"/>
            <w:vMerge w:val="continue"/>
          </w:tcPr>
          <w:p>
            <w:pPr>
              <w:spacing w:after="0"/>
              <w:rPr>
                <w:sz w:val="4"/>
                <w:szCs w:val="4"/>
                <w:color w:val="auto"/>
              </w:rPr>
            </w:pPr>
          </w:p>
        </w:tc>
        <w:tc>
          <w:tcPr>
            <w:tcW w:w="3820" w:type="dxa"/>
            <w:vAlign w:val="bottom"/>
            <w:gridSpan w:val="18"/>
            <w:vMerge w:val="continue"/>
          </w:tcPr>
          <w:p>
            <w:pPr>
              <w:spacing w:after="0"/>
              <w:rPr>
                <w:sz w:val="4"/>
                <w:szCs w:val="4"/>
                <w:color w:val="auto"/>
              </w:rPr>
            </w:pPr>
          </w:p>
        </w:tc>
        <w:tc>
          <w:tcPr>
            <w:tcW w:w="180" w:type="dxa"/>
            <w:vAlign w:val="bottom"/>
            <w:gridSpan w:val="4"/>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10.28†</w:t>
            </w:r>
          </w:p>
        </w:tc>
        <w:tc>
          <w:tcPr>
            <w:tcW w:w="20" w:type="dxa"/>
            <w:vAlign w:val="bottom"/>
          </w:tcPr>
          <w:p>
            <w:pPr>
              <w:spacing w:after="0"/>
              <w:rPr>
                <w:sz w:val="24"/>
                <w:szCs w:val="24"/>
                <w:color w:val="auto"/>
              </w:rPr>
            </w:pPr>
          </w:p>
        </w:tc>
        <w:tc>
          <w:tcPr>
            <w:tcW w:w="4820" w:type="dxa"/>
            <w:vAlign w:val="bottom"/>
            <w:gridSpan w:val="24"/>
          </w:tcPr>
          <w:p>
            <w:pPr>
              <w:spacing w:after="0"/>
              <w:rPr>
                <w:rFonts w:ascii="Calibri" w:cs="Calibri" w:eastAsia="Calibri" w:hAnsi="Calibri"/>
                <w:sz w:val="16"/>
                <w:szCs w:val="16"/>
                <w:color w:val="0000FF"/>
              </w:rPr>
            </w:pPr>
            <w:hyperlink r:id="rId236">
              <w:r>
                <w:rPr>
                  <w:rFonts w:ascii="Calibri" w:cs="Calibri" w:eastAsia="Calibri" w:hAnsi="Calibri"/>
                  <w:sz w:val="16"/>
                  <w:szCs w:val="16"/>
                  <w:color w:val="0000FF"/>
                </w:rPr>
                <w:t>Form of Ofcer Performance-Based Stock Opton Award, under the</w:t>
              </w:r>
            </w:hyperlink>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10.1</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November 4, 2021</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2920" w:type="dxa"/>
            <w:vAlign w:val="bottom"/>
            <w:tcBorders>
              <w:top w:val="single" w:sz="8" w:color="0000FF"/>
            </w:tcBorders>
            <w:gridSpan w:val="8"/>
            <w:vMerge w:val="restart"/>
          </w:tcPr>
          <w:p>
            <w:pPr>
              <w:spacing w:after="0" w:line="142" w:lineRule="exact"/>
              <w:rPr>
                <w:rFonts w:ascii="Calibri" w:cs="Calibri" w:eastAsia="Calibri" w:hAnsi="Calibri"/>
                <w:sz w:val="15"/>
                <w:szCs w:val="15"/>
                <w:color w:val="0000FF"/>
              </w:rPr>
            </w:pPr>
            <w:hyperlink r:id="rId236">
              <w:r>
                <w:rPr>
                  <w:rFonts w:ascii="Calibri" w:cs="Calibri" w:eastAsia="Calibri" w:hAnsi="Calibri"/>
                  <w:sz w:val="15"/>
                  <w:szCs w:val="15"/>
                  <w:color w:val="0000FF"/>
                </w:rPr>
                <w:t>Company's 2014 Incentve Plan, as amended</w:t>
              </w:r>
            </w:hyperlink>
          </w:p>
        </w:tc>
        <w:tc>
          <w:tcPr>
            <w:tcW w:w="1460" w:type="dxa"/>
            <w:vAlign w:val="bottom"/>
            <w:tcBorders>
              <w:top w:val="single" w:sz="8" w:color="0000FF"/>
            </w:tcBorders>
            <w:gridSpan w:val="7"/>
            <w:vMerge w:val="restart"/>
          </w:tcPr>
          <w:p>
            <w:pPr>
              <w:spacing w:after="0"/>
              <w:rPr>
                <w:sz w:val="7"/>
                <w:szCs w:val="7"/>
                <w:color w:val="auto"/>
              </w:rPr>
            </w:pPr>
          </w:p>
        </w:tc>
        <w:tc>
          <w:tcPr>
            <w:tcW w:w="440" w:type="dxa"/>
            <w:vAlign w:val="bottom"/>
            <w:gridSpan w:val="9"/>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920" w:type="dxa"/>
            <w:vAlign w:val="bottom"/>
            <w:tcBorders>
              <w:bottom w:val="single" w:sz="8" w:color="0000FF"/>
            </w:tcBorders>
            <w:gridSpan w:val="8"/>
            <w:vMerge w:val="continue"/>
          </w:tcPr>
          <w:p>
            <w:pPr>
              <w:spacing w:after="0"/>
              <w:rPr>
                <w:sz w:val="4"/>
                <w:szCs w:val="4"/>
                <w:color w:val="auto"/>
              </w:rPr>
            </w:pPr>
          </w:p>
        </w:tc>
        <w:tc>
          <w:tcPr>
            <w:tcW w:w="1460" w:type="dxa"/>
            <w:vAlign w:val="bottom"/>
            <w:gridSpan w:val="7"/>
            <w:vMerge w:val="continue"/>
          </w:tcPr>
          <w:p>
            <w:pPr>
              <w:spacing w:after="0"/>
              <w:rPr>
                <w:sz w:val="4"/>
                <w:szCs w:val="4"/>
                <w:color w:val="auto"/>
              </w:rPr>
            </w:pPr>
          </w:p>
        </w:tc>
        <w:tc>
          <w:tcPr>
            <w:tcW w:w="440" w:type="dxa"/>
            <w:vAlign w:val="bottom"/>
            <w:gridSpan w:val="9"/>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10.29†</w:t>
            </w:r>
          </w:p>
        </w:tc>
        <w:tc>
          <w:tcPr>
            <w:tcW w:w="20" w:type="dxa"/>
            <w:vAlign w:val="bottom"/>
          </w:tcPr>
          <w:p>
            <w:pPr>
              <w:spacing w:after="0"/>
              <w:rPr>
                <w:sz w:val="24"/>
                <w:szCs w:val="24"/>
                <w:color w:val="auto"/>
              </w:rPr>
            </w:pPr>
          </w:p>
        </w:tc>
        <w:tc>
          <w:tcPr>
            <w:tcW w:w="4620" w:type="dxa"/>
            <w:vAlign w:val="bottom"/>
            <w:tcBorders>
              <w:bottom w:val="single" w:sz="8" w:color="0000FF"/>
            </w:tcBorders>
            <w:gridSpan w:val="19"/>
          </w:tcPr>
          <w:p>
            <w:pPr>
              <w:spacing w:after="0"/>
              <w:rPr>
                <w:rFonts w:ascii="Calibri" w:cs="Calibri" w:eastAsia="Calibri" w:hAnsi="Calibri"/>
                <w:sz w:val="16"/>
                <w:szCs w:val="16"/>
                <w:color w:val="0000FF"/>
              </w:rPr>
            </w:pPr>
            <w:hyperlink r:id="rId237">
              <w:r>
                <w:rPr>
                  <w:rFonts w:ascii="Calibri" w:cs="Calibri" w:eastAsia="Calibri" w:hAnsi="Calibri"/>
                  <w:sz w:val="16"/>
                  <w:szCs w:val="16"/>
                  <w:color w:val="0000FF"/>
                </w:rPr>
                <w:t>Form of Ofcer Performance-Based Stock Restricted Stock Unit Award,</w:t>
              </w:r>
            </w:hyperlink>
          </w:p>
        </w:tc>
        <w:tc>
          <w:tcPr>
            <w:tcW w:w="200" w:type="dxa"/>
            <w:vAlign w:val="bottom"/>
            <w:gridSpan w:val="5"/>
          </w:tcPr>
          <w:p>
            <w:pPr>
              <w:spacing w:after="0"/>
              <w:rPr>
                <w:sz w:val="24"/>
                <w:szCs w:val="24"/>
                <w:color w:val="auto"/>
              </w:rPr>
            </w:pPr>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10.2</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November 4, 2021</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0" w:type="dxa"/>
            <w:vAlign w:val="bottom"/>
            <w:gridSpan w:val="11"/>
            <w:vMerge w:val="restart"/>
          </w:tcPr>
          <w:p>
            <w:pPr>
              <w:spacing w:after="0" w:line="142" w:lineRule="exact"/>
              <w:rPr>
                <w:rFonts w:ascii="Calibri" w:cs="Calibri" w:eastAsia="Calibri" w:hAnsi="Calibri"/>
                <w:sz w:val="15"/>
                <w:szCs w:val="15"/>
                <w:color w:val="0000FF"/>
              </w:rPr>
            </w:pPr>
            <w:hyperlink r:id="rId237">
              <w:r>
                <w:rPr>
                  <w:rFonts w:ascii="Calibri" w:cs="Calibri" w:eastAsia="Calibri" w:hAnsi="Calibri"/>
                  <w:sz w:val="15"/>
                  <w:szCs w:val="15"/>
                  <w:color w:val="0000FF"/>
                </w:rPr>
                <w:t>under the Company's 2014 Incentve Plan, as amended</w:t>
              </w:r>
            </w:hyperlink>
          </w:p>
        </w:tc>
        <w:tc>
          <w:tcPr>
            <w:tcW w:w="1220" w:type="dxa"/>
            <w:vAlign w:val="bottom"/>
            <w:gridSpan w:val="13"/>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0" w:type="dxa"/>
            <w:vAlign w:val="bottom"/>
            <w:tcBorders>
              <w:bottom w:val="single" w:sz="8" w:color="0000FF"/>
            </w:tcBorders>
            <w:gridSpan w:val="11"/>
            <w:vMerge w:val="continue"/>
          </w:tcPr>
          <w:p>
            <w:pPr>
              <w:spacing w:after="0"/>
              <w:rPr>
                <w:sz w:val="4"/>
                <w:szCs w:val="4"/>
                <w:color w:val="auto"/>
              </w:rPr>
            </w:pPr>
          </w:p>
        </w:tc>
        <w:tc>
          <w:tcPr>
            <w:tcW w:w="1220" w:type="dxa"/>
            <w:vAlign w:val="bottom"/>
            <w:gridSpan w:val="13"/>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10.30†</w:t>
            </w:r>
          </w:p>
        </w:tc>
        <w:tc>
          <w:tcPr>
            <w:tcW w:w="20" w:type="dxa"/>
            <w:vAlign w:val="bottom"/>
          </w:tcPr>
          <w:p>
            <w:pPr>
              <w:spacing w:after="0"/>
              <w:rPr>
                <w:sz w:val="24"/>
                <w:szCs w:val="24"/>
                <w:color w:val="auto"/>
              </w:rPr>
            </w:pPr>
          </w:p>
        </w:tc>
        <w:tc>
          <w:tcPr>
            <w:tcW w:w="4420" w:type="dxa"/>
            <w:vAlign w:val="bottom"/>
            <w:tcBorders>
              <w:bottom w:val="single" w:sz="8" w:color="0000FF"/>
            </w:tcBorders>
            <w:gridSpan w:val="17"/>
          </w:tcPr>
          <w:p>
            <w:pPr>
              <w:spacing w:after="0"/>
              <w:rPr>
                <w:rFonts w:ascii="Calibri" w:cs="Calibri" w:eastAsia="Calibri" w:hAnsi="Calibri"/>
                <w:sz w:val="16"/>
                <w:szCs w:val="16"/>
                <w:color w:val="0000FF"/>
              </w:rPr>
            </w:pPr>
            <w:hyperlink r:id="rId238">
              <w:r>
                <w:rPr>
                  <w:rFonts w:ascii="Calibri" w:cs="Calibri" w:eastAsia="Calibri" w:hAnsi="Calibri"/>
                  <w:sz w:val="16"/>
                  <w:szCs w:val="16"/>
                  <w:color w:val="0000FF"/>
                </w:rPr>
                <w:t>Form of Ofcer Restricted Stock Unit Award Agreement under 2014</w:t>
              </w:r>
            </w:hyperlink>
          </w:p>
        </w:tc>
        <w:tc>
          <w:tcPr>
            <w:tcW w:w="400" w:type="dxa"/>
            <w:vAlign w:val="bottom"/>
            <w:gridSpan w:val="7"/>
          </w:tcPr>
          <w:p>
            <w:pPr>
              <w:spacing w:after="0"/>
              <w:rPr>
                <w:sz w:val="24"/>
                <w:szCs w:val="24"/>
                <w:color w:val="auto"/>
              </w:rPr>
            </w:pPr>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10.6</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August 4, 2022</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40" w:type="dxa"/>
            <w:vAlign w:val="bottom"/>
            <w:gridSpan w:val="7"/>
            <w:vMerge w:val="restart"/>
          </w:tcPr>
          <w:p>
            <w:pPr>
              <w:spacing w:after="0" w:line="142" w:lineRule="exact"/>
              <w:rPr>
                <w:rFonts w:ascii="Calibri" w:cs="Calibri" w:eastAsia="Calibri" w:hAnsi="Calibri"/>
                <w:sz w:val="15"/>
                <w:szCs w:val="15"/>
                <w:color w:val="0000FF"/>
              </w:rPr>
            </w:pPr>
            <w:hyperlink r:id="rId238">
              <w:r>
                <w:rPr>
                  <w:rFonts w:ascii="Calibri" w:cs="Calibri" w:eastAsia="Calibri" w:hAnsi="Calibri"/>
                  <w:sz w:val="15"/>
                  <w:szCs w:val="15"/>
                  <w:color w:val="0000FF"/>
                </w:rPr>
                <w:t>Incentve Plan (Retenton Awards)</w:t>
              </w:r>
            </w:hyperlink>
          </w:p>
        </w:tc>
        <w:tc>
          <w:tcPr>
            <w:tcW w:w="2580" w:type="dxa"/>
            <w:vAlign w:val="bottom"/>
            <w:gridSpan w:val="17"/>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40" w:type="dxa"/>
            <w:vAlign w:val="bottom"/>
            <w:tcBorders>
              <w:bottom w:val="single" w:sz="8" w:color="0000FF"/>
            </w:tcBorders>
            <w:gridSpan w:val="7"/>
            <w:vMerge w:val="continue"/>
          </w:tcPr>
          <w:p>
            <w:pPr>
              <w:spacing w:after="0"/>
              <w:rPr>
                <w:sz w:val="4"/>
                <w:szCs w:val="4"/>
                <w:color w:val="auto"/>
              </w:rPr>
            </w:pPr>
          </w:p>
        </w:tc>
        <w:tc>
          <w:tcPr>
            <w:tcW w:w="2580" w:type="dxa"/>
            <w:vAlign w:val="bottom"/>
            <w:gridSpan w:val="17"/>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10.31†</w:t>
            </w:r>
          </w:p>
        </w:tc>
        <w:tc>
          <w:tcPr>
            <w:tcW w:w="20" w:type="dxa"/>
            <w:vAlign w:val="bottom"/>
          </w:tcPr>
          <w:p>
            <w:pPr>
              <w:spacing w:after="0"/>
              <w:rPr>
                <w:sz w:val="24"/>
                <w:szCs w:val="24"/>
                <w:color w:val="auto"/>
              </w:rPr>
            </w:pPr>
          </w:p>
        </w:tc>
        <w:tc>
          <w:tcPr>
            <w:tcW w:w="4820" w:type="dxa"/>
            <w:vAlign w:val="bottom"/>
            <w:gridSpan w:val="24"/>
          </w:tcPr>
          <w:p>
            <w:pPr>
              <w:spacing w:after="0"/>
              <w:rPr>
                <w:rFonts w:ascii="Calibri" w:cs="Calibri" w:eastAsia="Calibri" w:hAnsi="Calibri"/>
                <w:sz w:val="16"/>
                <w:szCs w:val="16"/>
                <w:color w:val="0000FF"/>
              </w:rPr>
            </w:pPr>
            <w:hyperlink r:id="rId239">
              <w:r>
                <w:rPr>
                  <w:rFonts w:ascii="Calibri" w:cs="Calibri" w:eastAsia="Calibri" w:hAnsi="Calibri"/>
                  <w:sz w:val="16"/>
                  <w:szCs w:val="16"/>
                  <w:color w:val="0000FF"/>
                </w:rPr>
                <w:t>Form of Ofcer Non-Statutory Stock Opton Agreement under 2014</w:t>
              </w:r>
            </w:hyperlink>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10.7</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August 4, 2022</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2220" w:type="dxa"/>
            <w:vAlign w:val="bottom"/>
            <w:tcBorders>
              <w:top w:val="single" w:sz="8" w:color="0000FF"/>
            </w:tcBorders>
            <w:gridSpan w:val="6"/>
            <w:vMerge w:val="restart"/>
          </w:tcPr>
          <w:p>
            <w:pPr>
              <w:spacing w:after="0" w:line="142" w:lineRule="exact"/>
              <w:rPr>
                <w:rFonts w:ascii="Calibri" w:cs="Calibri" w:eastAsia="Calibri" w:hAnsi="Calibri"/>
                <w:sz w:val="15"/>
                <w:szCs w:val="15"/>
                <w:color w:val="0000FF"/>
              </w:rPr>
            </w:pPr>
            <w:hyperlink r:id="rId239">
              <w:r>
                <w:rPr>
                  <w:rFonts w:ascii="Calibri" w:cs="Calibri" w:eastAsia="Calibri" w:hAnsi="Calibri"/>
                  <w:sz w:val="15"/>
                  <w:szCs w:val="15"/>
                  <w:color w:val="0000FF"/>
                </w:rPr>
                <w:t>Incentve Plan (Retenton Awards)</w:t>
              </w:r>
            </w:hyperlink>
          </w:p>
        </w:tc>
        <w:tc>
          <w:tcPr>
            <w:tcW w:w="2180" w:type="dxa"/>
            <w:vAlign w:val="bottom"/>
            <w:tcBorders>
              <w:top w:val="single" w:sz="8" w:color="0000FF"/>
            </w:tcBorders>
            <w:gridSpan w:val="10"/>
            <w:vMerge w:val="restart"/>
          </w:tcPr>
          <w:p>
            <w:pPr>
              <w:spacing w:after="0"/>
              <w:rPr>
                <w:sz w:val="7"/>
                <w:szCs w:val="7"/>
                <w:color w:val="auto"/>
              </w:rPr>
            </w:pPr>
          </w:p>
        </w:tc>
        <w:tc>
          <w:tcPr>
            <w:tcW w:w="420" w:type="dxa"/>
            <w:vAlign w:val="bottom"/>
            <w:gridSpan w:val="8"/>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20" w:type="dxa"/>
            <w:vAlign w:val="bottom"/>
            <w:tcBorders>
              <w:bottom w:val="single" w:sz="8" w:color="0000FF"/>
            </w:tcBorders>
            <w:gridSpan w:val="6"/>
            <w:vMerge w:val="continue"/>
          </w:tcPr>
          <w:p>
            <w:pPr>
              <w:spacing w:after="0"/>
              <w:rPr>
                <w:sz w:val="4"/>
                <w:szCs w:val="4"/>
                <w:color w:val="auto"/>
              </w:rPr>
            </w:pPr>
          </w:p>
        </w:tc>
        <w:tc>
          <w:tcPr>
            <w:tcW w:w="2180" w:type="dxa"/>
            <w:vAlign w:val="bottom"/>
            <w:gridSpan w:val="10"/>
            <w:vMerge w:val="continue"/>
          </w:tcPr>
          <w:p>
            <w:pPr>
              <w:spacing w:after="0"/>
              <w:rPr>
                <w:sz w:val="4"/>
                <w:szCs w:val="4"/>
                <w:color w:val="auto"/>
              </w:rPr>
            </w:pPr>
          </w:p>
        </w:tc>
        <w:tc>
          <w:tcPr>
            <w:tcW w:w="420" w:type="dxa"/>
            <w:vAlign w:val="bottom"/>
            <w:gridSpan w:val="8"/>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10.32†!</w:t>
            </w:r>
          </w:p>
        </w:tc>
        <w:tc>
          <w:tcPr>
            <w:tcW w:w="20" w:type="dxa"/>
            <w:vAlign w:val="bottom"/>
          </w:tcPr>
          <w:p>
            <w:pPr>
              <w:spacing w:after="0"/>
              <w:rPr>
                <w:sz w:val="24"/>
                <w:szCs w:val="24"/>
                <w:color w:val="auto"/>
              </w:rPr>
            </w:pPr>
          </w:p>
        </w:tc>
        <w:tc>
          <w:tcPr>
            <w:tcW w:w="2980" w:type="dxa"/>
            <w:vAlign w:val="bottom"/>
            <w:tcBorders>
              <w:bottom w:val="single" w:sz="8" w:color="0000FF"/>
            </w:tcBorders>
            <w:gridSpan w:val="9"/>
          </w:tcPr>
          <w:p>
            <w:pPr>
              <w:spacing w:after="0"/>
              <w:rPr>
                <w:rFonts w:ascii="Calibri" w:cs="Calibri" w:eastAsia="Calibri" w:hAnsi="Calibri"/>
                <w:sz w:val="16"/>
                <w:szCs w:val="16"/>
                <w:color w:val="0000FF"/>
              </w:rPr>
            </w:pPr>
            <w:hyperlink r:id="rId240">
              <w:r>
                <w:rPr>
                  <w:rFonts w:ascii="Calibri" w:cs="Calibri" w:eastAsia="Calibri" w:hAnsi="Calibri"/>
                  <w:sz w:val="16"/>
                  <w:szCs w:val="16"/>
                  <w:color w:val="0000FF"/>
                </w:rPr>
                <w:t>Form of Ofcer Cash Bonus Leter Agreement</w:t>
              </w:r>
            </w:hyperlink>
          </w:p>
        </w:tc>
        <w:tc>
          <w:tcPr>
            <w:tcW w:w="1840" w:type="dxa"/>
            <w:vAlign w:val="bottom"/>
            <w:gridSpan w:val="15"/>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Calibri" w:cs="Calibri" w:eastAsia="Calibri" w:hAnsi="Calibri"/>
                <w:sz w:val="16"/>
                <w:szCs w:val="16"/>
                <w:color w:val="auto"/>
              </w:rPr>
              <w:t>10.3</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Calibri" w:cs="Calibri" w:eastAsia="Calibri" w:hAnsi="Calibri"/>
                <w:sz w:val="16"/>
                <w:szCs w:val="16"/>
                <w:color w:val="auto"/>
              </w:rPr>
              <w:t>November 4, 2021</w:t>
            </w:r>
          </w:p>
        </w:tc>
        <w:tc>
          <w:tcPr>
            <w:tcW w:w="0" w:type="dxa"/>
            <w:vAlign w:val="bottom"/>
          </w:tcPr>
          <w:p>
            <w:pPr>
              <w:spacing w:after="0"/>
              <w:rPr>
                <w:sz w:val="1"/>
                <w:szCs w:val="1"/>
                <w:color w:val="auto"/>
              </w:rPr>
            </w:pPr>
          </w:p>
        </w:tc>
      </w:tr>
      <w:tr>
        <w:trPr>
          <w:trHeight w:val="466"/>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10.33†</w:t>
            </w:r>
          </w:p>
        </w:tc>
        <w:tc>
          <w:tcPr>
            <w:tcW w:w="20" w:type="dxa"/>
            <w:vAlign w:val="bottom"/>
          </w:tcPr>
          <w:p>
            <w:pPr>
              <w:spacing w:after="0"/>
              <w:rPr>
                <w:sz w:val="24"/>
                <w:szCs w:val="24"/>
                <w:color w:val="auto"/>
              </w:rPr>
            </w:pPr>
          </w:p>
        </w:tc>
        <w:tc>
          <w:tcPr>
            <w:tcW w:w="4720" w:type="dxa"/>
            <w:vAlign w:val="bottom"/>
            <w:tcBorders>
              <w:bottom w:val="single" w:sz="8" w:color="0000FF"/>
            </w:tcBorders>
            <w:gridSpan w:val="22"/>
          </w:tcPr>
          <w:p>
            <w:pPr>
              <w:spacing w:after="0"/>
              <w:rPr>
                <w:rFonts w:ascii="Calibri" w:cs="Calibri" w:eastAsia="Calibri" w:hAnsi="Calibri"/>
                <w:sz w:val="16"/>
                <w:szCs w:val="16"/>
                <w:color w:val="0000FF"/>
              </w:rPr>
            </w:pPr>
            <w:hyperlink r:id="rId241">
              <w:r>
                <w:rPr>
                  <w:rFonts w:ascii="Calibri" w:cs="Calibri" w:eastAsia="Calibri" w:hAnsi="Calibri"/>
                  <w:sz w:val="16"/>
                  <w:szCs w:val="16"/>
                  <w:color w:val="0000FF"/>
                </w:rPr>
                <w:t>Form of Ofcer Stock Appreciaton Rights Award Agreement under 2014</w:t>
              </w:r>
            </w:hyperlink>
          </w:p>
        </w:tc>
        <w:tc>
          <w:tcPr>
            <w:tcW w:w="100" w:type="dxa"/>
            <w:vAlign w:val="bottom"/>
            <w:gridSpan w:val="2"/>
          </w:tcPr>
          <w:p>
            <w:pPr>
              <w:spacing w:after="0"/>
              <w:rPr>
                <w:sz w:val="24"/>
                <w:szCs w:val="24"/>
                <w:color w:val="auto"/>
              </w:rPr>
            </w:pPr>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10.3</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w w:val="99"/>
              </w:rPr>
              <w:t>May 8, 2023</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gridSpan w:val="3"/>
            <w:vMerge w:val="restart"/>
          </w:tcPr>
          <w:p>
            <w:pPr>
              <w:spacing w:after="0" w:line="142" w:lineRule="exact"/>
              <w:rPr>
                <w:rFonts w:ascii="Calibri" w:cs="Calibri" w:eastAsia="Calibri" w:hAnsi="Calibri"/>
                <w:sz w:val="15"/>
                <w:szCs w:val="15"/>
                <w:color w:val="0000FF"/>
              </w:rPr>
            </w:pPr>
            <w:hyperlink r:id="rId241">
              <w:r>
                <w:rPr>
                  <w:rFonts w:ascii="Calibri" w:cs="Calibri" w:eastAsia="Calibri" w:hAnsi="Calibri"/>
                  <w:sz w:val="15"/>
                  <w:szCs w:val="15"/>
                  <w:color w:val="0000FF"/>
                </w:rPr>
                <w:t>Incentve Plan</w:t>
              </w:r>
            </w:hyperlink>
          </w:p>
        </w:tc>
        <w:tc>
          <w:tcPr>
            <w:tcW w:w="3900" w:type="dxa"/>
            <w:vAlign w:val="bottom"/>
            <w:gridSpan w:val="21"/>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Borders>
              <w:bottom w:val="single" w:sz="8" w:color="0000FF"/>
            </w:tcBorders>
            <w:gridSpan w:val="3"/>
            <w:vMerge w:val="continue"/>
          </w:tcPr>
          <w:p>
            <w:pPr>
              <w:spacing w:after="0"/>
              <w:rPr>
                <w:sz w:val="4"/>
                <w:szCs w:val="4"/>
                <w:color w:val="auto"/>
              </w:rPr>
            </w:pPr>
          </w:p>
        </w:tc>
        <w:tc>
          <w:tcPr>
            <w:tcW w:w="3900" w:type="dxa"/>
            <w:vAlign w:val="bottom"/>
            <w:gridSpan w:val="21"/>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10.34†</w:t>
            </w:r>
          </w:p>
        </w:tc>
        <w:tc>
          <w:tcPr>
            <w:tcW w:w="20" w:type="dxa"/>
            <w:vAlign w:val="bottom"/>
          </w:tcPr>
          <w:p>
            <w:pPr>
              <w:spacing w:after="0"/>
              <w:rPr>
                <w:sz w:val="24"/>
                <w:szCs w:val="24"/>
                <w:color w:val="auto"/>
              </w:rPr>
            </w:pPr>
          </w:p>
        </w:tc>
        <w:tc>
          <w:tcPr>
            <w:tcW w:w="4820" w:type="dxa"/>
            <w:vAlign w:val="bottom"/>
            <w:gridSpan w:val="24"/>
          </w:tcPr>
          <w:p>
            <w:pPr>
              <w:spacing w:after="0"/>
              <w:rPr>
                <w:rFonts w:ascii="Calibri" w:cs="Calibri" w:eastAsia="Calibri" w:hAnsi="Calibri"/>
                <w:sz w:val="16"/>
                <w:szCs w:val="16"/>
                <w:color w:val="0000FF"/>
              </w:rPr>
            </w:pPr>
            <w:hyperlink r:id="rId242">
              <w:r>
                <w:rPr>
                  <w:rFonts w:ascii="Calibri" w:cs="Calibri" w:eastAsia="Calibri" w:hAnsi="Calibri"/>
                  <w:sz w:val="16"/>
                  <w:szCs w:val="16"/>
                  <w:color w:val="0000FF"/>
                </w:rPr>
                <w:t>Akebia Therapeutcs, Inc. 2023 Stock Incentve Plan</w:t>
              </w:r>
            </w:hyperlink>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w w:val="98"/>
              </w:rPr>
              <w:t>S-8</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333-272453</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99.1</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June 6, 2023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460" w:type="dxa"/>
            <w:vAlign w:val="bottom"/>
            <w:gridSpan w:val="2"/>
            <w:vMerge w:val="restart"/>
          </w:tcPr>
          <w:p>
            <w:pPr>
              <w:ind w:left="180"/>
              <w:spacing w:after="0"/>
              <w:rPr>
                <w:sz w:val="20"/>
                <w:szCs w:val="20"/>
                <w:color w:val="auto"/>
              </w:rPr>
            </w:pPr>
            <w:r>
              <w:rPr>
                <w:rFonts w:ascii="Calibri" w:cs="Calibri" w:eastAsia="Calibri" w:hAnsi="Calibri"/>
                <w:sz w:val="16"/>
                <w:szCs w:val="16"/>
                <w:color w:val="auto"/>
              </w:rPr>
              <w:t>10.35†</w:t>
            </w:r>
          </w:p>
        </w:tc>
        <w:tc>
          <w:tcPr>
            <w:tcW w:w="20" w:type="dxa"/>
            <w:vAlign w:val="bottom"/>
          </w:tcPr>
          <w:p>
            <w:pPr>
              <w:spacing w:after="0"/>
              <w:rPr>
                <w:sz w:val="11"/>
                <w:szCs w:val="11"/>
                <w:color w:val="auto"/>
              </w:rPr>
            </w:pPr>
          </w:p>
        </w:tc>
        <w:tc>
          <w:tcPr>
            <w:tcW w:w="4540" w:type="dxa"/>
            <w:vAlign w:val="bottom"/>
            <w:gridSpan w:val="18"/>
            <w:vMerge w:val="restart"/>
          </w:tcPr>
          <w:p>
            <w:pPr>
              <w:spacing w:after="0"/>
              <w:rPr>
                <w:rFonts w:ascii="Calibri" w:cs="Calibri" w:eastAsia="Calibri" w:hAnsi="Calibri"/>
                <w:sz w:val="16"/>
                <w:szCs w:val="16"/>
                <w:color w:val="0000FF"/>
              </w:rPr>
            </w:pPr>
            <w:hyperlink r:id="rId243">
              <w:r>
                <w:rPr>
                  <w:rFonts w:ascii="Calibri" w:cs="Calibri" w:eastAsia="Calibri" w:hAnsi="Calibri"/>
                  <w:sz w:val="16"/>
                  <w:szCs w:val="16"/>
                  <w:color w:val="0000FF"/>
                </w:rPr>
                <w:t>Form of Non-Employee Director Stock Opton Agreement under 2023</w:t>
              </w:r>
            </w:hyperlink>
          </w:p>
        </w:tc>
        <w:tc>
          <w:tcPr>
            <w:tcW w:w="280" w:type="dxa"/>
            <w:vAlign w:val="bottom"/>
            <w:gridSpan w:val="6"/>
            <w:vMerge w:val="restart"/>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18"/>
        </w:trPr>
        <w:tc>
          <w:tcPr>
            <w:tcW w:w="14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tcBorders>
              <w:bottom w:val="single" w:sz="8" w:color="0000FF"/>
            </w:tcBorders>
            <w:gridSpan w:val="18"/>
            <w:vMerge w:val="continue"/>
          </w:tcPr>
          <w:p>
            <w:pPr>
              <w:spacing w:after="0"/>
              <w:rPr>
                <w:sz w:val="24"/>
                <w:szCs w:val="24"/>
                <w:color w:val="auto"/>
              </w:rPr>
            </w:pPr>
          </w:p>
        </w:tc>
        <w:tc>
          <w:tcPr>
            <w:tcW w:w="280" w:type="dxa"/>
            <w:vAlign w:val="bottom"/>
            <w:gridSpan w:val="6"/>
            <w:vMerge w:val="continue"/>
          </w:tcPr>
          <w:p>
            <w:pPr>
              <w:spacing w:after="0"/>
              <w:rPr>
                <w:sz w:val="24"/>
                <w:szCs w:val="24"/>
                <w:color w:val="auto"/>
              </w:rPr>
            </w:pPr>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10.10</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August 28, 2023</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20" w:type="dxa"/>
            <w:vAlign w:val="bottom"/>
            <w:gridSpan w:val="24"/>
            <w:vMerge w:val="restart"/>
          </w:tcPr>
          <w:p>
            <w:pPr>
              <w:spacing w:after="0" w:line="142" w:lineRule="exact"/>
              <w:rPr>
                <w:rFonts w:ascii="Calibri" w:cs="Calibri" w:eastAsia="Calibri" w:hAnsi="Calibri"/>
                <w:sz w:val="15"/>
                <w:szCs w:val="15"/>
                <w:color w:val="0000FF"/>
              </w:rPr>
            </w:pPr>
            <w:hyperlink r:id="rId243">
              <w:r>
                <w:rPr>
                  <w:rFonts w:ascii="Calibri" w:cs="Calibri" w:eastAsia="Calibri" w:hAnsi="Calibri"/>
                  <w:sz w:val="15"/>
                  <w:szCs w:val="15"/>
                  <w:color w:val="0000FF"/>
                </w:rPr>
                <w:t>Stock Incentve Plan</w:t>
              </w:r>
            </w:hyperlink>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820" w:type="dxa"/>
            <w:vAlign w:val="bottom"/>
            <w:gridSpan w:val="24"/>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80" w:type="dxa"/>
            <w:vAlign w:val="bottom"/>
            <w:gridSpan w:val="9"/>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10.36†</w:t>
            </w:r>
          </w:p>
        </w:tc>
        <w:tc>
          <w:tcPr>
            <w:tcW w:w="20" w:type="dxa"/>
            <w:vAlign w:val="bottom"/>
          </w:tcPr>
          <w:p>
            <w:pPr>
              <w:spacing w:after="0"/>
              <w:rPr>
                <w:sz w:val="24"/>
                <w:szCs w:val="24"/>
                <w:color w:val="auto"/>
              </w:rPr>
            </w:pPr>
          </w:p>
        </w:tc>
        <w:tc>
          <w:tcPr>
            <w:tcW w:w="4700" w:type="dxa"/>
            <w:vAlign w:val="bottom"/>
            <w:tcBorders>
              <w:bottom w:val="single" w:sz="8" w:color="0000FF"/>
            </w:tcBorders>
            <w:gridSpan w:val="21"/>
          </w:tcPr>
          <w:p>
            <w:pPr>
              <w:spacing w:after="0"/>
              <w:rPr>
                <w:rFonts w:ascii="Calibri" w:cs="Calibri" w:eastAsia="Calibri" w:hAnsi="Calibri"/>
                <w:sz w:val="16"/>
                <w:szCs w:val="16"/>
                <w:color w:val="0000FF"/>
              </w:rPr>
            </w:pPr>
            <w:hyperlink r:id="rId244">
              <w:r>
                <w:rPr>
                  <w:rFonts w:ascii="Calibri" w:cs="Calibri" w:eastAsia="Calibri" w:hAnsi="Calibri"/>
                  <w:sz w:val="16"/>
                  <w:szCs w:val="16"/>
                  <w:color w:val="0000FF"/>
                </w:rPr>
                <w:t>Form of Non-Employee Director Restricted Stock Unit Agreement under</w:t>
              </w:r>
            </w:hyperlink>
          </w:p>
        </w:tc>
        <w:tc>
          <w:tcPr>
            <w:tcW w:w="120" w:type="dxa"/>
            <w:vAlign w:val="bottom"/>
            <w:gridSpan w:val="3"/>
          </w:tcPr>
          <w:p>
            <w:pPr>
              <w:spacing w:after="0"/>
              <w:rPr>
                <w:sz w:val="24"/>
                <w:szCs w:val="24"/>
                <w:color w:val="auto"/>
              </w:rPr>
            </w:pPr>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10.12</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August 28, 2023</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20" w:type="dxa"/>
            <w:vAlign w:val="bottom"/>
            <w:gridSpan w:val="24"/>
            <w:vMerge w:val="restart"/>
          </w:tcPr>
          <w:p>
            <w:pPr>
              <w:spacing w:after="0" w:line="142" w:lineRule="exact"/>
              <w:rPr>
                <w:rFonts w:ascii="Calibri" w:cs="Calibri" w:eastAsia="Calibri" w:hAnsi="Calibri"/>
                <w:sz w:val="15"/>
                <w:szCs w:val="15"/>
                <w:color w:val="0000FF"/>
              </w:rPr>
            </w:pPr>
            <w:hyperlink r:id="rId244">
              <w:r>
                <w:rPr>
                  <w:rFonts w:ascii="Calibri" w:cs="Calibri" w:eastAsia="Calibri" w:hAnsi="Calibri"/>
                  <w:sz w:val="15"/>
                  <w:szCs w:val="15"/>
                  <w:color w:val="0000FF"/>
                </w:rPr>
                <w:t>2023 Stock Incentve Plan</w:t>
              </w:r>
            </w:hyperlink>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820" w:type="dxa"/>
            <w:vAlign w:val="bottom"/>
            <w:gridSpan w:val="24"/>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2680" w:type="dxa"/>
            <w:vAlign w:val="bottom"/>
            <w:gridSpan w:val="9"/>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10.37†</w:t>
            </w:r>
          </w:p>
        </w:tc>
        <w:tc>
          <w:tcPr>
            <w:tcW w:w="20" w:type="dxa"/>
            <w:vAlign w:val="bottom"/>
          </w:tcPr>
          <w:p>
            <w:pPr>
              <w:spacing w:after="0"/>
              <w:rPr>
                <w:sz w:val="24"/>
                <w:szCs w:val="24"/>
                <w:color w:val="auto"/>
              </w:rPr>
            </w:pPr>
          </w:p>
        </w:tc>
        <w:tc>
          <w:tcPr>
            <w:tcW w:w="4780" w:type="dxa"/>
            <w:vAlign w:val="bottom"/>
            <w:tcBorders>
              <w:bottom w:val="single" w:sz="8" w:color="0000FF"/>
            </w:tcBorders>
            <w:gridSpan w:val="23"/>
          </w:tcPr>
          <w:p>
            <w:pPr>
              <w:spacing w:after="0"/>
              <w:rPr>
                <w:rFonts w:ascii="Calibri" w:cs="Calibri" w:eastAsia="Calibri" w:hAnsi="Calibri"/>
                <w:sz w:val="16"/>
                <w:szCs w:val="16"/>
                <w:color w:val="0000FF"/>
              </w:rPr>
            </w:pPr>
            <w:hyperlink r:id="rId245">
              <w:r>
                <w:rPr>
                  <w:rFonts w:ascii="Calibri" w:cs="Calibri" w:eastAsia="Calibri" w:hAnsi="Calibri"/>
                  <w:sz w:val="16"/>
                  <w:szCs w:val="16"/>
                  <w:color w:val="0000FF"/>
                </w:rPr>
                <w:t>Form of Ofcer Stock Opton Agreement under 2023 Stock Incentve Plan</w:t>
              </w:r>
            </w:hyperlink>
          </w:p>
        </w:tc>
        <w:tc>
          <w:tcPr>
            <w:tcW w:w="4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Calibri" w:cs="Calibri" w:eastAsia="Calibri" w:hAnsi="Calibri"/>
                <w:sz w:val="16"/>
                <w:szCs w:val="16"/>
                <w:color w:val="auto"/>
              </w:rPr>
              <w:t>10.11</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Calibri" w:cs="Calibri" w:eastAsia="Calibri" w:hAnsi="Calibri"/>
                <w:sz w:val="16"/>
                <w:szCs w:val="16"/>
                <w:color w:val="auto"/>
              </w:rPr>
              <w:t>August 28, 2023</w:t>
            </w:r>
          </w:p>
        </w:tc>
        <w:tc>
          <w:tcPr>
            <w:tcW w:w="0" w:type="dxa"/>
            <w:vAlign w:val="bottom"/>
          </w:tcPr>
          <w:p>
            <w:pPr>
              <w:spacing w:after="0"/>
              <w:rPr>
                <w:sz w:val="1"/>
                <w:szCs w:val="1"/>
                <w:color w:val="auto"/>
              </w:rPr>
            </w:pPr>
          </w:p>
        </w:tc>
      </w:tr>
      <w:tr>
        <w:trPr>
          <w:trHeight w:val="453"/>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10.38†</w:t>
            </w:r>
          </w:p>
        </w:tc>
        <w:tc>
          <w:tcPr>
            <w:tcW w:w="20" w:type="dxa"/>
            <w:vAlign w:val="bottom"/>
          </w:tcPr>
          <w:p>
            <w:pPr>
              <w:spacing w:after="0"/>
              <w:rPr>
                <w:sz w:val="24"/>
                <w:szCs w:val="24"/>
                <w:color w:val="auto"/>
              </w:rPr>
            </w:pPr>
          </w:p>
        </w:tc>
        <w:tc>
          <w:tcPr>
            <w:tcW w:w="4820" w:type="dxa"/>
            <w:vAlign w:val="bottom"/>
            <w:gridSpan w:val="24"/>
          </w:tcPr>
          <w:p>
            <w:pPr>
              <w:spacing w:after="0"/>
              <w:rPr>
                <w:rFonts w:ascii="Calibri" w:cs="Calibri" w:eastAsia="Calibri" w:hAnsi="Calibri"/>
                <w:sz w:val="16"/>
                <w:szCs w:val="16"/>
                <w:color w:val="0000FF"/>
              </w:rPr>
            </w:pPr>
            <w:hyperlink r:id="rId246">
              <w:r>
                <w:rPr>
                  <w:rFonts w:ascii="Calibri" w:cs="Calibri" w:eastAsia="Calibri" w:hAnsi="Calibri"/>
                  <w:sz w:val="16"/>
                  <w:szCs w:val="16"/>
                  <w:color w:val="0000FF"/>
                </w:rPr>
                <w:t>Form of Ofcer Restricted Stock Unit Agreement under 2023 Stock</w:t>
              </w:r>
            </w:hyperlink>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10.13</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August 28, 2023</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Borders>
              <w:top w:val="single" w:sz="8" w:color="0000FF"/>
            </w:tcBorders>
            <w:gridSpan w:val="3"/>
            <w:vMerge w:val="restart"/>
          </w:tcPr>
          <w:p>
            <w:pPr>
              <w:spacing w:after="0" w:line="142" w:lineRule="exact"/>
              <w:rPr>
                <w:rFonts w:ascii="Calibri" w:cs="Calibri" w:eastAsia="Calibri" w:hAnsi="Calibri"/>
                <w:sz w:val="15"/>
                <w:szCs w:val="15"/>
                <w:color w:val="0000FF"/>
              </w:rPr>
            </w:pPr>
            <w:hyperlink r:id="rId246">
              <w:r>
                <w:rPr>
                  <w:rFonts w:ascii="Calibri" w:cs="Calibri" w:eastAsia="Calibri" w:hAnsi="Calibri"/>
                  <w:sz w:val="15"/>
                  <w:szCs w:val="15"/>
                  <w:color w:val="0000FF"/>
                </w:rPr>
                <w:t>Incentve Plan</w:t>
              </w:r>
            </w:hyperlink>
          </w:p>
        </w:tc>
        <w:tc>
          <w:tcPr>
            <w:tcW w:w="3420" w:type="dxa"/>
            <w:vAlign w:val="bottom"/>
            <w:tcBorders>
              <w:top w:val="single" w:sz="8" w:color="0000FF"/>
            </w:tcBorders>
            <w:gridSpan w:val="11"/>
            <w:vMerge w:val="restart"/>
          </w:tcPr>
          <w:p>
            <w:pPr>
              <w:spacing w:after="0"/>
              <w:rPr>
                <w:sz w:val="7"/>
                <w:szCs w:val="7"/>
                <w:color w:val="auto"/>
              </w:rPr>
            </w:pPr>
          </w:p>
        </w:tc>
        <w:tc>
          <w:tcPr>
            <w:tcW w:w="480" w:type="dxa"/>
            <w:vAlign w:val="bottom"/>
            <w:gridSpan w:val="10"/>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Borders>
              <w:bottom w:val="single" w:sz="8" w:color="0000FF"/>
            </w:tcBorders>
            <w:gridSpan w:val="3"/>
            <w:vMerge w:val="continue"/>
          </w:tcPr>
          <w:p>
            <w:pPr>
              <w:spacing w:after="0"/>
              <w:rPr>
                <w:sz w:val="4"/>
                <w:szCs w:val="4"/>
                <w:color w:val="auto"/>
              </w:rPr>
            </w:pPr>
          </w:p>
        </w:tc>
        <w:tc>
          <w:tcPr>
            <w:tcW w:w="3420" w:type="dxa"/>
            <w:vAlign w:val="bottom"/>
            <w:gridSpan w:val="11"/>
            <w:vMerge w:val="continue"/>
          </w:tcPr>
          <w:p>
            <w:pPr>
              <w:spacing w:after="0"/>
              <w:rPr>
                <w:sz w:val="4"/>
                <w:szCs w:val="4"/>
                <w:color w:val="auto"/>
              </w:rPr>
            </w:pPr>
          </w:p>
        </w:tc>
        <w:tc>
          <w:tcPr>
            <w:tcW w:w="480" w:type="dxa"/>
            <w:vAlign w:val="bottom"/>
            <w:gridSpan w:val="10"/>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Akebia Therapeutcs, Inc. | Form 10-K | Page 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74" w:name="page175"/>
    <w:bookmarkEnd w:id="174"/>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4"/>
          </w:tcPr>
          <w:p>
            <w:pPr>
              <w:ind w:left="500"/>
              <w:spacing w:after="0"/>
              <w:rPr>
                <w:sz w:val="20"/>
                <w:szCs w:val="20"/>
                <w:color w:val="auto"/>
              </w:rPr>
            </w:pPr>
            <w:r>
              <w:rPr>
                <w:rFonts w:ascii="Calibri" w:cs="Calibri" w:eastAsia="Calibri" w:hAnsi="Calibri"/>
                <w:sz w:val="16"/>
                <w:szCs w:val="16"/>
                <w:color w:val="auto"/>
                <w:w w:val="99"/>
              </w:rPr>
              <w:t>Incorporated by Reference</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460" w:type="dxa"/>
            <w:vAlign w:val="bottom"/>
            <w:gridSpan w:val="2"/>
            <w:vMerge w:val="restart"/>
          </w:tcPr>
          <w:p>
            <w:pPr>
              <w:ind w:left="20"/>
              <w:spacing w:after="0"/>
              <w:rPr>
                <w:sz w:val="20"/>
                <w:szCs w:val="20"/>
                <w:color w:val="auto"/>
              </w:rPr>
            </w:pPr>
            <w:r>
              <w:rPr>
                <w:rFonts w:ascii="Calibri" w:cs="Calibri" w:eastAsia="Calibri" w:hAnsi="Calibri"/>
                <w:sz w:val="16"/>
                <w:szCs w:val="16"/>
                <w:b w:val="1"/>
                <w:bCs w:val="1"/>
                <w:color w:val="auto"/>
              </w:rPr>
              <w:t>Exhibit</w:t>
            </w: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4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2"/>
          </w:tcPr>
          <w:p>
            <w:pPr>
              <w:jc w:val="center"/>
              <w:ind w:right="100"/>
              <w:spacing w:after="0" w:line="150" w:lineRule="exact"/>
              <w:rPr>
                <w:sz w:val="20"/>
                <w:szCs w:val="20"/>
                <w:color w:val="auto"/>
              </w:rPr>
            </w:pPr>
            <w:r>
              <w:rPr>
                <w:rFonts w:ascii="Calibri" w:cs="Calibri" w:eastAsia="Calibri" w:hAnsi="Calibri"/>
                <w:sz w:val="16"/>
                <w:szCs w:val="16"/>
                <w:color w:val="auto"/>
              </w:rPr>
              <w:t>Schedule/</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center"/>
              <w:spacing w:after="0" w:line="150" w:lineRule="exact"/>
              <w:rPr>
                <w:sz w:val="20"/>
                <w:szCs w:val="20"/>
                <w:color w:val="auto"/>
              </w:rPr>
            </w:pPr>
            <w:r>
              <w:rPr>
                <w:rFonts w:ascii="Calibri" w:cs="Calibri" w:eastAsia="Calibri" w:hAnsi="Calibri"/>
                <w:sz w:val="16"/>
                <w:szCs w:val="16"/>
                <w:color w:val="auto"/>
              </w:rPr>
              <w:t>Filed Date/ Period End</w:t>
            </w:r>
          </w:p>
        </w:tc>
        <w:tc>
          <w:tcPr>
            <w:tcW w:w="0" w:type="dxa"/>
            <w:vAlign w:val="bottom"/>
          </w:tcPr>
          <w:p>
            <w:pPr>
              <w:spacing w:after="0"/>
              <w:rPr>
                <w:sz w:val="1"/>
                <w:szCs w:val="1"/>
                <w:color w:val="auto"/>
              </w:rPr>
            </w:pPr>
          </w:p>
        </w:tc>
      </w:tr>
      <w:tr>
        <w:trPr>
          <w:trHeight w:val="193"/>
        </w:trPr>
        <w:tc>
          <w:tcPr>
            <w:tcW w:w="1460" w:type="dxa"/>
            <w:vAlign w:val="bottom"/>
            <w:gridSpan w:val="2"/>
          </w:tcPr>
          <w:p>
            <w:pPr>
              <w:ind w:left="20"/>
              <w:spacing w:after="0" w:line="193" w:lineRule="exact"/>
              <w:rPr>
                <w:sz w:val="20"/>
                <w:szCs w:val="20"/>
                <w:color w:val="auto"/>
              </w:rPr>
            </w:pPr>
            <w:r>
              <w:rPr>
                <w:rFonts w:ascii="Calibri" w:cs="Calibri" w:eastAsia="Calibri" w:hAnsi="Calibri"/>
                <w:sz w:val="16"/>
                <w:szCs w:val="16"/>
                <w:b w:val="1"/>
                <w:bCs w:val="1"/>
                <w:color w:val="auto"/>
              </w:rPr>
              <w:t>Number</w:t>
            </w:r>
          </w:p>
        </w:tc>
        <w:tc>
          <w:tcPr>
            <w:tcW w:w="20" w:type="dxa"/>
            <w:vAlign w:val="bottom"/>
          </w:tcPr>
          <w:p>
            <w:pPr>
              <w:spacing w:after="0"/>
              <w:rPr>
                <w:sz w:val="16"/>
                <w:szCs w:val="16"/>
                <w:color w:val="auto"/>
              </w:rPr>
            </w:pPr>
          </w:p>
        </w:tc>
        <w:tc>
          <w:tcPr>
            <w:tcW w:w="4820" w:type="dxa"/>
            <w:vAlign w:val="bottom"/>
            <w:gridSpan w:val="28"/>
          </w:tcPr>
          <w:p>
            <w:pPr>
              <w:spacing w:after="0" w:line="193" w:lineRule="exact"/>
              <w:rPr>
                <w:sz w:val="20"/>
                <w:szCs w:val="20"/>
                <w:color w:val="auto"/>
              </w:rPr>
            </w:pPr>
            <w:r>
              <w:rPr>
                <w:rFonts w:ascii="Calibri" w:cs="Calibri" w:eastAsia="Calibri" w:hAnsi="Calibri"/>
                <w:sz w:val="16"/>
                <w:szCs w:val="16"/>
                <w:b w:val="1"/>
                <w:bCs w:val="1"/>
                <w:color w:val="auto"/>
              </w:rPr>
              <w:t>Descripton of Exhibit</w:t>
            </w:r>
          </w:p>
        </w:tc>
        <w:tc>
          <w:tcPr>
            <w:tcW w:w="1080" w:type="dxa"/>
            <w:vAlign w:val="bottom"/>
            <w:gridSpan w:val="2"/>
          </w:tcPr>
          <w:p>
            <w:pPr>
              <w:jc w:val="center"/>
              <w:ind w:right="100"/>
              <w:spacing w:after="0" w:line="193" w:lineRule="exact"/>
              <w:rPr>
                <w:sz w:val="20"/>
                <w:szCs w:val="20"/>
                <w:color w:val="auto"/>
              </w:rPr>
            </w:pPr>
            <w:r>
              <w:rPr>
                <w:rFonts w:ascii="Calibri" w:cs="Calibri" w:eastAsia="Calibri" w:hAnsi="Calibri"/>
                <w:sz w:val="16"/>
                <w:szCs w:val="16"/>
                <w:color w:val="auto"/>
                <w:w w:val="99"/>
              </w:rPr>
              <w:t>Form</w:t>
            </w:r>
          </w:p>
        </w:tc>
        <w:tc>
          <w:tcPr>
            <w:tcW w:w="1260" w:type="dxa"/>
            <w:vAlign w:val="bottom"/>
            <w:gridSpan w:val="2"/>
          </w:tcPr>
          <w:p>
            <w:pPr>
              <w:ind w:left="340"/>
              <w:spacing w:after="0" w:line="193" w:lineRule="exact"/>
              <w:rPr>
                <w:sz w:val="20"/>
                <w:szCs w:val="20"/>
                <w:color w:val="auto"/>
              </w:rPr>
            </w:pPr>
            <w:r>
              <w:rPr>
                <w:rFonts w:ascii="Calibri" w:cs="Calibri" w:eastAsia="Calibri" w:hAnsi="Calibri"/>
                <w:sz w:val="16"/>
                <w:szCs w:val="16"/>
                <w:color w:val="auto"/>
              </w:rPr>
              <w:t>File No.</w:t>
            </w:r>
          </w:p>
        </w:tc>
        <w:tc>
          <w:tcPr>
            <w:tcW w:w="1000" w:type="dxa"/>
            <w:vAlign w:val="bottom"/>
            <w:gridSpan w:val="2"/>
          </w:tcPr>
          <w:p>
            <w:pPr>
              <w:jc w:val="center"/>
              <w:ind w:right="100"/>
              <w:spacing w:after="0" w:line="193" w:lineRule="exact"/>
              <w:rPr>
                <w:sz w:val="20"/>
                <w:szCs w:val="20"/>
                <w:color w:val="auto"/>
              </w:rPr>
            </w:pPr>
            <w:r>
              <w:rPr>
                <w:rFonts w:ascii="Calibri" w:cs="Calibri" w:eastAsia="Calibri" w:hAnsi="Calibri"/>
                <w:sz w:val="16"/>
                <w:szCs w:val="16"/>
                <w:color w:val="auto"/>
              </w:rPr>
              <w:t>Exhibit</w:t>
            </w:r>
          </w:p>
        </w:tc>
        <w:tc>
          <w:tcPr>
            <w:tcW w:w="1580" w:type="dxa"/>
            <w:vAlign w:val="bottom"/>
          </w:tcPr>
          <w:p>
            <w:pPr>
              <w:jc w:val="center"/>
              <w:spacing w:after="0" w:line="193" w:lineRule="exact"/>
              <w:rPr>
                <w:sz w:val="20"/>
                <w:szCs w:val="20"/>
                <w:color w:val="auto"/>
              </w:rPr>
            </w:pPr>
            <w:r>
              <w:rPr>
                <w:rFonts w:ascii="Calibri" w:cs="Calibri" w:eastAsia="Calibri" w:hAnsi="Calibri"/>
                <w:sz w:val="16"/>
                <w:szCs w:val="16"/>
                <w:color w:val="auto"/>
              </w:rPr>
              <w:t>Date</w:t>
            </w:r>
          </w:p>
        </w:tc>
        <w:tc>
          <w:tcPr>
            <w:tcW w:w="0" w:type="dxa"/>
            <w:vAlign w:val="bottom"/>
          </w:tcPr>
          <w:p>
            <w:pPr>
              <w:spacing w:after="0"/>
              <w:rPr>
                <w:sz w:val="1"/>
                <w:szCs w:val="1"/>
                <w:color w:val="auto"/>
              </w:rPr>
            </w:pPr>
          </w:p>
        </w:tc>
      </w:tr>
      <w:tr>
        <w:trPr>
          <w:trHeight w:val="28"/>
        </w:trPr>
        <w:tc>
          <w:tcPr>
            <w:tcW w:w="10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040" w:type="dxa"/>
            <w:vAlign w:val="bottom"/>
          </w:tcPr>
          <w:p>
            <w:pPr>
              <w:ind w:left="180"/>
              <w:spacing w:after="0" w:line="156" w:lineRule="exact"/>
              <w:rPr>
                <w:sz w:val="20"/>
                <w:szCs w:val="20"/>
                <w:color w:val="auto"/>
              </w:rPr>
            </w:pPr>
            <w:r>
              <w:rPr>
                <w:rFonts w:ascii="Calibri" w:cs="Calibri" w:eastAsia="Calibri" w:hAnsi="Calibri"/>
                <w:sz w:val="16"/>
                <w:szCs w:val="16"/>
                <w:color w:val="auto"/>
              </w:rPr>
              <w:t>10.39†</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gridSpan w:val="28"/>
          </w:tcPr>
          <w:p>
            <w:pPr>
              <w:spacing w:after="0" w:line="156" w:lineRule="exact"/>
              <w:rPr>
                <w:rFonts w:ascii="Calibri" w:cs="Calibri" w:eastAsia="Calibri" w:hAnsi="Calibri"/>
                <w:sz w:val="16"/>
                <w:szCs w:val="16"/>
                <w:color w:val="0000FF"/>
              </w:rPr>
            </w:pPr>
            <w:hyperlink r:id="rId248">
              <w:r>
                <w:rPr>
                  <w:rFonts w:ascii="Calibri" w:cs="Calibri" w:eastAsia="Calibri" w:hAnsi="Calibri"/>
                  <w:sz w:val="16"/>
                  <w:szCs w:val="16"/>
                  <w:color w:val="0000FF"/>
                </w:rPr>
                <w:t>Form of Ofcer Inducement Award Stock Opton Agreement under 2023</w:t>
              </w:r>
            </w:hyperlink>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Borders>
              <w:top w:val="single" w:sz="8" w:color="0000FF"/>
              <w:bottom w:val="single" w:sz="8" w:color="0000FF"/>
            </w:tcBorders>
            <w:gridSpan w:val="3"/>
          </w:tcPr>
          <w:p>
            <w:pPr>
              <w:spacing w:after="0" w:line="129" w:lineRule="exact"/>
              <w:rPr>
                <w:rFonts w:ascii="Calibri" w:cs="Calibri" w:eastAsia="Calibri" w:hAnsi="Calibri"/>
                <w:sz w:val="14"/>
                <w:szCs w:val="14"/>
                <w:color w:val="0000FF"/>
              </w:rPr>
            </w:pPr>
            <w:hyperlink r:id="rId248">
              <w:r>
                <w:rPr>
                  <w:rFonts w:ascii="Calibri" w:cs="Calibri" w:eastAsia="Calibri" w:hAnsi="Calibri"/>
                  <w:sz w:val="14"/>
                  <w:szCs w:val="14"/>
                  <w:color w:val="0000FF"/>
                </w:rPr>
                <w:t>Stock Incentve Plan</w:t>
              </w:r>
            </w:hyperlink>
          </w:p>
        </w:tc>
        <w:tc>
          <w:tcPr>
            <w:tcW w:w="360" w:type="dxa"/>
            <w:vAlign w:val="bottom"/>
            <w:tcBorders>
              <w:top w:val="single" w:sz="8" w:color="0000FF"/>
              <w:bottom w:val="single" w:sz="8" w:color="0000FF"/>
            </w:tcBorders>
          </w:tcPr>
          <w:p>
            <w:pPr>
              <w:spacing w:after="0"/>
              <w:rPr>
                <w:sz w:val="12"/>
                <w:szCs w:val="12"/>
                <w:color w:val="auto"/>
              </w:rPr>
            </w:pPr>
          </w:p>
        </w:tc>
        <w:tc>
          <w:tcPr>
            <w:tcW w:w="60" w:type="dxa"/>
            <w:vAlign w:val="bottom"/>
            <w:tcBorders>
              <w:top w:val="single" w:sz="8" w:color="0000FF"/>
              <w:bottom w:val="single" w:sz="8" w:color="0000FF"/>
            </w:tcBorders>
          </w:tcPr>
          <w:p>
            <w:pPr>
              <w:spacing w:after="0"/>
              <w:rPr>
                <w:sz w:val="12"/>
                <w:szCs w:val="12"/>
                <w:color w:val="auto"/>
              </w:rPr>
            </w:pPr>
          </w:p>
        </w:tc>
        <w:tc>
          <w:tcPr>
            <w:tcW w:w="100" w:type="dxa"/>
            <w:vAlign w:val="bottom"/>
            <w:tcBorders>
              <w:top w:val="single" w:sz="8" w:color="0000FF"/>
              <w:bottom w:val="single" w:sz="8" w:color="0000FF"/>
            </w:tcBorders>
          </w:tcPr>
          <w:p>
            <w:pPr>
              <w:spacing w:after="0"/>
              <w:rPr>
                <w:sz w:val="12"/>
                <w:szCs w:val="12"/>
                <w:color w:val="auto"/>
              </w:rPr>
            </w:pPr>
          </w:p>
        </w:tc>
        <w:tc>
          <w:tcPr>
            <w:tcW w:w="340" w:type="dxa"/>
            <w:vAlign w:val="bottom"/>
            <w:tcBorders>
              <w:top w:val="single" w:sz="8" w:color="0000FF"/>
              <w:bottom w:val="single" w:sz="8" w:color="0000FF"/>
            </w:tcBorders>
          </w:tcPr>
          <w:p>
            <w:pPr>
              <w:spacing w:after="0"/>
              <w:rPr>
                <w:sz w:val="12"/>
                <w:szCs w:val="12"/>
                <w:color w:val="auto"/>
              </w:rPr>
            </w:pPr>
          </w:p>
        </w:tc>
        <w:tc>
          <w:tcPr>
            <w:tcW w:w="120" w:type="dxa"/>
            <w:vAlign w:val="bottom"/>
            <w:tcBorders>
              <w:top w:val="single" w:sz="8" w:color="0000FF"/>
              <w:bottom w:val="single" w:sz="8" w:color="0000FF"/>
            </w:tcBorders>
          </w:tcPr>
          <w:p>
            <w:pPr>
              <w:spacing w:after="0"/>
              <w:rPr>
                <w:sz w:val="12"/>
                <w:szCs w:val="12"/>
                <w:color w:val="auto"/>
              </w:rPr>
            </w:pPr>
          </w:p>
        </w:tc>
        <w:tc>
          <w:tcPr>
            <w:tcW w:w="500" w:type="dxa"/>
            <w:vAlign w:val="bottom"/>
            <w:tcBorders>
              <w:top w:val="single" w:sz="8" w:color="0000FF"/>
              <w:bottom w:val="single" w:sz="8" w:color="0000FF"/>
            </w:tcBorders>
          </w:tcPr>
          <w:p>
            <w:pPr>
              <w:spacing w:after="0"/>
              <w:rPr>
                <w:sz w:val="12"/>
                <w:szCs w:val="12"/>
                <w:color w:val="auto"/>
              </w:rPr>
            </w:pPr>
          </w:p>
        </w:tc>
        <w:tc>
          <w:tcPr>
            <w:tcW w:w="380" w:type="dxa"/>
            <w:vAlign w:val="bottom"/>
            <w:tcBorders>
              <w:top w:val="single" w:sz="8" w:color="0000FF"/>
              <w:bottom w:val="single" w:sz="8" w:color="0000FF"/>
            </w:tcBorders>
          </w:tcPr>
          <w:p>
            <w:pPr>
              <w:spacing w:after="0"/>
              <w:rPr>
                <w:sz w:val="12"/>
                <w:szCs w:val="12"/>
                <w:color w:val="auto"/>
              </w:rPr>
            </w:pPr>
          </w:p>
        </w:tc>
        <w:tc>
          <w:tcPr>
            <w:tcW w:w="160" w:type="dxa"/>
            <w:vAlign w:val="bottom"/>
            <w:tcBorders>
              <w:top w:val="single" w:sz="8" w:color="0000FF"/>
              <w:bottom w:val="single" w:sz="8" w:color="0000FF"/>
            </w:tcBorders>
          </w:tcPr>
          <w:p>
            <w:pPr>
              <w:spacing w:after="0"/>
              <w:rPr>
                <w:sz w:val="12"/>
                <w:szCs w:val="12"/>
                <w:color w:val="auto"/>
              </w:rPr>
            </w:pPr>
          </w:p>
        </w:tc>
        <w:tc>
          <w:tcPr>
            <w:tcW w:w="240" w:type="dxa"/>
            <w:vAlign w:val="bottom"/>
            <w:tcBorders>
              <w:top w:val="single" w:sz="8" w:color="0000FF"/>
              <w:bottom w:val="single" w:sz="8" w:color="0000FF"/>
            </w:tcBorders>
          </w:tcPr>
          <w:p>
            <w:pPr>
              <w:spacing w:after="0"/>
              <w:rPr>
                <w:sz w:val="12"/>
                <w:szCs w:val="12"/>
                <w:color w:val="auto"/>
              </w:rPr>
            </w:pPr>
          </w:p>
        </w:tc>
        <w:tc>
          <w:tcPr>
            <w:tcW w:w="200" w:type="dxa"/>
            <w:vAlign w:val="bottom"/>
            <w:tcBorders>
              <w:top w:val="single" w:sz="8" w:color="0000FF"/>
              <w:bottom w:val="single" w:sz="8" w:color="0000FF"/>
            </w:tcBorders>
          </w:tcPr>
          <w:p>
            <w:pPr>
              <w:spacing w:after="0"/>
              <w:rPr>
                <w:sz w:val="12"/>
                <w:szCs w:val="12"/>
                <w:color w:val="auto"/>
              </w:rPr>
            </w:pPr>
          </w:p>
        </w:tc>
        <w:tc>
          <w:tcPr>
            <w:tcW w:w="280" w:type="dxa"/>
            <w:vAlign w:val="bottom"/>
            <w:tcBorders>
              <w:top w:val="single" w:sz="8" w:color="0000FF"/>
              <w:bottom w:val="single" w:sz="8" w:color="0000FF"/>
            </w:tcBorders>
          </w:tcPr>
          <w:p>
            <w:pPr>
              <w:spacing w:after="0"/>
              <w:rPr>
                <w:sz w:val="12"/>
                <w:szCs w:val="12"/>
                <w:color w:val="auto"/>
              </w:rPr>
            </w:pPr>
          </w:p>
        </w:tc>
        <w:tc>
          <w:tcPr>
            <w:tcW w:w="120" w:type="dxa"/>
            <w:vAlign w:val="bottom"/>
            <w:tcBorders>
              <w:top w:val="single" w:sz="8" w:color="0000FF"/>
              <w:bottom w:val="single" w:sz="8" w:color="0000FF"/>
            </w:tcBorders>
          </w:tcPr>
          <w:p>
            <w:pPr>
              <w:spacing w:after="0"/>
              <w:rPr>
                <w:sz w:val="12"/>
                <w:szCs w:val="12"/>
                <w:color w:val="auto"/>
              </w:rPr>
            </w:pPr>
          </w:p>
        </w:tc>
        <w:tc>
          <w:tcPr>
            <w:tcW w:w="180" w:type="dxa"/>
            <w:vAlign w:val="bottom"/>
            <w:tcBorders>
              <w:top w:val="single" w:sz="8" w:color="0000FF"/>
              <w:bottom w:val="single" w:sz="8" w:color="0000FF"/>
            </w:tcBorders>
          </w:tcPr>
          <w:p>
            <w:pPr>
              <w:spacing w:after="0"/>
              <w:rPr>
                <w:sz w:val="12"/>
                <w:szCs w:val="12"/>
                <w:color w:val="auto"/>
              </w:rPr>
            </w:pPr>
          </w:p>
        </w:tc>
        <w:tc>
          <w:tcPr>
            <w:tcW w:w="40" w:type="dxa"/>
            <w:vAlign w:val="bottom"/>
            <w:tcBorders>
              <w:top w:val="single" w:sz="8" w:color="0000FF"/>
              <w:bottom w:val="single" w:sz="8" w:color="0000FF"/>
            </w:tcBorders>
          </w:tcPr>
          <w:p>
            <w:pPr>
              <w:spacing w:after="0"/>
              <w:rPr>
                <w:sz w:val="12"/>
                <w:szCs w:val="12"/>
                <w:color w:val="auto"/>
              </w:rPr>
            </w:pPr>
          </w:p>
        </w:tc>
        <w:tc>
          <w:tcPr>
            <w:tcW w:w="40" w:type="dxa"/>
            <w:vAlign w:val="bottom"/>
            <w:tcBorders>
              <w:top w:val="single" w:sz="8" w:color="0000FF"/>
              <w:bottom w:val="single" w:sz="8" w:color="0000FF"/>
            </w:tcBorders>
          </w:tcPr>
          <w:p>
            <w:pPr>
              <w:spacing w:after="0"/>
              <w:rPr>
                <w:sz w:val="12"/>
                <w:szCs w:val="12"/>
                <w:color w:val="auto"/>
              </w:rPr>
            </w:pPr>
          </w:p>
        </w:tc>
        <w:tc>
          <w:tcPr>
            <w:tcW w:w="80" w:type="dxa"/>
            <w:vAlign w:val="bottom"/>
            <w:tcBorders>
              <w:top w:val="single" w:sz="8" w:color="0000FF"/>
              <w:bottom w:val="single" w:sz="8" w:color="0000FF"/>
            </w:tcBorders>
          </w:tcPr>
          <w:p>
            <w:pPr>
              <w:spacing w:after="0"/>
              <w:rPr>
                <w:sz w:val="12"/>
                <w:szCs w:val="12"/>
                <w:color w:val="auto"/>
              </w:rPr>
            </w:pPr>
          </w:p>
        </w:tc>
        <w:tc>
          <w:tcPr>
            <w:tcW w:w="20" w:type="dxa"/>
            <w:vAlign w:val="bottom"/>
            <w:tcBorders>
              <w:top w:val="single" w:sz="8" w:color="0000FF"/>
              <w:bottom w:val="single" w:sz="8" w:color="0000FF"/>
            </w:tcBorders>
          </w:tcPr>
          <w:p>
            <w:pPr>
              <w:spacing w:after="0"/>
              <w:rPr>
                <w:sz w:val="12"/>
                <w:szCs w:val="12"/>
                <w:color w:val="auto"/>
              </w:rPr>
            </w:pPr>
          </w:p>
        </w:tc>
        <w:tc>
          <w:tcPr>
            <w:tcW w:w="40" w:type="dxa"/>
            <w:vAlign w:val="bottom"/>
            <w:tcBorders>
              <w:top w:val="single" w:sz="8" w:color="0000FF"/>
              <w:bottom w:val="single" w:sz="8" w:color="0000FF"/>
            </w:tcBorders>
          </w:tcPr>
          <w:p>
            <w:pPr>
              <w:spacing w:after="0"/>
              <w:rPr>
                <w:sz w:val="12"/>
                <w:szCs w:val="12"/>
                <w:color w:val="auto"/>
              </w:rPr>
            </w:pPr>
          </w:p>
        </w:tc>
        <w:tc>
          <w:tcPr>
            <w:tcW w:w="20" w:type="dxa"/>
            <w:vAlign w:val="bottom"/>
            <w:tcBorders>
              <w:top w:val="single" w:sz="8" w:color="0000FF"/>
              <w:bottom w:val="single" w:sz="8" w:color="0000FF"/>
            </w:tcBorders>
          </w:tcPr>
          <w:p>
            <w:pPr>
              <w:spacing w:after="0"/>
              <w:rPr>
                <w:sz w:val="12"/>
                <w:szCs w:val="12"/>
                <w:color w:val="auto"/>
              </w:rPr>
            </w:pPr>
          </w:p>
        </w:tc>
        <w:tc>
          <w:tcPr>
            <w:tcW w:w="40" w:type="dxa"/>
            <w:vAlign w:val="bottom"/>
            <w:tcBorders>
              <w:top w:val="single" w:sz="8" w:color="0000FF"/>
              <w:bottom w:val="single" w:sz="8" w:color="0000FF"/>
            </w:tcBorders>
          </w:tcPr>
          <w:p>
            <w:pPr>
              <w:spacing w:after="0"/>
              <w:rPr>
                <w:sz w:val="12"/>
                <w:szCs w:val="12"/>
                <w:color w:val="auto"/>
              </w:rPr>
            </w:pPr>
          </w:p>
        </w:tc>
        <w:tc>
          <w:tcPr>
            <w:tcW w:w="60" w:type="dxa"/>
            <w:vAlign w:val="bottom"/>
            <w:tcBorders>
              <w:top w:val="single" w:sz="8" w:color="0000FF"/>
              <w:bottom w:val="single" w:sz="8" w:color="0000FF"/>
            </w:tcBorders>
          </w:tcPr>
          <w:p>
            <w:pPr>
              <w:spacing w:after="0"/>
              <w:rPr>
                <w:sz w:val="12"/>
                <w:szCs w:val="12"/>
                <w:color w:val="auto"/>
              </w:rPr>
            </w:pPr>
          </w:p>
        </w:tc>
        <w:tc>
          <w:tcPr>
            <w:tcW w:w="40" w:type="dxa"/>
            <w:vAlign w:val="bottom"/>
            <w:tcBorders>
              <w:top w:val="single" w:sz="8" w:color="0000FF"/>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10.14</w:t>
            </w:r>
          </w:p>
        </w:tc>
        <w:tc>
          <w:tcPr>
            <w:tcW w:w="12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August 28, 2023</w:t>
            </w:r>
          </w:p>
        </w:tc>
        <w:tc>
          <w:tcPr>
            <w:tcW w:w="0" w:type="dxa"/>
            <w:vAlign w:val="bottom"/>
          </w:tcPr>
          <w:p>
            <w:pPr>
              <w:spacing w:after="0"/>
              <w:rPr>
                <w:sz w:val="1"/>
                <w:szCs w:val="1"/>
                <w:color w:val="auto"/>
              </w:rPr>
            </w:pPr>
          </w:p>
        </w:tc>
      </w:tr>
      <w:tr>
        <w:trPr>
          <w:trHeight w:val="47"/>
        </w:trPr>
        <w:tc>
          <w:tcPr>
            <w:tcW w:w="1460" w:type="dxa"/>
            <w:vAlign w:val="bottom"/>
            <w:gridSpan w:val="2"/>
            <w:vMerge w:val="restart"/>
          </w:tcPr>
          <w:p>
            <w:pPr>
              <w:ind w:left="180"/>
              <w:spacing w:after="0"/>
              <w:rPr>
                <w:sz w:val="20"/>
                <w:szCs w:val="20"/>
                <w:color w:val="auto"/>
              </w:rPr>
            </w:pPr>
            <w:r>
              <w:rPr>
                <w:rFonts w:ascii="Calibri" w:cs="Calibri" w:eastAsia="Calibri" w:hAnsi="Calibri"/>
                <w:sz w:val="16"/>
                <w:szCs w:val="16"/>
                <w:color w:val="auto"/>
              </w:rPr>
              <w:t>10.40†</w:t>
            </w:r>
          </w:p>
        </w:tc>
        <w:tc>
          <w:tcPr>
            <w:tcW w:w="20" w:type="dxa"/>
            <w:vAlign w:val="bottom"/>
          </w:tcPr>
          <w:p>
            <w:pPr>
              <w:spacing w:after="0"/>
              <w:rPr>
                <w:sz w:val="4"/>
                <w:szCs w:val="4"/>
                <w:color w:val="auto"/>
              </w:rPr>
            </w:pPr>
          </w:p>
        </w:tc>
        <w:tc>
          <w:tcPr>
            <w:tcW w:w="4520" w:type="dxa"/>
            <w:vAlign w:val="bottom"/>
            <w:gridSpan w:val="20"/>
            <w:vMerge w:val="restart"/>
          </w:tcPr>
          <w:p>
            <w:pPr>
              <w:spacing w:after="0"/>
              <w:rPr>
                <w:rFonts w:ascii="Calibri" w:cs="Calibri" w:eastAsia="Calibri" w:hAnsi="Calibri"/>
                <w:sz w:val="16"/>
                <w:szCs w:val="16"/>
                <w:color w:val="0000FF"/>
              </w:rPr>
            </w:pPr>
            <w:hyperlink r:id="rId249">
              <w:r>
                <w:rPr>
                  <w:rFonts w:ascii="Calibri" w:cs="Calibri" w:eastAsia="Calibri" w:hAnsi="Calibri"/>
                  <w:sz w:val="16"/>
                  <w:szCs w:val="16"/>
                  <w:color w:val="0000FF"/>
                </w:rPr>
                <w:t>Form of Ofcer Executve Severance Agreement (Refectng Clawback</w:t>
              </w:r>
            </w:hyperlink>
          </w:p>
        </w:tc>
        <w:tc>
          <w:tcPr>
            <w:tcW w:w="300" w:type="dxa"/>
            <w:vAlign w:val="bottom"/>
            <w:gridSpan w:val="8"/>
            <w:vMerge w:val="restart"/>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3"/>
        </w:trPr>
        <w:tc>
          <w:tcPr>
            <w:tcW w:w="14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tcBorders>
              <w:bottom w:val="single" w:sz="8" w:color="0000FF"/>
            </w:tcBorders>
            <w:gridSpan w:val="20"/>
            <w:vMerge w:val="continue"/>
          </w:tcPr>
          <w:p>
            <w:pPr>
              <w:spacing w:after="0"/>
              <w:rPr>
                <w:sz w:val="24"/>
                <w:szCs w:val="24"/>
                <w:color w:val="auto"/>
              </w:rPr>
            </w:pPr>
          </w:p>
        </w:tc>
        <w:tc>
          <w:tcPr>
            <w:tcW w:w="300" w:type="dxa"/>
            <w:vAlign w:val="bottom"/>
            <w:gridSpan w:val="8"/>
            <w:vMerge w:val="continue"/>
          </w:tcPr>
          <w:p>
            <w:pPr>
              <w:spacing w:after="0"/>
              <w:rPr>
                <w:sz w:val="24"/>
                <w:szCs w:val="24"/>
                <w:color w:val="auto"/>
              </w:rPr>
            </w:pPr>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10.43</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March 14, 2024</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20" w:type="dxa"/>
            <w:vAlign w:val="bottom"/>
            <w:gridSpan w:val="28"/>
            <w:vMerge w:val="restart"/>
          </w:tcPr>
          <w:p>
            <w:pPr>
              <w:spacing w:after="0" w:line="142" w:lineRule="exact"/>
              <w:rPr>
                <w:rFonts w:ascii="Calibri" w:cs="Calibri" w:eastAsia="Calibri" w:hAnsi="Calibri"/>
                <w:sz w:val="15"/>
                <w:szCs w:val="15"/>
                <w:color w:val="0000FF"/>
              </w:rPr>
            </w:pPr>
            <w:hyperlink r:id="rId249">
              <w:r>
                <w:rPr>
                  <w:rFonts w:ascii="Calibri" w:cs="Calibri" w:eastAsia="Calibri" w:hAnsi="Calibri"/>
                  <w:sz w:val="15"/>
                  <w:szCs w:val="15"/>
                  <w:color w:val="0000FF"/>
                </w:rPr>
                <w:t>Policy)</w:t>
              </w:r>
            </w:hyperlink>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820" w:type="dxa"/>
            <w:vAlign w:val="bottom"/>
            <w:gridSpan w:val="28"/>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10.41†</w:t>
            </w:r>
          </w:p>
        </w:tc>
        <w:tc>
          <w:tcPr>
            <w:tcW w:w="20" w:type="dxa"/>
            <w:vAlign w:val="bottom"/>
          </w:tcPr>
          <w:p>
            <w:pPr>
              <w:spacing w:after="0"/>
              <w:rPr>
                <w:sz w:val="24"/>
                <w:szCs w:val="24"/>
                <w:color w:val="auto"/>
              </w:rPr>
            </w:pPr>
          </w:p>
        </w:tc>
        <w:tc>
          <w:tcPr>
            <w:tcW w:w="4420" w:type="dxa"/>
            <w:vAlign w:val="bottom"/>
            <w:tcBorders>
              <w:bottom w:val="single" w:sz="8" w:color="0000FF"/>
            </w:tcBorders>
            <w:gridSpan w:val="18"/>
          </w:tcPr>
          <w:p>
            <w:pPr>
              <w:spacing w:after="0"/>
              <w:rPr>
                <w:rFonts w:ascii="Calibri" w:cs="Calibri" w:eastAsia="Calibri" w:hAnsi="Calibri"/>
                <w:sz w:val="16"/>
                <w:szCs w:val="16"/>
                <w:color w:val="0000FF"/>
              </w:rPr>
            </w:pPr>
            <w:hyperlink r:id="rId250">
              <w:r>
                <w:rPr>
                  <w:rFonts w:ascii="Calibri" w:cs="Calibri" w:eastAsia="Calibri" w:hAnsi="Calibri"/>
                  <w:sz w:val="16"/>
                  <w:szCs w:val="16"/>
                  <w:color w:val="0000FF"/>
                </w:rPr>
                <w:t>Form of Ofcer Cash Bonus Agreement (Refectng Clawback Policy)</w:t>
              </w:r>
            </w:hyperlink>
          </w:p>
        </w:tc>
        <w:tc>
          <w:tcPr>
            <w:tcW w:w="400" w:type="dxa"/>
            <w:vAlign w:val="bottom"/>
            <w:gridSpan w:val="10"/>
          </w:tcPr>
          <w:p>
            <w:pPr>
              <w:spacing w:after="0"/>
              <w:rPr>
                <w:sz w:val="24"/>
                <w:szCs w:val="24"/>
                <w:color w:val="auto"/>
              </w:rPr>
            </w:pPr>
          </w:p>
        </w:tc>
        <w:tc>
          <w:tcPr>
            <w:tcW w:w="1080" w:type="dxa"/>
            <w:vAlign w:val="bottom"/>
            <w:gridSpan w:val="2"/>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Calibri" w:cs="Calibri" w:eastAsia="Calibri" w:hAnsi="Calibri"/>
                <w:sz w:val="16"/>
                <w:szCs w:val="16"/>
                <w:color w:val="auto"/>
              </w:rPr>
              <w:t>10.44</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Calibri" w:cs="Calibri" w:eastAsia="Calibri" w:hAnsi="Calibri"/>
                <w:sz w:val="16"/>
                <w:szCs w:val="16"/>
                <w:color w:val="auto"/>
              </w:rPr>
              <w:t>March 14, 2024</w:t>
            </w:r>
          </w:p>
        </w:tc>
        <w:tc>
          <w:tcPr>
            <w:tcW w:w="0" w:type="dxa"/>
            <w:vAlign w:val="bottom"/>
          </w:tcPr>
          <w:p>
            <w:pPr>
              <w:spacing w:after="0"/>
              <w:rPr>
                <w:sz w:val="1"/>
                <w:szCs w:val="1"/>
                <w:color w:val="auto"/>
              </w:rPr>
            </w:pPr>
          </w:p>
        </w:tc>
      </w:tr>
      <w:tr>
        <w:trPr>
          <w:trHeight w:val="358"/>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10.42†</w:t>
            </w:r>
          </w:p>
        </w:tc>
        <w:tc>
          <w:tcPr>
            <w:tcW w:w="20" w:type="dxa"/>
            <w:vAlign w:val="bottom"/>
          </w:tcPr>
          <w:p>
            <w:pPr>
              <w:spacing w:after="0"/>
              <w:rPr>
                <w:sz w:val="24"/>
                <w:szCs w:val="24"/>
                <w:color w:val="auto"/>
              </w:rPr>
            </w:pPr>
          </w:p>
        </w:tc>
        <w:tc>
          <w:tcPr>
            <w:tcW w:w="4780" w:type="dxa"/>
            <w:vAlign w:val="bottom"/>
            <w:tcBorders>
              <w:bottom w:val="single" w:sz="8" w:color="0000FF"/>
            </w:tcBorders>
            <w:gridSpan w:val="27"/>
          </w:tcPr>
          <w:p>
            <w:pPr>
              <w:spacing w:after="0"/>
              <w:rPr>
                <w:rFonts w:ascii="Calibri" w:cs="Calibri" w:eastAsia="Calibri" w:hAnsi="Calibri"/>
                <w:sz w:val="16"/>
                <w:szCs w:val="16"/>
                <w:color w:val="0000FF"/>
              </w:rPr>
            </w:pPr>
            <w:hyperlink r:id="rId251">
              <w:r>
                <w:rPr>
                  <w:rFonts w:ascii="Calibri" w:cs="Calibri" w:eastAsia="Calibri" w:hAnsi="Calibri"/>
                  <w:sz w:val="16"/>
                  <w:szCs w:val="16"/>
                  <w:color w:val="0000FF"/>
                </w:rPr>
                <w:t>Form of Ofcer Stock Opton Agreement under 2023 Stock Incentve Plan</w:t>
              </w:r>
            </w:hyperlink>
          </w:p>
        </w:tc>
        <w:tc>
          <w:tcPr>
            <w:tcW w:w="40" w:type="dxa"/>
            <w:vAlign w:val="bottom"/>
          </w:tcPr>
          <w:p>
            <w:pPr>
              <w:spacing w:after="0"/>
              <w:rPr>
                <w:sz w:val="24"/>
                <w:szCs w:val="24"/>
                <w:color w:val="auto"/>
              </w:rPr>
            </w:pPr>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10.45</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March 14, 2024</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20" w:type="dxa"/>
            <w:vAlign w:val="bottom"/>
            <w:gridSpan w:val="6"/>
            <w:vMerge w:val="restart"/>
          </w:tcPr>
          <w:p>
            <w:pPr>
              <w:spacing w:after="0" w:line="142" w:lineRule="exact"/>
              <w:rPr>
                <w:rFonts w:ascii="Calibri" w:cs="Calibri" w:eastAsia="Calibri" w:hAnsi="Calibri"/>
                <w:sz w:val="15"/>
                <w:szCs w:val="15"/>
                <w:color w:val="0000FF"/>
              </w:rPr>
            </w:pPr>
            <w:hyperlink r:id="rId251">
              <w:r>
                <w:rPr>
                  <w:rFonts w:ascii="Calibri" w:cs="Calibri" w:eastAsia="Calibri" w:hAnsi="Calibri"/>
                  <w:sz w:val="15"/>
                  <w:szCs w:val="15"/>
                  <w:color w:val="0000FF"/>
                </w:rPr>
                <w:t>(Refectng Clawback Policy)</w:t>
              </w:r>
            </w:hyperlink>
          </w:p>
        </w:tc>
        <w:tc>
          <w:tcPr>
            <w:tcW w:w="3000" w:type="dxa"/>
            <w:vAlign w:val="bottom"/>
            <w:gridSpan w:val="22"/>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20" w:type="dxa"/>
            <w:vAlign w:val="bottom"/>
            <w:tcBorders>
              <w:bottom w:val="single" w:sz="8" w:color="0000FF"/>
            </w:tcBorders>
            <w:gridSpan w:val="6"/>
            <w:vMerge w:val="continue"/>
          </w:tcPr>
          <w:p>
            <w:pPr>
              <w:spacing w:after="0"/>
              <w:rPr>
                <w:sz w:val="4"/>
                <w:szCs w:val="4"/>
                <w:color w:val="auto"/>
              </w:rPr>
            </w:pPr>
          </w:p>
        </w:tc>
        <w:tc>
          <w:tcPr>
            <w:tcW w:w="3000" w:type="dxa"/>
            <w:vAlign w:val="bottom"/>
            <w:gridSpan w:val="22"/>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10.43†</w:t>
            </w:r>
          </w:p>
        </w:tc>
        <w:tc>
          <w:tcPr>
            <w:tcW w:w="20" w:type="dxa"/>
            <w:vAlign w:val="bottom"/>
          </w:tcPr>
          <w:p>
            <w:pPr>
              <w:spacing w:after="0"/>
              <w:rPr>
                <w:sz w:val="24"/>
                <w:szCs w:val="24"/>
                <w:color w:val="auto"/>
              </w:rPr>
            </w:pPr>
          </w:p>
        </w:tc>
        <w:tc>
          <w:tcPr>
            <w:tcW w:w="4820" w:type="dxa"/>
            <w:vAlign w:val="bottom"/>
            <w:gridSpan w:val="28"/>
          </w:tcPr>
          <w:p>
            <w:pPr>
              <w:spacing w:after="0"/>
              <w:rPr>
                <w:rFonts w:ascii="Calibri" w:cs="Calibri" w:eastAsia="Calibri" w:hAnsi="Calibri"/>
                <w:sz w:val="16"/>
                <w:szCs w:val="16"/>
                <w:color w:val="0000FF"/>
              </w:rPr>
            </w:pPr>
            <w:hyperlink r:id="rId252">
              <w:r>
                <w:rPr>
                  <w:rFonts w:ascii="Calibri" w:cs="Calibri" w:eastAsia="Calibri" w:hAnsi="Calibri"/>
                  <w:sz w:val="16"/>
                  <w:szCs w:val="16"/>
                  <w:color w:val="0000FF"/>
                </w:rPr>
                <w:t>Form of Ofcer Restricted Stock Unit Agreement under 2023 Stock</w:t>
              </w:r>
            </w:hyperlink>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10.46</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March 14, 2024</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2780" w:type="dxa"/>
            <w:vAlign w:val="bottom"/>
            <w:tcBorders>
              <w:top w:val="single" w:sz="8" w:color="0000FF"/>
            </w:tcBorders>
            <w:gridSpan w:val="9"/>
            <w:vMerge w:val="restart"/>
          </w:tcPr>
          <w:p>
            <w:pPr>
              <w:spacing w:after="0" w:line="142" w:lineRule="exact"/>
              <w:rPr>
                <w:rFonts w:ascii="Calibri" w:cs="Calibri" w:eastAsia="Calibri" w:hAnsi="Calibri"/>
                <w:sz w:val="15"/>
                <w:szCs w:val="15"/>
                <w:color w:val="0000FF"/>
              </w:rPr>
            </w:pPr>
            <w:hyperlink r:id="rId252">
              <w:r>
                <w:rPr>
                  <w:rFonts w:ascii="Calibri" w:cs="Calibri" w:eastAsia="Calibri" w:hAnsi="Calibri"/>
                  <w:sz w:val="15"/>
                  <w:szCs w:val="15"/>
                  <w:color w:val="0000FF"/>
                </w:rPr>
                <w:t>Incentve Plan (Refectng Clawback Policy)</w:t>
              </w:r>
            </w:hyperlink>
          </w:p>
        </w:tc>
        <w:tc>
          <w:tcPr>
            <w:tcW w:w="1560" w:type="dxa"/>
            <w:vAlign w:val="bottom"/>
            <w:tcBorders>
              <w:top w:val="single" w:sz="8" w:color="0000FF"/>
            </w:tcBorders>
            <w:gridSpan w:val="7"/>
            <w:vMerge w:val="restart"/>
          </w:tcPr>
          <w:p>
            <w:pPr>
              <w:spacing w:after="0"/>
              <w:rPr>
                <w:sz w:val="7"/>
                <w:szCs w:val="7"/>
                <w:color w:val="auto"/>
              </w:rPr>
            </w:pPr>
          </w:p>
        </w:tc>
        <w:tc>
          <w:tcPr>
            <w:tcW w:w="480" w:type="dxa"/>
            <w:vAlign w:val="bottom"/>
            <w:gridSpan w:val="12"/>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780" w:type="dxa"/>
            <w:vAlign w:val="bottom"/>
            <w:tcBorders>
              <w:bottom w:val="single" w:sz="8" w:color="0000FF"/>
            </w:tcBorders>
            <w:gridSpan w:val="9"/>
            <w:vMerge w:val="continue"/>
          </w:tcPr>
          <w:p>
            <w:pPr>
              <w:spacing w:after="0"/>
              <w:rPr>
                <w:sz w:val="4"/>
                <w:szCs w:val="4"/>
                <w:color w:val="auto"/>
              </w:rPr>
            </w:pPr>
          </w:p>
        </w:tc>
        <w:tc>
          <w:tcPr>
            <w:tcW w:w="1560" w:type="dxa"/>
            <w:vAlign w:val="bottom"/>
            <w:gridSpan w:val="7"/>
            <w:vMerge w:val="continue"/>
          </w:tcPr>
          <w:p>
            <w:pPr>
              <w:spacing w:after="0"/>
              <w:rPr>
                <w:sz w:val="4"/>
                <w:szCs w:val="4"/>
                <w:color w:val="auto"/>
              </w:rPr>
            </w:pPr>
          </w:p>
        </w:tc>
        <w:tc>
          <w:tcPr>
            <w:tcW w:w="480" w:type="dxa"/>
            <w:vAlign w:val="bottom"/>
            <w:gridSpan w:val="12"/>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10.44†</w:t>
            </w:r>
          </w:p>
        </w:tc>
        <w:tc>
          <w:tcPr>
            <w:tcW w:w="20" w:type="dxa"/>
            <w:vAlign w:val="bottom"/>
          </w:tcPr>
          <w:p>
            <w:pPr>
              <w:spacing w:after="0"/>
              <w:rPr>
                <w:sz w:val="24"/>
                <w:szCs w:val="24"/>
                <w:color w:val="auto"/>
              </w:rPr>
            </w:pPr>
          </w:p>
        </w:tc>
        <w:tc>
          <w:tcPr>
            <w:tcW w:w="4820" w:type="dxa"/>
            <w:vAlign w:val="bottom"/>
            <w:gridSpan w:val="28"/>
          </w:tcPr>
          <w:p>
            <w:pPr>
              <w:spacing w:after="0"/>
              <w:rPr>
                <w:rFonts w:ascii="Calibri" w:cs="Calibri" w:eastAsia="Calibri" w:hAnsi="Calibri"/>
                <w:sz w:val="16"/>
                <w:szCs w:val="16"/>
                <w:color w:val="0000FF"/>
              </w:rPr>
            </w:pPr>
            <w:hyperlink r:id="rId253">
              <w:r>
                <w:rPr>
                  <w:rFonts w:ascii="Calibri" w:cs="Calibri" w:eastAsia="Calibri" w:hAnsi="Calibri"/>
                  <w:sz w:val="16"/>
                  <w:szCs w:val="16"/>
                  <w:color w:val="0000FF"/>
                </w:rPr>
                <w:t>Form of Ofcer Inducement Award Stock Opton Agreement under 2023</w:t>
              </w:r>
            </w:hyperlink>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10.47</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March 14, 2024</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720" w:type="dxa"/>
            <w:vAlign w:val="bottom"/>
            <w:tcBorders>
              <w:top w:val="single" w:sz="8" w:color="0000FF"/>
            </w:tcBorders>
            <w:gridSpan w:val="25"/>
            <w:vMerge w:val="restart"/>
          </w:tcPr>
          <w:p>
            <w:pPr>
              <w:spacing w:after="0" w:line="142" w:lineRule="exact"/>
              <w:rPr>
                <w:rFonts w:ascii="Calibri" w:cs="Calibri" w:eastAsia="Calibri" w:hAnsi="Calibri"/>
                <w:sz w:val="15"/>
                <w:szCs w:val="15"/>
                <w:color w:val="0000FF"/>
              </w:rPr>
            </w:pPr>
            <w:hyperlink r:id="rId253">
              <w:r>
                <w:rPr>
                  <w:rFonts w:ascii="Calibri" w:cs="Calibri" w:eastAsia="Calibri" w:hAnsi="Calibri"/>
                  <w:sz w:val="15"/>
                  <w:szCs w:val="15"/>
                  <w:color w:val="0000FF"/>
                </w:rPr>
                <w:t>Stock Incentve Plan (Refectng Clawback Policy)</w:t>
              </w:r>
            </w:hyperlink>
          </w:p>
        </w:tc>
        <w:tc>
          <w:tcPr>
            <w:tcW w:w="100" w:type="dxa"/>
            <w:vAlign w:val="bottom"/>
            <w:gridSpan w:val="3"/>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720" w:type="dxa"/>
            <w:vAlign w:val="bottom"/>
            <w:gridSpan w:val="25"/>
            <w:vMerge w:val="continue"/>
          </w:tcPr>
          <w:p>
            <w:pPr>
              <w:spacing w:after="0"/>
              <w:rPr>
                <w:sz w:val="4"/>
                <w:szCs w:val="4"/>
                <w:color w:val="auto"/>
              </w:rPr>
            </w:pPr>
          </w:p>
        </w:tc>
        <w:tc>
          <w:tcPr>
            <w:tcW w:w="100" w:type="dxa"/>
            <w:vAlign w:val="bottom"/>
            <w:gridSpan w:val="3"/>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10.45†</w:t>
            </w:r>
          </w:p>
        </w:tc>
        <w:tc>
          <w:tcPr>
            <w:tcW w:w="20" w:type="dxa"/>
            <w:vAlign w:val="bottom"/>
          </w:tcPr>
          <w:p>
            <w:pPr>
              <w:spacing w:after="0"/>
              <w:rPr>
                <w:sz w:val="24"/>
                <w:szCs w:val="24"/>
                <w:color w:val="auto"/>
              </w:rPr>
            </w:pPr>
          </w:p>
        </w:tc>
        <w:tc>
          <w:tcPr>
            <w:tcW w:w="4820" w:type="dxa"/>
            <w:vAlign w:val="bottom"/>
            <w:gridSpan w:val="28"/>
          </w:tcPr>
          <w:p>
            <w:pPr>
              <w:spacing w:after="0"/>
              <w:rPr>
                <w:rFonts w:ascii="Calibri" w:cs="Calibri" w:eastAsia="Calibri" w:hAnsi="Calibri"/>
                <w:sz w:val="16"/>
                <w:szCs w:val="16"/>
                <w:color w:val="0000FF"/>
              </w:rPr>
            </w:pPr>
            <w:hyperlink r:id="rId254">
              <w:r>
                <w:rPr>
                  <w:rFonts w:ascii="Calibri" w:cs="Calibri" w:eastAsia="Calibri" w:hAnsi="Calibri"/>
                  <w:sz w:val="16"/>
                  <w:szCs w:val="16"/>
                  <w:color w:val="0000FF"/>
                </w:rPr>
                <w:t>Form of Non-Ofcer Inducement Award Stock Opton Agreement under</w:t>
              </w:r>
            </w:hyperlink>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w w:val="98"/>
              </w:rPr>
              <w:t>S-8</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333-284590</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99.2</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January 30, 2025</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680" w:type="dxa"/>
            <w:vAlign w:val="bottom"/>
            <w:tcBorders>
              <w:top w:val="single" w:sz="8" w:color="0000FF"/>
            </w:tcBorders>
            <w:gridSpan w:val="24"/>
            <w:vMerge w:val="restart"/>
          </w:tcPr>
          <w:p>
            <w:pPr>
              <w:spacing w:after="0" w:line="142" w:lineRule="exact"/>
              <w:rPr>
                <w:rFonts w:ascii="Calibri" w:cs="Calibri" w:eastAsia="Calibri" w:hAnsi="Calibri"/>
                <w:sz w:val="15"/>
                <w:szCs w:val="15"/>
                <w:color w:val="0000FF"/>
              </w:rPr>
            </w:pPr>
            <w:hyperlink r:id="rId254">
              <w:r>
                <w:rPr>
                  <w:rFonts w:ascii="Calibri" w:cs="Calibri" w:eastAsia="Calibri" w:hAnsi="Calibri"/>
                  <w:sz w:val="15"/>
                  <w:szCs w:val="15"/>
                  <w:color w:val="0000FF"/>
                </w:rPr>
                <w:t>2023 Stock Incentve Plan</w:t>
              </w:r>
            </w:hyperlink>
          </w:p>
        </w:tc>
        <w:tc>
          <w:tcPr>
            <w:tcW w:w="140" w:type="dxa"/>
            <w:vAlign w:val="bottom"/>
            <w:gridSpan w:val="4"/>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80" w:type="dxa"/>
            <w:vAlign w:val="bottom"/>
            <w:gridSpan w:val="24"/>
            <w:vMerge w:val="continue"/>
          </w:tcPr>
          <w:p>
            <w:pPr>
              <w:spacing w:after="0"/>
              <w:rPr>
                <w:sz w:val="4"/>
                <w:szCs w:val="4"/>
                <w:color w:val="auto"/>
              </w:rPr>
            </w:pPr>
          </w:p>
        </w:tc>
        <w:tc>
          <w:tcPr>
            <w:tcW w:w="140" w:type="dxa"/>
            <w:vAlign w:val="bottom"/>
            <w:gridSpan w:val="4"/>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10.46†</w:t>
            </w:r>
          </w:p>
        </w:tc>
        <w:tc>
          <w:tcPr>
            <w:tcW w:w="20" w:type="dxa"/>
            <w:vAlign w:val="bottom"/>
          </w:tcPr>
          <w:p>
            <w:pPr>
              <w:spacing w:after="0"/>
              <w:rPr>
                <w:sz w:val="24"/>
                <w:szCs w:val="24"/>
                <w:color w:val="auto"/>
              </w:rPr>
            </w:pPr>
          </w:p>
        </w:tc>
        <w:tc>
          <w:tcPr>
            <w:tcW w:w="3560" w:type="dxa"/>
            <w:vAlign w:val="bottom"/>
            <w:tcBorders>
              <w:bottom w:val="single" w:sz="8" w:color="0000FF"/>
            </w:tcBorders>
            <w:gridSpan w:val="12"/>
          </w:tcPr>
          <w:p>
            <w:pPr>
              <w:spacing w:after="0"/>
              <w:rPr>
                <w:rFonts w:ascii="Calibri" w:cs="Calibri" w:eastAsia="Calibri" w:hAnsi="Calibri"/>
                <w:sz w:val="16"/>
                <w:szCs w:val="16"/>
                <w:color w:val="0000FF"/>
              </w:rPr>
            </w:pPr>
            <w:hyperlink r:id="rId255">
              <w:r>
                <w:rPr>
                  <w:rFonts w:ascii="Calibri" w:cs="Calibri" w:eastAsia="Calibri" w:hAnsi="Calibri"/>
                  <w:sz w:val="16"/>
                  <w:szCs w:val="16"/>
                  <w:color w:val="0000FF"/>
                </w:rPr>
                <w:t>Keryx Biopharmaceutcals, Inc. 1999 Stock Opton Plan</w:t>
              </w:r>
            </w:hyperlink>
          </w:p>
        </w:tc>
        <w:tc>
          <w:tcPr>
            <w:tcW w:w="1260" w:type="dxa"/>
            <w:vAlign w:val="bottom"/>
            <w:gridSpan w:val="16"/>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tcPr>
          <w:p>
            <w:pPr>
              <w:jc w:val="center"/>
              <w:spacing w:after="0"/>
              <w:rPr>
                <w:sz w:val="20"/>
                <w:szCs w:val="20"/>
                <w:color w:val="auto"/>
              </w:rPr>
            </w:pPr>
            <w:r>
              <w:rPr>
                <w:rFonts w:ascii="Calibri" w:cs="Calibri" w:eastAsia="Calibri" w:hAnsi="Calibri"/>
                <w:sz w:val="16"/>
                <w:szCs w:val="16"/>
                <w:color w:val="auto"/>
              </w:rPr>
              <w:t>001-30929</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Calibri" w:cs="Calibri" w:eastAsia="Calibri" w:hAnsi="Calibri"/>
                <w:sz w:val="16"/>
                <w:szCs w:val="16"/>
                <w:color w:val="auto"/>
              </w:rPr>
              <w:t>10.2</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Calibri" w:cs="Calibri" w:eastAsia="Calibri" w:hAnsi="Calibri"/>
                <w:sz w:val="16"/>
                <w:szCs w:val="16"/>
                <w:color w:val="auto"/>
              </w:rPr>
              <w:t>March 21, 2003</w:t>
            </w:r>
          </w:p>
        </w:tc>
        <w:tc>
          <w:tcPr>
            <w:tcW w:w="0" w:type="dxa"/>
            <w:vAlign w:val="bottom"/>
          </w:tcPr>
          <w:p>
            <w:pPr>
              <w:spacing w:after="0"/>
              <w:rPr>
                <w:sz w:val="1"/>
                <w:szCs w:val="1"/>
                <w:color w:val="auto"/>
              </w:rPr>
            </w:pPr>
          </w:p>
        </w:tc>
      </w:tr>
      <w:tr>
        <w:trPr>
          <w:trHeight w:val="412"/>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10.47†</w:t>
            </w:r>
          </w:p>
        </w:tc>
        <w:tc>
          <w:tcPr>
            <w:tcW w:w="20" w:type="dxa"/>
            <w:vAlign w:val="bottom"/>
          </w:tcPr>
          <w:p>
            <w:pPr>
              <w:spacing w:after="0"/>
              <w:rPr>
                <w:sz w:val="24"/>
                <w:szCs w:val="24"/>
                <w:color w:val="auto"/>
              </w:rPr>
            </w:pPr>
          </w:p>
        </w:tc>
        <w:tc>
          <w:tcPr>
            <w:tcW w:w="4820" w:type="dxa"/>
            <w:vAlign w:val="bottom"/>
            <w:gridSpan w:val="28"/>
          </w:tcPr>
          <w:p>
            <w:pPr>
              <w:spacing w:after="0"/>
              <w:rPr>
                <w:rFonts w:ascii="Calibri" w:cs="Calibri" w:eastAsia="Calibri" w:hAnsi="Calibri"/>
                <w:sz w:val="16"/>
                <w:szCs w:val="16"/>
                <w:color w:val="0000FF"/>
              </w:rPr>
            </w:pPr>
            <w:hyperlink r:id="rId256">
              <w:r>
                <w:rPr>
                  <w:rFonts w:ascii="Calibri" w:cs="Calibri" w:eastAsia="Calibri" w:hAnsi="Calibri"/>
                  <w:sz w:val="16"/>
                  <w:szCs w:val="16"/>
                  <w:color w:val="0000FF"/>
                </w:rPr>
                <w:t>Keryx Biopharmaceutcals, Inc. 2004 Long-Term Incentve Plan</w:t>
              </w:r>
            </w:hyperlink>
          </w:p>
        </w:tc>
        <w:tc>
          <w:tcPr>
            <w:tcW w:w="1080" w:type="dxa"/>
            <w:vAlign w:val="bottom"/>
            <w:gridSpan w:val="2"/>
          </w:tcPr>
          <w:p>
            <w:pPr>
              <w:jc w:val="center"/>
              <w:ind w:right="100"/>
              <w:spacing w:after="0"/>
              <w:rPr>
                <w:sz w:val="20"/>
                <w:szCs w:val="20"/>
                <w:color w:val="auto"/>
              </w:rPr>
            </w:pPr>
            <w:r>
              <w:rPr>
                <w:rFonts w:ascii="Calibri" w:cs="Calibri" w:eastAsia="Calibri" w:hAnsi="Calibri"/>
                <w:sz w:val="16"/>
                <w:szCs w:val="16"/>
                <w:color w:val="auto"/>
                <w:w w:val="99"/>
              </w:rPr>
              <w:t>DEF 14A</w:t>
            </w:r>
          </w:p>
        </w:tc>
        <w:tc>
          <w:tcPr>
            <w:tcW w:w="1180" w:type="dxa"/>
            <w:vAlign w:val="bottom"/>
          </w:tcPr>
          <w:p>
            <w:pPr>
              <w:jc w:val="center"/>
              <w:spacing w:after="0"/>
              <w:rPr>
                <w:sz w:val="20"/>
                <w:szCs w:val="20"/>
                <w:color w:val="auto"/>
              </w:rPr>
            </w:pPr>
            <w:r>
              <w:rPr>
                <w:rFonts w:ascii="Calibri" w:cs="Calibri" w:eastAsia="Calibri" w:hAnsi="Calibri"/>
                <w:sz w:val="16"/>
                <w:szCs w:val="16"/>
                <w:color w:val="auto"/>
              </w:rPr>
              <w:t>000-30929</w:t>
            </w:r>
          </w:p>
        </w:tc>
        <w:tc>
          <w:tcPr>
            <w:tcW w:w="80" w:type="dxa"/>
            <w:vAlign w:val="bottom"/>
          </w:tcPr>
          <w:p>
            <w:pPr>
              <w:spacing w:after="0"/>
              <w:rPr>
                <w:sz w:val="24"/>
                <w:szCs w:val="24"/>
                <w:color w:val="auto"/>
              </w:rPr>
            </w:pPr>
          </w:p>
        </w:tc>
        <w:tc>
          <w:tcPr>
            <w:tcW w:w="1000" w:type="dxa"/>
            <w:vAlign w:val="bottom"/>
            <w:gridSpan w:val="2"/>
          </w:tcPr>
          <w:p>
            <w:pPr>
              <w:jc w:val="center"/>
              <w:ind w:right="100"/>
              <w:spacing w:after="0"/>
              <w:rPr>
                <w:sz w:val="20"/>
                <w:szCs w:val="20"/>
                <w:color w:val="auto"/>
              </w:rPr>
            </w:pPr>
            <w:r>
              <w:rPr>
                <w:rFonts w:ascii="Calibri" w:cs="Calibri" w:eastAsia="Calibri" w:hAnsi="Calibri"/>
                <w:sz w:val="16"/>
                <w:szCs w:val="16"/>
                <w:color w:val="auto"/>
              </w:rPr>
              <w:t>Annex C</w:t>
            </w:r>
          </w:p>
        </w:tc>
        <w:tc>
          <w:tcPr>
            <w:tcW w:w="1580" w:type="dxa"/>
            <w:vAlign w:val="bottom"/>
          </w:tcPr>
          <w:p>
            <w:pPr>
              <w:jc w:val="center"/>
              <w:spacing w:after="0"/>
              <w:rPr>
                <w:sz w:val="20"/>
                <w:szCs w:val="20"/>
                <w:color w:val="auto"/>
              </w:rPr>
            </w:pPr>
            <w:r>
              <w:rPr>
                <w:rFonts w:ascii="Calibri" w:cs="Calibri" w:eastAsia="Calibri" w:hAnsi="Calibri"/>
                <w:sz w:val="16"/>
                <w:szCs w:val="16"/>
                <w:color w:val="auto"/>
              </w:rPr>
              <w:t>April 29, 2004</w:t>
            </w: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10.48†</w:t>
            </w:r>
          </w:p>
        </w:tc>
        <w:tc>
          <w:tcPr>
            <w:tcW w:w="20" w:type="dxa"/>
            <w:vAlign w:val="bottom"/>
          </w:tcPr>
          <w:p>
            <w:pPr>
              <w:spacing w:after="0"/>
              <w:rPr>
                <w:sz w:val="24"/>
                <w:szCs w:val="24"/>
                <w:color w:val="auto"/>
              </w:rPr>
            </w:pPr>
          </w:p>
        </w:tc>
        <w:tc>
          <w:tcPr>
            <w:tcW w:w="4820" w:type="dxa"/>
            <w:vAlign w:val="bottom"/>
            <w:gridSpan w:val="28"/>
          </w:tcPr>
          <w:p>
            <w:pPr>
              <w:spacing w:after="0"/>
              <w:rPr>
                <w:rFonts w:ascii="Calibri" w:cs="Calibri" w:eastAsia="Calibri" w:hAnsi="Calibri"/>
                <w:sz w:val="16"/>
                <w:szCs w:val="16"/>
                <w:color w:val="0000FF"/>
              </w:rPr>
            </w:pPr>
            <w:hyperlink r:id="rId257">
              <w:r>
                <w:rPr>
                  <w:rFonts w:ascii="Calibri" w:cs="Calibri" w:eastAsia="Calibri" w:hAnsi="Calibri"/>
                  <w:sz w:val="16"/>
                  <w:szCs w:val="16"/>
                  <w:color w:val="0000FF"/>
                </w:rPr>
                <w:t>Amendment to the Keryx Biopharmaceutcals, Inc. 2004 Long-Term</w:t>
              </w:r>
            </w:hyperlink>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000-30929</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10.1</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August 9, 2006</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380" w:type="dxa"/>
            <w:vAlign w:val="bottom"/>
            <w:tcBorders>
              <w:top w:val="single" w:sz="8" w:color="0000FF"/>
            </w:tcBorders>
            <w:gridSpan w:val="17"/>
            <w:vMerge w:val="restart"/>
          </w:tcPr>
          <w:p>
            <w:pPr>
              <w:spacing w:after="0" w:line="142" w:lineRule="exact"/>
              <w:rPr>
                <w:rFonts w:ascii="Calibri" w:cs="Calibri" w:eastAsia="Calibri" w:hAnsi="Calibri"/>
                <w:sz w:val="15"/>
                <w:szCs w:val="15"/>
                <w:color w:val="0000FF"/>
              </w:rPr>
            </w:pPr>
            <w:hyperlink r:id="rId257">
              <w:r>
                <w:rPr>
                  <w:rFonts w:ascii="Calibri" w:cs="Calibri" w:eastAsia="Calibri" w:hAnsi="Calibri"/>
                  <w:sz w:val="15"/>
                  <w:szCs w:val="15"/>
                  <w:color w:val="0000FF"/>
                </w:rPr>
                <w:t>Incentve Plan dated April 11, 2006</w:t>
              </w:r>
            </w:hyperlink>
          </w:p>
        </w:tc>
        <w:tc>
          <w:tcPr>
            <w:tcW w:w="440" w:type="dxa"/>
            <w:vAlign w:val="bottom"/>
            <w:gridSpan w:val="11"/>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380" w:type="dxa"/>
            <w:vAlign w:val="bottom"/>
            <w:gridSpan w:val="17"/>
            <w:vMerge w:val="continue"/>
          </w:tcPr>
          <w:p>
            <w:pPr>
              <w:spacing w:after="0"/>
              <w:rPr>
                <w:sz w:val="4"/>
                <w:szCs w:val="4"/>
                <w:color w:val="auto"/>
              </w:rPr>
            </w:pPr>
          </w:p>
        </w:tc>
        <w:tc>
          <w:tcPr>
            <w:tcW w:w="440" w:type="dxa"/>
            <w:vAlign w:val="bottom"/>
            <w:gridSpan w:val="11"/>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10.49†</w:t>
            </w:r>
          </w:p>
        </w:tc>
        <w:tc>
          <w:tcPr>
            <w:tcW w:w="20" w:type="dxa"/>
            <w:vAlign w:val="bottom"/>
          </w:tcPr>
          <w:p>
            <w:pPr>
              <w:spacing w:after="0"/>
              <w:rPr>
                <w:sz w:val="24"/>
                <w:szCs w:val="24"/>
                <w:color w:val="auto"/>
              </w:rPr>
            </w:pPr>
          </w:p>
        </w:tc>
        <w:tc>
          <w:tcPr>
            <w:tcW w:w="3320" w:type="dxa"/>
            <w:vAlign w:val="bottom"/>
            <w:tcBorders>
              <w:bottom w:val="single" w:sz="8" w:color="0000FF"/>
            </w:tcBorders>
            <w:gridSpan w:val="11"/>
          </w:tcPr>
          <w:p>
            <w:pPr>
              <w:spacing w:after="0"/>
              <w:rPr>
                <w:rFonts w:ascii="Calibri" w:cs="Calibri" w:eastAsia="Calibri" w:hAnsi="Calibri"/>
                <w:sz w:val="16"/>
                <w:szCs w:val="16"/>
                <w:color w:val="0000FF"/>
              </w:rPr>
            </w:pPr>
            <w:hyperlink r:id="rId258">
              <w:r>
                <w:rPr>
                  <w:rFonts w:ascii="Calibri" w:cs="Calibri" w:eastAsia="Calibri" w:hAnsi="Calibri"/>
                  <w:sz w:val="16"/>
                  <w:szCs w:val="16"/>
                  <w:color w:val="0000FF"/>
                </w:rPr>
                <w:t>Keryx Biopharmaceutcals, Inc. 2007 Incentve Plan</w:t>
              </w:r>
            </w:hyperlink>
          </w:p>
        </w:tc>
        <w:tc>
          <w:tcPr>
            <w:tcW w:w="1500" w:type="dxa"/>
            <w:vAlign w:val="bottom"/>
            <w:gridSpan w:val="17"/>
          </w:tcPr>
          <w:p>
            <w:pPr>
              <w:spacing w:after="0"/>
              <w:rPr>
                <w:sz w:val="24"/>
                <w:szCs w:val="24"/>
                <w:color w:val="auto"/>
              </w:rPr>
            </w:pPr>
          </w:p>
        </w:tc>
        <w:tc>
          <w:tcPr>
            <w:tcW w:w="1080" w:type="dxa"/>
            <w:vAlign w:val="bottom"/>
            <w:gridSpan w:val="2"/>
          </w:tcPr>
          <w:p>
            <w:pPr>
              <w:jc w:val="center"/>
              <w:ind w:right="100"/>
              <w:spacing w:after="0"/>
              <w:rPr>
                <w:sz w:val="20"/>
                <w:szCs w:val="20"/>
                <w:color w:val="auto"/>
              </w:rPr>
            </w:pPr>
            <w:r>
              <w:rPr>
                <w:rFonts w:ascii="Calibri" w:cs="Calibri" w:eastAsia="Calibri" w:hAnsi="Calibri"/>
                <w:sz w:val="16"/>
                <w:szCs w:val="16"/>
                <w:color w:val="auto"/>
                <w:w w:val="99"/>
              </w:rPr>
              <w:t>DEF 14A</w:t>
            </w:r>
          </w:p>
        </w:tc>
        <w:tc>
          <w:tcPr>
            <w:tcW w:w="1180" w:type="dxa"/>
            <w:vAlign w:val="bottom"/>
          </w:tcPr>
          <w:p>
            <w:pPr>
              <w:jc w:val="center"/>
              <w:spacing w:after="0"/>
              <w:rPr>
                <w:sz w:val="20"/>
                <w:szCs w:val="20"/>
                <w:color w:val="auto"/>
              </w:rPr>
            </w:pPr>
            <w:r>
              <w:rPr>
                <w:rFonts w:ascii="Calibri" w:cs="Calibri" w:eastAsia="Calibri" w:hAnsi="Calibri"/>
                <w:sz w:val="16"/>
                <w:szCs w:val="16"/>
                <w:color w:val="auto"/>
              </w:rPr>
              <w:t>000-30929</w:t>
            </w:r>
          </w:p>
        </w:tc>
        <w:tc>
          <w:tcPr>
            <w:tcW w:w="80" w:type="dxa"/>
            <w:vAlign w:val="bottom"/>
          </w:tcPr>
          <w:p>
            <w:pPr>
              <w:spacing w:after="0"/>
              <w:rPr>
                <w:sz w:val="24"/>
                <w:szCs w:val="24"/>
                <w:color w:val="auto"/>
              </w:rPr>
            </w:pPr>
          </w:p>
        </w:tc>
        <w:tc>
          <w:tcPr>
            <w:tcW w:w="1000" w:type="dxa"/>
            <w:vAlign w:val="bottom"/>
            <w:gridSpan w:val="2"/>
          </w:tcPr>
          <w:p>
            <w:pPr>
              <w:jc w:val="center"/>
              <w:ind w:right="100"/>
              <w:spacing w:after="0"/>
              <w:rPr>
                <w:sz w:val="20"/>
                <w:szCs w:val="20"/>
                <w:color w:val="auto"/>
              </w:rPr>
            </w:pPr>
            <w:r>
              <w:rPr>
                <w:rFonts w:ascii="Calibri" w:cs="Calibri" w:eastAsia="Calibri" w:hAnsi="Calibri"/>
                <w:sz w:val="16"/>
                <w:szCs w:val="16"/>
                <w:color w:val="auto"/>
                <w:w w:val="99"/>
              </w:rPr>
              <w:t>Annex D</w:t>
            </w:r>
          </w:p>
        </w:tc>
        <w:tc>
          <w:tcPr>
            <w:tcW w:w="1580" w:type="dxa"/>
            <w:vAlign w:val="bottom"/>
          </w:tcPr>
          <w:p>
            <w:pPr>
              <w:jc w:val="center"/>
              <w:spacing w:after="0"/>
              <w:rPr>
                <w:sz w:val="20"/>
                <w:szCs w:val="20"/>
                <w:color w:val="auto"/>
              </w:rPr>
            </w:pPr>
            <w:r>
              <w:rPr>
                <w:rFonts w:ascii="Calibri" w:cs="Calibri" w:eastAsia="Calibri" w:hAnsi="Calibri"/>
                <w:sz w:val="16"/>
                <w:szCs w:val="16"/>
                <w:color w:val="auto"/>
              </w:rPr>
              <w:t>April 30, 2007</w:t>
            </w:r>
          </w:p>
        </w:tc>
        <w:tc>
          <w:tcPr>
            <w:tcW w:w="0" w:type="dxa"/>
            <w:vAlign w:val="bottom"/>
          </w:tcPr>
          <w:p>
            <w:pPr>
              <w:spacing w:after="0"/>
              <w:rPr>
                <w:sz w:val="1"/>
                <w:szCs w:val="1"/>
                <w:color w:val="auto"/>
              </w:rPr>
            </w:pPr>
          </w:p>
        </w:tc>
      </w:tr>
      <w:tr>
        <w:trPr>
          <w:trHeight w:val="412"/>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10.50†</w:t>
            </w:r>
          </w:p>
        </w:tc>
        <w:tc>
          <w:tcPr>
            <w:tcW w:w="20" w:type="dxa"/>
            <w:vAlign w:val="bottom"/>
          </w:tcPr>
          <w:p>
            <w:pPr>
              <w:spacing w:after="0"/>
              <w:rPr>
                <w:sz w:val="24"/>
                <w:szCs w:val="24"/>
                <w:color w:val="auto"/>
              </w:rPr>
            </w:pPr>
          </w:p>
        </w:tc>
        <w:tc>
          <w:tcPr>
            <w:tcW w:w="4820" w:type="dxa"/>
            <w:vAlign w:val="bottom"/>
            <w:gridSpan w:val="28"/>
          </w:tcPr>
          <w:p>
            <w:pPr>
              <w:spacing w:after="0"/>
              <w:rPr>
                <w:rFonts w:ascii="Calibri" w:cs="Calibri" w:eastAsia="Calibri" w:hAnsi="Calibri"/>
                <w:sz w:val="16"/>
                <w:szCs w:val="16"/>
                <w:color w:val="0000FF"/>
              </w:rPr>
            </w:pPr>
            <w:hyperlink r:id="rId259">
              <w:r>
                <w:rPr>
                  <w:rFonts w:ascii="Calibri" w:cs="Calibri" w:eastAsia="Calibri" w:hAnsi="Calibri"/>
                  <w:sz w:val="16"/>
                  <w:szCs w:val="16"/>
                  <w:color w:val="0000FF"/>
                </w:rPr>
                <w:t>Keryx Biopharmaceutcals, Inc. Amended and Restated 2013 Incentve</w:t>
              </w:r>
            </w:hyperlink>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8-K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000-30929</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10.1</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May 27, 2016</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Borders>
              <w:top w:val="single" w:sz="8" w:color="0000FF"/>
            </w:tcBorders>
            <w:vMerge w:val="restart"/>
          </w:tcPr>
          <w:p>
            <w:pPr>
              <w:spacing w:after="0" w:line="142" w:lineRule="exact"/>
              <w:rPr>
                <w:rFonts w:ascii="Calibri" w:cs="Calibri" w:eastAsia="Calibri" w:hAnsi="Calibri"/>
                <w:sz w:val="15"/>
                <w:szCs w:val="15"/>
                <w:color w:val="0000FF"/>
                <w:w w:val="98"/>
              </w:rPr>
            </w:pPr>
            <w:hyperlink r:id="rId259">
              <w:r>
                <w:rPr>
                  <w:rFonts w:ascii="Calibri" w:cs="Calibri" w:eastAsia="Calibri" w:hAnsi="Calibri"/>
                  <w:sz w:val="15"/>
                  <w:szCs w:val="15"/>
                  <w:color w:val="0000FF"/>
                  <w:w w:val="98"/>
                </w:rPr>
                <w:t>Plan</w:t>
              </w:r>
            </w:hyperlink>
          </w:p>
        </w:tc>
        <w:tc>
          <w:tcPr>
            <w:tcW w:w="4280" w:type="dxa"/>
            <w:vAlign w:val="bottom"/>
            <w:tcBorders>
              <w:top w:val="single" w:sz="8" w:color="0000FF"/>
            </w:tcBorders>
            <w:gridSpan w:val="20"/>
            <w:vMerge w:val="restart"/>
          </w:tcPr>
          <w:p>
            <w:pPr>
              <w:spacing w:after="0"/>
              <w:rPr>
                <w:sz w:val="7"/>
                <w:szCs w:val="7"/>
                <w:color w:val="auto"/>
              </w:rPr>
            </w:pPr>
          </w:p>
        </w:tc>
        <w:tc>
          <w:tcPr>
            <w:tcW w:w="260" w:type="dxa"/>
            <w:vAlign w:val="bottom"/>
            <w:gridSpan w:val="7"/>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Borders>
              <w:bottom w:val="single" w:sz="8" w:color="0000FF"/>
            </w:tcBorders>
            <w:vMerge w:val="continue"/>
          </w:tcPr>
          <w:p>
            <w:pPr>
              <w:spacing w:after="0"/>
              <w:rPr>
                <w:sz w:val="4"/>
                <w:szCs w:val="4"/>
                <w:color w:val="auto"/>
              </w:rPr>
            </w:pPr>
          </w:p>
        </w:tc>
        <w:tc>
          <w:tcPr>
            <w:tcW w:w="4280" w:type="dxa"/>
            <w:vAlign w:val="bottom"/>
            <w:gridSpan w:val="20"/>
            <w:vMerge w:val="continue"/>
          </w:tcPr>
          <w:p>
            <w:pPr>
              <w:spacing w:after="0"/>
              <w:rPr>
                <w:sz w:val="4"/>
                <w:szCs w:val="4"/>
                <w:color w:val="auto"/>
              </w:rPr>
            </w:pPr>
          </w:p>
        </w:tc>
        <w:tc>
          <w:tcPr>
            <w:tcW w:w="260" w:type="dxa"/>
            <w:vAlign w:val="bottom"/>
            <w:gridSpan w:val="7"/>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10.51†</w:t>
            </w:r>
          </w:p>
        </w:tc>
        <w:tc>
          <w:tcPr>
            <w:tcW w:w="20" w:type="dxa"/>
            <w:vAlign w:val="bottom"/>
          </w:tcPr>
          <w:p>
            <w:pPr>
              <w:spacing w:after="0"/>
              <w:rPr>
                <w:sz w:val="24"/>
                <w:szCs w:val="24"/>
                <w:color w:val="auto"/>
              </w:rPr>
            </w:pPr>
          </w:p>
        </w:tc>
        <w:tc>
          <w:tcPr>
            <w:tcW w:w="4820" w:type="dxa"/>
            <w:vAlign w:val="bottom"/>
            <w:gridSpan w:val="28"/>
          </w:tcPr>
          <w:p>
            <w:pPr>
              <w:spacing w:after="0"/>
              <w:rPr>
                <w:rFonts w:ascii="Calibri" w:cs="Calibri" w:eastAsia="Calibri" w:hAnsi="Calibri"/>
                <w:sz w:val="16"/>
                <w:szCs w:val="16"/>
                <w:color w:val="0000FF"/>
              </w:rPr>
            </w:pPr>
            <w:hyperlink r:id="rId260">
              <w:r>
                <w:rPr>
                  <w:rFonts w:ascii="Calibri" w:cs="Calibri" w:eastAsia="Calibri" w:hAnsi="Calibri"/>
                  <w:sz w:val="16"/>
                  <w:szCs w:val="16"/>
                  <w:color w:val="0000FF"/>
                </w:rPr>
                <w:t>Keryx Biopharmaceutcals, Inc. 2018 Equity Incentve Plan</w:t>
              </w:r>
            </w:hyperlink>
          </w:p>
        </w:tc>
        <w:tc>
          <w:tcPr>
            <w:tcW w:w="1080" w:type="dxa"/>
            <w:vAlign w:val="bottom"/>
            <w:gridSpan w:val="2"/>
          </w:tcPr>
          <w:p>
            <w:pPr>
              <w:jc w:val="center"/>
              <w:ind w:right="120"/>
              <w:spacing w:after="0"/>
              <w:rPr>
                <w:sz w:val="20"/>
                <w:szCs w:val="20"/>
                <w:color w:val="auto"/>
              </w:rPr>
            </w:pPr>
            <w:r>
              <w:rPr>
                <w:rFonts w:ascii="Calibri" w:cs="Calibri" w:eastAsia="Calibri" w:hAnsi="Calibri"/>
                <w:sz w:val="16"/>
                <w:szCs w:val="16"/>
                <w:color w:val="auto"/>
                <w:w w:val="98"/>
              </w:rPr>
              <w:t>S-8</w:t>
            </w:r>
          </w:p>
        </w:tc>
        <w:tc>
          <w:tcPr>
            <w:tcW w:w="1180" w:type="dxa"/>
            <w:vAlign w:val="bottom"/>
          </w:tcPr>
          <w:p>
            <w:pPr>
              <w:jc w:val="center"/>
              <w:spacing w:after="0"/>
              <w:rPr>
                <w:sz w:val="20"/>
                <w:szCs w:val="20"/>
                <w:color w:val="auto"/>
              </w:rPr>
            </w:pPr>
            <w:r>
              <w:rPr>
                <w:rFonts w:ascii="Calibri" w:cs="Calibri" w:eastAsia="Calibri" w:hAnsi="Calibri"/>
                <w:sz w:val="16"/>
                <w:szCs w:val="16"/>
                <w:color w:val="auto"/>
              </w:rPr>
              <w:t>333-226005</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Calibri" w:cs="Calibri" w:eastAsia="Calibri" w:hAnsi="Calibri"/>
                <w:sz w:val="16"/>
                <w:szCs w:val="16"/>
                <w:color w:val="auto"/>
              </w:rPr>
              <w:t>99.1</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Calibri" w:cs="Calibri" w:eastAsia="Calibri" w:hAnsi="Calibri"/>
                <w:sz w:val="16"/>
                <w:szCs w:val="16"/>
                <w:color w:val="auto"/>
              </w:rPr>
              <w:t>June 29, 2018</w:t>
            </w: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5"/>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gridSpan w:val="5"/>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10.52†</w:t>
            </w:r>
          </w:p>
        </w:tc>
        <w:tc>
          <w:tcPr>
            <w:tcW w:w="20" w:type="dxa"/>
            <w:vAlign w:val="bottom"/>
          </w:tcPr>
          <w:p>
            <w:pPr>
              <w:spacing w:after="0"/>
              <w:rPr>
                <w:sz w:val="24"/>
                <w:szCs w:val="24"/>
                <w:color w:val="auto"/>
              </w:rPr>
            </w:pPr>
          </w:p>
        </w:tc>
        <w:tc>
          <w:tcPr>
            <w:tcW w:w="4740" w:type="dxa"/>
            <w:vAlign w:val="bottom"/>
            <w:tcBorders>
              <w:bottom w:val="single" w:sz="8" w:color="0000FF"/>
            </w:tcBorders>
            <w:gridSpan w:val="26"/>
          </w:tcPr>
          <w:p>
            <w:pPr>
              <w:spacing w:after="0"/>
              <w:rPr>
                <w:rFonts w:ascii="Calibri" w:cs="Calibri" w:eastAsia="Calibri" w:hAnsi="Calibri"/>
                <w:sz w:val="16"/>
                <w:szCs w:val="16"/>
                <w:color w:val="0000FF"/>
              </w:rPr>
            </w:pPr>
            <w:hyperlink r:id="rId261">
              <w:r>
                <w:rPr>
                  <w:rFonts w:ascii="Calibri" w:cs="Calibri" w:eastAsia="Calibri" w:hAnsi="Calibri"/>
                  <w:sz w:val="16"/>
                  <w:szCs w:val="16"/>
                  <w:color w:val="0000FF"/>
                </w:rPr>
                <w:t>Form of Indemnifcaton Agreement between Keryx Biopharmaceutcals,</w:t>
              </w:r>
            </w:hyperlink>
          </w:p>
        </w:tc>
        <w:tc>
          <w:tcPr>
            <w:tcW w:w="80" w:type="dxa"/>
            <w:vAlign w:val="bottom"/>
            <w:gridSpan w:val="2"/>
          </w:tcPr>
          <w:p>
            <w:pPr>
              <w:spacing w:after="0"/>
              <w:rPr>
                <w:sz w:val="24"/>
                <w:szCs w:val="24"/>
                <w:color w:val="auto"/>
              </w:rPr>
            </w:pPr>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000-30929</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10.1</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November 9, 2016</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2160" w:type="dxa"/>
            <w:vAlign w:val="bottom"/>
            <w:gridSpan w:val="7"/>
            <w:vMerge w:val="restart"/>
          </w:tcPr>
          <w:p>
            <w:pPr>
              <w:spacing w:after="0" w:line="142" w:lineRule="exact"/>
              <w:rPr>
                <w:rFonts w:ascii="Calibri" w:cs="Calibri" w:eastAsia="Calibri" w:hAnsi="Calibri"/>
                <w:sz w:val="15"/>
                <w:szCs w:val="15"/>
                <w:color w:val="0000FF"/>
              </w:rPr>
            </w:pPr>
            <w:hyperlink r:id="rId261">
              <w:r>
                <w:rPr>
                  <w:rFonts w:ascii="Calibri" w:cs="Calibri" w:eastAsia="Calibri" w:hAnsi="Calibri"/>
                  <w:sz w:val="15"/>
                  <w:szCs w:val="15"/>
                  <w:color w:val="0000FF"/>
                </w:rPr>
                <w:t>Inc. and its Directors and Ofcers</w:t>
              </w:r>
            </w:hyperlink>
          </w:p>
        </w:tc>
        <w:tc>
          <w:tcPr>
            <w:tcW w:w="2660" w:type="dxa"/>
            <w:vAlign w:val="bottom"/>
            <w:gridSpan w:val="21"/>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160" w:type="dxa"/>
            <w:vAlign w:val="bottom"/>
            <w:tcBorders>
              <w:bottom w:val="single" w:sz="8" w:color="0000FF"/>
            </w:tcBorders>
            <w:gridSpan w:val="7"/>
            <w:vMerge w:val="continue"/>
          </w:tcPr>
          <w:p>
            <w:pPr>
              <w:spacing w:after="0"/>
              <w:rPr>
                <w:sz w:val="4"/>
                <w:szCs w:val="4"/>
                <w:color w:val="auto"/>
              </w:rPr>
            </w:pPr>
          </w:p>
        </w:tc>
        <w:tc>
          <w:tcPr>
            <w:tcW w:w="2660" w:type="dxa"/>
            <w:vAlign w:val="bottom"/>
            <w:gridSpan w:val="21"/>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10.53†</w:t>
            </w:r>
          </w:p>
        </w:tc>
        <w:tc>
          <w:tcPr>
            <w:tcW w:w="20" w:type="dxa"/>
            <w:vAlign w:val="bottom"/>
          </w:tcPr>
          <w:p>
            <w:pPr>
              <w:spacing w:after="0"/>
              <w:rPr>
                <w:sz w:val="24"/>
                <w:szCs w:val="24"/>
                <w:color w:val="auto"/>
              </w:rPr>
            </w:pPr>
          </w:p>
        </w:tc>
        <w:tc>
          <w:tcPr>
            <w:tcW w:w="4620" w:type="dxa"/>
            <w:vAlign w:val="bottom"/>
            <w:tcBorders>
              <w:bottom w:val="single" w:sz="8" w:color="0000FF"/>
            </w:tcBorders>
            <w:gridSpan w:val="23"/>
          </w:tcPr>
          <w:p>
            <w:pPr>
              <w:spacing w:after="0"/>
              <w:rPr>
                <w:rFonts w:ascii="Calibri" w:cs="Calibri" w:eastAsia="Calibri" w:hAnsi="Calibri"/>
                <w:sz w:val="16"/>
                <w:szCs w:val="16"/>
                <w:color w:val="0000FF"/>
              </w:rPr>
            </w:pPr>
            <w:hyperlink r:id="rId262">
              <w:r>
                <w:rPr>
                  <w:rFonts w:ascii="Calibri" w:cs="Calibri" w:eastAsia="Calibri" w:hAnsi="Calibri"/>
                  <w:sz w:val="16"/>
                  <w:szCs w:val="16"/>
                  <w:color w:val="0000FF"/>
                </w:rPr>
                <w:t>Form of Employee Agreement (Confdentality, Non-Competton, Non-</w:t>
              </w:r>
            </w:hyperlink>
          </w:p>
        </w:tc>
        <w:tc>
          <w:tcPr>
            <w:tcW w:w="200" w:type="dxa"/>
            <w:vAlign w:val="bottom"/>
            <w:gridSpan w:val="5"/>
          </w:tcPr>
          <w:p>
            <w:pPr>
              <w:spacing w:after="0"/>
              <w:rPr>
                <w:sz w:val="24"/>
                <w:szCs w:val="24"/>
                <w:color w:val="auto"/>
              </w:rPr>
            </w:pPr>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10.56</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March 26, 2019</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20" w:type="dxa"/>
            <w:vAlign w:val="bottom"/>
            <w:gridSpan w:val="28"/>
            <w:vMerge w:val="restart"/>
          </w:tcPr>
          <w:p>
            <w:pPr>
              <w:spacing w:after="0" w:line="142" w:lineRule="exact"/>
              <w:rPr>
                <w:rFonts w:ascii="Calibri" w:cs="Calibri" w:eastAsia="Calibri" w:hAnsi="Calibri"/>
                <w:sz w:val="15"/>
                <w:szCs w:val="15"/>
                <w:color w:val="0000FF"/>
              </w:rPr>
            </w:pPr>
            <w:hyperlink r:id="rId262">
              <w:r>
                <w:rPr>
                  <w:rFonts w:ascii="Calibri" w:cs="Calibri" w:eastAsia="Calibri" w:hAnsi="Calibri"/>
                  <w:sz w:val="15"/>
                  <w:szCs w:val="15"/>
                  <w:color w:val="0000FF"/>
                </w:rPr>
                <w:t>Solicitaton and Development Agreement) applicable to Ofcers</w:t>
              </w:r>
            </w:hyperlink>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820" w:type="dxa"/>
            <w:vAlign w:val="bottom"/>
            <w:gridSpan w:val="28"/>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5"/>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880" w:type="dxa"/>
            <w:vAlign w:val="bottom"/>
            <w:tcBorders>
              <w:left w:val="single" w:sz="8" w:color="0000FF"/>
            </w:tcBorders>
            <w:gridSpan w:val="7"/>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60" w:type="dxa"/>
            <w:vAlign w:val="bottom"/>
            <w:gridSpan w:val="2"/>
          </w:tcPr>
          <w:p>
            <w:pPr>
              <w:ind w:left="140"/>
              <w:spacing w:after="0"/>
              <w:rPr>
                <w:sz w:val="20"/>
                <w:szCs w:val="20"/>
                <w:color w:val="auto"/>
              </w:rPr>
            </w:pPr>
            <w:r>
              <w:rPr>
                <w:rFonts w:ascii="Calibri" w:cs="Calibri" w:eastAsia="Calibri" w:hAnsi="Calibri"/>
                <w:sz w:val="16"/>
                <w:szCs w:val="16"/>
                <w:color w:val="auto"/>
              </w:rPr>
              <w:t>10.54†</w:t>
            </w:r>
          </w:p>
        </w:tc>
        <w:tc>
          <w:tcPr>
            <w:tcW w:w="20" w:type="dxa"/>
            <w:vAlign w:val="bottom"/>
          </w:tcPr>
          <w:p>
            <w:pPr>
              <w:spacing w:after="0"/>
              <w:rPr>
                <w:sz w:val="24"/>
                <w:szCs w:val="24"/>
                <w:color w:val="auto"/>
              </w:rPr>
            </w:pPr>
          </w:p>
        </w:tc>
        <w:tc>
          <w:tcPr>
            <w:tcW w:w="4680" w:type="dxa"/>
            <w:vAlign w:val="bottom"/>
            <w:tcBorders>
              <w:bottom w:val="single" w:sz="8" w:color="0000FF"/>
            </w:tcBorders>
            <w:gridSpan w:val="24"/>
          </w:tcPr>
          <w:p>
            <w:pPr>
              <w:spacing w:after="0"/>
              <w:rPr>
                <w:rFonts w:ascii="Calibri" w:cs="Calibri" w:eastAsia="Calibri" w:hAnsi="Calibri"/>
                <w:sz w:val="16"/>
                <w:szCs w:val="16"/>
                <w:color w:val="0000FF"/>
              </w:rPr>
            </w:pPr>
            <w:hyperlink r:id="rId263">
              <w:r>
                <w:rPr>
                  <w:rFonts w:ascii="Calibri" w:cs="Calibri" w:eastAsia="Calibri" w:hAnsi="Calibri"/>
                  <w:sz w:val="16"/>
                  <w:szCs w:val="16"/>
                  <w:color w:val="0000FF"/>
                </w:rPr>
                <w:t>Keryx Biopharmaceutcals, Inc. Fourth Amended and Restated Directors</w:t>
              </w:r>
            </w:hyperlink>
          </w:p>
        </w:tc>
        <w:tc>
          <w:tcPr>
            <w:tcW w:w="140" w:type="dxa"/>
            <w:vAlign w:val="bottom"/>
            <w:gridSpan w:val="4"/>
          </w:tcPr>
          <w:p>
            <w:pPr>
              <w:spacing w:after="0"/>
              <w:rPr>
                <w:sz w:val="24"/>
                <w:szCs w:val="24"/>
                <w:color w:val="auto"/>
              </w:rPr>
            </w:pPr>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8-K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000-30929</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10.2</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May 27, 2016</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720" w:type="dxa"/>
            <w:vAlign w:val="bottom"/>
            <w:gridSpan w:val="5"/>
            <w:vMerge w:val="restart"/>
          </w:tcPr>
          <w:p>
            <w:pPr>
              <w:spacing w:after="0" w:line="142" w:lineRule="exact"/>
              <w:rPr>
                <w:rFonts w:ascii="Calibri" w:cs="Calibri" w:eastAsia="Calibri" w:hAnsi="Calibri"/>
                <w:sz w:val="15"/>
                <w:szCs w:val="15"/>
                <w:color w:val="0000FF"/>
              </w:rPr>
            </w:pPr>
            <w:hyperlink r:id="rId263">
              <w:r>
                <w:rPr>
                  <w:rFonts w:ascii="Calibri" w:cs="Calibri" w:eastAsia="Calibri" w:hAnsi="Calibri"/>
                  <w:sz w:val="15"/>
                  <w:szCs w:val="15"/>
                  <w:color w:val="0000FF"/>
                </w:rPr>
                <w:t>Equity Compensaton Plan</w:t>
              </w:r>
            </w:hyperlink>
          </w:p>
        </w:tc>
        <w:tc>
          <w:tcPr>
            <w:tcW w:w="3100" w:type="dxa"/>
            <w:vAlign w:val="bottom"/>
            <w:gridSpan w:val="23"/>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720" w:type="dxa"/>
            <w:vAlign w:val="bottom"/>
            <w:tcBorders>
              <w:bottom w:val="single" w:sz="8" w:color="0000FF"/>
            </w:tcBorders>
            <w:gridSpan w:val="5"/>
            <w:vMerge w:val="continue"/>
          </w:tcPr>
          <w:p>
            <w:pPr>
              <w:spacing w:after="0"/>
              <w:rPr>
                <w:sz w:val="4"/>
                <w:szCs w:val="4"/>
                <w:color w:val="auto"/>
              </w:rPr>
            </w:pPr>
          </w:p>
        </w:tc>
        <w:tc>
          <w:tcPr>
            <w:tcW w:w="3100" w:type="dxa"/>
            <w:vAlign w:val="bottom"/>
            <w:gridSpan w:val="23"/>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1460" w:type="dxa"/>
            <w:vAlign w:val="bottom"/>
            <w:gridSpan w:val="2"/>
          </w:tcPr>
          <w:p>
            <w:pPr>
              <w:ind w:left="140"/>
              <w:spacing w:after="0"/>
              <w:rPr>
                <w:sz w:val="20"/>
                <w:szCs w:val="20"/>
                <w:color w:val="auto"/>
              </w:rPr>
            </w:pPr>
            <w:r>
              <w:rPr>
                <w:rFonts w:ascii="Calibri" w:cs="Calibri" w:eastAsia="Calibri" w:hAnsi="Calibri"/>
                <w:sz w:val="16"/>
                <w:szCs w:val="16"/>
                <w:color w:val="auto"/>
              </w:rPr>
              <w:t>10.55†</w:t>
            </w:r>
          </w:p>
        </w:tc>
        <w:tc>
          <w:tcPr>
            <w:tcW w:w="20" w:type="dxa"/>
            <w:vAlign w:val="bottom"/>
          </w:tcPr>
          <w:p>
            <w:pPr>
              <w:spacing w:after="0"/>
              <w:rPr>
                <w:sz w:val="24"/>
                <w:szCs w:val="24"/>
                <w:color w:val="auto"/>
              </w:rPr>
            </w:pPr>
          </w:p>
        </w:tc>
        <w:tc>
          <w:tcPr>
            <w:tcW w:w="4580" w:type="dxa"/>
            <w:vAlign w:val="bottom"/>
            <w:tcBorders>
              <w:bottom w:val="single" w:sz="8" w:color="0000FF"/>
            </w:tcBorders>
            <w:gridSpan w:val="22"/>
          </w:tcPr>
          <w:p>
            <w:pPr>
              <w:spacing w:after="0"/>
              <w:rPr>
                <w:rFonts w:ascii="Calibri" w:cs="Calibri" w:eastAsia="Calibri" w:hAnsi="Calibri"/>
                <w:sz w:val="16"/>
                <w:szCs w:val="16"/>
                <w:color w:val="0000FF"/>
              </w:rPr>
            </w:pPr>
            <w:hyperlink r:id="rId264">
              <w:r>
                <w:rPr>
                  <w:rFonts w:ascii="Calibri" w:cs="Calibri" w:eastAsia="Calibri" w:hAnsi="Calibri"/>
                  <w:sz w:val="16"/>
                  <w:szCs w:val="16"/>
                  <w:color w:val="0000FF"/>
                </w:rPr>
                <w:t>Keryx Biopharmaceutcals, Inc. Third Amended and Restated Directors</w:t>
              </w:r>
            </w:hyperlink>
          </w:p>
        </w:tc>
        <w:tc>
          <w:tcPr>
            <w:tcW w:w="240" w:type="dxa"/>
            <w:vAlign w:val="bottom"/>
            <w:gridSpan w:val="6"/>
          </w:tcPr>
          <w:p>
            <w:pPr>
              <w:spacing w:after="0"/>
              <w:rPr>
                <w:sz w:val="24"/>
                <w:szCs w:val="24"/>
                <w:color w:val="auto"/>
              </w:rPr>
            </w:pPr>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000-30929</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10.1</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August 7, 2014</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720" w:type="dxa"/>
            <w:vAlign w:val="bottom"/>
            <w:gridSpan w:val="5"/>
            <w:vMerge w:val="restart"/>
          </w:tcPr>
          <w:p>
            <w:pPr>
              <w:spacing w:after="0" w:line="142" w:lineRule="exact"/>
              <w:rPr>
                <w:rFonts w:ascii="Calibri" w:cs="Calibri" w:eastAsia="Calibri" w:hAnsi="Calibri"/>
                <w:sz w:val="15"/>
                <w:szCs w:val="15"/>
                <w:color w:val="0000FF"/>
              </w:rPr>
            </w:pPr>
            <w:hyperlink r:id="rId264">
              <w:r>
                <w:rPr>
                  <w:rFonts w:ascii="Calibri" w:cs="Calibri" w:eastAsia="Calibri" w:hAnsi="Calibri"/>
                  <w:sz w:val="15"/>
                  <w:szCs w:val="15"/>
                  <w:color w:val="0000FF"/>
                </w:rPr>
                <w:t>Equity Compensaton Plan</w:t>
              </w:r>
            </w:hyperlink>
          </w:p>
        </w:tc>
        <w:tc>
          <w:tcPr>
            <w:tcW w:w="3100" w:type="dxa"/>
            <w:vAlign w:val="bottom"/>
            <w:gridSpan w:val="23"/>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720" w:type="dxa"/>
            <w:vAlign w:val="bottom"/>
            <w:tcBorders>
              <w:bottom w:val="single" w:sz="8" w:color="0000FF"/>
            </w:tcBorders>
            <w:gridSpan w:val="5"/>
            <w:vMerge w:val="continue"/>
          </w:tcPr>
          <w:p>
            <w:pPr>
              <w:spacing w:after="0"/>
              <w:rPr>
                <w:sz w:val="4"/>
                <w:szCs w:val="4"/>
                <w:color w:val="auto"/>
              </w:rPr>
            </w:pPr>
          </w:p>
        </w:tc>
        <w:tc>
          <w:tcPr>
            <w:tcW w:w="3100" w:type="dxa"/>
            <w:vAlign w:val="bottom"/>
            <w:gridSpan w:val="23"/>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10.56†</w:t>
            </w:r>
          </w:p>
        </w:tc>
        <w:tc>
          <w:tcPr>
            <w:tcW w:w="20" w:type="dxa"/>
            <w:vAlign w:val="bottom"/>
          </w:tcPr>
          <w:p>
            <w:pPr>
              <w:spacing w:after="0"/>
              <w:rPr>
                <w:sz w:val="24"/>
                <w:szCs w:val="24"/>
                <w:color w:val="auto"/>
              </w:rPr>
            </w:pPr>
          </w:p>
        </w:tc>
        <w:tc>
          <w:tcPr>
            <w:tcW w:w="4820" w:type="dxa"/>
            <w:vAlign w:val="bottom"/>
            <w:gridSpan w:val="28"/>
          </w:tcPr>
          <w:p>
            <w:pPr>
              <w:spacing w:after="0"/>
              <w:rPr>
                <w:rFonts w:ascii="Calibri" w:cs="Calibri" w:eastAsia="Calibri" w:hAnsi="Calibri"/>
                <w:sz w:val="16"/>
                <w:szCs w:val="16"/>
                <w:color w:val="0000FF"/>
              </w:rPr>
            </w:pPr>
            <w:hyperlink r:id="rId265">
              <w:r>
                <w:rPr>
                  <w:rFonts w:ascii="Calibri" w:cs="Calibri" w:eastAsia="Calibri" w:hAnsi="Calibri"/>
                  <w:sz w:val="16"/>
                  <w:szCs w:val="16"/>
                  <w:color w:val="0000FF"/>
                </w:rPr>
                <w:t>Keryx Biopharmaceutcals, Inc. Director Non-Statutory Stock Opton</w:t>
              </w:r>
            </w:hyperlink>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10.59</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March 26, 2019</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20" w:type="dxa"/>
            <w:vAlign w:val="bottom"/>
            <w:tcBorders>
              <w:top w:val="single" w:sz="8" w:color="0000FF"/>
              <w:bottom w:val="single" w:sz="8" w:color="0000FF"/>
            </w:tcBorders>
            <w:gridSpan w:val="18"/>
          </w:tcPr>
          <w:p>
            <w:pPr>
              <w:spacing w:after="0" w:line="142" w:lineRule="exact"/>
              <w:rPr>
                <w:rFonts w:ascii="Calibri" w:cs="Calibri" w:eastAsia="Calibri" w:hAnsi="Calibri"/>
                <w:sz w:val="15"/>
                <w:szCs w:val="15"/>
                <w:color w:val="0000FF"/>
              </w:rPr>
            </w:pPr>
            <w:hyperlink r:id="rId265">
              <w:r>
                <w:rPr>
                  <w:rFonts w:ascii="Calibri" w:cs="Calibri" w:eastAsia="Calibri" w:hAnsi="Calibri"/>
                  <w:sz w:val="15"/>
                  <w:szCs w:val="15"/>
                  <w:color w:val="0000FF"/>
                </w:rPr>
                <w:t>Award Terms and Conditons under the Third Amended and Restated</w:t>
              </w:r>
            </w:hyperlink>
          </w:p>
        </w:tc>
        <w:tc>
          <w:tcPr>
            <w:tcW w:w="80" w:type="dxa"/>
            <w:vAlign w:val="bottom"/>
            <w:tcBorders>
              <w:bottom w:val="single" w:sz="8" w:color="0000FF"/>
            </w:tcBorders>
          </w:tcPr>
          <w:p>
            <w:pPr>
              <w:spacing w:after="0"/>
              <w:rPr>
                <w:sz w:val="12"/>
                <w:szCs w:val="12"/>
                <w:color w:val="auto"/>
              </w:rPr>
            </w:pPr>
          </w:p>
        </w:tc>
        <w:tc>
          <w:tcPr>
            <w:tcW w:w="320" w:type="dxa"/>
            <w:vAlign w:val="bottom"/>
            <w:gridSpan w:val="9"/>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00" w:type="dxa"/>
            <w:vAlign w:val="bottom"/>
            <w:gridSpan w:val="19"/>
          </w:tcPr>
          <w:p>
            <w:pPr>
              <w:spacing w:after="0" w:line="142" w:lineRule="exact"/>
              <w:rPr>
                <w:rFonts w:ascii="Calibri" w:cs="Calibri" w:eastAsia="Calibri" w:hAnsi="Calibri"/>
                <w:sz w:val="15"/>
                <w:szCs w:val="15"/>
                <w:color w:val="0000FF"/>
              </w:rPr>
            </w:pPr>
            <w:hyperlink r:id="rId265">
              <w:r>
                <w:rPr>
                  <w:rFonts w:ascii="Calibri" w:cs="Calibri" w:eastAsia="Calibri" w:hAnsi="Calibri"/>
                  <w:sz w:val="15"/>
                  <w:szCs w:val="15"/>
                  <w:color w:val="0000FF"/>
                </w:rPr>
                <w:t>Directors Equity Compensaton Plan</w:t>
              </w:r>
            </w:hyperlink>
          </w:p>
        </w:tc>
        <w:tc>
          <w:tcPr>
            <w:tcW w:w="320" w:type="dxa"/>
            <w:vAlign w:val="bottom"/>
            <w:gridSpan w:val="9"/>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Akebia Therapeutcs, Inc. | Form 10-K | Page 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75" w:name="page176"/>
    <w:bookmarkEnd w:id="175"/>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4"/>
          </w:tcPr>
          <w:p>
            <w:pPr>
              <w:ind w:left="500"/>
              <w:spacing w:after="0"/>
              <w:rPr>
                <w:sz w:val="20"/>
                <w:szCs w:val="20"/>
                <w:color w:val="auto"/>
              </w:rPr>
            </w:pPr>
            <w:r>
              <w:rPr>
                <w:rFonts w:ascii="Calibri" w:cs="Calibri" w:eastAsia="Calibri" w:hAnsi="Calibri"/>
                <w:sz w:val="16"/>
                <w:szCs w:val="16"/>
                <w:color w:val="auto"/>
                <w:w w:val="99"/>
              </w:rPr>
              <w:t>Incorporated by Reference</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460" w:type="dxa"/>
            <w:vAlign w:val="bottom"/>
            <w:gridSpan w:val="2"/>
            <w:vMerge w:val="restart"/>
          </w:tcPr>
          <w:p>
            <w:pPr>
              <w:ind w:left="20"/>
              <w:spacing w:after="0"/>
              <w:rPr>
                <w:sz w:val="20"/>
                <w:szCs w:val="20"/>
                <w:color w:val="auto"/>
              </w:rPr>
            </w:pPr>
            <w:r>
              <w:rPr>
                <w:rFonts w:ascii="Calibri" w:cs="Calibri" w:eastAsia="Calibri" w:hAnsi="Calibri"/>
                <w:sz w:val="16"/>
                <w:szCs w:val="16"/>
                <w:b w:val="1"/>
                <w:bCs w:val="1"/>
                <w:color w:val="auto"/>
              </w:rPr>
              <w:t>Exhibit</w:t>
            </w: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4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2"/>
          </w:tcPr>
          <w:p>
            <w:pPr>
              <w:jc w:val="center"/>
              <w:ind w:right="100"/>
              <w:spacing w:after="0" w:line="150" w:lineRule="exact"/>
              <w:rPr>
                <w:sz w:val="20"/>
                <w:szCs w:val="20"/>
                <w:color w:val="auto"/>
              </w:rPr>
            </w:pPr>
            <w:r>
              <w:rPr>
                <w:rFonts w:ascii="Calibri" w:cs="Calibri" w:eastAsia="Calibri" w:hAnsi="Calibri"/>
                <w:sz w:val="16"/>
                <w:szCs w:val="16"/>
                <w:color w:val="auto"/>
              </w:rPr>
              <w:t>Schedule/</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center"/>
              <w:spacing w:after="0" w:line="150" w:lineRule="exact"/>
              <w:rPr>
                <w:sz w:val="20"/>
                <w:szCs w:val="20"/>
                <w:color w:val="auto"/>
              </w:rPr>
            </w:pPr>
            <w:r>
              <w:rPr>
                <w:rFonts w:ascii="Calibri" w:cs="Calibri" w:eastAsia="Calibri" w:hAnsi="Calibri"/>
                <w:sz w:val="16"/>
                <w:szCs w:val="16"/>
                <w:color w:val="auto"/>
              </w:rPr>
              <w:t>Filed Date/ Period End</w:t>
            </w:r>
          </w:p>
        </w:tc>
        <w:tc>
          <w:tcPr>
            <w:tcW w:w="0" w:type="dxa"/>
            <w:vAlign w:val="bottom"/>
          </w:tcPr>
          <w:p>
            <w:pPr>
              <w:spacing w:after="0"/>
              <w:rPr>
                <w:sz w:val="1"/>
                <w:szCs w:val="1"/>
                <w:color w:val="auto"/>
              </w:rPr>
            </w:pPr>
          </w:p>
        </w:tc>
      </w:tr>
      <w:tr>
        <w:trPr>
          <w:trHeight w:val="193"/>
        </w:trPr>
        <w:tc>
          <w:tcPr>
            <w:tcW w:w="1460" w:type="dxa"/>
            <w:vAlign w:val="bottom"/>
            <w:gridSpan w:val="2"/>
          </w:tcPr>
          <w:p>
            <w:pPr>
              <w:ind w:left="20"/>
              <w:spacing w:after="0" w:line="193" w:lineRule="exact"/>
              <w:rPr>
                <w:sz w:val="20"/>
                <w:szCs w:val="20"/>
                <w:color w:val="auto"/>
              </w:rPr>
            </w:pPr>
            <w:r>
              <w:rPr>
                <w:rFonts w:ascii="Calibri" w:cs="Calibri" w:eastAsia="Calibri" w:hAnsi="Calibri"/>
                <w:sz w:val="16"/>
                <w:szCs w:val="16"/>
                <w:b w:val="1"/>
                <w:bCs w:val="1"/>
                <w:color w:val="auto"/>
              </w:rPr>
              <w:t>Number</w:t>
            </w:r>
          </w:p>
        </w:tc>
        <w:tc>
          <w:tcPr>
            <w:tcW w:w="20" w:type="dxa"/>
            <w:vAlign w:val="bottom"/>
          </w:tcPr>
          <w:p>
            <w:pPr>
              <w:spacing w:after="0"/>
              <w:rPr>
                <w:sz w:val="16"/>
                <w:szCs w:val="16"/>
                <w:color w:val="auto"/>
              </w:rPr>
            </w:pPr>
          </w:p>
        </w:tc>
        <w:tc>
          <w:tcPr>
            <w:tcW w:w="4820" w:type="dxa"/>
            <w:vAlign w:val="bottom"/>
            <w:gridSpan w:val="24"/>
          </w:tcPr>
          <w:p>
            <w:pPr>
              <w:spacing w:after="0" w:line="193" w:lineRule="exact"/>
              <w:rPr>
                <w:sz w:val="20"/>
                <w:szCs w:val="20"/>
                <w:color w:val="auto"/>
              </w:rPr>
            </w:pPr>
            <w:r>
              <w:rPr>
                <w:rFonts w:ascii="Calibri" w:cs="Calibri" w:eastAsia="Calibri" w:hAnsi="Calibri"/>
                <w:sz w:val="16"/>
                <w:szCs w:val="16"/>
                <w:b w:val="1"/>
                <w:bCs w:val="1"/>
                <w:color w:val="auto"/>
              </w:rPr>
              <w:t>Descripton of Exhibit</w:t>
            </w:r>
          </w:p>
        </w:tc>
        <w:tc>
          <w:tcPr>
            <w:tcW w:w="1080" w:type="dxa"/>
            <w:vAlign w:val="bottom"/>
            <w:gridSpan w:val="2"/>
          </w:tcPr>
          <w:p>
            <w:pPr>
              <w:jc w:val="center"/>
              <w:ind w:right="100"/>
              <w:spacing w:after="0" w:line="193" w:lineRule="exact"/>
              <w:rPr>
                <w:sz w:val="20"/>
                <w:szCs w:val="20"/>
                <w:color w:val="auto"/>
              </w:rPr>
            </w:pPr>
            <w:r>
              <w:rPr>
                <w:rFonts w:ascii="Calibri" w:cs="Calibri" w:eastAsia="Calibri" w:hAnsi="Calibri"/>
                <w:sz w:val="16"/>
                <w:szCs w:val="16"/>
                <w:color w:val="auto"/>
                <w:w w:val="99"/>
              </w:rPr>
              <w:t>Form</w:t>
            </w:r>
          </w:p>
        </w:tc>
        <w:tc>
          <w:tcPr>
            <w:tcW w:w="1260" w:type="dxa"/>
            <w:vAlign w:val="bottom"/>
            <w:gridSpan w:val="2"/>
          </w:tcPr>
          <w:p>
            <w:pPr>
              <w:jc w:val="center"/>
              <w:ind w:right="80"/>
              <w:spacing w:after="0" w:line="193" w:lineRule="exact"/>
              <w:rPr>
                <w:sz w:val="20"/>
                <w:szCs w:val="20"/>
                <w:color w:val="auto"/>
              </w:rPr>
            </w:pPr>
            <w:r>
              <w:rPr>
                <w:rFonts w:ascii="Calibri" w:cs="Calibri" w:eastAsia="Calibri" w:hAnsi="Calibri"/>
                <w:sz w:val="16"/>
                <w:szCs w:val="16"/>
                <w:color w:val="auto"/>
              </w:rPr>
              <w:t>File No.</w:t>
            </w:r>
          </w:p>
        </w:tc>
        <w:tc>
          <w:tcPr>
            <w:tcW w:w="1000" w:type="dxa"/>
            <w:vAlign w:val="bottom"/>
            <w:gridSpan w:val="2"/>
          </w:tcPr>
          <w:p>
            <w:pPr>
              <w:ind w:left="220"/>
              <w:spacing w:after="0" w:line="193" w:lineRule="exact"/>
              <w:rPr>
                <w:sz w:val="20"/>
                <w:szCs w:val="20"/>
                <w:color w:val="auto"/>
              </w:rPr>
            </w:pPr>
            <w:r>
              <w:rPr>
                <w:rFonts w:ascii="Calibri" w:cs="Calibri" w:eastAsia="Calibri" w:hAnsi="Calibri"/>
                <w:sz w:val="16"/>
                <w:szCs w:val="16"/>
                <w:color w:val="auto"/>
              </w:rPr>
              <w:t>Exhibit</w:t>
            </w:r>
          </w:p>
        </w:tc>
        <w:tc>
          <w:tcPr>
            <w:tcW w:w="1580" w:type="dxa"/>
            <w:vAlign w:val="bottom"/>
          </w:tcPr>
          <w:p>
            <w:pPr>
              <w:jc w:val="center"/>
              <w:spacing w:after="0" w:line="193" w:lineRule="exact"/>
              <w:rPr>
                <w:sz w:val="20"/>
                <w:szCs w:val="20"/>
                <w:color w:val="auto"/>
              </w:rPr>
            </w:pPr>
            <w:r>
              <w:rPr>
                <w:rFonts w:ascii="Calibri" w:cs="Calibri" w:eastAsia="Calibri" w:hAnsi="Calibri"/>
                <w:sz w:val="16"/>
                <w:szCs w:val="16"/>
                <w:color w:val="auto"/>
              </w:rPr>
              <w:t>Date</w:t>
            </w:r>
          </w:p>
        </w:tc>
        <w:tc>
          <w:tcPr>
            <w:tcW w:w="0" w:type="dxa"/>
            <w:vAlign w:val="bottom"/>
          </w:tcPr>
          <w:p>
            <w:pPr>
              <w:spacing w:after="0"/>
              <w:rPr>
                <w:sz w:val="1"/>
                <w:szCs w:val="1"/>
                <w:color w:val="auto"/>
              </w:rPr>
            </w:pPr>
          </w:p>
        </w:tc>
      </w:tr>
      <w:tr>
        <w:trPr>
          <w:trHeight w:val="28"/>
        </w:trPr>
        <w:tc>
          <w:tcPr>
            <w:tcW w:w="10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2"/>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10.57†</w:t>
            </w:r>
          </w:p>
        </w:tc>
        <w:tc>
          <w:tcPr>
            <w:tcW w:w="20" w:type="dxa"/>
            <w:vAlign w:val="bottom"/>
          </w:tcPr>
          <w:p>
            <w:pPr>
              <w:spacing w:after="0"/>
              <w:rPr>
                <w:sz w:val="24"/>
                <w:szCs w:val="24"/>
                <w:color w:val="auto"/>
              </w:rPr>
            </w:pPr>
          </w:p>
        </w:tc>
        <w:tc>
          <w:tcPr>
            <w:tcW w:w="2860" w:type="dxa"/>
            <w:vAlign w:val="bottom"/>
            <w:tcBorders>
              <w:bottom w:val="single" w:sz="8" w:color="0000FF"/>
            </w:tcBorders>
            <w:gridSpan w:val="8"/>
          </w:tcPr>
          <w:p>
            <w:pPr>
              <w:spacing w:after="0"/>
              <w:rPr>
                <w:rFonts w:ascii="Calibri" w:cs="Calibri" w:eastAsia="Calibri" w:hAnsi="Calibri"/>
                <w:sz w:val="16"/>
                <w:szCs w:val="16"/>
                <w:color w:val="0000FF"/>
              </w:rPr>
            </w:pPr>
            <w:hyperlink r:id="rId267">
              <w:r>
                <w:rPr>
                  <w:rFonts w:ascii="Calibri" w:cs="Calibri" w:eastAsia="Calibri" w:hAnsi="Calibri"/>
                  <w:sz w:val="16"/>
                  <w:szCs w:val="16"/>
                  <w:color w:val="0000FF"/>
                </w:rPr>
                <w:t>Form of Ofcer Retenton Leter Agreement</w:t>
              </w:r>
            </w:hyperlink>
          </w:p>
        </w:tc>
        <w:tc>
          <w:tcPr>
            <w:tcW w:w="1960" w:type="dxa"/>
            <w:vAlign w:val="bottom"/>
            <w:gridSpan w:val="16"/>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Calibri" w:cs="Calibri" w:eastAsia="Calibri" w:hAnsi="Calibri"/>
                <w:sz w:val="16"/>
                <w:szCs w:val="16"/>
                <w:color w:val="auto"/>
              </w:rPr>
              <w:t>10.6</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Calibri" w:cs="Calibri" w:eastAsia="Calibri" w:hAnsi="Calibri"/>
                <w:sz w:val="16"/>
                <w:szCs w:val="16"/>
                <w:color w:val="auto"/>
                <w:w w:val="99"/>
              </w:rPr>
              <w:t>May 9, 2022</w:t>
            </w:r>
          </w:p>
        </w:tc>
        <w:tc>
          <w:tcPr>
            <w:tcW w:w="0" w:type="dxa"/>
            <w:vAlign w:val="bottom"/>
          </w:tcPr>
          <w:p>
            <w:pPr>
              <w:spacing w:after="0"/>
              <w:rPr>
                <w:sz w:val="1"/>
                <w:szCs w:val="1"/>
                <w:color w:val="auto"/>
              </w:rPr>
            </w:pPr>
          </w:p>
        </w:tc>
      </w:tr>
      <w:tr>
        <w:trPr>
          <w:trHeight w:val="466"/>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10.58†!</w:t>
            </w:r>
          </w:p>
        </w:tc>
        <w:tc>
          <w:tcPr>
            <w:tcW w:w="20" w:type="dxa"/>
            <w:vAlign w:val="bottom"/>
          </w:tcPr>
          <w:p>
            <w:pPr>
              <w:spacing w:after="0"/>
              <w:rPr>
                <w:sz w:val="24"/>
                <w:szCs w:val="24"/>
                <w:color w:val="auto"/>
              </w:rPr>
            </w:pPr>
          </w:p>
        </w:tc>
        <w:tc>
          <w:tcPr>
            <w:tcW w:w="4440" w:type="dxa"/>
            <w:vAlign w:val="bottom"/>
            <w:tcBorders>
              <w:bottom w:val="single" w:sz="8" w:color="0000FF"/>
            </w:tcBorders>
            <w:gridSpan w:val="14"/>
          </w:tcPr>
          <w:p>
            <w:pPr>
              <w:spacing w:after="0"/>
              <w:rPr>
                <w:rFonts w:ascii="Calibri" w:cs="Calibri" w:eastAsia="Calibri" w:hAnsi="Calibri"/>
                <w:sz w:val="16"/>
                <w:szCs w:val="16"/>
                <w:color w:val="0000FF"/>
              </w:rPr>
            </w:pPr>
            <w:hyperlink r:id="rId268">
              <w:r>
                <w:rPr>
                  <w:rFonts w:ascii="Calibri" w:cs="Calibri" w:eastAsia="Calibri" w:hAnsi="Calibri"/>
                  <w:sz w:val="16"/>
                  <w:szCs w:val="16"/>
                  <w:color w:val="0000FF"/>
                </w:rPr>
                <w:t>Form of Retenton and Separaton Agreement for Michel Dahan and</w:t>
              </w:r>
            </w:hyperlink>
          </w:p>
        </w:tc>
        <w:tc>
          <w:tcPr>
            <w:tcW w:w="380" w:type="dxa"/>
            <w:vAlign w:val="bottom"/>
            <w:gridSpan w:val="10"/>
          </w:tcPr>
          <w:p>
            <w:pPr>
              <w:spacing w:after="0"/>
              <w:rPr>
                <w:sz w:val="24"/>
                <w:szCs w:val="24"/>
                <w:color w:val="auto"/>
              </w:rPr>
            </w:pPr>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10.7</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w w:val="99"/>
              </w:rPr>
              <w:t>May 9, 2022</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20" w:type="dxa"/>
            <w:vAlign w:val="bottom"/>
            <w:gridSpan w:val="24"/>
            <w:vMerge w:val="restart"/>
          </w:tcPr>
          <w:p>
            <w:pPr>
              <w:spacing w:after="0" w:line="142" w:lineRule="exact"/>
              <w:rPr>
                <w:rFonts w:ascii="Calibri" w:cs="Calibri" w:eastAsia="Calibri" w:hAnsi="Calibri"/>
                <w:sz w:val="15"/>
                <w:szCs w:val="15"/>
                <w:color w:val="0000FF"/>
              </w:rPr>
            </w:pPr>
            <w:hyperlink r:id="rId268">
              <w:r>
                <w:rPr>
                  <w:rFonts w:ascii="Calibri" w:cs="Calibri" w:eastAsia="Calibri" w:hAnsi="Calibri"/>
                  <w:sz w:val="15"/>
                  <w:szCs w:val="15"/>
                  <w:color w:val="0000FF"/>
                </w:rPr>
                <w:t>Nicole R. Hadas</w:t>
              </w:r>
            </w:hyperlink>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820" w:type="dxa"/>
            <w:vAlign w:val="bottom"/>
            <w:gridSpan w:val="24"/>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10.59†!</w:t>
            </w:r>
          </w:p>
        </w:tc>
        <w:tc>
          <w:tcPr>
            <w:tcW w:w="20" w:type="dxa"/>
            <w:vAlign w:val="bottom"/>
          </w:tcPr>
          <w:p>
            <w:pPr>
              <w:spacing w:after="0"/>
              <w:rPr>
                <w:sz w:val="24"/>
                <w:szCs w:val="24"/>
                <w:color w:val="auto"/>
              </w:rPr>
            </w:pPr>
          </w:p>
        </w:tc>
        <w:tc>
          <w:tcPr>
            <w:tcW w:w="4820" w:type="dxa"/>
            <w:vAlign w:val="bottom"/>
            <w:gridSpan w:val="24"/>
          </w:tcPr>
          <w:p>
            <w:pPr>
              <w:spacing w:after="0"/>
              <w:rPr>
                <w:rFonts w:ascii="Calibri" w:cs="Calibri" w:eastAsia="Calibri" w:hAnsi="Calibri"/>
                <w:sz w:val="16"/>
                <w:szCs w:val="16"/>
                <w:color w:val="0000FF"/>
              </w:rPr>
            </w:pPr>
            <w:hyperlink r:id="rId269">
              <w:r>
                <w:rPr>
                  <w:rFonts w:ascii="Calibri" w:cs="Calibri" w:eastAsia="Calibri" w:hAnsi="Calibri"/>
                  <w:sz w:val="16"/>
                  <w:szCs w:val="16"/>
                  <w:color w:val="0000FF"/>
                </w:rPr>
                <w:t>Form of Amendment to Retenton and Separaton Agreement for Michel</w:t>
              </w:r>
            </w:hyperlink>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10.2</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November 3, 2022</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760" w:type="dxa"/>
            <w:vAlign w:val="bottom"/>
            <w:tcBorders>
              <w:top w:val="single" w:sz="8" w:color="0000FF"/>
            </w:tcBorders>
            <w:gridSpan w:val="6"/>
            <w:vMerge w:val="restart"/>
          </w:tcPr>
          <w:p>
            <w:pPr>
              <w:spacing w:after="0" w:line="142" w:lineRule="exact"/>
              <w:rPr>
                <w:rFonts w:ascii="Calibri" w:cs="Calibri" w:eastAsia="Calibri" w:hAnsi="Calibri"/>
                <w:sz w:val="15"/>
                <w:szCs w:val="15"/>
                <w:color w:val="0000FF"/>
              </w:rPr>
            </w:pPr>
            <w:hyperlink r:id="rId269">
              <w:r>
                <w:rPr>
                  <w:rFonts w:ascii="Calibri" w:cs="Calibri" w:eastAsia="Calibri" w:hAnsi="Calibri"/>
                  <w:sz w:val="15"/>
                  <w:szCs w:val="15"/>
                  <w:color w:val="0000FF"/>
                </w:rPr>
                <w:t>Dahan and Nicole R. Hadas</w:t>
              </w:r>
            </w:hyperlink>
          </w:p>
        </w:tc>
        <w:tc>
          <w:tcPr>
            <w:tcW w:w="2960" w:type="dxa"/>
            <w:vAlign w:val="bottom"/>
            <w:tcBorders>
              <w:top w:val="single" w:sz="8" w:color="0000FF"/>
            </w:tcBorders>
            <w:gridSpan w:val="15"/>
            <w:vMerge w:val="restart"/>
          </w:tcPr>
          <w:p>
            <w:pPr>
              <w:spacing w:after="0"/>
              <w:rPr>
                <w:sz w:val="7"/>
                <w:szCs w:val="7"/>
                <w:color w:val="auto"/>
              </w:rPr>
            </w:pPr>
          </w:p>
        </w:tc>
        <w:tc>
          <w:tcPr>
            <w:tcW w:w="100" w:type="dxa"/>
            <w:vAlign w:val="bottom"/>
            <w:gridSpan w:val="3"/>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760" w:type="dxa"/>
            <w:vAlign w:val="bottom"/>
            <w:tcBorders>
              <w:bottom w:val="single" w:sz="8" w:color="0000FF"/>
            </w:tcBorders>
            <w:gridSpan w:val="6"/>
            <w:vMerge w:val="continue"/>
          </w:tcPr>
          <w:p>
            <w:pPr>
              <w:spacing w:after="0"/>
              <w:rPr>
                <w:sz w:val="4"/>
                <w:szCs w:val="4"/>
                <w:color w:val="auto"/>
              </w:rPr>
            </w:pPr>
          </w:p>
        </w:tc>
        <w:tc>
          <w:tcPr>
            <w:tcW w:w="2960" w:type="dxa"/>
            <w:vAlign w:val="bottom"/>
            <w:gridSpan w:val="15"/>
            <w:vMerge w:val="continue"/>
          </w:tcPr>
          <w:p>
            <w:pPr>
              <w:spacing w:after="0"/>
              <w:rPr>
                <w:sz w:val="4"/>
                <w:szCs w:val="4"/>
                <w:color w:val="auto"/>
              </w:rPr>
            </w:pPr>
          </w:p>
        </w:tc>
        <w:tc>
          <w:tcPr>
            <w:tcW w:w="100" w:type="dxa"/>
            <w:vAlign w:val="bottom"/>
            <w:gridSpan w:val="3"/>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10.60†!</w:t>
            </w:r>
          </w:p>
        </w:tc>
        <w:tc>
          <w:tcPr>
            <w:tcW w:w="20" w:type="dxa"/>
            <w:vAlign w:val="bottom"/>
          </w:tcPr>
          <w:p>
            <w:pPr>
              <w:spacing w:after="0"/>
              <w:rPr>
                <w:sz w:val="24"/>
                <w:szCs w:val="24"/>
                <w:color w:val="auto"/>
              </w:rPr>
            </w:pPr>
          </w:p>
        </w:tc>
        <w:tc>
          <w:tcPr>
            <w:tcW w:w="4820" w:type="dxa"/>
            <w:vAlign w:val="bottom"/>
            <w:gridSpan w:val="24"/>
          </w:tcPr>
          <w:p>
            <w:pPr>
              <w:spacing w:after="0"/>
              <w:rPr>
                <w:rFonts w:ascii="Calibri" w:cs="Calibri" w:eastAsia="Calibri" w:hAnsi="Calibri"/>
                <w:sz w:val="16"/>
                <w:szCs w:val="16"/>
                <w:color w:val="0000FF"/>
              </w:rPr>
            </w:pPr>
            <w:hyperlink r:id="rId270">
              <w:r>
                <w:rPr>
                  <w:rFonts w:ascii="Calibri" w:cs="Calibri" w:eastAsia="Calibri" w:hAnsi="Calibri"/>
                  <w:sz w:val="16"/>
                  <w:szCs w:val="16"/>
                  <w:color w:val="0000FF"/>
                </w:rPr>
                <w:t>Form of May 2023 Amendment to Retenton and Separaton Agreement</w:t>
              </w:r>
            </w:hyperlink>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10.4</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August 28, 2023</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700" w:type="dxa"/>
            <w:vAlign w:val="bottom"/>
            <w:tcBorders>
              <w:top w:val="single" w:sz="8" w:color="0000FF"/>
            </w:tcBorders>
            <w:gridSpan w:val="20"/>
            <w:vMerge w:val="restart"/>
          </w:tcPr>
          <w:p>
            <w:pPr>
              <w:spacing w:after="0" w:line="142" w:lineRule="exact"/>
              <w:rPr>
                <w:rFonts w:ascii="Calibri" w:cs="Calibri" w:eastAsia="Calibri" w:hAnsi="Calibri"/>
                <w:sz w:val="15"/>
                <w:szCs w:val="15"/>
                <w:color w:val="0000FF"/>
              </w:rPr>
            </w:pPr>
            <w:hyperlink r:id="rId270">
              <w:r>
                <w:rPr>
                  <w:rFonts w:ascii="Calibri" w:cs="Calibri" w:eastAsia="Calibri" w:hAnsi="Calibri"/>
                  <w:sz w:val="15"/>
                  <w:szCs w:val="15"/>
                  <w:color w:val="0000FF"/>
                </w:rPr>
                <w:t>for Michel Dahan and Nicole R. Hadas</w:t>
              </w:r>
            </w:hyperlink>
          </w:p>
        </w:tc>
        <w:tc>
          <w:tcPr>
            <w:tcW w:w="120" w:type="dxa"/>
            <w:vAlign w:val="bottom"/>
            <w:gridSpan w:val="4"/>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700" w:type="dxa"/>
            <w:vAlign w:val="bottom"/>
            <w:gridSpan w:val="20"/>
            <w:vMerge w:val="continue"/>
          </w:tcPr>
          <w:p>
            <w:pPr>
              <w:spacing w:after="0"/>
              <w:rPr>
                <w:sz w:val="4"/>
                <w:szCs w:val="4"/>
                <w:color w:val="auto"/>
              </w:rPr>
            </w:pPr>
          </w:p>
        </w:tc>
        <w:tc>
          <w:tcPr>
            <w:tcW w:w="120" w:type="dxa"/>
            <w:vAlign w:val="bottom"/>
            <w:gridSpan w:val="4"/>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10.61†!</w:t>
            </w:r>
          </w:p>
        </w:tc>
        <w:tc>
          <w:tcPr>
            <w:tcW w:w="20" w:type="dxa"/>
            <w:vAlign w:val="bottom"/>
          </w:tcPr>
          <w:p>
            <w:pPr>
              <w:spacing w:after="0"/>
              <w:rPr>
                <w:sz w:val="24"/>
                <w:szCs w:val="24"/>
                <w:color w:val="auto"/>
              </w:rPr>
            </w:pPr>
          </w:p>
        </w:tc>
        <w:tc>
          <w:tcPr>
            <w:tcW w:w="4340" w:type="dxa"/>
            <w:vAlign w:val="bottom"/>
            <w:tcBorders>
              <w:bottom w:val="single" w:sz="8" w:color="0000FF"/>
            </w:tcBorders>
            <w:gridSpan w:val="12"/>
          </w:tcPr>
          <w:p>
            <w:pPr>
              <w:spacing w:after="0"/>
              <w:rPr>
                <w:rFonts w:ascii="Calibri" w:cs="Calibri" w:eastAsia="Calibri" w:hAnsi="Calibri"/>
                <w:sz w:val="16"/>
                <w:szCs w:val="16"/>
                <w:color w:val="0000FF"/>
              </w:rPr>
            </w:pPr>
            <w:hyperlink r:id="rId271">
              <w:r>
                <w:rPr>
                  <w:rFonts w:ascii="Calibri" w:cs="Calibri" w:eastAsia="Calibri" w:hAnsi="Calibri"/>
                  <w:sz w:val="16"/>
                  <w:szCs w:val="16"/>
                  <w:color w:val="0000FF"/>
                </w:rPr>
                <w:t>July 2023 Amendment to Retenton and Separaton Agreement for</w:t>
              </w:r>
            </w:hyperlink>
          </w:p>
        </w:tc>
        <w:tc>
          <w:tcPr>
            <w:tcW w:w="480" w:type="dxa"/>
            <w:vAlign w:val="bottom"/>
            <w:gridSpan w:val="12"/>
          </w:tcPr>
          <w:p>
            <w:pPr>
              <w:spacing w:after="0"/>
              <w:rPr>
                <w:sz w:val="24"/>
                <w:szCs w:val="24"/>
                <w:color w:val="auto"/>
              </w:rPr>
            </w:pPr>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10.5</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August 28, 2023</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gridSpan w:val="3"/>
            <w:vMerge w:val="restart"/>
          </w:tcPr>
          <w:p>
            <w:pPr>
              <w:spacing w:after="0" w:line="142" w:lineRule="exact"/>
              <w:rPr>
                <w:rFonts w:ascii="Calibri" w:cs="Calibri" w:eastAsia="Calibri" w:hAnsi="Calibri"/>
                <w:sz w:val="15"/>
                <w:szCs w:val="15"/>
                <w:color w:val="0000FF"/>
              </w:rPr>
            </w:pPr>
            <w:hyperlink r:id="rId271">
              <w:r>
                <w:rPr>
                  <w:rFonts w:ascii="Calibri" w:cs="Calibri" w:eastAsia="Calibri" w:hAnsi="Calibri"/>
                  <w:sz w:val="15"/>
                  <w:szCs w:val="15"/>
                  <w:color w:val="0000FF"/>
                </w:rPr>
                <w:t>Michel Dahan</w:t>
              </w:r>
            </w:hyperlink>
          </w:p>
        </w:tc>
        <w:tc>
          <w:tcPr>
            <w:tcW w:w="3920" w:type="dxa"/>
            <w:vAlign w:val="bottom"/>
            <w:gridSpan w:val="21"/>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Borders>
              <w:bottom w:val="single" w:sz="8" w:color="0000FF"/>
            </w:tcBorders>
            <w:gridSpan w:val="3"/>
            <w:vMerge w:val="continue"/>
          </w:tcPr>
          <w:p>
            <w:pPr>
              <w:spacing w:after="0"/>
              <w:rPr>
                <w:sz w:val="4"/>
                <w:szCs w:val="4"/>
                <w:color w:val="auto"/>
              </w:rPr>
            </w:pPr>
          </w:p>
        </w:tc>
        <w:tc>
          <w:tcPr>
            <w:tcW w:w="3920" w:type="dxa"/>
            <w:vAlign w:val="bottom"/>
            <w:gridSpan w:val="21"/>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6"/>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10.62†!</w:t>
            </w:r>
          </w:p>
        </w:tc>
        <w:tc>
          <w:tcPr>
            <w:tcW w:w="20" w:type="dxa"/>
            <w:vAlign w:val="bottom"/>
          </w:tcPr>
          <w:p>
            <w:pPr>
              <w:spacing w:after="0"/>
              <w:rPr>
                <w:sz w:val="24"/>
                <w:szCs w:val="24"/>
                <w:color w:val="auto"/>
              </w:rPr>
            </w:pPr>
          </w:p>
        </w:tc>
        <w:tc>
          <w:tcPr>
            <w:tcW w:w="4820" w:type="dxa"/>
            <w:vAlign w:val="bottom"/>
            <w:gridSpan w:val="24"/>
          </w:tcPr>
          <w:p>
            <w:pPr>
              <w:spacing w:after="0"/>
              <w:rPr>
                <w:rFonts w:ascii="Calibri" w:cs="Calibri" w:eastAsia="Calibri" w:hAnsi="Calibri"/>
                <w:sz w:val="16"/>
                <w:szCs w:val="16"/>
                <w:color w:val="0000FF"/>
              </w:rPr>
            </w:pPr>
            <w:hyperlink r:id="rId272">
              <w:r>
                <w:rPr>
                  <w:rFonts w:ascii="Calibri" w:cs="Calibri" w:eastAsia="Calibri" w:hAnsi="Calibri"/>
                  <w:sz w:val="16"/>
                  <w:szCs w:val="16"/>
                  <w:color w:val="0000FF"/>
                </w:rPr>
                <w:t>July 2023 Amendment to Retenton and Separaton Agreement for Nicole</w:t>
              </w:r>
            </w:hyperlink>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10.6</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August 28, 2023</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780" w:type="dxa"/>
            <w:vAlign w:val="bottom"/>
            <w:tcBorders>
              <w:top w:val="single" w:sz="8" w:color="0000FF"/>
            </w:tcBorders>
            <w:gridSpan w:val="23"/>
            <w:vMerge w:val="restart"/>
          </w:tcPr>
          <w:p>
            <w:pPr>
              <w:spacing w:after="0" w:line="142" w:lineRule="exact"/>
              <w:rPr>
                <w:rFonts w:ascii="Calibri" w:cs="Calibri" w:eastAsia="Calibri" w:hAnsi="Calibri"/>
                <w:sz w:val="15"/>
                <w:szCs w:val="15"/>
                <w:color w:val="0000FF"/>
              </w:rPr>
            </w:pPr>
            <w:hyperlink r:id="rId272">
              <w:r>
                <w:rPr>
                  <w:rFonts w:ascii="Calibri" w:cs="Calibri" w:eastAsia="Calibri" w:hAnsi="Calibri"/>
                  <w:sz w:val="15"/>
                  <w:szCs w:val="15"/>
                  <w:color w:val="0000FF"/>
                </w:rPr>
                <w:t>R. Hadas</w:t>
              </w:r>
            </w:hyperlink>
          </w:p>
        </w:tc>
        <w:tc>
          <w:tcPr>
            <w:tcW w:w="40" w:type="dxa"/>
            <w:vAlign w:val="bottom"/>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780" w:type="dxa"/>
            <w:vAlign w:val="bottom"/>
            <w:gridSpan w:val="23"/>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10.63†!</w:t>
            </w:r>
          </w:p>
        </w:tc>
        <w:tc>
          <w:tcPr>
            <w:tcW w:w="20" w:type="dxa"/>
            <w:vAlign w:val="bottom"/>
          </w:tcPr>
          <w:p>
            <w:pPr>
              <w:spacing w:after="0"/>
              <w:rPr>
                <w:sz w:val="24"/>
                <w:szCs w:val="24"/>
                <w:color w:val="auto"/>
              </w:rPr>
            </w:pPr>
          </w:p>
        </w:tc>
        <w:tc>
          <w:tcPr>
            <w:tcW w:w="4820" w:type="dxa"/>
            <w:vAlign w:val="bottom"/>
            <w:gridSpan w:val="24"/>
          </w:tcPr>
          <w:p>
            <w:pPr>
              <w:spacing w:after="0"/>
              <w:rPr>
                <w:rFonts w:ascii="Calibri" w:cs="Calibri" w:eastAsia="Calibri" w:hAnsi="Calibri"/>
                <w:sz w:val="16"/>
                <w:szCs w:val="16"/>
                <w:color w:val="0000FF"/>
              </w:rPr>
            </w:pPr>
            <w:hyperlink r:id="rId273">
              <w:r>
                <w:rPr>
                  <w:rFonts w:ascii="Calibri" w:cs="Calibri" w:eastAsia="Calibri" w:hAnsi="Calibri"/>
                  <w:sz w:val="16"/>
                  <w:szCs w:val="16"/>
                  <w:color w:val="0000FF"/>
                </w:rPr>
                <w:t>October 2023 Amendment to Retenton and Separaton Agreement for</w:t>
              </w:r>
            </w:hyperlink>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10.3</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November 8, 2023</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620" w:type="dxa"/>
            <w:vAlign w:val="bottom"/>
            <w:tcBorders>
              <w:top w:val="single" w:sz="8" w:color="0000FF"/>
            </w:tcBorders>
            <w:gridSpan w:val="16"/>
            <w:vMerge w:val="restart"/>
          </w:tcPr>
          <w:p>
            <w:pPr>
              <w:spacing w:after="0" w:line="142" w:lineRule="exact"/>
              <w:rPr>
                <w:rFonts w:ascii="Calibri" w:cs="Calibri" w:eastAsia="Calibri" w:hAnsi="Calibri"/>
                <w:sz w:val="15"/>
                <w:szCs w:val="15"/>
                <w:color w:val="0000FF"/>
              </w:rPr>
            </w:pPr>
            <w:hyperlink r:id="rId273">
              <w:r>
                <w:rPr>
                  <w:rFonts w:ascii="Calibri" w:cs="Calibri" w:eastAsia="Calibri" w:hAnsi="Calibri"/>
                  <w:sz w:val="15"/>
                  <w:szCs w:val="15"/>
                  <w:color w:val="0000FF"/>
                </w:rPr>
                <w:t>Nicole R. Hadas</w:t>
              </w:r>
            </w:hyperlink>
          </w:p>
        </w:tc>
        <w:tc>
          <w:tcPr>
            <w:tcW w:w="200" w:type="dxa"/>
            <w:vAlign w:val="bottom"/>
            <w:gridSpan w:val="8"/>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20" w:type="dxa"/>
            <w:vAlign w:val="bottom"/>
            <w:gridSpan w:val="16"/>
            <w:vMerge w:val="continue"/>
          </w:tcPr>
          <w:p>
            <w:pPr>
              <w:spacing w:after="0"/>
              <w:rPr>
                <w:sz w:val="4"/>
                <w:szCs w:val="4"/>
                <w:color w:val="auto"/>
              </w:rPr>
            </w:pPr>
          </w:p>
        </w:tc>
        <w:tc>
          <w:tcPr>
            <w:tcW w:w="200" w:type="dxa"/>
            <w:vAlign w:val="bottom"/>
            <w:gridSpan w:val="8"/>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10.64†!</w:t>
            </w:r>
          </w:p>
        </w:tc>
        <w:tc>
          <w:tcPr>
            <w:tcW w:w="20" w:type="dxa"/>
            <w:vAlign w:val="bottom"/>
          </w:tcPr>
          <w:p>
            <w:pPr>
              <w:spacing w:after="0"/>
              <w:rPr>
                <w:sz w:val="24"/>
                <w:szCs w:val="24"/>
                <w:color w:val="auto"/>
              </w:rPr>
            </w:pPr>
          </w:p>
        </w:tc>
        <w:tc>
          <w:tcPr>
            <w:tcW w:w="4680" w:type="dxa"/>
            <w:vAlign w:val="bottom"/>
            <w:tcBorders>
              <w:bottom w:val="single" w:sz="8" w:color="0000FF"/>
            </w:tcBorders>
            <w:gridSpan w:val="19"/>
          </w:tcPr>
          <w:p>
            <w:pPr>
              <w:spacing w:after="0"/>
              <w:rPr>
                <w:rFonts w:ascii="Calibri" w:cs="Calibri" w:eastAsia="Calibri" w:hAnsi="Calibri"/>
                <w:sz w:val="16"/>
                <w:szCs w:val="16"/>
                <w:color w:val="0000FF"/>
              </w:rPr>
            </w:pPr>
            <w:hyperlink r:id="rId274">
              <w:r>
                <w:rPr>
                  <w:rFonts w:ascii="Calibri" w:cs="Calibri" w:eastAsia="Calibri" w:hAnsi="Calibri"/>
                  <w:sz w:val="16"/>
                  <w:szCs w:val="16"/>
                  <w:color w:val="0000FF"/>
                </w:rPr>
                <w:t>February 2024 Amendment to Retenton and Separaton Agreement for</w:t>
              </w:r>
            </w:hyperlink>
          </w:p>
        </w:tc>
        <w:tc>
          <w:tcPr>
            <w:tcW w:w="140" w:type="dxa"/>
            <w:vAlign w:val="bottom"/>
            <w:gridSpan w:val="5"/>
          </w:tcPr>
          <w:p>
            <w:pPr>
              <w:spacing w:after="0"/>
              <w:rPr>
                <w:sz w:val="24"/>
                <w:szCs w:val="24"/>
                <w:color w:val="auto"/>
              </w:rPr>
            </w:pPr>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10.66</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March 14, 2024</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20" w:type="dxa"/>
            <w:vAlign w:val="bottom"/>
            <w:gridSpan w:val="24"/>
            <w:vMerge w:val="restart"/>
          </w:tcPr>
          <w:p>
            <w:pPr>
              <w:spacing w:after="0" w:line="142" w:lineRule="exact"/>
              <w:rPr>
                <w:rFonts w:ascii="Calibri" w:cs="Calibri" w:eastAsia="Calibri" w:hAnsi="Calibri"/>
                <w:sz w:val="15"/>
                <w:szCs w:val="15"/>
                <w:color w:val="0000FF"/>
              </w:rPr>
            </w:pPr>
            <w:hyperlink r:id="rId274">
              <w:r>
                <w:rPr>
                  <w:rFonts w:ascii="Calibri" w:cs="Calibri" w:eastAsia="Calibri" w:hAnsi="Calibri"/>
                  <w:sz w:val="15"/>
                  <w:szCs w:val="15"/>
                  <w:color w:val="0000FF"/>
                </w:rPr>
                <w:t>Nicole R. Hadas</w:t>
              </w:r>
            </w:hyperlink>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820" w:type="dxa"/>
            <w:vAlign w:val="bottom"/>
            <w:gridSpan w:val="24"/>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10.65†!</w:t>
            </w:r>
          </w:p>
        </w:tc>
        <w:tc>
          <w:tcPr>
            <w:tcW w:w="20" w:type="dxa"/>
            <w:vAlign w:val="bottom"/>
          </w:tcPr>
          <w:p>
            <w:pPr>
              <w:spacing w:after="0"/>
              <w:rPr>
                <w:sz w:val="24"/>
                <w:szCs w:val="24"/>
                <w:color w:val="auto"/>
              </w:rPr>
            </w:pPr>
          </w:p>
        </w:tc>
        <w:tc>
          <w:tcPr>
            <w:tcW w:w="4680" w:type="dxa"/>
            <w:vAlign w:val="bottom"/>
            <w:tcBorders>
              <w:bottom w:val="single" w:sz="8" w:color="0000FF"/>
            </w:tcBorders>
            <w:gridSpan w:val="19"/>
          </w:tcPr>
          <w:p>
            <w:pPr>
              <w:spacing w:after="0"/>
              <w:rPr>
                <w:rFonts w:ascii="Calibri" w:cs="Calibri" w:eastAsia="Calibri" w:hAnsi="Calibri"/>
                <w:sz w:val="16"/>
                <w:szCs w:val="16"/>
                <w:color w:val="0000FF"/>
              </w:rPr>
            </w:pPr>
            <w:hyperlink r:id="rId275">
              <w:r>
                <w:rPr>
                  <w:rFonts w:ascii="Calibri" w:cs="Calibri" w:eastAsia="Calibri" w:hAnsi="Calibri"/>
                  <w:sz w:val="16"/>
                  <w:szCs w:val="16"/>
                  <w:color w:val="0000FF"/>
                </w:rPr>
                <w:t>February 2024 Amendment to Retenton and Separaton Agreement for</w:t>
              </w:r>
            </w:hyperlink>
          </w:p>
        </w:tc>
        <w:tc>
          <w:tcPr>
            <w:tcW w:w="140" w:type="dxa"/>
            <w:vAlign w:val="bottom"/>
            <w:gridSpan w:val="5"/>
          </w:tcPr>
          <w:p>
            <w:pPr>
              <w:spacing w:after="0"/>
              <w:rPr>
                <w:sz w:val="24"/>
                <w:szCs w:val="24"/>
                <w:color w:val="auto"/>
              </w:rPr>
            </w:pPr>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10.67</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March 14, 2024</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gridSpan w:val="3"/>
            <w:vMerge w:val="restart"/>
          </w:tcPr>
          <w:p>
            <w:pPr>
              <w:spacing w:after="0" w:line="142" w:lineRule="exact"/>
              <w:rPr>
                <w:rFonts w:ascii="Calibri" w:cs="Calibri" w:eastAsia="Calibri" w:hAnsi="Calibri"/>
                <w:sz w:val="15"/>
                <w:szCs w:val="15"/>
                <w:color w:val="0000FF"/>
              </w:rPr>
            </w:pPr>
            <w:hyperlink r:id="rId275">
              <w:r>
                <w:rPr>
                  <w:rFonts w:ascii="Calibri" w:cs="Calibri" w:eastAsia="Calibri" w:hAnsi="Calibri"/>
                  <w:sz w:val="15"/>
                  <w:szCs w:val="15"/>
                  <w:color w:val="0000FF"/>
                </w:rPr>
                <w:t>Michel Dahan</w:t>
              </w:r>
            </w:hyperlink>
          </w:p>
        </w:tc>
        <w:tc>
          <w:tcPr>
            <w:tcW w:w="3920" w:type="dxa"/>
            <w:vAlign w:val="bottom"/>
            <w:gridSpan w:val="21"/>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tcBorders>
              <w:bottom w:val="single" w:sz="8" w:color="0000FF"/>
            </w:tcBorders>
            <w:gridSpan w:val="3"/>
            <w:vMerge w:val="continue"/>
          </w:tcPr>
          <w:p>
            <w:pPr>
              <w:spacing w:after="0"/>
              <w:rPr>
                <w:sz w:val="4"/>
                <w:szCs w:val="4"/>
                <w:color w:val="auto"/>
              </w:rPr>
            </w:pPr>
          </w:p>
        </w:tc>
        <w:tc>
          <w:tcPr>
            <w:tcW w:w="3920" w:type="dxa"/>
            <w:vAlign w:val="bottom"/>
            <w:gridSpan w:val="21"/>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10.66†</w:t>
            </w:r>
          </w:p>
        </w:tc>
        <w:tc>
          <w:tcPr>
            <w:tcW w:w="20" w:type="dxa"/>
            <w:vAlign w:val="bottom"/>
          </w:tcPr>
          <w:p>
            <w:pPr>
              <w:spacing w:after="0"/>
              <w:rPr>
                <w:sz w:val="24"/>
                <w:szCs w:val="24"/>
                <w:color w:val="auto"/>
              </w:rPr>
            </w:pPr>
          </w:p>
        </w:tc>
        <w:tc>
          <w:tcPr>
            <w:tcW w:w="4460" w:type="dxa"/>
            <w:vAlign w:val="bottom"/>
            <w:tcBorders>
              <w:bottom w:val="single" w:sz="8" w:color="0000FF"/>
            </w:tcBorders>
            <w:gridSpan w:val="15"/>
          </w:tcPr>
          <w:p>
            <w:pPr>
              <w:spacing w:after="0"/>
              <w:rPr>
                <w:rFonts w:ascii="Calibri" w:cs="Calibri" w:eastAsia="Calibri" w:hAnsi="Calibri"/>
                <w:sz w:val="16"/>
                <w:szCs w:val="16"/>
                <w:color w:val="0000FF"/>
              </w:rPr>
            </w:pPr>
            <w:hyperlink r:id="rId276">
              <w:r>
                <w:rPr>
                  <w:rFonts w:ascii="Calibri" w:cs="Calibri" w:eastAsia="Calibri" w:hAnsi="Calibri"/>
                  <w:sz w:val="16"/>
                  <w:szCs w:val="16"/>
                  <w:color w:val="0000FF"/>
                </w:rPr>
                <w:t>Separaton Agreement with David Spellman, dated June 9, 2023 and</w:t>
              </w:r>
            </w:hyperlink>
          </w:p>
        </w:tc>
        <w:tc>
          <w:tcPr>
            <w:tcW w:w="360" w:type="dxa"/>
            <w:vAlign w:val="bottom"/>
            <w:gridSpan w:val="9"/>
          </w:tcPr>
          <w:p>
            <w:pPr>
              <w:spacing w:after="0"/>
              <w:rPr>
                <w:sz w:val="24"/>
                <w:szCs w:val="24"/>
                <w:color w:val="auto"/>
              </w:rPr>
            </w:pPr>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10.7</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August 28, 2023</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20" w:type="dxa"/>
            <w:vAlign w:val="bottom"/>
            <w:gridSpan w:val="24"/>
            <w:vMerge w:val="restart"/>
          </w:tcPr>
          <w:p>
            <w:pPr>
              <w:spacing w:after="0" w:line="142" w:lineRule="exact"/>
              <w:rPr>
                <w:rFonts w:ascii="Calibri" w:cs="Calibri" w:eastAsia="Calibri" w:hAnsi="Calibri"/>
                <w:sz w:val="15"/>
                <w:szCs w:val="15"/>
                <w:color w:val="0000FF"/>
              </w:rPr>
            </w:pPr>
            <w:hyperlink r:id="rId276">
              <w:r>
                <w:rPr>
                  <w:rFonts w:ascii="Calibri" w:cs="Calibri" w:eastAsia="Calibri" w:hAnsi="Calibri"/>
                  <w:sz w:val="15"/>
                  <w:szCs w:val="15"/>
                  <w:color w:val="0000FF"/>
                </w:rPr>
                <w:t>Amendment to Separaton Agreement dated July 6, 2023</w:t>
              </w:r>
            </w:hyperlink>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820" w:type="dxa"/>
            <w:vAlign w:val="bottom"/>
            <w:gridSpan w:val="24"/>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2400" w:type="dxa"/>
            <w:vAlign w:val="bottom"/>
            <w:tcBorders>
              <w:right w:val="single" w:sz="8" w:color="0000FF"/>
            </w:tcBorders>
            <w:gridSpan w:val="4"/>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10.67†</w:t>
            </w:r>
          </w:p>
        </w:tc>
        <w:tc>
          <w:tcPr>
            <w:tcW w:w="20" w:type="dxa"/>
            <w:vAlign w:val="bottom"/>
          </w:tcPr>
          <w:p>
            <w:pPr>
              <w:spacing w:after="0"/>
              <w:rPr>
                <w:sz w:val="24"/>
                <w:szCs w:val="24"/>
                <w:color w:val="auto"/>
              </w:rPr>
            </w:pPr>
          </w:p>
        </w:tc>
        <w:tc>
          <w:tcPr>
            <w:tcW w:w="4060" w:type="dxa"/>
            <w:vAlign w:val="bottom"/>
            <w:tcBorders>
              <w:bottom w:val="single" w:sz="8" w:color="0000FF"/>
            </w:tcBorders>
            <w:gridSpan w:val="10"/>
          </w:tcPr>
          <w:p>
            <w:pPr>
              <w:spacing w:after="0"/>
              <w:rPr>
                <w:rFonts w:ascii="Calibri" w:cs="Calibri" w:eastAsia="Calibri" w:hAnsi="Calibri"/>
                <w:sz w:val="16"/>
                <w:szCs w:val="16"/>
                <w:color w:val="0000FF"/>
              </w:rPr>
            </w:pPr>
            <w:hyperlink r:id="rId277">
              <w:r>
                <w:rPr>
                  <w:rFonts w:ascii="Calibri" w:cs="Calibri" w:eastAsia="Calibri" w:hAnsi="Calibri"/>
                  <w:sz w:val="16"/>
                  <w:szCs w:val="16"/>
                  <w:color w:val="0000FF"/>
                </w:rPr>
                <w:t>Separaton Agreement with Ellen Snow, dated March 15, 2024</w:t>
              </w:r>
            </w:hyperlink>
          </w:p>
        </w:tc>
        <w:tc>
          <w:tcPr>
            <w:tcW w:w="760" w:type="dxa"/>
            <w:vAlign w:val="bottom"/>
            <w:gridSpan w:val="14"/>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Calibri" w:cs="Calibri" w:eastAsia="Calibri" w:hAnsi="Calibri"/>
                <w:sz w:val="16"/>
                <w:szCs w:val="16"/>
                <w:color w:val="auto"/>
              </w:rPr>
              <w:t>10.11</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Calibri" w:cs="Calibri" w:eastAsia="Calibri" w:hAnsi="Calibri"/>
                <w:sz w:val="16"/>
                <w:szCs w:val="16"/>
                <w:color w:val="auto"/>
                <w:w w:val="99"/>
              </w:rPr>
              <w:t>May 9, 2024</w:t>
            </w:r>
          </w:p>
        </w:tc>
        <w:tc>
          <w:tcPr>
            <w:tcW w:w="0" w:type="dxa"/>
            <w:vAlign w:val="bottom"/>
          </w:tcPr>
          <w:p>
            <w:pPr>
              <w:spacing w:after="0"/>
              <w:rPr>
                <w:sz w:val="1"/>
                <w:szCs w:val="1"/>
                <w:color w:val="auto"/>
              </w:rPr>
            </w:pPr>
          </w:p>
        </w:tc>
      </w:tr>
      <w:tr>
        <w:trPr>
          <w:trHeight w:val="466"/>
        </w:trPr>
        <w:tc>
          <w:tcPr>
            <w:tcW w:w="1040" w:type="dxa"/>
            <w:vAlign w:val="bottom"/>
          </w:tcPr>
          <w:p>
            <w:pPr>
              <w:ind w:left="180"/>
              <w:spacing w:after="0"/>
              <w:rPr>
                <w:sz w:val="20"/>
                <w:szCs w:val="20"/>
                <w:color w:val="auto"/>
              </w:rPr>
            </w:pPr>
            <w:r>
              <w:rPr>
                <w:rFonts w:ascii="Calibri" w:cs="Calibri" w:eastAsia="Calibri" w:hAnsi="Calibri"/>
                <w:sz w:val="16"/>
                <w:szCs w:val="16"/>
                <w:color w:val="auto"/>
              </w:rPr>
              <w:t>10.68</w:t>
            </w:r>
            <w:r>
              <w:rPr>
                <w:rFonts w:ascii="Calibri" w:cs="Calibri" w:eastAsia="Calibri" w:hAnsi="Calibri"/>
                <w:sz w:val="16"/>
                <w:szCs w:val="16"/>
                <w:b w:val="1"/>
                <w:bCs w:val="1"/>
                <w:color w:val="auto"/>
              </w:rPr>
              <w:t>!</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24"/>
          </w:tcPr>
          <w:p>
            <w:pPr>
              <w:spacing w:after="0"/>
              <w:rPr>
                <w:rFonts w:ascii="Calibri" w:cs="Calibri" w:eastAsia="Calibri" w:hAnsi="Calibri"/>
                <w:sz w:val="16"/>
                <w:szCs w:val="16"/>
                <w:color w:val="0000FF"/>
              </w:rPr>
            </w:pPr>
            <w:hyperlink r:id="rId278">
              <w:r>
                <w:rPr>
                  <w:rFonts w:ascii="Calibri" w:cs="Calibri" w:eastAsia="Calibri" w:hAnsi="Calibri"/>
                  <w:sz w:val="16"/>
                  <w:szCs w:val="16"/>
                  <w:color w:val="0000FF"/>
                </w:rPr>
                <w:t>Collaboraton Agreement between Akebia Therapeutcs, Inc. and</w:t>
              </w:r>
            </w:hyperlink>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10.49</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March 1, 2022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340" w:type="dxa"/>
            <w:vAlign w:val="bottom"/>
            <w:gridSpan w:val="12"/>
            <w:vMerge w:val="restart"/>
          </w:tcPr>
          <w:p>
            <w:pPr>
              <w:spacing w:after="0" w:line="142" w:lineRule="exact"/>
              <w:rPr>
                <w:rFonts w:ascii="Calibri" w:cs="Calibri" w:eastAsia="Calibri" w:hAnsi="Calibri"/>
                <w:sz w:val="15"/>
                <w:szCs w:val="15"/>
                <w:color w:val="0000FF"/>
              </w:rPr>
            </w:pPr>
            <w:hyperlink r:id="rId278">
              <w:r>
                <w:rPr>
                  <w:rFonts w:ascii="Calibri" w:cs="Calibri" w:eastAsia="Calibri" w:hAnsi="Calibri"/>
                  <w:sz w:val="15"/>
                  <w:szCs w:val="15"/>
                  <w:color w:val="0000FF"/>
                </w:rPr>
                <w:t>Mitsubishi Tanabe Pharma Corporaton, dated December 11, 2015</w:t>
              </w:r>
            </w:hyperlink>
          </w:p>
        </w:tc>
        <w:tc>
          <w:tcPr>
            <w:tcW w:w="480" w:type="dxa"/>
            <w:vAlign w:val="bottom"/>
            <w:gridSpan w:val="12"/>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340" w:type="dxa"/>
            <w:vAlign w:val="bottom"/>
            <w:tcBorders>
              <w:bottom w:val="single" w:sz="8" w:color="0000FF"/>
            </w:tcBorders>
            <w:gridSpan w:val="12"/>
            <w:vMerge w:val="continue"/>
          </w:tcPr>
          <w:p>
            <w:pPr>
              <w:spacing w:after="0"/>
              <w:rPr>
                <w:sz w:val="4"/>
                <w:szCs w:val="4"/>
                <w:color w:val="auto"/>
              </w:rPr>
            </w:pPr>
          </w:p>
        </w:tc>
        <w:tc>
          <w:tcPr>
            <w:tcW w:w="480" w:type="dxa"/>
            <w:vAlign w:val="bottom"/>
            <w:gridSpan w:val="12"/>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1040" w:type="dxa"/>
            <w:vAlign w:val="bottom"/>
          </w:tcPr>
          <w:p>
            <w:pPr>
              <w:ind w:left="140"/>
              <w:spacing w:after="0"/>
              <w:rPr>
                <w:sz w:val="20"/>
                <w:szCs w:val="20"/>
                <w:color w:val="auto"/>
              </w:rPr>
            </w:pPr>
            <w:r>
              <w:rPr>
                <w:rFonts w:ascii="Calibri" w:cs="Calibri" w:eastAsia="Calibri" w:hAnsi="Calibri"/>
                <w:sz w:val="16"/>
                <w:szCs w:val="16"/>
                <w:color w:val="auto"/>
              </w:rPr>
              <w:t>10.69#</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24"/>
          </w:tcPr>
          <w:p>
            <w:pPr>
              <w:spacing w:after="0"/>
              <w:rPr>
                <w:rFonts w:ascii="Calibri" w:cs="Calibri" w:eastAsia="Calibri" w:hAnsi="Calibri"/>
                <w:sz w:val="16"/>
                <w:szCs w:val="16"/>
                <w:color w:val="0000FF"/>
              </w:rPr>
            </w:pPr>
            <w:hyperlink r:id="rId279">
              <w:r>
                <w:rPr>
                  <w:rFonts w:ascii="Calibri" w:cs="Calibri" w:eastAsia="Calibri" w:hAnsi="Calibri"/>
                  <w:sz w:val="16"/>
                  <w:szCs w:val="16"/>
                  <w:color w:val="0000FF"/>
                </w:rPr>
                <w:t>Leter Agreement between Akebia Therapeutcs, Inc. and Mitsubishi</w:t>
              </w:r>
            </w:hyperlink>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10.1</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November 8, 2017</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3720" w:type="dxa"/>
            <w:vAlign w:val="bottom"/>
            <w:tcBorders>
              <w:top w:val="single" w:sz="8" w:color="0000FF"/>
            </w:tcBorders>
            <w:gridSpan w:val="9"/>
            <w:vMerge w:val="restart"/>
          </w:tcPr>
          <w:p>
            <w:pPr>
              <w:spacing w:after="0" w:line="142" w:lineRule="exact"/>
              <w:rPr>
                <w:rFonts w:ascii="Calibri" w:cs="Calibri" w:eastAsia="Calibri" w:hAnsi="Calibri"/>
                <w:sz w:val="15"/>
                <w:szCs w:val="15"/>
                <w:color w:val="0000FF"/>
              </w:rPr>
            </w:pPr>
            <w:hyperlink r:id="rId279">
              <w:r>
                <w:rPr>
                  <w:rFonts w:ascii="Calibri" w:cs="Calibri" w:eastAsia="Calibri" w:hAnsi="Calibri"/>
                  <w:sz w:val="15"/>
                  <w:szCs w:val="15"/>
                  <w:color w:val="0000FF"/>
                </w:rPr>
                <w:t>Tanabe Pharma Corporaton, dated September 26, 2017</w:t>
              </w:r>
            </w:hyperlink>
          </w:p>
        </w:tc>
        <w:tc>
          <w:tcPr>
            <w:tcW w:w="720" w:type="dxa"/>
            <w:vAlign w:val="bottom"/>
            <w:tcBorders>
              <w:top w:val="single" w:sz="8" w:color="0000FF"/>
            </w:tcBorders>
            <w:gridSpan w:val="5"/>
            <w:vMerge w:val="restart"/>
          </w:tcPr>
          <w:p>
            <w:pPr>
              <w:spacing w:after="0"/>
              <w:rPr>
                <w:sz w:val="7"/>
                <w:szCs w:val="7"/>
                <w:color w:val="auto"/>
              </w:rPr>
            </w:pPr>
          </w:p>
        </w:tc>
        <w:tc>
          <w:tcPr>
            <w:tcW w:w="380" w:type="dxa"/>
            <w:vAlign w:val="bottom"/>
            <w:gridSpan w:val="10"/>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3720" w:type="dxa"/>
            <w:vAlign w:val="bottom"/>
            <w:tcBorders>
              <w:bottom w:val="single" w:sz="8" w:color="0000FF"/>
            </w:tcBorders>
            <w:gridSpan w:val="9"/>
            <w:vMerge w:val="continue"/>
          </w:tcPr>
          <w:p>
            <w:pPr>
              <w:spacing w:after="0"/>
              <w:rPr>
                <w:sz w:val="4"/>
                <w:szCs w:val="4"/>
                <w:color w:val="auto"/>
              </w:rPr>
            </w:pPr>
          </w:p>
        </w:tc>
        <w:tc>
          <w:tcPr>
            <w:tcW w:w="720" w:type="dxa"/>
            <w:vAlign w:val="bottom"/>
            <w:gridSpan w:val="5"/>
            <w:vMerge w:val="continue"/>
          </w:tcPr>
          <w:p>
            <w:pPr>
              <w:spacing w:after="0"/>
              <w:rPr>
                <w:sz w:val="4"/>
                <w:szCs w:val="4"/>
                <w:color w:val="auto"/>
              </w:rPr>
            </w:pPr>
          </w:p>
        </w:tc>
        <w:tc>
          <w:tcPr>
            <w:tcW w:w="380" w:type="dxa"/>
            <w:vAlign w:val="bottom"/>
            <w:gridSpan w:val="10"/>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1040" w:type="dxa"/>
            <w:vAlign w:val="bottom"/>
          </w:tcPr>
          <w:p>
            <w:pPr>
              <w:ind w:left="180"/>
              <w:spacing w:after="0"/>
              <w:rPr>
                <w:sz w:val="20"/>
                <w:szCs w:val="20"/>
                <w:color w:val="auto"/>
              </w:rPr>
            </w:pPr>
            <w:r>
              <w:rPr>
                <w:rFonts w:ascii="Calibri" w:cs="Calibri" w:eastAsia="Calibri" w:hAnsi="Calibri"/>
                <w:sz w:val="16"/>
                <w:szCs w:val="16"/>
                <w:color w:val="auto"/>
              </w:rPr>
              <w:t>10.70!</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tcBorders>
              <w:bottom w:val="single" w:sz="8" w:color="0000FF"/>
            </w:tcBorders>
            <w:gridSpan w:val="13"/>
          </w:tcPr>
          <w:p>
            <w:pPr>
              <w:spacing w:after="0"/>
              <w:rPr>
                <w:rFonts w:ascii="Calibri" w:cs="Calibri" w:eastAsia="Calibri" w:hAnsi="Calibri"/>
                <w:sz w:val="16"/>
                <w:szCs w:val="16"/>
                <w:color w:val="0000FF"/>
              </w:rPr>
            </w:pPr>
            <w:hyperlink r:id="rId280">
              <w:r>
                <w:rPr>
                  <w:rFonts w:ascii="Calibri" w:cs="Calibri" w:eastAsia="Calibri" w:hAnsi="Calibri"/>
                  <w:sz w:val="16"/>
                  <w:szCs w:val="16"/>
                  <w:color w:val="0000FF"/>
                </w:rPr>
                <w:t>Amendment No. 1 to Collaboraton Agreement, dated December 2,</w:t>
              </w:r>
            </w:hyperlink>
          </w:p>
        </w:tc>
        <w:tc>
          <w:tcPr>
            <w:tcW w:w="420" w:type="dxa"/>
            <w:vAlign w:val="bottom"/>
            <w:gridSpan w:val="11"/>
          </w:tcPr>
          <w:p>
            <w:pPr>
              <w:spacing w:after="0"/>
              <w:rPr>
                <w:sz w:val="24"/>
                <w:szCs w:val="24"/>
                <w:color w:val="auto"/>
              </w:rPr>
            </w:pPr>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10.53</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March 10, 2022</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20" w:type="dxa"/>
            <w:vAlign w:val="bottom"/>
            <w:gridSpan w:val="24"/>
          </w:tcPr>
          <w:p>
            <w:pPr>
              <w:spacing w:after="0" w:line="142" w:lineRule="exact"/>
              <w:rPr>
                <w:rFonts w:ascii="Calibri" w:cs="Calibri" w:eastAsia="Calibri" w:hAnsi="Calibri"/>
                <w:sz w:val="15"/>
                <w:szCs w:val="15"/>
                <w:color w:val="0000FF"/>
              </w:rPr>
            </w:pPr>
            <w:hyperlink r:id="rId280">
              <w:r>
                <w:rPr>
                  <w:rFonts w:ascii="Calibri" w:cs="Calibri" w:eastAsia="Calibri" w:hAnsi="Calibri"/>
                  <w:sz w:val="15"/>
                  <w:szCs w:val="15"/>
                  <w:color w:val="0000FF"/>
                </w:rPr>
                <w:t>2022, by and between Akebia Therapeutcs, Inc. and Mitsubishi Tanabe</w:t>
              </w:r>
            </w:hyperlink>
          </w:p>
        </w:tc>
        <w:tc>
          <w:tcPr>
            <w:tcW w:w="10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40" w:type="dxa"/>
            <w:vAlign w:val="bottom"/>
            <w:tcBorders>
              <w:top w:val="single" w:sz="8" w:color="0000FF"/>
            </w:tcBorders>
            <w:gridSpan w:val="17"/>
          </w:tcPr>
          <w:p>
            <w:pPr>
              <w:spacing w:after="0" w:line="142" w:lineRule="exact"/>
              <w:rPr>
                <w:rFonts w:ascii="Calibri" w:cs="Calibri" w:eastAsia="Calibri" w:hAnsi="Calibri"/>
                <w:sz w:val="15"/>
                <w:szCs w:val="15"/>
                <w:color w:val="0000FF"/>
              </w:rPr>
            </w:pPr>
            <w:hyperlink r:id="rId280">
              <w:r>
                <w:rPr>
                  <w:rFonts w:ascii="Calibri" w:cs="Calibri" w:eastAsia="Calibri" w:hAnsi="Calibri"/>
                  <w:sz w:val="15"/>
                  <w:szCs w:val="15"/>
                  <w:color w:val="0000FF"/>
                </w:rPr>
                <w:t>Pharma Corporaton</w:t>
              </w:r>
            </w:hyperlink>
          </w:p>
        </w:tc>
        <w:tc>
          <w:tcPr>
            <w:tcW w:w="2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60" w:type="dxa"/>
            <w:vAlign w:val="bottom"/>
            <w:gridSpan w:val="2"/>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3340" w:type="dxa"/>
            <w:vAlign w:val="bottom"/>
            <w:gridSpan w:val="1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40" w:type="dxa"/>
            <w:vAlign w:val="bottom"/>
          </w:tcPr>
          <w:p>
            <w:pPr>
              <w:ind w:left="140"/>
              <w:spacing w:after="0"/>
              <w:rPr>
                <w:sz w:val="20"/>
                <w:szCs w:val="20"/>
                <w:color w:val="auto"/>
              </w:rPr>
            </w:pPr>
            <w:r>
              <w:rPr>
                <w:rFonts w:ascii="Calibri" w:cs="Calibri" w:eastAsia="Calibri" w:hAnsi="Calibri"/>
                <w:sz w:val="16"/>
                <w:szCs w:val="16"/>
                <w:color w:val="auto"/>
              </w:rPr>
              <w:t>10.71!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24"/>
          </w:tcPr>
          <w:p>
            <w:pPr>
              <w:spacing w:after="0"/>
              <w:rPr>
                <w:rFonts w:ascii="Calibri" w:cs="Calibri" w:eastAsia="Calibri" w:hAnsi="Calibri"/>
                <w:sz w:val="16"/>
                <w:szCs w:val="16"/>
                <w:color w:val="0000FF"/>
              </w:rPr>
            </w:pPr>
            <w:hyperlink r:id="rId281">
              <w:r>
                <w:rPr>
                  <w:rFonts w:ascii="Calibri" w:cs="Calibri" w:eastAsia="Calibri" w:hAnsi="Calibri"/>
                  <w:sz w:val="16"/>
                  <w:szCs w:val="16"/>
                  <w:color w:val="0000FF"/>
                </w:rPr>
                <w:t>Second Amended and Restated License Agreement, dated February 18,</w:t>
              </w:r>
            </w:hyperlink>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10.54</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March 1, 2022</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60" w:type="dxa"/>
            <w:vAlign w:val="bottom"/>
            <w:tcBorders>
              <w:top w:val="single" w:sz="8" w:color="0000FF"/>
              <w:bottom w:val="single" w:sz="8" w:color="0000FF"/>
            </w:tcBorders>
            <w:gridSpan w:val="18"/>
          </w:tcPr>
          <w:p>
            <w:pPr>
              <w:spacing w:after="0" w:line="142" w:lineRule="exact"/>
              <w:rPr>
                <w:rFonts w:ascii="Calibri" w:cs="Calibri" w:eastAsia="Calibri" w:hAnsi="Calibri"/>
                <w:sz w:val="15"/>
                <w:szCs w:val="15"/>
                <w:color w:val="0000FF"/>
              </w:rPr>
            </w:pPr>
            <w:hyperlink r:id="rId281">
              <w:r>
                <w:rPr>
                  <w:rFonts w:ascii="Calibri" w:cs="Calibri" w:eastAsia="Calibri" w:hAnsi="Calibri"/>
                  <w:sz w:val="15"/>
                  <w:szCs w:val="15"/>
                  <w:color w:val="0000FF"/>
                </w:rPr>
                <w:t>2022, by and between Akebia Therapeutcs, Inc. and Vifor (Internatonal)</w:t>
              </w:r>
            </w:hyperlink>
          </w:p>
        </w:tc>
        <w:tc>
          <w:tcPr>
            <w:tcW w:w="100" w:type="dxa"/>
            <w:vAlign w:val="bottom"/>
            <w:tcBorders>
              <w:bottom w:val="single" w:sz="8" w:color="0000FF"/>
            </w:tcBorders>
            <w:gridSpan w:val="4"/>
          </w:tcPr>
          <w:p>
            <w:pPr>
              <w:spacing w:after="0"/>
              <w:rPr>
                <w:sz w:val="12"/>
                <w:szCs w:val="12"/>
                <w:color w:val="auto"/>
              </w:rPr>
            </w:pPr>
          </w:p>
        </w:tc>
        <w:tc>
          <w:tcPr>
            <w:tcW w:w="60" w:type="dxa"/>
            <w:vAlign w:val="bottom"/>
            <w:gridSpan w:val="2"/>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spacing w:after="0" w:line="142" w:lineRule="exact"/>
              <w:rPr>
                <w:rFonts w:ascii="Calibri" w:cs="Calibri" w:eastAsia="Calibri" w:hAnsi="Calibri"/>
                <w:sz w:val="15"/>
                <w:szCs w:val="15"/>
                <w:color w:val="0000FF"/>
                <w:w w:val="95"/>
              </w:rPr>
            </w:pPr>
            <w:hyperlink r:id="rId281">
              <w:r>
                <w:rPr>
                  <w:rFonts w:ascii="Calibri" w:cs="Calibri" w:eastAsia="Calibri" w:hAnsi="Calibri"/>
                  <w:sz w:val="15"/>
                  <w:szCs w:val="15"/>
                  <w:color w:val="0000FF"/>
                  <w:w w:val="95"/>
                </w:rPr>
                <w:t>Ltd.</w:t>
              </w:r>
            </w:hyperlink>
          </w:p>
        </w:tc>
        <w:tc>
          <w:tcPr>
            <w:tcW w:w="4520" w:type="dxa"/>
            <w:vAlign w:val="bottom"/>
            <w:gridSpan w:val="21"/>
          </w:tcPr>
          <w:p>
            <w:pPr>
              <w:spacing w:after="0"/>
              <w:rPr>
                <w:sz w:val="12"/>
                <w:szCs w:val="12"/>
                <w:color w:val="auto"/>
              </w:rPr>
            </w:pPr>
          </w:p>
        </w:tc>
        <w:tc>
          <w:tcPr>
            <w:tcW w:w="60" w:type="dxa"/>
            <w:vAlign w:val="bottom"/>
            <w:gridSpan w:val="2"/>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Akebia Therapeutcs, Inc. | Form 10-K | Page 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76" w:name="page177"/>
    <w:bookmarkEnd w:id="176"/>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4"/>
          </w:tcPr>
          <w:p>
            <w:pPr>
              <w:ind w:left="500"/>
              <w:spacing w:after="0"/>
              <w:rPr>
                <w:sz w:val="20"/>
                <w:szCs w:val="20"/>
                <w:color w:val="auto"/>
              </w:rPr>
            </w:pPr>
            <w:r>
              <w:rPr>
                <w:rFonts w:ascii="Calibri" w:cs="Calibri" w:eastAsia="Calibri" w:hAnsi="Calibri"/>
                <w:sz w:val="16"/>
                <w:szCs w:val="16"/>
                <w:color w:val="auto"/>
                <w:w w:val="99"/>
              </w:rPr>
              <w:t>Incorporated by Reference</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460" w:type="dxa"/>
            <w:vAlign w:val="bottom"/>
            <w:gridSpan w:val="2"/>
            <w:vMerge w:val="restart"/>
          </w:tcPr>
          <w:p>
            <w:pPr>
              <w:ind w:left="20"/>
              <w:spacing w:after="0"/>
              <w:rPr>
                <w:sz w:val="20"/>
                <w:szCs w:val="20"/>
                <w:color w:val="auto"/>
              </w:rPr>
            </w:pPr>
            <w:r>
              <w:rPr>
                <w:rFonts w:ascii="Calibri" w:cs="Calibri" w:eastAsia="Calibri" w:hAnsi="Calibri"/>
                <w:sz w:val="16"/>
                <w:szCs w:val="16"/>
                <w:b w:val="1"/>
                <w:bCs w:val="1"/>
                <w:color w:val="auto"/>
              </w:rPr>
              <w:t>Exhibit</w:t>
            </w: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4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100"/>
              <w:spacing w:after="0" w:line="150" w:lineRule="exact"/>
              <w:rPr>
                <w:sz w:val="20"/>
                <w:szCs w:val="20"/>
                <w:color w:val="auto"/>
              </w:rPr>
            </w:pPr>
            <w:r>
              <w:rPr>
                <w:rFonts w:ascii="Calibri" w:cs="Calibri" w:eastAsia="Calibri" w:hAnsi="Calibri"/>
                <w:sz w:val="16"/>
                <w:szCs w:val="16"/>
                <w:color w:val="auto"/>
              </w:rPr>
              <w:t>Schedule/</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center"/>
              <w:spacing w:after="0" w:line="150" w:lineRule="exact"/>
              <w:rPr>
                <w:sz w:val="20"/>
                <w:szCs w:val="20"/>
                <w:color w:val="auto"/>
              </w:rPr>
            </w:pPr>
            <w:r>
              <w:rPr>
                <w:rFonts w:ascii="Calibri" w:cs="Calibri" w:eastAsia="Calibri" w:hAnsi="Calibri"/>
                <w:sz w:val="16"/>
                <w:szCs w:val="16"/>
                <w:color w:val="auto"/>
              </w:rPr>
              <w:t>Filed Date/ Period End</w:t>
            </w:r>
          </w:p>
        </w:tc>
        <w:tc>
          <w:tcPr>
            <w:tcW w:w="0" w:type="dxa"/>
            <w:vAlign w:val="bottom"/>
          </w:tcPr>
          <w:p>
            <w:pPr>
              <w:spacing w:after="0"/>
              <w:rPr>
                <w:sz w:val="1"/>
                <w:szCs w:val="1"/>
                <w:color w:val="auto"/>
              </w:rPr>
            </w:pPr>
          </w:p>
        </w:tc>
      </w:tr>
      <w:tr>
        <w:trPr>
          <w:trHeight w:val="193"/>
        </w:trPr>
        <w:tc>
          <w:tcPr>
            <w:tcW w:w="1460" w:type="dxa"/>
            <w:vAlign w:val="bottom"/>
            <w:gridSpan w:val="2"/>
          </w:tcPr>
          <w:p>
            <w:pPr>
              <w:ind w:left="20"/>
              <w:spacing w:after="0" w:line="193" w:lineRule="exact"/>
              <w:rPr>
                <w:sz w:val="20"/>
                <w:szCs w:val="20"/>
                <w:color w:val="auto"/>
              </w:rPr>
            </w:pPr>
            <w:r>
              <w:rPr>
                <w:rFonts w:ascii="Calibri" w:cs="Calibri" w:eastAsia="Calibri" w:hAnsi="Calibri"/>
                <w:sz w:val="16"/>
                <w:szCs w:val="16"/>
                <w:b w:val="1"/>
                <w:bCs w:val="1"/>
                <w:color w:val="auto"/>
              </w:rPr>
              <w:t>Number</w:t>
            </w:r>
          </w:p>
        </w:tc>
        <w:tc>
          <w:tcPr>
            <w:tcW w:w="20" w:type="dxa"/>
            <w:vAlign w:val="bottom"/>
          </w:tcPr>
          <w:p>
            <w:pPr>
              <w:spacing w:after="0"/>
              <w:rPr>
                <w:sz w:val="16"/>
                <w:szCs w:val="16"/>
                <w:color w:val="auto"/>
              </w:rPr>
            </w:pPr>
          </w:p>
        </w:tc>
        <w:tc>
          <w:tcPr>
            <w:tcW w:w="4820" w:type="dxa"/>
            <w:vAlign w:val="bottom"/>
            <w:gridSpan w:val="27"/>
          </w:tcPr>
          <w:p>
            <w:pPr>
              <w:spacing w:after="0" w:line="193" w:lineRule="exact"/>
              <w:rPr>
                <w:sz w:val="20"/>
                <w:szCs w:val="20"/>
                <w:color w:val="auto"/>
              </w:rPr>
            </w:pPr>
            <w:r>
              <w:rPr>
                <w:rFonts w:ascii="Calibri" w:cs="Calibri" w:eastAsia="Calibri" w:hAnsi="Calibri"/>
                <w:sz w:val="16"/>
                <w:szCs w:val="16"/>
                <w:b w:val="1"/>
                <w:bCs w:val="1"/>
                <w:color w:val="auto"/>
              </w:rPr>
              <w:t>Descripton of Exhibit</w:t>
            </w:r>
          </w:p>
        </w:tc>
        <w:tc>
          <w:tcPr>
            <w:tcW w:w="1080" w:type="dxa"/>
            <w:vAlign w:val="bottom"/>
            <w:gridSpan w:val="2"/>
          </w:tcPr>
          <w:p>
            <w:pPr>
              <w:jc w:val="center"/>
              <w:ind w:right="100"/>
              <w:spacing w:after="0" w:line="193" w:lineRule="exact"/>
              <w:rPr>
                <w:sz w:val="20"/>
                <w:szCs w:val="20"/>
                <w:color w:val="auto"/>
              </w:rPr>
            </w:pPr>
            <w:r>
              <w:rPr>
                <w:rFonts w:ascii="Calibri" w:cs="Calibri" w:eastAsia="Calibri" w:hAnsi="Calibri"/>
                <w:sz w:val="16"/>
                <w:szCs w:val="16"/>
                <w:color w:val="auto"/>
                <w:w w:val="99"/>
              </w:rPr>
              <w:t>Form</w:t>
            </w:r>
          </w:p>
        </w:tc>
        <w:tc>
          <w:tcPr>
            <w:tcW w:w="1260" w:type="dxa"/>
            <w:vAlign w:val="bottom"/>
            <w:gridSpan w:val="2"/>
          </w:tcPr>
          <w:p>
            <w:pPr>
              <w:ind w:left="340"/>
              <w:spacing w:after="0" w:line="193" w:lineRule="exact"/>
              <w:rPr>
                <w:sz w:val="20"/>
                <w:szCs w:val="20"/>
                <w:color w:val="auto"/>
              </w:rPr>
            </w:pPr>
            <w:r>
              <w:rPr>
                <w:rFonts w:ascii="Calibri" w:cs="Calibri" w:eastAsia="Calibri" w:hAnsi="Calibri"/>
                <w:sz w:val="16"/>
                <w:szCs w:val="16"/>
                <w:color w:val="auto"/>
              </w:rPr>
              <w:t>File No.</w:t>
            </w:r>
          </w:p>
        </w:tc>
        <w:tc>
          <w:tcPr>
            <w:tcW w:w="1000" w:type="dxa"/>
            <w:vAlign w:val="bottom"/>
            <w:gridSpan w:val="2"/>
          </w:tcPr>
          <w:p>
            <w:pPr>
              <w:ind w:left="220"/>
              <w:spacing w:after="0" w:line="193" w:lineRule="exact"/>
              <w:rPr>
                <w:sz w:val="20"/>
                <w:szCs w:val="20"/>
                <w:color w:val="auto"/>
              </w:rPr>
            </w:pPr>
            <w:r>
              <w:rPr>
                <w:rFonts w:ascii="Calibri" w:cs="Calibri" w:eastAsia="Calibri" w:hAnsi="Calibri"/>
                <w:sz w:val="16"/>
                <w:szCs w:val="16"/>
                <w:color w:val="auto"/>
              </w:rPr>
              <w:t>Exhibit</w:t>
            </w:r>
          </w:p>
        </w:tc>
        <w:tc>
          <w:tcPr>
            <w:tcW w:w="1580" w:type="dxa"/>
            <w:vAlign w:val="bottom"/>
          </w:tcPr>
          <w:p>
            <w:pPr>
              <w:jc w:val="center"/>
              <w:spacing w:after="0" w:line="193" w:lineRule="exact"/>
              <w:rPr>
                <w:sz w:val="20"/>
                <w:szCs w:val="20"/>
                <w:color w:val="auto"/>
              </w:rPr>
            </w:pPr>
            <w:r>
              <w:rPr>
                <w:rFonts w:ascii="Calibri" w:cs="Calibri" w:eastAsia="Calibri" w:hAnsi="Calibri"/>
                <w:sz w:val="16"/>
                <w:szCs w:val="16"/>
                <w:color w:val="auto"/>
              </w:rPr>
              <w:t>Date</w:t>
            </w:r>
          </w:p>
        </w:tc>
        <w:tc>
          <w:tcPr>
            <w:tcW w:w="0" w:type="dxa"/>
            <w:vAlign w:val="bottom"/>
          </w:tcPr>
          <w:p>
            <w:pPr>
              <w:spacing w:after="0"/>
              <w:rPr>
                <w:sz w:val="1"/>
                <w:szCs w:val="1"/>
                <w:color w:val="auto"/>
              </w:rPr>
            </w:pPr>
          </w:p>
        </w:tc>
      </w:tr>
      <w:tr>
        <w:trPr>
          <w:trHeight w:val="28"/>
        </w:trPr>
        <w:tc>
          <w:tcPr>
            <w:tcW w:w="10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040" w:type="dxa"/>
            <w:vAlign w:val="bottom"/>
          </w:tcPr>
          <w:p>
            <w:pPr>
              <w:ind w:left="140"/>
              <w:spacing w:after="0" w:line="156" w:lineRule="exact"/>
              <w:rPr>
                <w:sz w:val="20"/>
                <w:szCs w:val="20"/>
                <w:color w:val="auto"/>
              </w:rPr>
            </w:pPr>
            <w:r>
              <w:rPr>
                <w:rFonts w:ascii="Calibri" w:cs="Calibri" w:eastAsia="Calibri" w:hAnsi="Calibri"/>
                <w:sz w:val="16"/>
                <w:szCs w:val="16"/>
                <w:color w:val="auto"/>
              </w:rPr>
              <w:t>10.72!</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gridSpan w:val="27"/>
          </w:tcPr>
          <w:p>
            <w:pPr>
              <w:spacing w:after="0" w:line="156" w:lineRule="exact"/>
              <w:rPr>
                <w:rFonts w:ascii="Calibri" w:cs="Calibri" w:eastAsia="Calibri" w:hAnsi="Calibri"/>
                <w:sz w:val="16"/>
                <w:szCs w:val="16"/>
                <w:color w:val="0000FF"/>
              </w:rPr>
            </w:pPr>
            <w:hyperlink r:id="rId283">
              <w:r>
                <w:rPr>
                  <w:rFonts w:ascii="Calibri" w:cs="Calibri" w:eastAsia="Calibri" w:hAnsi="Calibri"/>
                  <w:sz w:val="16"/>
                  <w:szCs w:val="16"/>
                  <w:color w:val="0000FF"/>
                </w:rPr>
                <w:t>Amendment #1 to Second Amended and Restated License Agreement,</w:t>
              </w:r>
            </w:hyperlink>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10.3</w:t>
            </w:r>
          </w:p>
        </w:tc>
        <w:tc>
          <w:tcPr>
            <w:tcW w:w="120" w:type="dxa"/>
            <w:vAlign w:val="bottom"/>
          </w:tcPr>
          <w:p>
            <w:pPr>
              <w:spacing w:after="0"/>
              <w:rPr>
                <w:sz w:val="13"/>
                <w:szCs w:val="13"/>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August 8, 2024</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0" w:type="dxa"/>
            <w:vAlign w:val="bottom"/>
            <w:tcBorders>
              <w:top w:val="single" w:sz="8" w:color="0000FF"/>
              <w:bottom w:val="single" w:sz="8" w:color="0000FF"/>
            </w:tcBorders>
            <w:gridSpan w:val="18"/>
          </w:tcPr>
          <w:p>
            <w:pPr>
              <w:spacing w:after="0" w:line="142" w:lineRule="exact"/>
              <w:rPr>
                <w:rFonts w:ascii="Calibri" w:cs="Calibri" w:eastAsia="Calibri" w:hAnsi="Calibri"/>
                <w:sz w:val="15"/>
                <w:szCs w:val="15"/>
                <w:color w:val="0000FF"/>
              </w:rPr>
            </w:pPr>
            <w:hyperlink r:id="rId283">
              <w:r>
                <w:rPr>
                  <w:rFonts w:ascii="Calibri" w:cs="Calibri" w:eastAsia="Calibri" w:hAnsi="Calibri"/>
                  <w:sz w:val="15"/>
                  <w:szCs w:val="15"/>
                  <w:color w:val="0000FF"/>
                </w:rPr>
                <w:t>dated May 3, 2024, by and between Akebia Therapeutcs, Inc. and Vifor</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Borders>
              <w:bottom w:val="single" w:sz="8" w:color="0000FF"/>
            </w:tcBorders>
            <w:gridSpan w:val="2"/>
          </w:tcPr>
          <w:p>
            <w:pPr>
              <w:spacing w:after="0" w:line="142" w:lineRule="exact"/>
              <w:rPr>
                <w:rFonts w:ascii="Calibri" w:cs="Calibri" w:eastAsia="Calibri" w:hAnsi="Calibri"/>
                <w:sz w:val="15"/>
                <w:szCs w:val="15"/>
                <w:color w:val="0000FF"/>
              </w:rPr>
            </w:pPr>
            <w:hyperlink r:id="rId283">
              <w:r>
                <w:rPr>
                  <w:rFonts w:ascii="Calibri" w:cs="Calibri" w:eastAsia="Calibri" w:hAnsi="Calibri"/>
                  <w:sz w:val="15"/>
                  <w:szCs w:val="15"/>
                  <w:color w:val="0000FF"/>
                </w:rPr>
                <w:t>(Internatonal) Ltd.</w:t>
              </w:r>
            </w:hyperlink>
          </w:p>
        </w:tc>
        <w:tc>
          <w:tcPr>
            <w:tcW w:w="3500" w:type="dxa"/>
            <w:vAlign w:val="bottom"/>
            <w:gridSpan w:val="22"/>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6"/>
        </w:trPr>
        <w:tc>
          <w:tcPr>
            <w:tcW w:w="1040" w:type="dxa"/>
            <w:vAlign w:val="bottom"/>
          </w:tcPr>
          <w:p>
            <w:pPr>
              <w:ind w:left="140"/>
              <w:spacing w:after="0"/>
              <w:rPr>
                <w:sz w:val="20"/>
                <w:szCs w:val="20"/>
                <w:color w:val="auto"/>
              </w:rPr>
            </w:pPr>
            <w:r>
              <w:rPr>
                <w:rFonts w:ascii="Calibri" w:cs="Calibri" w:eastAsia="Calibri" w:hAnsi="Calibri"/>
                <w:sz w:val="16"/>
                <w:szCs w:val="16"/>
                <w:color w:val="auto"/>
              </w:rPr>
              <w:t>10.73!</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80" w:type="dxa"/>
            <w:vAlign w:val="bottom"/>
            <w:tcBorders>
              <w:bottom w:val="single" w:sz="8" w:color="0000FF"/>
            </w:tcBorders>
            <w:gridSpan w:val="13"/>
          </w:tcPr>
          <w:p>
            <w:pPr>
              <w:spacing w:after="0"/>
              <w:rPr>
                <w:rFonts w:ascii="Calibri" w:cs="Calibri" w:eastAsia="Calibri" w:hAnsi="Calibri"/>
                <w:sz w:val="16"/>
                <w:szCs w:val="16"/>
                <w:color w:val="0000FF"/>
              </w:rPr>
            </w:pPr>
            <w:hyperlink r:id="rId284">
              <w:r>
                <w:rPr>
                  <w:rFonts w:ascii="Calibri" w:cs="Calibri" w:eastAsia="Calibri" w:hAnsi="Calibri"/>
                  <w:sz w:val="16"/>
                  <w:szCs w:val="16"/>
                  <w:color w:val="0000FF"/>
                </w:rPr>
                <w:t>Terminaton and Setlement Agreement, dated July 10, 2024, by and</w:t>
              </w:r>
            </w:hyperlink>
          </w:p>
        </w:tc>
        <w:tc>
          <w:tcPr>
            <w:tcW w:w="340" w:type="dxa"/>
            <w:vAlign w:val="bottom"/>
            <w:gridSpan w:val="14"/>
          </w:tcPr>
          <w:p>
            <w:pPr>
              <w:spacing w:after="0"/>
              <w:rPr>
                <w:sz w:val="24"/>
                <w:szCs w:val="24"/>
                <w:color w:val="auto"/>
              </w:rPr>
            </w:pPr>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10.4</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August 8, 2024</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160" w:type="dxa"/>
            <w:vAlign w:val="bottom"/>
            <w:gridSpan w:val="6"/>
            <w:vMerge w:val="restart"/>
          </w:tcPr>
          <w:p>
            <w:pPr>
              <w:spacing w:after="0" w:line="142" w:lineRule="exact"/>
              <w:rPr>
                <w:rFonts w:ascii="Calibri" w:cs="Calibri" w:eastAsia="Calibri" w:hAnsi="Calibri"/>
                <w:sz w:val="15"/>
                <w:szCs w:val="15"/>
                <w:color w:val="0000FF"/>
              </w:rPr>
            </w:pPr>
            <w:hyperlink r:id="rId284">
              <w:r>
                <w:rPr>
                  <w:rFonts w:ascii="Calibri" w:cs="Calibri" w:eastAsia="Calibri" w:hAnsi="Calibri"/>
                  <w:sz w:val="15"/>
                  <w:szCs w:val="15"/>
                  <w:color w:val="0000FF"/>
                </w:rPr>
                <w:t>between Akebia Therapeutcs, Inc. and Vifor (Internatonal) Ltd.</w:t>
              </w:r>
            </w:hyperlink>
          </w:p>
        </w:tc>
        <w:tc>
          <w:tcPr>
            <w:tcW w:w="660" w:type="dxa"/>
            <w:vAlign w:val="bottom"/>
            <w:gridSpan w:val="21"/>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160" w:type="dxa"/>
            <w:vAlign w:val="bottom"/>
            <w:tcBorders>
              <w:bottom w:val="single" w:sz="8" w:color="0000FF"/>
            </w:tcBorders>
            <w:gridSpan w:val="6"/>
            <w:vMerge w:val="continue"/>
          </w:tcPr>
          <w:p>
            <w:pPr>
              <w:spacing w:after="0"/>
              <w:rPr>
                <w:sz w:val="4"/>
                <w:szCs w:val="4"/>
                <w:color w:val="auto"/>
              </w:rPr>
            </w:pPr>
          </w:p>
        </w:tc>
        <w:tc>
          <w:tcPr>
            <w:tcW w:w="660" w:type="dxa"/>
            <w:vAlign w:val="bottom"/>
            <w:gridSpan w:val="21"/>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1040" w:type="dxa"/>
            <w:vAlign w:val="bottom"/>
          </w:tcPr>
          <w:p>
            <w:pPr>
              <w:ind w:left="140"/>
              <w:spacing w:after="0"/>
              <w:rPr>
                <w:sz w:val="20"/>
                <w:szCs w:val="20"/>
                <w:color w:val="auto"/>
              </w:rPr>
            </w:pPr>
            <w:r>
              <w:rPr>
                <w:rFonts w:ascii="Calibri" w:cs="Calibri" w:eastAsia="Calibri" w:hAnsi="Calibri"/>
                <w:sz w:val="16"/>
                <w:szCs w:val="16"/>
                <w:color w:val="auto"/>
              </w:rPr>
              <w:t>10.74</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tcBorders>
              <w:bottom w:val="single" w:sz="8" w:color="0000FF"/>
            </w:tcBorders>
            <w:gridSpan w:val="26"/>
          </w:tcPr>
          <w:p>
            <w:pPr>
              <w:spacing w:after="0"/>
              <w:rPr>
                <w:rFonts w:ascii="Calibri" w:cs="Calibri" w:eastAsia="Calibri" w:hAnsi="Calibri"/>
                <w:sz w:val="16"/>
                <w:szCs w:val="16"/>
                <w:color w:val="0000FF"/>
              </w:rPr>
            </w:pPr>
            <w:hyperlink r:id="rId285">
              <w:r>
                <w:rPr>
                  <w:rFonts w:ascii="Calibri" w:cs="Calibri" w:eastAsia="Calibri" w:hAnsi="Calibri"/>
                  <w:sz w:val="16"/>
                  <w:szCs w:val="16"/>
                  <w:color w:val="0000FF"/>
                </w:rPr>
                <w:t>Amended and Restated Open Market Sale Agreement, dated September</w:t>
              </w:r>
            </w:hyperlink>
          </w:p>
        </w:tc>
        <w:tc>
          <w:tcPr>
            <w:tcW w:w="80" w:type="dxa"/>
            <w:vAlign w:val="bottom"/>
          </w:tcPr>
          <w:p>
            <w:pPr>
              <w:spacing w:after="0"/>
              <w:rPr>
                <w:sz w:val="24"/>
                <w:szCs w:val="24"/>
                <w:color w:val="auto"/>
              </w:rPr>
            </w:pPr>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w w:val="98"/>
              </w:rPr>
              <w:t>S-3</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333-281903</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w w:val="98"/>
              </w:rPr>
              <w:t>1.2</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September 3, 2025</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20" w:type="dxa"/>
            <w:vAlign w:val="bottom"/>
            <w:gridSpan w:val="27"/>
            <w:vMerge w:val="restart"/>
          </w:tcPr>
          <w:p>
            <w:pPr>
              <w:spacing w:after="0" w:line="142" w:lineRule="exact"/>
              <w:rPr>
                <w:rFonts w:ascii="Calibri" w:cs="Calibri" w:eastAsia="Calibri" w:hAnsi="Calibri"/>
                <w:sz w:val="15"/>
                <w:szCs w:val="15"/>
                <w:color w:val="0000FF"/>
              </w:rPr>
            </w:pPr>
            <w:hyperlink r:id="rId285">
              <w:r>
                <w:rPr>
                  <w:rFonts w:ascii="Calibri" w:cs="Calibri" w:eastAsia="Calibri" w:hAnsi="Calibri"/>
                  <w:sz w:val="15"/>
                  <w:szCs w:val="15"/>
                  <w:color w:val="0000FF"/>
                </w:rPr>
                <w:t>3, 2024, by and between Akebia Therapeutcs, Inc. and Jeferies LLC</w:t>
              </w:r>
            </w:hyperlink>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820" w:type="dxa"/>
            <w:vAlign w:val="bottom"/>
            <w:gridSpan w:val="27"/>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40" w:type="dxa"/>
            <w:vAlign w:val="bottom"/>
          </w:tcPr>
          <w:p>
            <w:pPr>
              <w:ind w:left="140"/>
              <w:spacing w:after="0"/>
              <w:rPr>
                <w:sz w:val="20"/>
                <w:szCs w:val="20"/>
                <w:color w:val="auto"/>
              </w:rPr>
            </w:pPr>
            <w:r>
              <w:rPr>
                <w:rFonts w:ascii="Calibri" w:cs="Calibri" w:eastAsia="Calibri" w:hAnsi="Calibri"/>
                <w:sz w:val="16"/>
                <w:szCs w:val="16"/>
                <w:color w:val="auto"/>
              </w:rPr>
              <w:t>10.75!</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tcBorders>
              <w:bottom w:val="single" w:sz="8" w:color="0000FF"/>
            </w:tcBorders>
            <w:gridSpan w:val="26"/>
          </w:tcPr>
          <w:p>
            <w:pPr>
              <w:spacing w:after="0"/>
              <w:rPr>
                <w:rFonts w:ascii="Calibri" w:cs="Calibri" w:eastAsia="Calibri" w:hAnsi="Calibri"/>
                <w:sz w:val="16"/>
                <w:szCs w:val="16"/>
                <w:color w:val="0000FF"/>
              </w:rPr>
            </w:pPr>
            <w:hyperlink r:id="rId286">
              <w:r>
                <w:rPr>
                  <w:rFonts w:ascii="Calibri" w:cs="Calibri" w:eastAsia="Calibri" w:hAnsi="Calibri"/>
                  <w:sz w:val="16"/>
                  <w:szCs w:val="16"/>
                  <w:color w:val="0000FF"/>
                </w:rPr>
                <w:t>Second Amended and Restated License Agreement dated April 17, 2019,</w:t>
              </w:r>
            </w:hyperlink>
          </w:p>
        </w:tc>
        <w:tc>
          <w:tcPr>
            <w:tcW w:w="80" w:type="dxa"/>
            <w:vAlign w:val="bottom"/>
          </w:tcPr>
          <w:p>
            <w:pPr>
              <w:spacing w:after="0"/>
              <w:rPr>
                <w:sz w:val="24"/>
                <w:szCs w:val="24"/>
                <w:color w:val="auto"/>
              </w:rPr>
            </w:pPr>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10.1</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August 8, 2019</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720" w:type="dxa"/>
            <w:vAlign w:val="bottom"/>
            <w:gridSpan w:val="25"/>
            <w:vMerge w:val="restart"/>
          </w:tcPr>
          <w:p>
            <w:pPr>
              <w:spacing w:after="0" w:line="142" w:lineRule="exact"/>
              <w:rPr>
                <w:rFonts w:ascii="Calibri" w:cs="Calibri" w:eastAsia="Calibri" w:hAnsi="Calibri"/>
                <w:sz w:val="15"/>
                <w:szCs w:val="15"/>
                <w:color w:val="0000FF"/>
              </w:rPr>
            </w:pPr>
            <w:hyperlink r:id="rId286">
              <w:r>
                <w:rPr>
                  <w:rFonts w:ascii="Calibri" w:cs="Calibri" w:eastAsia="Calibri" w:hAnsi="Calibri"/>
                  <w:sz w:val="15"/>
                  <w:szCs w:val="15"/>
                  <w:color w:val="0000FF"/>
                </w:rPr>
                <w:t>by and between Akebia Therapeutcs, Inc. and Panion &amp; BF Biotech, Inc.</w:t>
              </w:r>
            </w:hyperlink>
          </w:p>
        </w:tc>
        <w:tc>
          <w:tcPr>
            <w:tcW w:w="100" w:type="dxa"/>
            <w:vAlign w:val="bottom"/>
            <w:gridSpan w:val="2"/>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720" w:type="dxa"/>
            <w:vAlign w:val="bottom"/>
            <w:tcBorders>
              <w:bottom w:val="single" w:sz="8" w:color="0000FF"/>
            </w:tcBorders>
            <w:gridSpan w:val="25"/>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1040" w:type="dxa"/>
            <w:vAlign w:val="bottom"/>
          </w:tcPr>
          <w:p>
            <w:pPr>
              <w:ind w:left="140"/>
              <w:spacing w:after="0"/>
              <w:rPr>
                <w:sz w:val="20"/>
                <w:szCs w:val="20"/>
                <w:color w:val="auto"/>
              </w:rPr>
            </w:pPr>
            <w:r>
              <w:rPr>
                <w:rFonts w:ascii="Calibri" w:cs="Calibri" w:eastAsia="Calibri" w:hAnsi="Calibri"/>
                <w:sz w:val="16"/>
                <w:szCs w:val="16"/>
                <w:color w:val="auto"/>
              </w:rPr>
              <w:t>10.76#</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27"/>
          </w:tcPr>
          <w:p>
            <w:pPr>
              <w:spacing w:after="0"/>
              <w:rPr>
                <w:rFonts w:ascii="Calibri" w:cs="Calibri" w:eastAsia="Calibri" w:hAnsi="Calibri"/>
                <w:sz w:val="16"/>
                <w:szCs w:val="16"/>
                <w:color w:val="0000FF"/>
              </w:rPr>
            </w:pPr>
            <w:hyperlink r:id="rId287">
              <w:r>
                <w:rPr>
                  <w:rFonts w:ascii="Calibri" w:cs="Calibri" w:eastAsia="Calibri" w:hAnsi="Calibri"/>
                  <w:sz w:val="16"/>
                  <w:szCs w:val="16"/>
                  <w:color w:val="0000FF"/>
                </w:rPr>
                <w:t>Amended and Restated Sub-License Agreement, dated June 8, 2009, as</w:t>
              </w:r>
            </w:hyperlink>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80" w:type="dxa"/>
            <w:vAlign w:val="bottom"/>
            <w:tcBorders>
              <w:top w:val="single" w:sz="8" w:color="0000FF"/>
              <w:bottom w:val="single" w:sz="8" w:color="0000FF"/>
            </w:tcBorders>
            <w:gridSpan w:val="22"/>
          </w:tcPr>
          <w:p>
            <w:pPr>
              <w:spacing w:after="0" w:line="142" w:lineRule="exact"/>
              <w:rPr>
                <w:rFonts w:ascii="Calibri" w:cs="Calibri" w:eastAsia="Calibri" w:hAnsi="Calibri"/>
                <w:sz w:val="15"/>
                <w:szCs w:val="15"/>
                <w:color w:val="0000FF"/>
              </w:rPr>
            </w:pPr>
            <w:hyperlink r:id="rId287">
              <w:r>
                <w:rPr>
                  <w:rFonts w:ascii="Calibri" w:cs="Calibri" w:eastAsia="Calibri" w:hAnsi="Calibri"/>
                  <w:sz w:val="15"/>
                  <w:szCs w:val="15"/>
                  <w:color w:val="0000FF"/>
                </w:rPr>
                <w:t>amended by the First Amendment thereto, dated June 12, 2013, by and</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000-30929</w:t>
            </w:r>
          </w:p>
        </w:tc>
        <w:tc>
          <w:tcPr>
            <w:tcW w:w="8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10.1</w:t>
            </w:r>
          </w:p>
        </w:tc>
        <w:tc>
          <w:tcPr>
            <w:tcW w:w="12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November 7, 2017</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20" w:type="dxa"/>
            <w:vAlign w:val="bottom"/>
            <w:gridSpan w:val="27"/>
            <w:vMerge w:val="restart"/>
          </w:tcPr>
          <w:p>
            <w:pPr>
              <w:spacing w:after="0" w:line="142" w:lineRule="exact"/>
              <w:rPr>
                <w:rFonts w:ascii="Calibri" w:cs="Calibri" w:eastAsia="Calibri" w:hAnsi="Calibri"/>
                <w:sz w:val="15"/>
                <w:szCs w:val="15"/>
                <w:color w:val="0000FF"/>
              </w:rPr>
            </w:pPr>
            <w:hyperlink r:id="rId287">
              <w:r>
                <w:rPr>
                  <w:rFonts w:ascii="Calibri" w:cs="Calibri" w:eastAsia="Calibri" w:hAnsi="Calibri"/>
                  <w:sz w:val="15"/>
                  <w:szCs w:val="15"/>
                  <w:color w:val="0000FF"/>
                </w:rPr>
                <w:t>between Keryx Biopharmaceutcals, Inc., Japan Tobacco, Inc. and Torii</w:t>
              </w:r>
            </w:hyperlink>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820" w:type="dxa"/>
            <w:vAlign w:val="bottom"/>
            <w:gridSpan w:val="27"/>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Borders>
              <w:top w:val="single" w:sz="8" w:color="0000FF"/>
              <w:bottom w:val="single" w:sz="8" w:color="0000FF"/>
            </w:tcBorders>
            <w:gridSpan w:val="4"/>
          </w:tcPr>
          <w:p>
            <w:pPr>
              <w:spacing w:after="0" w:line="142" w:lineRule="exact"/>
              <w:rPr>
                <w:rFonts w:ascii="Calibri" w:cs="Calibri" w:eastAsia="Calibri" w:hAnsi="Calibri"/>
                <w:sz w:val="15"/>
                <w:szCs w:val="15"/>
                <w:color w:val="0000FF"/>
              </w:rPr>
            </w:pPr>
            <w:hyperlink r:id="rId287">
              <w:r>
                <w:rPr>
                  <w:rFonts w:ascii="Calibri" w:cs="Calibri" w:eastAsia="Calibri" w:hAnsi="Calibri"/>
                  <w:sz w:val="15"/>
                  <w:szCs w:val="15"/>
                  <w:color w:val="0000FF"/>
                </w:rPr>
                <w:t>Pharmaceutcal Co., Ltd</w:t>
              </w:r>
            </w:hyperlink>
          </w:p>
        </w:tc>
        <w:tc>
          <w:tcPr>
            <w:tcW w:w="3000" w:type="dxa"/>
            <w:vAlign w:val="bottom"/>
            <w:tcBorders>
              <w:top w:val="single" w:sz="8" w:color="0000FF"/>
            </w:tcBorders>
            <w:gridSpan w:val="1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2"/>
        </w:trPr>
        <w:tc>
          <w:tcPr>
            <w:tcW w:w="1040" w:type="dxa"/>
            <w:vAlign w:val="bottom"/>
          </w:tcPr>
          <w:p>
            <w:pPr>
              <w:ind w:left="140"/>
              <w:spacing w:after="0"/>
              <w:rPr>
                <w:sz w:val="20"/>
                <w:szCs w:val="20"/>
                <w:color w:val="auto"/>
              </w:rPr>
            </w:pPr>
            <w:r>
              <w:rPr>
                <w:rFonts w:ascii="Calibri" w:cs="Calibri" w:eastAsia="Calibri" w:hAnsi="Calibri"/>
                <w:sz w:val="16"/>
                <w:szCs w:val="16"/>
                <w:color w:val="auto"/>
              </w:rPr>
              <w:t>10.77!</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27"/>
          </w:tcPr>
          <w:p>
            <w:pPr>
              <w:spacing w:after="0"/>
              <w:rPr>
                <w:rFonts w:ascii="Calibri" w:cs="Calibri" w:eastAsia="Calibri" w:hAnsi="Calibri"/>
                <w:sz w:val="16"/>
                <w:szCs w:val="16"/>
                <w:color w:val="0000FF"/>
              </w:rPr>
            </w:pPr>
            <w:hyperlink r:id="rId288">
              <w:r>
                <w:rPr>
                  <w:rFonts w:ascii="Calibri" w:cs="Calibri" w:eastAsia="Calibri" w:hAnsi="Calibri"/>
                  <w:sz w:val="16"/>
                  <w:szCs w:val="16"/>
                  <w:color w:val="0000FF"/>
                </w:rPr>
                <w:t>Master Manufacturing Services Agreement by and between Keryx</w:t>
              </w:r>
            </w:hyperlink>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20" w:type="dxa"/>
            <w:vAlign w:val="bottom"/>
            <w:tcBorders>
              <w:top w:val="single" w:sz="8" w:color="0000FF"/>
            </w:tcBorders>
            <w:gridSpan w:val="10"/>
          </w:tcPr>
          <w:p>
            <w:pPr>
              <w:spacing w:after="0" w:line="142" w:lineRule="exact"/>
              <w:rPr>
                <w:rFonts w:ascii="Calibri" w:cs="Calibri" w:eastAsia="Calibri" w:hAnsi="Calibri"/>
                <w:sz w:val="15"/>
                <w:szCs w:val="15"/>
                <w:color w:val="0000FF"/>
              </w:rPr>
            </w:pPr>
            <w:hyperlink r:id="rId288">
              <w:r>
                <w:rPr>
                  <w:rFonts w:ascii="Calibri" w:cs="Calibri" w:eastAsia="Calibri" w:hAnsi="Calibri"/>
                  <w:sz w:val="15"/>
                  <w:szCs w:val="15"/>
                  <w:color w:val="0000FF"/>
                </w:rPr>
                <w:t>Biopharmaceutcals, Inc. and Patheon Manufacturing Services LLC</w:t>
              </w:r>
            </w:hyperlink>
          </w:p>
        </w:tc>
        <w:tc>
          <w:tcPr>
            <w:tcW w:w="500" w:type="dxa"/>
            <w:vAlign w:val="bottom"/>
            <w:gridSpan w:val="17"/>
          </w:tcPr>
          <w:p>
            <w:pPr>
              <w:ind w:left="20"/>
              <w:spacing w:after="0" w:line="142" w:lineRule="exact"/>
              <w:rPr>
                <w:rFonts w:ascii="Calibri" w:cs="Calibri" w:eastAsia="Calibri" w:hAnsi="Calibri"/>
                <w:sz w:val="15"/>
                <w:szCs w:val="15"/>
                <w:color w:val="0000FF"/>
              </w:rPr>
            </w:pPr>
            <w:hyperlink r:id="rId288">
              <w:r>
                <w:rPr>
                  <w:rFonts w:ascii="Calibri" w:cs="Calibri" w:eastAsia="Calibri" w:hAnsi="Calibri"/>
                  <w:sz w:val="15"/>
                  <w:szCs w:val="15"/>
                  <w:color w:val="0000FF"/>
                </w:rPr>
                <w:t>and</w:t>
              </w:r>
            </w:hyperlink>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10.58</w:t>
            </w:r>
          </w:p>
        </w:tc>
        <w:tc>
          <w:tcPr>
            <w:tcW w:w="12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March 1, 2022</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80" w:type="dxa"/>
            <w:vAlign w:val="bottom"/>
            <w:tcBorders>
              <w:top w:val="single" w:sz="8" w:color="0000FF"/>
              <w:bottom w:val="single" w:sz="8" w:color="0000FF"/>
            </w:tcBorders>
            <w:gridSpan w:val="17"/>
          </w:tcPr>
          <w:p>
            <w:pPr>
              <w:spacing w:after="0" w:line="142" w:lineRule="exact"/>
              <w:rPr>
                <w:rFonts w:ascii="Calibri" w:cs="Calibri" w:eastAsia="Calibri" w:hAnsi="Calibri"/>
                <w:sz w:val="15"/>
                <w:szCs w:val="15"/>
                <w:color w:val="0000FF"/>
              </w:rPr>
            </w:pPr>
            <w:hyperlink r:id="rId288">
              <w:r>
                <w:rPr>
                  <w:rFonts w:ascii="Calibri" w:cs="Calibri" w:eastAsia="Calibri" w:hAnsi="Calibri"/>
                  <w:sz w:val="15"/>
                  <w:szCs w:val="15"/>
                  <w:color w:val="0000FF"/>
                </w:rPr>
                <w:t>certain of its afliates, dated September 27, 2016, and related Product</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40" w:type="dxa"/>
            <w:vAlign w:val="bottom"/>
            <w:tcBorders>
              <w:bottom w:val="single" w:sz="8" w:color="0000FF"/>
            </w:tcBorders>
            <w:gridSpan w:val="20"/>
          </w:tcPr>
          <w:p>
            <w:pPr>
              <w:spacing w:after="0" w:line="142" w:lineRule="exact"/>
              <w:rPr>
                <w:rFonts w:ascii="Calibri" w:cs="Calibri" w:eastAsia="Calibri" w:hAnsi="Calibri"/>
                <w:sz w:val="15"/>
                <w:szCs w:val="15"/>
                <w:color w:val="0000FF"/>
              </w:rPr>
            </w:pPr>
            <w:hyperlink r:id="rId288">
              <w:r>
                <w:rPr>
                  <w:rFonts w:ascii="Calibri" w:cs="Calibri" w:eastAsia="Calibri" w:hAnsi="Calibri"/>
                  <w:sz w:val="15"/>
                  <w:szCs w:val="15"/>
                  <w:color w:val="0000FF"/>
                </w:rPr>
                <w:t>Agreement dated September 27, 2016, and related Product Agreement</w:t>
              </w:r>
            </w:hyperlink>
          </w:p>
        </w:tc>
        <w:tc>
          <w:tcPr>
            <w:tcW w:w="20" w:type="dxa"/>
            <w:vAlign w:val="bottom"/>
            <w:tcBorders>
              <w:bottom w:val="single" w:sz="8" w:color="0000FF"/>
            </w:tcBorders>
          </w:tcPr>
          <w:p>
            <w:pPr>
              <w:spacing w:after="0"/>
              <w:rPr>
                <w:sz w:val="12"/>
                <w:szCs w:val="12"/>
                <w:color w:val="auto"/>
              </w:rPr>
            </w:pPr>
          </w:p>
        </w:tc>
        <w:tc>
          <w:tcPr>
            <w:tcW w:w="40" w:type="dxa"/>
            <w:vAlign w:val="bottom"/>
            <w:tcBorders>
              <w:bottom w:val="single" w:sz="8" w:color="0000FF"/>
            </w:tcBorders>
            <w:gridSpan w:val="2"/>
          </w:tcPr>
          <w:p>
            <w:pPr>
              <w:spacing w:after="0"/>
              <w:rPr>
                <w:sz w:val="12"/>
                <w:szCs w:val="12"/>
                <w:color w:val="auto"/>
              </w:rPr>
            </w:pPr>
          </w:p>
        </w:tc>
        <w:tc>
          <w:tcPr>
            <w:tcW w:w="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00" w:type="dxa"/>
            <w:vAlign w:val="bottom"/>
            <w:gridSpan w:val="23"/>
          </w:tcPr>
          <w:p>
            <w:pPr>
              <w:spacing w:after="0" w:line="142" w:lineRule="exact"/>
              <w:rPr>
                <w:rFonts w:ascii="Calibri" w:cs="Calibri" w:eastAsia="Calibri" w:hAnsi="Calibri"/>
                <w:sz w:val="15"/>
                <w:szCs w:val="15"/>
                <w:color w:val="0000FF"/>
              </w:rPr>
            </w:pPr>
            <w:hyperlink r:id="rId288">
              <w:r>
                <w:rPr>
                  <w:rFonts w:ascii="Calibri" w:cs="Calibri" w:eastAsia="Calibri" w:hAnsi="Calibri"/>
                  <w:sz w:val="15"/>
                  <w:szCs w:val="15"/>
                  <w:color w:val="0000FF"/>
                </w:rPr>
                <w:t>dated October 12, 2016</w:t>
              </w:r>
            </w:hyperlink>
          </w:p>
        </w:tc>
        <w:tc>
          <w:tcPr>
            <w:tcW w:w="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tcPr>
          <w:p>
            <w:pPr>
              <w:ind w:left="140"/>
              <w:spacing w:after="0"/>
              <w:rPr>
                <w:sz w:val="20"/>
                <w:szCs w:val="20"/>
                <w:color w:val="auto"/>
              </w:rPr>
            </w:pPr>
            <w:r>
              <w:rPr>
                <w:rFonts w:ascii="Calibri" w:cs="Calibri" w:eastAsia="Calibri" w:hAnsi="Calibri"/>
                <w:sz w:val="16"/>
                <w:szCs w:val="16"/>
                <w:color w:val="auto"/>
              </w:rPr>
              <w:t>10.78*!</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27"/>
          </w:tcPr>
          <w:p>
            <w:pPr>
              <w:spacing w:after="0"/>
              <w:rPr>
                <w:sz w:val="20"/>
                <w:szCs w:val="20"/>
                <w:color w:val="auto"/>
              </w:rPr>
            </w:pPr>
            <w:r>
              <w:rPr>
                <w:rFonts w:ascii="Calibri" w:cs="Calibri" w:eastAsia="Calibri" w:hAnsi="Calibri"/>
                <w:sz w:val="16"/>
                <w:szCs w:val="16"/>
                <w:color w:val="0000FF"/>
              </w:rPr>
              <w:t>Product Agreement, dated August 29, 2017, by and between Keryx</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0" w:type="dxa"/>
            <w:vAlign w:val="bottom"/>
            <w:tcBorders>
              <w:top w:val="single" w:sz="8" w:color="0000FF"/>
            </w:tcBorders>
            <w:gridSpan w:val="11"/>
          </w:tcPr>
          <w:p>
            <w:pPr>
              <w:spacing w:after="0" w:line="142" w:lineRule="exact"/>
              <w:rPr>
                <w:sz w:val="20"/>
                <w:szCs w:val="20"/>
                <w:color w:val="auto"/>
              </w:rPr>
            </w:pPr>
            <w:r>
              <w:rPr>
                <w:rFonts w:ascii="Calibri" w:cs="Calibri" w:eastAsia="Calibri" w:hAnsi="Calibri"/>
                <w:sz w:val="15"/>
                <w:szCs w:val="15"/>
                <w:color w:val="0000FF"/>
              </w:rPr>
              <w:t>Biopharmaceutcals, Inc. and Patheon Inc. (an afliate of Patheon</w:t>
            </w: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60" w:type="dxa"/>
            <w:vAlign w:val="bottom"/>
            <w:tcBorders>
              <w:top w:val="single" w:sz="8" w:color="0000FF"/>
              <w:bottom w:val="single" w:sz="8" w:color="0000FF"/>
            </w:tcBorders>
            <w:gridSpan w:val="8"/>
          </w:tcPr>
          <w:p>
            <w:pPr>
              <w:spacing w:after="0" w:line="142" w:lineRule="exact"/>
              <w:rPr>
                <w:sz w:val="20"/>
                <w:szCs w:val="20"/>
                <w:color w:val="auto"/>
              </w:rPr>
            </w:pPr>
            <w:r>
              <w:rPr>
                <w:rFonts w:ascii="Calibri" w:cs="Calibri" w:eastAsia="Calibri" w:hAnsi="Calibri"/>
                <w:sz w:val="15"/>
                <w:szCs w:val="15"/>
                <w:color w:val="0000FF"/>
              </w:rPr>
              <w:t>Manufacturing Services LLC) related to the Master Manufacturing</w:t>
            </w:r>
          </w:p>
        </w:tc>
        <w:tc>
          <w:tcPr>
            <w:tcW w:w="40" w:type="dxa"/>
            <w:vAlign w:val="bottom"/>
            <w:tcBorders>
              <w:bottom w:val="single" w:sz="8" w:color="0000FF"/>
            </w:tcBorders>
          </w:tcPr>
          <w:p>
            <w:pPr>
              <w:spacing w:after="0"/>
              <w:rPr>
                <w:sz w:val="12"/>
                <w:szCs w:val="12"/>
                <w:color w:val="auto"/>
              </w:rPr>
            </w:pPr>
          </w:p>
        </w:tc>
        <w:tc>
          <w:tcPr>
            <w:tcW w:w="120" w:type="dxa"/>
            <w:vAlign w:val="bottom"/>
            <w:gridSpan w:val="3"/>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20" w:type="dxa"/>
            <w:vAlign w:val="bottom"/>
            <w:gridSpan w:val="27"/>
          </w:tcPr>
          <w:p>
            <w:pPr>
              <w:spacing w:after="0" w:line="142" w:lineRule="exact"/>
              <w:rPr>
                <w:sz w:val="20"/>
                <w:szCs w:val="20"/>
                <w:color w:val="auto"/>
              </w:rPr>
            </w:pPr>
            <w:r>
              <w:rPr>
                <w:rFonts w:ascii="Calibri" w:cs="Calibri" w:eastAsia="Calibri" w:hAnsi="Calibri"/>
                <w:sz w:val="15"/>
                <w:szCs w:val="15"/>
                <w:color w:val="0000FF"/>
              </w:rPr>
              <w:t>Services Agreement by and between Keryx Biopharmaceutcals, Inc. and</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20" w:type="dxa"/>
            <w:vAlign w:val="bottom"/>
            <w:tcBorders>
              <w:top w:val="single" w:sz="8" w:color="0000FF"/>
            </w:tcBorders>
            <w:gridSpan w:val="25"/>
          </w:tcPr>
          <w:p>
            <w:pPr>
              <w:spacing w:after="0" w:line="142" w:lineRule="exact"/>
              <w:rPr>
                <w:sz w:val="20"/>
                <w:szCs w:val="20"/>
                <w:color w:val="auto"/>
              </w:rPr>
            </w:pPr>
            <w:r>
              <w:rPr>
                <w:rFonts w:ascii="Calibri" w:cs="Calibri" w:eastAsia="Calibri" w:hAnsi="Calibri"/>
                <w:sz w:val="15"/>
                <w:szCs w:val="15"/>
                <w:color w:val="0000FF"/>
              </w:rPr>
              <w:t>Patheon Manufacturing Services LLC and certain of its afliates dated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Borders>
              <w:top w:val="single" w:sz="8" w:color="0000FF"/>
              <w:bottom w:val="single" w:sz="8" w:color="0000FF"/>
            </w:tcBorders>
            <w:gridSpan w:val="3"/>
          </w:tcPr>
          <w:p>
            <w:pPr>
              <w:spacing w:after="0" w:line="142" w:lineRule="exact"/>
              <w:rPr>
                <w:sz w:val="20"/>
                <w:szCs w:val="20"/>
                <w:color w:val="auto"/>
              </w:rPr>
            </w:pPr>
            <w:r>
              <w:rPr>
                <w:rFonts w:ascii="Calibri" w:cs="Calibri" w:eastAsia="Calibri" w:hAnsi="Calibri"/>
                <w:sz w:val="15"/>
                <w:szCs w:val="15"/>
                <w:color w:val="0000FF"/>
              </w:rPr>
              <w:t>November 12, 2016</w:t>
            </w:r>
          </w:p>
        </w:tc>
        <w:tc>
          <w:tcPr>
            <w:tcW w:w="3220" w:type="dxa"/>
            <w:vAlign w:val="bottom"/>
            <w:tcBorders>
              <w:top w:val="single" w:sz="8" w:color="0000FF"/>
            </w:tcBorders>
            <w:gridSpan w:val="12"/>
          </w:tcPr>
          <w:p>
            <w:pPr>
              <w:spacing w:after="0"/>
              <w:rPr>
                <w:sz w:val="12"/>
                <w:szCs w:val="12"/>
                <w:color w:val="auto"/>
              </w:rPr>
            </w:pPr>
          </w:p>
        </w:tc>
        <w:tc>
          <w:tcPr>
            <w:tcW w:w="10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5"/>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2"/>
        </w:trPr>
        <w:tc>
          <w:tcPr>
            <w:tcW w:w="1040" w:type="dxa"/>
            <w:vAlign w:val="bottom"/>
          </w:tcPr>
          <w:p>
            <w:pPr>
              <w:ind w:left="140"/>
              <w:spacing w:after="0"/>
              <w:rPr>
                <w:sz w:val="20"/>
                <w:szCs w:val="20"/>
                <w:color w:val="auto"/>
              </w:rPr>
            </w:pPr>
            <w:r>
              <w:rPr>
                <w:rFonts w:ascii="Calibri" w:cs="Calibri" w:eastAsia="Calibri" w:hAnsi="Calibri"/>
                <w:sz w:val="16"/>
                <w:szCs w:val="16"/>
                <w:color w:val="auto"/>
              </w:rPr>
              <w:t>10.79#</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27"/>
          </w:tcPr>
          <w:p>
            <w:pPr>
              <w:spacing w:after="0"/>
              <w:rPr>
                <w:rFonts w:ascii="Calibri" w:cs="Calibri" w:eastAsia="Calibri" w:hAnsi="Calibri"/>
                <w:sz w:val="16"/>
                <w:szCs w:val="16"/>
                <w:color w:val="0000FF"/>
              </w:rPr>
            </w:pPr>
            <w:hyperlink r:id="rId289">
              <w:r>
                <w:rPr>
                  <w:rFonts w:ascii="Calibri" w:cs="Calibri" w:eastAsia="Calibri" w:hAnsi="Calibri"/>
                  <w:sz w:val="16"/>
                  <w:szCs w:val="16"/>
                  <w:color w:val="0000FF"/>
                </w:rPr>
                <w:t>Master Manufacturing Services and Supply Agreement, dated December</w:t>
              </w:r>
            </w:hyperlink>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000-30929</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10.13</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February 21, 2018</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40" w:type="dxa"/>
            <w:vAlign w:val="bottom"/>
            <w:tcBorders>
              <w:top w:val="single" w:sz="8" w:color="0000FF"/>
            </w:tcBorders>
            <w:gridSpan w:val="26"/>
          </w:tcPr>
          <w:p>
            <w:pPr>
              <w:spacing w:after="0" w:line="142" w:lineRule="exact"/>
              <w:rPr>
                <w:rFonts w:ascii="Calibri" w:cs="Calibri" w:eastAsia="Calibri" w:hAnsi="Calibri"/>
                <w:sz w:val="15"/>
                <w:szCs w:val="15"/>
                <w:color w:val="0000FF"/>
              </w:rPr>
            </w:pPr>
            <w:hyperlink r:id="rId289">
              <w:r>
                <w:rPr>
                  <w:rFonts w:ascii="Calibri" w:cs="Calibri" w:eastAsia="Calibri" w:hAnsi="Calibri"/>
                  <w:sz w:val="15"/>
                  <w:szCs w:val="15"/>
                  <w:color w:val="0000FF"/>
                </w:rPr>
                <w:t>20, 2017, by and between Keryx Biopharmaceutcals, Inc. and Siegfried</w:t>
              </w:r>
            </w:hyperlink>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top w:val="single" w:sz="8" w:color="0000FF"/>
              <w:bottom w:val="single" w:sz="8" w:color="0000FF"/>
            </w:tcBorders>
          </w:tcPr>
          <w:p>
            <w:pPr>
              <w:spacing w:after="0" w:line="142" w:lineRule="exact"/>
              <w:rPr>
                <w:rFonts w:ascii="Calibri" w:cs="Calibri" w:eastAsia="Calibri" w:hAnsi="Calibri"/>
                <w:sz w:val="15"/>
                <w:szCs w:val="15"/>
                <w:color w:val="0000FF"/>
              </w:rPr>
            </w:pPr>
            <w:hyperlink r:id="rId289">
              <w:r>
                <w:rPr>
                  <w:rFonts w:ascii="Calibri" w:cs="Calibri" w:eastAsia="Calibri" w:hAnsi="Calibri"/>
                  <w:sz w:val="15"/>
                  <w:szCs w:val="15"/>
                  <w:color w:val="0000FF"/>
                </w:rPr>
                <w:t>Evionnaz SA</w:t>
              </w:r>
            </w:hyperlink>
          </w:p>
        </w:tc>
        <w:tc>
          <w:tcPr>
            <w:tcW w:w="3880" w:type="dxa"/>
            <w:vAlign w:val="bottom"/>
            <w:tcBorders>
              <w:top w:val="single" w:sz="8" w:color="0000FF"/>
            </w:tcBorders>
            <w:gridSpan w:val="20"/>
          </w:tcPr>
          <w:p>
            <w:pPr>
              <w:spacing w:after="0"/>
              <w:rPr>
                <w:sz w:val="12"/>
                <w:szCs w:val="12"/>
                <w:color w:val="auto"/>
              </w:rPr>
            </w:pPr>
          </w:p>
        </w:tc>
        <w:tc>
          <w:tcPr>
            <w:tcW w:w="160" w:type="dxa"/>
            <w:vAlign w:val="bottom"/>
            <w:gridSpan w:val="6"/>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2"/>
        </w:trPr>
        <w:tc>
          <w:tcPr>
            <w:tcW w:w="1040" w:type="dxa"/>
            <w:vAlign w:val="bottom"/>
          </w:tcPr>
          <w:p>
            <w:pPr>
              <w:ind w:left="140"/>
              <w:spacing w:after="0"/>
              <w:rPr>
                <w:sz w:val="20"/>
                <w:szCs w:val="20"/>
                <w:color w:val="auto"/>
              </w:rPr>
            </w:pPr>
            <w:r>
              <w:rPr>
                <w:rFonts w:ascii="Calibri" w:cs="Calibri" w:eastAsia="Calibri" w:hAnsi="Calibri"/>
                <w:sz w:val="16"/>
                <w:szCs w:val="16"/>
                <w:color w:val="auto"/>
              </w:rPr>
              <w:t>10.80</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27"/>
          </w:tcPr>
          <w:p>
            <w:pPr>
              <w:spacing w:after="0"/>
              <w:rPr>
                <w:rFonts w:ascii="Calibri" w:cs="Calibri" w:eastAsia="Calibri" w:hAnsi="Calibri"/>
                <w:sz w:val="16"/>
                <w:szCs w:val="16"/>
                <w:color w:val="0000FF"/>
              </w:rPr>
            </w:pPr>
            <w:hyperlink r:id="rId290">
              <w:r>
                <w:rPr>
                  <w:rFonts w:ascii="Calibri" w:cs="Calibri" w:eastAsia="Calibri" w:hAnsi="Calibri"/>
                  <w:sz w:val="16"/>
                  <w:szCs w:val="16"/>
                  <w:color w:val="0000FF"/>
                </w:rPr>
                <w:t>Amendment No. 1 to Master Manufacturing Services and Supply</w:t>
              </w:r>
            </w:hyperlink>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10.57</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February 25, 2021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5"/>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20" w:type="dxa"/>
            <w:vAlign w:val="bottom"/>
            <w:gridSpan w:val="27"/>
          </w:tcPr>
          <w:p>
            <w:pPr>
              <w:spacing w:after="0" w:line="142" w:lineRule="exact"/>
              <w:rPr>
                <w:rFonts w:ascii="Calibri" w:cs="Calibri" w:eastAsia="Calibri" w:hAnsi="Calibri"/>
                <w:sz w:val="15"/>
                <w:szCs w:val="15"/>
                <w:color w:val="0000FF"/>
              </w:rPr>
            </w:pPr>
            <w:hyperlink r:id="rId290">
              <w:r>
                <w:rPr>
                  <w:rFonts w:ascii="Calibri" w:cs="Calibri" w:eastAsia="Calibri" w:hAnsi="Calibri"/>
                  <w:sz w:val="15"/>
                  <w:szCs w:val="15"/>
                  <w:color w:val="0000FF"/>
                </w:rPr>
                <w:t>Agreement, dated as of December 21, 2020, by and between Siegfried</w:t>
              </w:r>
            </w:hyperlink>
          </w:p>
        </w:tc>
        <w:tc>
          <w:tcPr>
            <w:tcW w:w="10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20" w:type="dxa"/>
            <w:vAlign w:val="bottom"/>
            <w:tcBorders>
              <w:top w:val="single" w:sz="8" w:color="0000FF"/>
            </w:tcBorders>
            <w:gridSpan w:val="19"/>
          </w:tcPr>
          <w:p>
            <w:pPr>
              <w:spacing w:after="0" w:line="142" w:lineRule="exact"/>
              <w:rPr>
                <w:rFonts w:ascii="Calibri" w:cs="Calibri" w:eastAsia="Calibri" w:hAnsi="Calibri"/>
                <w:sz w:val="15"/>
                <w:szCs w:val="15"/>
                <w:color w:val="0000FF"/>
              </w:rPr>
            </w:pPr>
            <w:hyperlink r:id="rId290">
              <w:r>
                <w:rPr>
                  <w:rFonts w:ascii="Calibri" w:cs="Calibri" w:eastAsia="Calibri" w:hAnsi="Calibri"/>
                  <w:sz w:val="15"/>
                  <w:szCs w:val="15"/>
                  <w:color w:val="0000FF"/>
                </w:rPr>
                <w:t>Evionnaz SA and Keryx Biopharmaceutcals, Inc.</w:t>
              </w:r>
            </w:hyperlink>
          </w:p>
        </w:tc>
        <w:tc>
          <w:tcPr>
            <w:tcW w:w="200" w:type="dxa"/>
            <w:vAlign w:val="bottom"/>
            <w:gridSpan w:val="8"/>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5"/>
            <w:shd w:val="clear" w:color="auto" w:fill="0000FF"/>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1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40" w:type="dxa"/>
            <w:vAlign w:val="bottom"/>
          </w:tcPr>
          <w:p>
            <w:pPr>
              <w:ind w:left="140"/>
              <w:spacing w:after="0"/>
              <w:rPr>
                <w:sz w:val="20"/>
                <w:szCs w:val="20"/>
                <w:color w:val="auto"/>
              </w:rPr>
            </w:pPr>
            <w:r>
              <w:rPr>
                <w:rFonts w:ascii="Calibri" w:cs="Calibri" w:eastAsia="Calibri" w:hAnsi="Calibri"/>
                <w:sz w:val="16"/>
                <w:szCs w:val="16"/>
                <w:color w:val="auto"/>
              </w:rPr>
              <w:t>10.81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27"/>
          </w:tcPr>
          <w:p>
            <w:pPr>
              <w:spacing w:after="0"/>
              <w:rPr>
                <w:rFonts w:ascii="Calibri" w:cs="Calibri" w:eastAsia="Calibri" w:hAnsi="Calibri"/>
                <w:sz w:val="16"/>
                <w:szCs w:val="16"/>
                <w:color w:val="0000FF"/>
              </w:rPr>
            </w:pPr>
            <w:hyperlink r:id="rId291">
              <w:r>
                <w:rPr>
                  <w:rFonts w:ascii="Calibri" w:cs="Calibri" w:eastAsia="Calibri" w:hAnsi="Calibri"/>
                  <w:sz w:val="16"/>
                  <w:szCs w:val="16"/>
                  <w:color w:val="0000FF"/>
                </w:rPr>
                <w:t>Amendment No. 2 to Master Manufacturing Services and Supply</w:t>
              </w:r>
            </w:hyperlink>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10.58</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February 25, 2021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gridSpan w:val="7"/>
            <w:shd w:val="clear" w:color="auto" w:fill="0000FF"/>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13"/>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20" w:type="dxa"/>
            <w:vAlign w:val="bottom"/>
            <w:gridSpan w:val="27"/>
          </w:tcPr>
          <w:p>
            <w:pPr>
              <w:spacing w:after="0" w:line="142" w:lineRule="exact"/>
              <w:rPr>
                <w:rFonts w:ascii="Calibri" w:cs="Calibri" w:eastAsia="Calibri" w:hAnsi="Calibri"/>
                <w:sz w:val="15"/>
                <w:szCs w:val="15"/>
                <w:color w:val="0000FF"/>
              </w:rPr>
            </w:pPr>
            <w:hyperlink r:id="rId291">
              <w:r>
                <w:rPr>
                  <w:rFonts w:ascii="Calibri" w:cs="Calibri" w:eastAsia="Calibri" w:hAnsi="Calibri"/>
                  <w:sz w:val="15"/>
                  <w:szCs w:val="15"/>
                  <w:color w:val="0000FF"/>
                </w:rPr>
                <w:t>Agreement, dated as of January 29, 2021, by and between Siegfried</w:t>
              </w:r>
            </w:hyperlink>
          </w:p>
        </w:tc>
        <w:tc>
          <w:tcPr>
            <w:tcW w:w="10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20" w:type="dxa"/>
            <w:vAlign w:val="bottom"/>
            <w:tcBorders>
              <w:top w:val="single" w:sz="8" w:color="0000FF"/>
            </w:tcBorders>
            <w:gridSpan w:val="12"/>
          </w:tcPr>
          <w:p>
            <w:pPr>
              <w:spacing w:after="0" w:line="142" w:lineRule="exact"/>
              <w:rPr>
                <w:rFonts w:ascii="Calibri" w:cs="Calibri" w:eastAsia="Calibri" w:hAnsi="Calibri"/>
                <w:sz w:val="15"/>
                <w:szCs w:val="15"/>
                <w:color w:val="0000FF"/>
              </w:rPr>
            </w:pPr>
            <w:hyperlink r:id="rId291">
              <w:r>
                <w:rPr>
                  <w:rFonts w:ascii="Calibri" w:cs="Calibri" w:eastAsia="Calibri" w:hAnsi="Calibri"/>
                  <w:sz w:val="15"/>
                  <w:szCs w:val="15"/>
                  <w:color w:val="0000FF"/>
                </w:rPr>
                <w:t>Evionnaz SA and Keryx Biopharmaceutcals, Inc.</w:t>
              </w:r>
            </w:hyperlink>
          </w:p>
        </w:tc>
        <w:tc>
          <w:tcPr>
            <w:tcW w:w="80" w:type="dxa"/>
            <w:vAlign w:val="bottom"/>
            <w:gridSpan w:val="2"/>
          </w:tcPr>
          <w:p>
            <w:pPr>
              <w:spacing w:after="0"/>
              <w:rPr>
                <w:sz w:val="12"/>
                <w:szCs w:val="12"/>
                <w:color w:val="auto"/>
              </w:rPr>
            </w:pPr>
          </w:p>
        </w:tc>
        <w:tc>
          <w:tcPr>
            <w:tcW w:w="320" w:type="dxa"/>
            <w:vAlign w:val="bottom"/>
            <w:gridSpan w:val="13"/>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5"/>
            <w:shd w:val="clear" w:color="auto" w:fill="0000FF"/>
          </w:tcPr>
          <w:p>
            <w:pPr>
              <w:spacing w:after="0" w:line="20" w:lineRule="exact"/>
              <w:rPr>
                <w:sz w:val="1"/>
                <w:szCs w:val="1"/>
                <w:color w:val="auto"/>
              </w:rPr>
            </w:pPr>
          </w:p>
        </w:tc>
        <w:tc>
          <w:tcPr>
            <w:tcW w:w="1400" w:type="dxa"/>
            <w:vAlign w:val="bottom"/>
            <w:gridSpan w:val="9"/>
          </w:tcPr>
          <w:p>
            <w:pPr>
              <w:spacing w:after="0" w:line="20" w:lineRule="exact"/>
              <w:rPr>
                <w:sz w:val="1"/>
                <w:szCs w:val="1"/>
                <w:color w:val="auto"/>
              </w:rPr>
            </w:pPr>
          </w:p>
        </w:tc>
        <w:tc>
          <w:tcPr>
            <w:tcW w:w="320" w:type="dxa"/>
            <w:vAlign w:val="bottom"/>
            <w:gridSpan w:val="1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40" w:type="dxa"/>
            <w:vAlign w:val="bottom"/>
          </w:tcPr>
          <w:p>
            <w:pPr>
              <w:ind w:left="140"/>
              <w:spacing w:after="0"/>
              <w:rPr>
                <w:sz w:val="20"/>
                <w:szCs w:val="20"/>
                <w:color w:val="auto"/>
              </w:rPr>
            </w:pPr>
            <w:r>
              <w:rPr>
                <w:rFonts w:ascii="Calibri" w:cs="Calibri" w:eastAsia="Calibri" w:hAnsi="Calibri"/>
                <w:sz w:val="16"/>
                <w:szCs w:val="16"/>
                <w:color w:val="auto"/>
              </w:rPr>
              <w:t>10.82!</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27"/>
          </w:tcPr>
          <w:p>
            <w:pPr>
              <w:spacing w:after="0"/>
              <w:rPr>
                <w:rFonts w:ascii="Calibri" w:cs="Calibri" w:eastAsia="Calibri" w:hAnsi="Calibri"/>
                <w:sz w:val="16"/>
                <w:szCs w:val="16"/>
                <w:color w:val="0000FF"/>
              </w:rPr>
            </w:pPr>
            <w:hyperlink r:id="rId292">
              <w:r>
                <w:rPr>
                  <w:rFonts w:ascii="Calibri" w:cs="Calibri" w:eastAsia="Calibri" w:hAnsi="Calibri"/>
                  <w:sz w:val="16"/>
                  <w:szCs w:val="16"/>
                  <w:color w:val="0000FF"/>
                </w:rPr>
                <w:t>Amendment No. 3 to Master Manufacturing Services and Supply</w:t>
              </w:r>
            </w:hyperlink>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10.59</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February 25, 2021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gridSpan w:val="7"/>
            <w:shd w:val="clear" w:color="auto" w:fill="0000FF"/>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320" w:type="dxa"/>
            <w:vAlign w:val="bottom"/>
            <w:gridSpan w:val="13"/>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20" w:type="dxa"/>
            <w:vAlign w:val="bottom"/>
            <w:gridSpan w:val="27"/>
          </w:tcPr>
          <w:p>
            <w:pPr>
              <w:spacing w:after="0" w:line="142" w:lineRule="exact"/>
              <w:rPr>
                <w:rFonts w:ascii="Calibri" w:cs="Calibri" w:eastAsia="Calibri" w:hAnsi="Calibri"/>
                <w:sz w:val="15"/>
                <w:szCs w:val="15"/>
                <w:color w:val="0000FF"/>
              </w:rPr>
            </w:pPr>
            <w:hyperlink r:id="rId292">
              <w:r>
                <w:rPr>
                  <w:rFonts w:ascii="Calibri" w:cs="Calibri" w:eastAsia="Calibri" w:hAnsi="Calibri"/>
                  <w:sz w:val="15"/>
                  <w:szCs w:val="15"/>
                  <w:color w:val="0000FF"/>
                </w:rPr>
                <w:t>Agreement, dated as of February 11, 2021, by and between Siegfried</w:t>
              </w:r>
            </w:hyperlink>
          </w:p>
        </w:tc>
        <w:tc>
          <w:tcPr>
            <w:tcW w:w="10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00" w:type="dxa"/>
            <w:vAlign w:val="bottom"/>
            <w:tcBorders>
              <w:top w:val="single" w:sz="8" w:color="0000FF"/>
            </w:tcBorders>
            <w:gridSpan w:val="14"/>
          </w:tcPr>
          <w:p>
            <w:pPr>
              <w:spacing w:after="0" w:line="142" w:lineRule="exact"/>
              <w:rPr>
                <w:rFonts w:ascii="Calibri" w:cs="Calibri" w:eastAsia="Calibri" w:hAnsi="Calibri"/>
                <w:sz w:val="15"/>
                <w:szCs w:val="15"/>
                <w:color w:val="0000FF"/>
              </w:rPr>
            </w:pPr>
            <w:hyperlink r:id="rId292">
              <w:r>
                <w:rPr>
                  <w:rFonts w:ascii="Calibri" w:cs="Calibri" w:eastAsia="Calibri" w:hAnsi="Calibri"/>
                  <w:sz w:val="15"/>
                  <w:szCs w:val="15"/>
                  <w:color w:val="0000FF"/>
                </w:rPr>
                <w:t>Evionnaz SA and Keryx Biopharmaceutcals, Inc.</w:t>
              </w:r>
            </w:hyperlink>
          </w:p>
        </w:tc>
        <w:tc>
          <w:tcPr>
            <w:tcW w:w="320" w:type="dxa"/>
            <w:vAlign w:val="bottom"/>
            <w:gridSpan w:val="13"/>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Akebia Therapeutcs, Inc. | Form 10-K | Page 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77" w:name="page178"/>
    <w:bookmarkEnd w:id="177"/>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94967277"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4"/>
          </w:tcPr>
          <w:p>
            <w:pPr>
              <w:ind w:left="500"/>
              <w:spacing w:after="0"/>
              <w:rPr>
                <w:sz w:val="20"/>
                <w:szCs w:val="20"/>
                <w:color w:val="auto"/>
              </w:rPr>
            </w:pPr>
            <w:r>
              <w:rPr>
                <w:rFonts w:ascii="Calibri" w:cs="Calibri" w:eastAsia="Calibri" w:hAnsi="Calibri"/>
                <w:sz w:val="16"/>
                <w:szCs w:val="16"/>
                <w:color w:val="auto"/>
                <w:w w:val="99"/>
              </w:rPr>
              <w:t>Incorporated by Reference</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460" w:type="dxa"/>
            <w:vAlign w:val="bottom"/>
            <w:gridSpan w:val="2"/>
            <w:vMerge w:val="restart"/>
          </w:tcPr>
          <w:p>
            <w:pPr>
              <w:ind w:left="20"/>
              <w:spacing w:after="0"/>
              <w:rPr>
                <w:sz w:val="20"/>
                <w:szCs w:val="20"/>
                <w:color w:val="auto"/>
              </w:rPr>
            </w:pPr>
            <w:r>
              <w:rPr>
                <w:rFonts w:ascii="Calibri" w:cs="Calibri" w:eastAsia="Calibri" w:hAnsi="Calibri"/>
                <w:sz w:val="16"/>
                <w:szCs w:val="16"/>
                <w:b w:val="1"/>
                <w:bCs w:val="1"/>
                <w:color w:val="auto"/>
              </w:rPr>
              <w:t>Exhibit</w:t>
            </w: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4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2"/>
          </w:tcPr>
          <w:p>
            <w:pPr>
              <w:jc w:val="center"/>
              <w:ind w:right="100"/>
              <w:spacing w:after="0" w:line="150" w:lineRule="exact"/>
              <w:rPr>
                <w:sz w:val="20"/>
                <w:szCs w:val="20"/>
                <w:color w:val="auto"/>
              </w:rPr>
            </w:pPr>
            <w:r>
              <w:rPr>
                <w:rFonts w:ascii="Calibri" w:cs="Calibri" w:eastAsia="Calibri" w:hAnsi="Calibri"/>
                <w:sz w:val="16"/>
                <w:szCs w:val="16"/>
                <w:color w:val="auto"/>
              </w:rPr>
              <w:t>Schedule/</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center"/>
              <w:spacing w:after="0" w:line="150" w:lineRule="exact"/>
              <w:rPr>
                <w:sz w:val="20"/>
                <w:szCs w:val="20"/>
                <w:color w:val="auto"/>
              </w:rPr>
            </w:pPr>
            <w:r>
              <w:rPr>
                <w:rFonts w:ascii="Calibri" w:cs="Calibri" w:eastAsia="Calibri" w:hAnsi="Calibri"/>
                <w:sz w:val="16"/>
                <w:szCs w:val="16"/>
                <w:color w:val="auto"/>
              </w:rPr>
              <w:t>Filed Date/ Period End</w:t>
            </w:r>
          </w:p>
        </w:tc>
        <w:tc>
          <w:tcPr>
            <w:tcW w:w="0" w:type="dxa"/>
            <w:vAlign w:val="bottom"/>
          </w:tcPr>
          <w:p>
            <w:pPr>
              <w:spacing w:after="0"/>
              <w:rPr>
                <w:sz w:val="1"/>
                <w:szCs w:val="1"/>
                <w:color w:val="auto"/>
              </w:rPr>
            </w:pPr>
          </w:p>
        </w:tc>
      </w:tr>
      <w:tr>
        <w:trPr>
          <w:trHeight w:val="193"/>
        </w:trPr>
        <w:tc>
          <w:tcPr>
            <w:tcW w:w="1460" w:type="dxa"/>
            <w:vAlign w:val="bottom"/>
            <w:gridSpan w:val="2"/>
          </w:tcPr>
          <w:p>
            <w:pPr>
              <w:ind w:left="20"/>
              <w:spacing w:after="0" w:line="193" w:lineRule="exact"/>
              <w:rPr>
                <w:sz w:val="20"/>
                <w:szCs w:val="20"/>
                <w:color w:val="auto"/>
              </w:rPr>
            </w:pPr>
            <w:r>
              <w:rPr>
                <w:rFonts w:ascii="Calibri" w:cs="Calibri" w:eastAsia="Calibri" w:hAnsi="Calibri"/>
                <w:sz w:val="16"/>
                <w:szCs w:val="16"/>
                <w:b w:val="1"/>
                <w:bCs w:val="1"/>
                <w:color w:val="auto"/>
              </w:rPr>
              <w:t>Number</w:t>
            </w:r>
          </w:p>
        </w:tc>
        <w:tc>
          <w:tcPr>
            <w:tcW w:w="20" w:type="dxa"/>
            <w:vAlign w:val="bottom"/>
          </w:tcPr>
          <w:p>
            <w:pPr>
              <w:spacing w:after="0"/>
              <w:rPr>
                <w:sz w:val="16"/>
                <w:szCs w:val="16"/>
                <w:color w:val="auto"/>
              </w:rPr>
            </w:pPr>
          </w:p>
        </w:tc>
        <w:tc>
          <w:tcPr>
            <w:tcW w:w="4820" w:type="dxa"/>
            <w:vAlign w:val="bottom"/>
            <w:gridSpan w:val="29"/>
          </w:tcPr>
          <w:p>
            <w:pPr>
              <w:spacing w:after="0" w:line="193" w:lineRule="exact"/>
              <w:rPr>
                <w:sz w:val="20"/>
                <w:szCs w:val="20"/>
                <w:color w:val="auto"/>
              </w:rPr>
            </w:pPr>
            <w:r>
              <w:rPr>
                <w:rFonts w:ascii="Calibri" w:cs="Calibri" w:eastAsia="Calibri" w:hAnsi="Calibri"/>
                <w:sz w:val="16"/>
                <w:szCs w:val="16"/>
                <w:b w:val="1"/>
                <w:bCs w:val="1"/>
                <w:color w:val="auto"/>
              </w:rPr>
              <w:t>Descripton of Exhibit</w:t>
            </w:r>
          </w:p>
        </w:tc>
        <w:tc>
          <w:tcPr>
            <w:tcW w:w="1080" w:type="dxa"/>
            <w:vAlign w:val="bottom"/>
            <w:gridSpan w:val="2"/>
          </w:tcPr>
          <w:p>
            <w:pPr>
              <w:jc w:val="center"/>
              <w:ind w:right="100"/>
              <w:spacing w:after="0" w:line="193" w:lineRule="exact"/>
              <w:rPr>
                <w:sz w:val="20"/>
                <w:szCs w:val="20"/>
                <w:color w:val="auto"/>
              </w:rPr>
            </w:pPr>
            <w:r>
              <w:rPr>
                <w:rFonts w:ascii="Calibri" w:cs="Calibri" w:eastAsia="Calibri" w:hAnsi="Calibri"/>
                <w:sz w:val="16"/>
                <w:szCs w:val="16"/>
                <w:color w:val="auto"/>
                <w:w w:val="99"/>
              </w:rPr>
              <w:t>Form</w:t>
            </w:r>
          </w:p>
        </w:tc>
        <w:tc>
          <w:tcPr>
            <w:tcW w:w="1260" w:type="dxa"/>
            <w:vAlign w:val="bottom"/>
            <w:gridSpan w:val="2"/>
          </w:tcPr>
          <w:p>
            <w:pPr>
              <w:jc w:val="center"/>
              <w:ind w:right="80"/>
              <w:spacing w:after="0" w:line="193" w:lineRule="exact"/>
              <w:rPr>
                <w:sz w:val="20"/>
                <w:szCs w:val="20"/>
                <w:color w:val="auto"/>
              </w:rPr>
            </w:pPr>
            <w:r>
              <w:rPr>
                <w:rFonts w:ascii="Calibri" w:cs="Calibri" w:eastAsia="Calibri" w:hAnsi="Calibri"/>
                <w:sz w:val="16"/>
                <w:szCs w:val="16"/>
                <w:color w:val="auto"/>
              </w:rPr>
              <w:t>File No.</w:t>
            </w:r>
          </w:p>
        </w:tc>
        <w:tc>
          <w:tcPr>
            <w:tcW w:w="1000" w:type="dxa"/>
            <w:vAlign w:val="bottom"/>
            <w:gridSpan w:val="2"/>
          </w:tcPr>
          <w:p>
            <w:pPr>
              <w:ind w:left="220"/>
              <w:spacing w:after="0" w:line="193" w:lineRule="exact"/>
              <w:rPr>
                <w:sz w:val="20"/>
                <w:szCs w:val="20"/>
                <w:color w:val="auto"/>
              </w:rPr>
            </w:pPr>
            <w:r>
              <w:rPr>
                <w:rFonts w:ascii="Calibri" w:cs="Calibri" w:eastAsia="Calibri" w:hAnsi="Calibri"/>
                <w:sz w:val="16"/>
                <w:szCs w:val="16"/>
                <w:color w:val="auto"/>
              </w:rPr>
              <w:t>Exhibit</w:t>
            </w:r>
          </w:p>
        </w:tc>
        <w:tc>
          <w:tcPr>
            <w:tcW w:w="1580" w:type="dxa"/>
            <w:vAlign w:val="bottom"/>
          </w:tcPr>
          <w:p>
            <w:pPr>
              <w:jc w:val="center"/>
              <w:spacing w:after="0" w:line="193" w:lineRule="exact"/>
              <w:rPr>
                <w:sz w:val="20"/>
                <w:szCs w:val="20"/>
                <w:color w:val="auto"/>
              </w:rPr>
            </w:pPr>
            <w:r>
              <w:rPr>
                <w:rFonts w:ascii="Calibri" w:cs="Calibri" w:eastAsia="Calibri" w:hAnsi="Calibri"/>
                <w:sz w:val="16"/>
                <w:szCs w:val="16"/>
                <w:color w:val="auto"/>
              </w:rPr>
              <w:t>Date</w:t>
            </w:r>
          </w:p>
        </w:tc>
        <w:tc>
          <w:tcPr>
            <w:tcW w:w="0" w:type="dxa"/>
            <w:vAlign w:val="bottom"/>
          </w:tcPr>
          <w:p>
            <w:pPr>
              <w:spacing w:after="0"/>
              <w:rPr>
                <w:sz w:val="1"/>
                <w:szCs w:val="1"/>
                <w:color w:val="auto"/>
              </w:rPr>
            </w:pPr>
          </w:p>
        </w:tc>
      </w:tr>
      <w:tr>
        <w:trPr>
          <w:trHeight w:val="28"/>
        </w:trPr>
        <w:tc>
          <w:tcPr>
            <w:tcW w:w="10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94967277"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040" w:type="dxa"/>
            <w:vAlign w:val="bottom"/>
          </w:tcPr>
          <w:p>
            <w:pPr>
              <w:ind w:left="180"/>
              <w:spacing w:after="0" w:line="156" w:lineRule="exact"/>
              <w:rPr>
                <w:sz w:val="20"/>
                <w:szCs w:val="20"/>
                <w:color w:val="auto"/>
              </w:rPr>
            </w:pPr>
            <w:r>
              <w:rPr>
                <w:rFonts w:ascii="Calibri" w:cs="Calibri" w:eastAsia="Calibri" w:hAnsi="Calibri"/>
                <w:sz w:val="16"/>
                <w:szCs w:val="16"/>
                <w:color w:val="auto"/>
              </w:rPr>
              <w:t>10.83</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bottom w:val="single" w:sz="8" w:color="0000FF"/>
            </w:tcBorders>
            <w:gridSpan w:val="12"/>
          </w:tcPr>
          <w:p>
            <w:pPr>
              <w:spacing w:after="0" w:line="156" w:lineRule="exact"/>
              <w:rPr>
                <w:rFonts w:ascii="Calibri" w:cs="Calibri" w:eastAsia="Calibri" w:hAnsi="Calibri"/>
                <w:sz w:val="16"/>
                <w:szCs w:val="16"/>
                <w:color w:val="0000FF"/>
              </w:rPr>
            </w:pPr>
            <w:hyperlink r:id="rId294">
              <w:r>
                <w:rPr>
                  <w:rFonts w:ascii="Calibri" w:cs="Calibri" w:eastAsia="Calibri" w:hAnsi="Calibri"/>
                  <w:sz w:val="16"/>
                  <w:szCs w:val="16"/>
                  <w:color w:val="0000FF"/>
                </w:rPr>
                <w:t>Amendment No. 4 to Master Manufacturing Services and Supply</w:t>
              </w:r>
            </w:hyperlink>
          </w:p>
        </w:tc>
        <w:tc>
          <w:tcPr>
            <w:tcW w:w="580" w:type="dxa"/>
            <w:vAlign w:val="bottom"/>
            <w:gridSpan w:val="17"/>
          </w:tcPr>
          <w:p>
            <w:pPr>
              <w:spacing w:after="0"/>
              <w:rPr>
                <w:sz w:val="13"/>
                <w:szCs w:val="13"/>
                <w:color w:val="auto"/>
              </w:rPr>
            </w:pPr>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10.64</w:t>
            </w:r>
          </w:p>
        </w:tc>
        <w:tc>
          <w:tcPr>
            <w:tcW w:w="120" w:type="dxa"/>
            <w:vAlign w:val="bottom"/>
          </w:tcPr>
          <w:p>
            <w:pPr>
              <w:spacing w:after="0"/>
              <w:rPr>
                <w:sz w:val="13"/>
                <w:szCs w:val="13"/>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March 1, 2022</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20" w:type="dxa"/>
            <w:vAlign w:val="bottom"/>
            <w:gridSpan w:val="29"/>
          </w:tcPr>
          <w:p>
            <w:pPr>
              <w:spacing w:after="0" w:line="142" w:lineRule="exact"/>
              <w:rPr>
                <w:rFonts w:ascii="Calibri" w:cs="Calibri" w:eastAsia="Calibri" w:hAnsi="Calibri"/>
                <w:sz w:val="15"/>
                <w:szCs w:val="15"/>
                <w:color w:val="0000FF"/>
              </w:rPr>
            </w:pPr>
            <w:hyperlink r:id="rId294">
              <w:r>
                <w:rPr>
                  <w:rFonts w:ascii="Calibri" w:cs="Calibri" w:eastAsia="Calibri" w:hAnsi="Calibri"/>
                  <w:sz w:val="15"/>
                  <w:szCs w:val="15"/>
                  <w:color w:val="0000FF"/>
                </w:rPr>
                <w:t>Agreement, dated as of December 17, 2021, by and between Siegfried</w:t>
              </w:r>
            </w:hyperlink>
          </w:p>
        </w:tc>
        <w:tc>
          <w:tcPr>
            <w:tcW w:w="10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20" w:type="dxa"/>
            <w:vAlign w:val="bottom"/>
            <w:tcBorders>
              <w:top w:val="single" w:sz="8" w:color="0000FF"/>
            </w:tcBorders>
            <w:gridSpan w:val="23"/>
          </w:tcPr>
          <w:p>
            <w:pPr>
              <w:spacing w:after="0" w:line="142" w:lineRule="exact"/>
              <w:rPr>
                <w:rFonts w:ascii="Calibri" w:cs="Calibri" w:eastAsia="Calibri" w:hAnsi="Calibri"/>
                <w:sz w:val="15"/>
                <w:szCs w:val="15"/>
                <w:color w:val="0000FF"/>
              </w:rPr>
            </w:pPr>
            <w:hyperlink r:id="rId294">
              <w:r>
                <w:rPr>
                  <w:rFonts w:ascii="Calibri" w:cs="Calibri" w:eastAsia="Calibri" w:hAnsi="Calibri"/>
                  <w:sz w:val="15"/>
                  <w:szCs w:val="15"/>
                  <w:color w:val="0000FF"/>
                </w:rPr>
                <w:t>Evionnaz SA and Keryx Biopharmaceutcals, Inc.</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3"/>
        </w:trPr>
        <w:tc>
          <w:tcPr>
            <w:tcW w:w="1040" w:type="dxa"/>
            <w:vAlign w:val="bottom"/>
          </w:tcPr>
          <w:p>
            <w:pPr>
              <w:ind w:left="180"/>
              <w:spacing w:after="0"/>
              <w:rPr>
                <w:sz w:val="20"/>
                <w:szCs w:val="20"/>
                <w:color w:val="auto"/>
              </w:rPr>
            </w:pPr>
            <w:r>
              <w:rPr>
                <w:rFonts w:ascii="Calibri" w:cs="Calibri" w:eastAsia="Calibri" w:hAnsi="Calibri"/>
                <w:sz w:val="16"/>
                <w:szCs w:val="16"/>
                <w:color w:val="auto"/>
              </w:rPr>
              <w:t>10.84!</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tcBorders>
              <w:bottom w:val="single" w:sz="8" w:color="0000FF"/>
            </w:tcBorders>
            <w:gridSpan w:val="12"/>
          </w:tcPr>
          <w:p>
            <w:pPr>
              <w:spacing w:after="0"/>
              <w:rPr>
                <w:sz w:val="20"/>
                <w:szCs w:val="20"/>
                <w:color w:val="auto"/>
              </w:rPr>
            </w:pPr>
            <w:r>
              <w:rPr>
                <w:rFonts w:ascii="Calibri" w:cs="Calibri" w:eastAsia="Calibri" w:hAnsi="Calibri"/>
                <w:sz w:val="16"/>
                <w:szCs w:val="16"/>
                <w:color w:val="0000FF"/>
              </w:rPr>
              <w:t>Amendment No. 5 to Master Manufacturing Services and Supply</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94967277"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18"/>
                <w:szCs w:val="18"/>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10.2</w:t>
            </w:r>
          </w:p>
        </w:tc>
        <w:tc>
          <w:tcPr>
            <w:tcW w:w="120" w:type="dxa"/>
            <w:vAlign w:val="bottom"/>
          </w:tcPr>
          <w:p>
            <w:pPr>
              <w:spacing w:after="0"/>
              <w:rPr>
                <w:sz w:val="18"/>
                <w:szCs w:val="18"/>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w w:val="99"/>
              </w:rPr>
              <w:t>May 8, 2023</w:t>
            </w:r>
          </w:p>
        </w:tc>
        <w:tc>
          <w:tcPr>
            <w:tcW w:w="0" w:type="dxa"/>
            <w:vAlign w:val="bottom"/>
          </w:tcPr>
          <w:p>
            <w:pPr>
              <w:spacing w:after="0"/>
              <w:rPr>
                <w:sz w:val="1"/>
                <w:szCs w:val="1"/>
                <w:color w:val="auto"/>
              </w:rPr>
            </w:pPr>
          </w:p>
        </w:tc>
      </w:tr>
      <w:tr>
        <w:trPr>
          <w:trHeight w:val="47"/>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820" w:type="dxa"/>
            <w:vAlign w:val="bottom"/>
            <w:gridSpan w:val="29"/>
            <w:vMerge w:val="restart"/>
          </w:tcPr>
          <w:p>
            <w:pPr>
              <w:spacing w:after="0" w:line="142" w:lineRule="exact"/>
              <w:rPr>
                <w:rFonts w:ascii="Calibri" w:cs="Calibri" w:eastAsia="Calibri" w:hAnsi="Calibri"/>
                <w:sz w:val="15"/>
                <w:szCs w:val="15"/>
                <w:color w:val="0000FF"/>
              </w:rPr>
            </w:pPr>
            <w:hyperlink r:id="rId295">
              <w:r>
                <w:rPr>
                  <w:rFonts w:ascii="Calibri" w:cs="Calibri" w:eastAsia="Calibri" w:hAnsi="Calibri"/>
                  <w:sz w:val="15"/>
                  <w:szCs w:val="15"/>
                  <w:color w:val="0000FF"/>
                </w:rPr>
                <w:t>Agreement, dated February 28, 2023, by and between Keryx</w:t>
              </w:r>
            </w:hyperlink>
          </w:p>
        </w:tc>
        <w:tc>
          <w:tcPr>
            <w:tcW w:w="1080" w:type="dxa"/>
            <w:vAlign w:val="bottom"/>
            <w:gridSpan w:val="2"/>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0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20" w:type="dxa"/>
            <w:vAlign w:val="bottom"/>
            <w:gridSpan w:val="29"/>
            <w:vMerge w:val="continue"/>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20" w:type="dxa"/>
            <w:vAlign w:val="bottom"/>
            <w:tcBorders>
              <w:top w:val="single" w:sz="8" w:color="0000FF"/>
              <w:bottom w:val="single" w:sz="8" w:color="0000FF"/>
            </w:tcBorders>
            <w:gridSpan w:val="6"/>
          </w:tcPr>
          <w:p>
            <w:pPr>
              <w:spacing w:after="0" w:line="142" w:lineRule="exact"/>
              <w:rPr>
                <w:rFonts w:ascii="Calibri" w:cs="Calibri" w:eastAsia="Calibri" w:hAnsi="Calibri"/>
                <w:sz w:val="15"/>
                <w:szCs w:val="15"/>
                <w:color w:val="0000FF"/>
              </w:rPr>
            </w:pPr>
            <w:hyperlink r:id="rId295">
              <w:r>
                <w:rPr>
                  <w:rFonts w:ascii="Calibri" w:cs="Calibri" w:eastAsia="Calibri" w:hAnsi="Calibri"/>
                  <w:sz w:val="15"/>
                  <w:szCs w:val="15"/>
                  <w:color w:val="0000FF"/>
                </w:rPr>
                <w:t>Biopharmaceutcals, Inc. and Siegfried Evionnaz SA</w:t>
              </w:r>
            </w:hyperlink>
          </w:p>
        </w:tc>
        <w:tc>
          <w:tcPr>
            <w:tcW w:w="6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7"/>
        </w:trPr>
        <w:tc>
          <w:tcPr>
            <w:tcW w:w="1040" w:type="dxa"/>
            <w:vAlign w:val="bottom"/>
          </w:tcPr>
          <w:p>
            <w:pPr>
              <w:ind w:left="140"/>
              <w:spacing w:after="0"/>
              <w:rPr>
                <w:sz w:val="20"/>
                <w:szCs w:val="20"/>
                <w:color w:val="auto"/>
              </w:rPr>
            </w:pPr>
            <w:r>
              <w:rPr>
                <w:rFonts w:ascii="Calibri" w:cs="Calibri" w:eastAsia="Calibri" w:hAnsi="Calibri"/>
                <w:sz w:val="16"/>
                <w:szCs w:val="16"/>
                <w:color w:val="auto"/>
              </w:rPr>
              <w:t>10.85#</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29"/>
          </w:tcPr>
          <w:p>
            <w:pPr>
              <w:spacing w:after="0"/>
              <w:rPr>
                <w:rFonts w:ascii="Calibri" w:cs="Calibri" w:eastAsia="Calibri" w:hAnsi="Calibri"/>
                <w:sz w:val="16"/>
                <w:szCs w:val="16"/>
                <w:color w:val="0000FF"/>
              </w:rPr>
            </w:pPr>
            <w:hyperlink r:id="rId296">
              <w:r>
                <w:rPr>
                  <w:rFonts w:ascii="Calibri" w:cs="Calibri" w:eastAsia="Calibri" w:hAnsi="Calibri"/>
                  <w:sz w:val="16"/>
                  <w:szCs w:val="16"/>
                  <w:color w:val="0000FF"/>
                </w:rPr>
                <w:t>Exclusive Distributon Agreement between Keryx Biopharmaceutcals,</w:t>
              </w:r>
            </w:hyperlink>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80" w:type="dxa"/>
            <w:vAlign w:val="bottom"/>
            <w:tcBorders>
              <w:top w:val="single" w:sz="8" w:color="0000FF"/>
            </w:tcBorders>
            <w:gridSpan w:val="20"/>
          </w:tcPr>
          <w:p>
            <w:pPr>
              <w:spacing w:after="0" w:line="142" w:lineRule="exact"/>
              <w:rPr>
                <w:rFonts w:ascii="Calibri" w:cs="Calibri" w:eastAsia="Calibri" w:hAnsi="Calibri"/>
                <w:sz w:val="15"/>
                <w:szCs w:val="15"/>
                <w:color w:val="0000FF"/>
              </w:rPr>
            </w:pPr>
            <w:hyperlink r:id="rId296">
              <w:r>
                <w:rPr>
                  <w:rFonts w:ascii="Calibri" w:cs="Calibri" w:eastAsia="Calibri" w:hAnsi="Calibri"/>
                  <w:sz w:val="15"/>
                  <w:szCs w:val="15"/>
                  <w:color w:val="0000FF"/>
                </w:rPr>
                <w:t>Inc. and Cardinal Health 105, Inc., dated October 16, 2014 and First</w:t>
              </w:r>
            </w:hyperlink>
          </w:p>
        </w:tc>
        <w:tc>
          <w:tcPr>
            <w:tcW w:w="4294967277"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10.60</w:t>
            </w:r>
          </w:p>
        </w:tc>
        <w:tc>
          <w:tcPr>
            <w:tcW w:w="12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March 26, 2019</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20" w:type="dxa"/>
            <w:vAlign w:val="bottom"/>
            <w:tcBorders>
              <w:top w:val="single" w:sz="8" w:color="0000FF"/>
              <w:bottom w:val="single" w:sz="8" w:color="0000FF"/>
            </w:tcBorders>
            <w:gridSpan w:val="11"/>
          </w:tcPr>
          <w:p>
            <w:pPr>
              <w:spacing w:after="0" w:line="142" w:lineRule="exact"/>
              <w:rPr>
                <w:rFonts w:ascii="Calibri" w:cs="Calibri" w:eastAsia="Calibri" w:hAnsi="Calibri"/>
                <w:sz w:val="15"/>
                <w:szCs w:val="15"/>
                <w:color w:val="0000FF"/>
              </w:rPr>
            </w:pPr>
            <w:hyperlink r:id="rId296">
              <w:r>
                <w:rPr>
                  <w:rFonts w:ascii="Calibri" w:cs="Calibri" w:eastAsia="Calibri" w:hAnsi="Calibri"/>
                  <w:sz w:val="15"/>
                  <w:szCs w:val="15"/>
                  <w:color w:val="0000FF"/>
                </w:rPr>
                <w:t>Amendment to Exclusive Distributon Agreement between Keryx</w:t>
              </w:r>
            </w:hyperlink>
          </w:p>
        </w:tc>
        <w:tc>
          <w:tcPr>
            <w:tcW w:w="180" w:type="dxa"/>
            <w:vAlign w:val="bottom"/>
            <w:tcBorders>
              <w:top w:val="single" w:sz="8" w:color="0000FF"/>
            </w:tcBorders>
            <w:gridSpan w:val="4"/>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20" w:type="dxa"/>
            <w:vAlign w:val="bottom"/>
            <w:gridSpan w:val="29"/>
          </w:tcPr>
          <w:p>
            <w:pPr>
              <w:spacing w:after="0" w:line="142" w:lineRule="exact"/>
              <w:rPr>
                <w:rFonts w:ascii="Calibri" w:cs="Calibri" w:eastAsia="Calibri" w:hAnsi="Calibri"/>
                <w:sz w:val="15"/>
                <w:szCs w:val="15"/>
                <w:color w:val="0000FF"/>
              </w:rPr>
            </w:pPr>
            <w:hyperlink r:id="rId296">
              <w:r>
                <w:rPr>
                  <w:rFonts w:ascii="Calibri" w:cs="Calibri" w:eastAsia="Calibri" w:hAnsi="Calibri"/>
                  <w:sz w:val="15"/>
                  <w:szCs w:val="15"/>
                  <w:color w:val="0000FF"/>
                </w:rPr>
                <w:t>Biopharmaceutcals, Inc. and Cardinal Health 105, Inc., dated April 14,</w:t>
              </w:r>
            </w:hyperlink>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0000FF"/>
              <w:bottom w:val="single" w:sz="8" w:color="0000FF"/>
            </w:tcBorders>
          </w:tcPr>
          <w:p>
            <w:pPr>
              <w:spacing w:after="0" w:line="142" w:lineRule="exact"/>
              <w:rPr>
                <w:rFonts w:ascii="Calibri" w:cs="Calibri" w:eastAsia="Calibri" w:hAnsi="Calibri"/>
                <w:sz w:val="15"/>
                <w:szCs w:val="15"/>
                <w:color w:val="0000FF"/>
                <w:w w:val="98"/>
              </w:rPr>
            </w:pPr>
            <w:hyperlink r:id="rId296">
              <w:r>
                <w:rPr>
                  <w:rFonts w:ascii="Calibri" w:cs="Calibri" w:eastAsia="Calibri" w:hAnsi="Calibri"/>
                  <w:sz w:val="15"/>
                  <w:szCs w:val="15"/>
                  <w:color w:val="0000FF"/>
                  <w:w w:val="98"/>
                </w:rPr>
                <w:t>2015</w:t>
              </w:r>
            </w:hyperlink>
          </w:p>
        </w:tc>
        <w:tc>
          <w:tcPr>
            <w:tcW w:w="1060" w:type="dxa"/>
            <w:vAlign w:val="bottom"/>
            <w:tcBorders>
              <w:top w:val="single" w:sz="8" w:color="0000FF"/>
            </w:tcBorders>
          </w:tcPr>
          <w:p>
            <w:pPr>
              <w:spacing w:after="0"/>
              <w:rPr>
                <w:sz w:val="12"/>
                <w:szCs w:val="12"/>
                <w:color w:val="auto"/>
              </w:rPr>
            </w:pPr>
          </w:p>
        </w:tc>
        <w:tc>
          <w:tcPr>
            <w:tcW w:w="96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294967277"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7"/>
        </w:trPr>
        <w:tc>
          <w:tcPr>
            <w:tcW w:w="1040" w:type="dxa"/>
            <w:vAlign w:val="bottom"/>
          </w:tcPr>
          <w:p>
            <w:pPr>
              <w:ind w:left="140"/>
              <w:spacing w:after="0"/>
              <w:rPr>
                <w:sz w:val="20"/>
                <w:szCs w:val="20"/>
                <w:color w:val="auto"/>
              </w:rPr>
            </w:pPr>
            <w:r>
              <w:rPr>
                <w:rFonts w:ascii="Calibri" w:cs="Calibri" w:eastAsia="Calibri" w:hAnsi="Calibri"/>
                <w:sz w:val="16"/>
                <w:szCs w:val="16"/>
                <w:color w:val="auto"/>
              </w:rPr>
              <w:t>10.86!</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tcBorders>
              <w:bottom w:val="single" w:sz="8" w:color="0000FF"/>
            </w:tcBorders>
            <w:gridSpan w:val="24"/>
          </w:tcPr>
          <w:p>
            <w:pPr>
              <w:spacing w:after="0"/>
              <w:rPr>
                <w:rFonts w:ascii="Calibri" w:cs="Calibri" w:eastAsia="Calibri" w:hAnsi="Calibri"/>
                <w:sz w:val="16"/>
                <w:szCs w:val="16"/>
                <w:color w:val="0000FF"/>
              </w:rPr>
            </w:pPr>
            <w:hyperlink r:id="rId297">
              <w:r>
                <w:rPr>
                  <w:rFonts w:ascii="Calibri" w:cs="Calibri" w:eastAsia="Calibri" w:hAnsi="Calibri"/>
                  <w:sz w:val="16"/>
                  <w:szCs w:val="16"/>
                  <w:color w:val="0000FF"/>
                </w:rPr>
                <w:t>Terminaton and Setlement Agreement, dated December 22, 2022, by</w:t>
              </w:r>
            </w:hyperlink>
          </w:p>
        </w:tc>
        <w:tc>
          <w:tcPr>
            <w:tcW w:w="180" w:type="dxa"/>
            <w:vAlign w:val="bottom"/>
            <w:gridSpan w:val="5"/>
          </w:tcPr>
          <w:p>
            <w:pPr>
              <w:spacing w:after="0"/>
              <w:rPr>
                <w:sz w:val="24"/>
                <w:szCs w:val="24"/>
                <w:color w:val="auto"/>
              </w:rPr>
            </w:pPr>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10.70</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March 10, 2023</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120" w:type="dxa"/>
            <w:vAlign w:val="bottom"/>
            <w:gridSpan w:val="10"/>
            <w:vMerge w:val="restart"/>
          </w:tcPr>
          <w:p>
            <w:pPr>
              <w:spacing w:after="0" w:line="142" w:lineRule="exact"/>
              <w:rPr>
                <w:rFonts w:ascii="Calibri" w:cs="Calibri" w:eastAsia="Calibri" w:hAnsi="Calibri"/>
                <w:sz w:val="15"/>
                <w:szCs w:val="15"/>
                <w:color w:val="0000FF"/>
              </w:rPr>
            </w:pPr>
            <w:hyperlink r:id="rId297">
              <w:r>
                <w:rPr>
                  <w:rFonts w:ascii="Calibri" w:cs="Calibri" w:eastAsia="Calibri" w:hAnsi="Calibri"/>
                  <w:sz w:val="15"/>
                  <w:szCs w:val="15"/>
                  <w:color w:val="0000FF"/>
                </w:rPr>
                <w:t>and between Keryx Biopharmaceutcals, Inc. and BioVectra Inc.</w:t>
              </w:r>
            </w:hyperlink>
          </w:p>
        </w:tc>
        <w:tc>
          <w:tcPr>
            <w:tcW w:w="700" w:type="dxa"/>
            <w:vAlign w:val="bottom"/>
            <w:gridSpan w:val="19"/>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120" w:type="dxa"/>
            <w:vAlign w:val="bottom"/>
            <w:tcBorders>
              <w:bottom w:val="single" w:sz="8" w:color="0000FF"/>
            </w:tcBorders>
            <w:gridSpan w:val="10"/>
            <w:vMerge w:val="continue"/>
          </w:tcPr>
          <w:p>
            <w:pPr>
              <w:spacing w:after="0"/>
              <w:rPr>
                <w:sz w:val="4"/>
                <w:szCs w:val="4"/>
                <w:color w:val="auto"/>
              </w:rPr>
            </w:pPr>
          </w:p>
        </w:tc>
        <w:tc>
          <w:tcPr>
            <w:tcW w:w="700" w:type="dxa"/>
            <w:vAlign w:val="bottom"/>
            <w:gridSpan w:val="19"/>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1040" w:type="dxa"/>
            <w:vAlign w:val="bottom"/>
          </w:tcPr>
          <w:p>
            <w:pPr>
              <w:ind w:left="180"/>
              <w:spacing w:after="0"/>
              <w:rPr>
                <w:sz w:val="20"/>
                <w:szCs w:val="20"/>
                <w:color w:val="auto"/>
              </w:rPr>
            </w:pPr>
            <w:r>
              <w:rPr>
                <w:rFonts w:ascii="Calibri" w:cs="Calibri" w:eastAsia="Calibri" w:hAnsi="Calibri"/>
                <w:sz w:val="16"/>
                <w:szCs w:val="16"/>
                <w:color w:val="auto"/>
              </w:rPr>
              <w:t>10.87!</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60" w:type="dxa"/>
            <w:vAlign w:val="bottom"/>
            <w:tcBorders>
              <w:bottom w:val="single" w:sz="8" w:color="0000FF"/>
            </w:tcBorders>
            <w:gridSpan w:val="14"/>
          </w:tcPr>
          <w:p>
            <w:pPr>
              <w:spacing w:after="0"/>
              <w:rPr>
                <w:rFonts w:ascii="Calibri" w:cs="Calibri" w:eastAsia="Calibri" w:hAnsi="Calibri"/>
                <w:sz w:val="16"/>
                <w:szCs w:val="16"/>
                <w:color w:val="0000FF"/>
              </w:rPr>
            </w:pPr>
            <w:hyperlink r:id="rId298">
              <w:r>
                <w:rPr>
                  <w:rFonts w:ascii="Calibri" w:cs="Calibri" w:eastAsia="Calibri" w:hAnsi="Calibri"/>
                  <w:sz w:val="16"/>
                  <w:szCs w:val="16"/>
                  <w:color w:val="0000FF"/>
                </w:rPr>
                <w:t>Loan Agreement, dated November 11, 2019, by and among Akebia</w:t>
              </w:r>
            </w:hyperlink>
          </w:p>
        </w:tc>
        <w:tc>
          <w:tcPr>
            <w:tcW w:w="460" w:type="dxa"/>
            <w:vAlign w:val="bottom"/>
            <w:gridSpan w:val="15"/>
          </w:tcPr>
          <w:p>
            <w:pPr>
              <w:spacing w:after="0"/>
              <w:rPr>
                <w:sz w:val="24"/>
                <w:szCs w:val="24"/>
                <w:color w:val="auto"/>
              </w:rPr>
            </w:pPr>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10.62</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March 12, 2020</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20" w:type="dxa"/>
            <w:vAlign w:val="bottom"/>
            <w:gridSpan w:val="29"/>
          </w:tcPr>
          <w:p>
            <w:pPr>
              <w:spacing w:after="0" w:line="142" w:lineRule="exact"/>
              <w:rPr>
                <w:rFonts w:ascii="Calibri" w:cs="Calibri" w:eastAsia="Calibri" w:hAnsi="Calibri"/>
                <w:sz w:val="15"/>
                <w:szCs w:val="15"/>
                <w:color w:val="0000FF"/>
              </w:rPr>
            </w:pPr>
            <w:hyperlink r:id="rId298">
              <w:r>
                <w:rPr>
                  <w:rFonts w:ascii="Calibri" w:cs="Calibri" w:eastAsia="Calibri" w:hAnsi="Calibri"/>
                  <w:sz w:val="15"/>
                  <w:szCs w:val="15"/>
                  <w:color w:val="0000FF"/>
                </w:rPr>
                <w:t>Therapeutcs, Inc., Keryx Biopharmaceutcals, Inc., Biopharma Credit plc</w:t>
              </w:r>
            </w:hyperlink>
          </w:p>
        </w:tc>
        <w:tc>
          <w:tcPr>
            <w:tcW w:w="10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00" w:type="dxa"/>
            <w:vAlign w:val="bottom"/>
            <w:tcBorders>
              <w:top w:val="single" w:sz="8" w:color="0000FF"/>
            </w:tcBorders>
            <w:gridSpan w:val="26"/>
          </w:tcPr>
          <w:p>
            <w:pPr>
              <w:spacing w:after="0" w:line="142" w:lineRule="exact"/>
              <w:rPr>
                <w:rFonts w:ascii="Calibri" w:cs="Calibri" w:eastAsia="Calibri" w:hAnsi="Calibri"/>
                <w:sz w:val="15"/>
                <w:szCs w:val="15"/>
                <w:color w:val="0000FF"/>
              </w:rPr>
            </w:pPr>
            <w:hyperlink r:id="rId298">
              <w:r>
                <w:rPr>
                  <w:rFonts w:ascii="Calibri" w:cs="Calibri" w:eastAsia="Calibri" w:hAnsi="Calibri"/>
                  <w:sz w:val="15"/>
                  <w:szCs w:val="15"/>
                  <w:color w:val="0000FF"/>
                </w:rPr>
                <w:t>and Biopharma Credit Investments V (Master) LP</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tcPr>
          <w:p>
            <w:pPr>
              <w:ind w:left="180"/>
              <w:spacing w:after="0"/>
              <w:rPr>
                <w:sz w:val="20"/>
                <w:szCs w:val="20"/>
                <w:color w:val="auto"/>
              </w:rPr>
            </w:pPr>
            <w:r>
              <w:rPr>
                <w:rFonts w:ascii="Calibri" w:cs="Calibri" w:eastAsia="Calibri" w:hAnsi="Calibri"/>
                <w:sz w:val="16"/>
                <w:szCs w:val="16"/>
                <w:color w:val="auto"/>
              </w:rPr>
              <w:t>10.88!</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29"/>
          </w:tcPr>
          <w:p>
            <w:pPr>
              <w:spacing w:after="0"/>
              <w:rPr>
                <w:rFonts w:ascii="Calibri" w:cs="Calibri" w:eastAsia="Calibri" w:hAnsi="Calibri"/>
                <w:sz w:val="16"/>
                <w:szCs w:val="16"/>
                <w:color w:val="0000FF"/>
              </w:rPr>
            </w:pPr>
            <w:hyperlink r:id="rId299">
              <w:r>
                <w:rPr>
                  <w:rFonts w:ascii="Calibri" w:cs="Calibri" w:eastAsia="Calibri" w:hAnsi="Calibri"/>
                  <w:sz w:val="16"/>
                  <w:szCs w:val="16"/>
                  <w:color w:val="0000FF"/>
                </w:rPr>
                <w:t>First Amendment and Waiver, dated February 18, 2022, by and among</w:t>
              </w:r>
            </w:hyperlink>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10.69</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March 1, 2022</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0" w:type="dxa"/>
            <w:vAlign w:val="bottom"/>
            <w:tcBorders>
              <w:top w:val="single" w:sz="8" w:color="0000FF"/>
            </w:tcBorders>
            <w:gridSpan w:val="22"/>
          </w:tcPr>
          <w:p>
            <w:pPr>
              <w:spacing w:after="0" w:line="142" w:lineRule="exact"/>
              <w:rPr>
                <w:rFonts w:ascii="Calibri" w:cs="Calibri" w:eastAsia="Calibri" w:hAnsi="Calibri"/>
                <w:sz w:val="15"/>
                <w:szCs w:val="15"/>
                <w:color w:val="0000FF"/>
              </w:rPr>
            </w:pPr>
            <w:hyperlink r:id="rId299">
              <w:r>
                <w:rPr>
                  <w:rFonts w:ascii="Calibri" w:cs="Calibri" w:eastAsia="Calibri" w:hAnsi="Calibri"/>
                  <w:sz w:val="15"/>
                  <w:szCs w:val="15"/>
                  <w:color w:val="0000FF"/>
                </w:rPr>
                <w:t>Akebia Therapeutcs, Inc., Biopharma Credit plc, BPCR Limited</w:t>
              </w:r>
            </w:hyperlink>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40" w:type="dxa"/>
            <w:vAlign w:val="bottom"/>
            <w:tcBorders>
              <w:top w:val="single" w:sz="8" w:color="0000FF"/>
            </w:tcBorders>
            <w:gridSpan w:val="9"/>
          </w:tcPr>
          <w:p>
            <w:pPr>
              <w:spacing w:after="0" w:line="142" w:lineRule="exact"/>
              <w:rPr>
                <w:rFonts w:ascii="Calibri" w:cs="Calibri" w:eastAsia="Calibri" w:hAnsi="Calibri"/>
                <w:sz w:val="15"/>
                <w:szCs w:val="15"/>
                <w:color w:val="0000FF"/>
              </w:rPr>
            </w:pPr>
            <w:hyperlink r:id="rId299">
              <w:r>
                <w:rPr>
                  <w:rFonts w:ascii="Calibri" w:cs="Calibri" w:eastAsia="Calibri" w:hAnsi="Calibri"/>
                  <w:sz w:val="15"/>
                  <w:szCs w:val="15"/>
                  <w:color w:val="0000FF"/>
                </w:rPr>
                <w:t>Partnership and Biopharma Credit Investments V (Master) LP</w:t>
              </w:r>
            </w:hyperlink>
          </w:p>
        </w:tc>
        <w:tc>
          <w:tcPr>
            <w:tcW w:w="300" w:type="dxa"/>
            <w:vAlign w:val="bottom"/>
            <w:gridSpan w:val="4"/>
          </w:tcPr>
          <w:p>
            <w:pPr>
              <w:spacing w:after="0"/>
              <w:rPr>
                <w:sz w:val="12"/>
                <w:szCs w:val="12"/>
                <w:color w:val="auto"/>
              </w:rPr>
            </w:pPr>
          </w:p>
        </w:tc>
        <w:tc>
          <w:tcPr>
            <w:tcW w:w="12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4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40" w:type="dxa"/>
            <w:vAlign w:val="bottom"/>
          </w:tcPr>
          <w:p>
            <w:pPr>
              <w:ind w:left="180"/>
              <w:spacing w:after="0"/>
              <w:rPr>
                <w:sz w:val="20"/>
                <w:szCs w:val="20"/>
                <w:color w:val="auto"/>
              </w:rPr>
            </w:pPr>
            <w:r>
              <w:rPr>
                <w:rFonts w:ascii="Calibri" w:cs="Calibri" w:eastAsia="Calibri" w:hAnsi="Calibri"/>
                <w:sz w:val="16"/>
                <w:szCs w:val="16"/>
                <w:color w:val="auto"/>
              </w:rPr>
              <w:t>10.89!</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29"/>
          </w:tcPr>
          <w:p>
            <w:pPr>
              <w:spacing w:after="0"/>
              <w:rPr>
                <w:rFonts w:ascii="Calibri" w:cs="Calibri" w:eastAsia="Calibri" w:hAnsi="Calibri"/>
                <w:sz w:val="16"/>
                <w:szCs w:val="16"/>
                <w:color w:val="0000FF"/>
              </w:rPr>
            </w:pPr>
            <w:hyperlink r:id="rId300">
              <w:r>
                <w:rPr>
                  <w:rFonts w:ascii="Calibri" w:cs="Calibri" w:eastAsia="Calibri" w:hAnsi="Calibri"/>
                  <w:sz w:val="16"/>
                  <w:szCs w:val="16"/>
                  <w:color w:val="0000FF"/>
                </w:rPr>
                <w:t>Second Amendment and Waiver, dated July 15, 2022, by and among</w:t>
              </w:r>
            </w:hyperlink>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10.9</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August 4, 2022</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60" w:type="dxa"/>
            <w:vAlign w:val="bottom"/>
            <w:tcBorders>
              <w:top w:val="single" w:sz="8" w:color="0000FF"/>
            </w:tcBorders>
            <w:gridSpan w:val="16"/>
          </w:tcPr>
          <w:p>
            <w:pPr>
              <w:spacing w:after="0" w:line="142" w:lineRule="exact"/>
              <w:rPr>
                <w:rFonts w:ascii="Calibri" w:cs="Calibri" w:eastAsia="Calibri" w:hAnsi="Calibri"/>
                <w:sz w:val="15"/>
                <w:szCs w:val="15"/>
                <w:color w:val="0000FF"/>
              </w:rPr>
            </w:pPr>
            <w:hyperlink r:id="rId300">
              <w:r>
                <w:rPr>
                  <w:rFonts w:ascii="Calibri" w:cs="Calibri" w:eastAsia="Calibri" w:hAnsi="Calibri"/>
                  <w:sz w:val="15"/>
                  <w:szCs w:val="15"/>
                  <w:color w:val="0000FF"/>
                </w:rPr>
                <w:t>Akebia Therapeutcs, Inc., Biopharma Credit plc, BPCR Limited</w:t>
              </w:r>
            </w:hyperlink>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40" w:type="dxa"/>
            <w:vAlign w:val="bottom"/>
            <w:tcBorders>
              <w:top w:val="single" w:sz="8" w:color="0000FF"/>
            </w:tcBorders>
            <w:gridSpan w:val="9"/>
          </w:tcPr>
          <w:p>
            <w:pPr>
              <w:spacing w:after="0" w:line="142" w:lineRule="exact"/>
              <w:rPr>
                <w:rFonts w:ascii="Calibri" w:cs="Calibri" w:eastAsia="Calibri" w:hAnsi="Calibri"/>
                <w:sz w:val="15"/>
                <w:szCs w:val="15"/>
                <w:color w:val="0000FF"/>
              </w:rPr>
            </w:pPr>
            <w:hyperlink r:id="rId300">
              <w:r>
                <w:rPr>
                  <w:rFonts w:ascii="Calibri" w:cs="Calibri" w:eastAsia="Calibri" w:hAnsi="Calibri"/>
                  <w:sz w:val="15"/>
                  <w:szCs w:val="15"/>
                  <w:color w:val="0000FF"/>
                </w:rPr>
                <w:t>Partnership and Biopharma Credit Investments V (Master) LP</w:t>
              </w:r>
            </w:hyperlink>
          </w:p>
        </w:tc>
        <w:tc>
          <w:tcPr>
            <w:tcW w:w="300" w:type="dxa"/>
            <w:vAlign w:val="bottom"/>
            <w:gridSpan w:val="4"/>
          </w:tcPr>
          <w:p>
            <w:pPr>
              <w:spacing w:after="0"/>
              <w:rPr>
                <w:sz w:val="12"/>
                <w:szCs w:val="12"/>
                <w:color w:val="auto"/>
              </w:rPr>
            </w:pPr>
          </w:p>
        </w:tc>
        <w:tc>
          <w:tcPr>
            <w:tcW w:w="16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4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40" w:type="dxa"/>
            <w:vAlign w:val="bottom"/>
          </w:tcPr>
          <w:p>
            <w:pPr>
              <w:ind w:left="180"/>
              <w:spacing w:after="0"/>
              <w:rPr>
                <w:sz w:val="20"/>
                <w:szCs w:val="20"/>
                <w:color w:val="auto"/>
              </w:rPr>
            </w:pPr>
            <w:r>
              <w:rPr>
                <w:rFonts w:ascii="Calibri" w:cs="Calibri" w:eastAsia="Calibri" w:hAnsi="Calibri"/>
                <w:sz w:val="16"/>
                <w:szCs w:val="16"/>
                <w:color w:val="auto"/>
              </w:rPr>
              <w:t>10.90!</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29"/>
          </w:tcPr>
          <w:p>
            <w:pPr>
              <w:spacing w:after="0"/>
              <w:rPr>
                <w:rFonts w:ascii="Calibri" w:cs="Calibri" w:eastAsia="Calibri" w:hAnsi="Calibri"/>
                <w:sz w:val="16"/>
                <w:szCs w:val="16"/>
                <w:color w:val="0000FF"/>
              </w:rPr>
            </w:pPr>
            <w:hyperlink r:id="rId301">
              <w:r>
                <w:rPr>
                  <w:rFonts w:ascii="Calibri" w:cs="Calibri" w:eastAsia="Calibri" w:hAnsi="Calibri"/>
                  <w:sz w:val="16"/>
                  <w:szCs w:val="16"/>
                  <w:color w:val="0000FF"/>
                </w:rPr>
                <w:t>Third Amendment to Loan Agreement, dated as of June 30, 2023, by and</w:t>
              </w:r>
            </w:hyperlink>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10.2</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August 28, 2023</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60" w:type="dxa"/>
            <w:vAlign w:val="bottom"/>
            <w:tcBorders>
              <w:top w:val="single" w:sz="8" w:color="0000FF"/>
            </w:tcBorders>
            <w:gridSpan w:val="27"/>
          </w:tcPr>
          <w:p>
            <w:pPr>
              <w:spacing w:after="0" w:line="142" w:lineRule="exact"/>
              <w:rPr>
                <w:rFonts w:ascii="Calibri" w:cs="Calibri" w:eastAsia="Calibri" w:hAnsi="Calibri"/>
                <w:sz w:val="15"/>
                <w:szCs w:val="15"/>
                <w:color w:val="0000FF"/>
              </w:rPr>
            </w:pPr>
            <w:hyperlink r:id="rId301">
              <w:r>
                <w:rPr>
                  <w:rFonts w:ascii="Calibri" w:cs="Calibri" w:eastAsia="Calibri" w:hAnsi="Calibri"/>
                  <w:sz w:val="15"/>
                  <w:szCs w:val="15"/>
                  <w:color w:val="0000FF"/>
                </w:rPr>
                <w:t>among Akebia Therapeutcs, Inc., Biopharma Credit plc, BPCR Limited</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60" w:type="dxa"/>
            <w:vAlign w:val="bottom"/>
            <w:tcBorders>
              <w:top w:val="single" w:sz="8" w:color="0000FF"/>
            </w:tcBorders>
            <w:gridSpan w:val="19"/>
          </w:tcPr>
          <w:p>
            <w:pPr>
              <w:spacing w:after="0" w:line="142" w:lineRule="exact"/>
              <w:rPr>
                <w:rFonts w:ascii="Calibri" w:cs="Calibri" w:eastAsia="Calibri" w:hAnsi="Calibri"/>
                <w:sz w:val="15"/>
                <w:szCs w:val="15"/>
                <w:color w:val="0000FF"/>
              </w:rPr>
            </w:pPr>
            <w:hyperlink r:id="rId301">
              <w:r>
                <w:rPr>
                  <w:rFonts w:ascii="Calibri" w:cs="Calibri" w:eastAsia="Calibri" w:hAnsi="Calibri"/>
                  <w:sz w:val="15"/>
                  <w:szCs w:val="15"/>
                  <w:color w:val="0000FF"/>
                </w:rPr>
                <w:t>Partnership and Biopharma Credit Investments V (Master) LP</w:t>
              </w:r>
            </w:hyperlink>
          </w:p>
        </w:tc>
        <w:tc>
          <w:tcPr>
            <w:tcW w:w="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64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40" w:type="dxa"/>
            <w:vAlign w:val="bottom"/>
          </w:tcPr>
          <w:p>
            <w:pPr>
              <w:ind w:left="180"/>
              <w:spacing w:after="0"/>
              <w:rPr>
                <w:sz w:val="20"/>
                <w:szCs w:val="20"/>
                <w:color w:val="auto"/>
              </w:rPr>
            </w:pPr>
            <w:r>
              <w:rPr>
                <w:rFonts w:ascii="Calibri" w:cs="Calibri" w:eastAsia="Calibri" w:hAnsi="Calibri"/>
                <w:sz w:val="16"/>
                <w:szCs w:val="16"/>
                <w:color w:val="auto"/>
              </w:rPr>
              <w:t>10.91!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29"/>
          </w:tcPr>
          <w:p>
            <w:pPr>
              <w:spacing w:after="0"/>
              <w:rPr>
                <w:rFonts w:ascii="Calibri" w:cs="Calibri" w:eastAsia="Calibri" w:hAnsi="Calibri"/>
                <w:sz w:val="16"/>
                <w:szCs w:val="16"/>
                <w:color w:val="0000FF"/>
              </w:rPr>
            </w:pPr>
            <w:hyperlink r:id="rId302">
              <w:r>
                <w:rPr>
                  <w:rFonts w:ascii="Calibri" w:cs="Calibri" w:eastAsia="Calibri" w:hAnsi="Calibri"/>
                  <w:sz w:val="16"/>
                  <w:szCs w:val="16"/>
                  <w:color w:val="0000FF"/>
                </w:rPr>
                <w:t>Fourth Amendment to Loan Agreement dated as of October 31, 2023, by</w:t>
              </w:r>
            </w:hyperlink>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80" w:type="dxa"/>
            <w:vAlign w:val="bottom"/>
            <w:tcBorders>
              <w:top w:val="single" w:sz="8" w:color="0000FF"/>
            </w:tcBorders>
            <w:gridSpan w:val="28"/>
          </w:tcPr>
          <w:p>
            <w:pPr>
              <w:spacing w:after="0" w:line="142" w:lineRule="exact"/>
              <w:rPr>
                <w:rFonts w:ascii="Calibri" w:cs="Calibri" w:eastAsia="Calibri" w:hAnsi="Calibri"/>
                <w:sz w:val="15"/>
                <w:szCs w:val="15"/>
                <w:color w:val="0000FF"/>
              </w:rPr>
            </w:pPr>
            <w:hyperlink r:id="rId302">
              <w:r>
                <w:rPr>
                  <w:rFonts w:ascii="Calibri" w:cs="Calibri" w:eastAsia="Calibri" w:hAnsi="Calibri"/>
                  <w:sz w:val="15"/>
                  <w:szCs w:val="15"/>
                  <w:color w:val="0000FF"/>
                </w:rPr>
                <w:t>and among Akebia Therapeutcs, Inc., BioPharma Credit PLC, BPCR</w:t>
              </w:r>
            </w:hyperlink>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40" w:type="dxa"/>
            <w:vAlign w:val="bottom"/>
            <w:tcBorders>
              <w:top w:val="single" w:sz="8" w:color="0000FF"/>
              <w:bottom w:val="single" w:sz="8" w:color="0000FF"/>
            </w:tcBorders>
            <w:gridSpan w:val="13"/>
          </w:tcPr>
          <w:p>
            <w:pPr>
              <w:spacing w:after="0" w:line="142" w:lineRule="exact"/>
              <w:rPr>
                <w:rFonts w:ascii="Calibri" w:cs="Calibri" w:eastAsia="Calibri" w:hAnsi="Calibri"/>
                <w:sz w:val="15"/>
                <w:szCs w:val="15"/>
                <w:color w:val="0000FF"/>
              </w:rPr>
            </w:pPr>
            <w:hyperlink r:id="rId302">
              <w:r>
                <w:rPr>
                  <w:rFonts w:ascii="Calibri" w:cs="Calibri" w:eastAsia="Calibri" w:hAnsi="Calibri"/>
                  <w:sz w:val="15"/>
                  <w:szCs w:val="15"/>
                  <w:color w:val="0000FF"/>
                </w:rPr>
                <w:t>Limited Partnership, and BioPharma Credit Investments V (Master)</w:t>
              </w:r>
            </w:hyperlink>
          </w:p>
        </w:tc>
        <w:tc>
          <w:tcPr>
            <w:tcW w:w="220" w:type="dxa"/>
            <w:vAlign w:val="bottom"/>
            <w:tcBorders>
              <w:bottom w:val="single" w:sz="8" w:color="0000FF"/>
            </w:tcBorders>
            <w:gridSpan w:val="8"/>
          </w:tcPr>
          <w:p>
            <w:pPr>
              <w:ind w:left="60"/>
              <w:spacing w:after="0" w:line="142" w:lineRule="exact"/>
              <w:rPr>
                <w:rFonts w:ascii="Calibri" w:cs="Calibri" w:eastAsia="Calibri" w:hAnsi="Calibri"/>
                <w:sz w:val="15"/>
                <w:szCs w:val="15"/>
                <w:color w:val="0000FF"/>
                <w:w w:val="99"/>
              </w:rPr>
            </w:pPr>
            <w:hyperlink r:id="rId302">
              <w:r>
                <w:rPr>
                  <w:rFonts w:ascii="Calibri" w:cs="Calibri" w:eastAsia="Calibri" w:hAnsi="Calibri"/>
                  <w:sz w:val="15"/>
                  <w:szCs w:val="15"/>
                  <w:color w:val="0000FF"/>
                  <w:w w:val="99"/>
                </w:rPr>
                <w:t>LP</w:t>
              </w:r>
            </w:hyperlink>
          </w:p>
        </w:tc>
        <w:tc>
          <w:tcPr>
            <w:tcW w:w="260" w:type="dxa"/>
            <w:vAlign w:val="bottom"/>
            <w:gridSpan w:val="8"/>
          </w:tcPr>
          <w:p>
            <w:pPr>
              <w:spacing w:after="0"/>
              <w:rPr>
                <w:sz w:val="12"/>
                <w:szCs w:val="12"/>
                <w:color w:val="auto"/>
              </w:rPr>
            </w:pPr>
          </w:p>
        </w:tc>
        <w:tc>
          <w:tcPr>
            <w:tcW w:w="1080" w:type="dxa"/>
            <w:vAlign w:val="bottom"/>
            <w:gridSpan w:val="2"/>
          </w:tcPr>
          <w:p>
            <w:pPr>
              <w:jc w:val="center"/>
              <w:ind w:right="100"/>
              <w:spacing w:after="0" w:line="142" w:lineRule="exact"/>
              <w:rPr>
                <w:sz w:val="20"/>
                <w:szCs w:val="20"/>
                <w:color w:val="auto"/>
              </w:rPr>
            </w:pPr>
            <w:r>
              <w:rPr>
                <w:rFonts w:ascii="Calibri" w:cs="Calibri" w:eastAsia="Calibri" w:hAnsi="Calibri"/>
                <w:sz w:val="15"/>
                <w:szCs w:val="15"/>
                <w:color w:val="auto"/>
              </w:rPr>
              <w:t>10-K</w:t>
            </w:r>
          </w:p>
        </w:tc>
        <w:tc>
          <w:tcPr>
            <w:tcW w:w="1180" w:type="dxa"/>
            <w:vAlign w:val="bottom"/>
          </w:tcPr>
          <w:p>
            <w:pPr>
              <w:jc w:val="center"/>
              <w:spacing w:after="0" w:line="142" w:lineRule="exact"/>
              <w:rPr>
                <w:sz w:val="20"/>
                <w:szCs w:val="20"/>
                <w:color w:val="auto"/>
              </w:rPr>
            </w:pPr>
            <w:r>
              <w:rPr>
                <w:rFonts w:ascii="Calibri" w:cs="Calibri" w:eastAsia="Calibri" w:hAnsi="Calibri"/>
                <w:sz w:val="15"/>
                <w:szCs w:val="15"/>
                <w:color w:val="auto"/>
              </w:rPr>
              <w:t>001-36352</w:t>
            </w:r>
          </w:p>
        </w:tc>
        <w:tc>
          <w:tcPr>
            <w:tcW w:w="8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Calibri" w:cs="Calibri" w:eastAsia="Calibri" w:hAnsi="Calibri"/>
                <w:sz w:val="15"/>
                <w:szCs w:val="15"/>
                <w:color w:val="auto"/>
              </w:rPr>
              <w:t>10.93</w:t>
            </w:r>
          </w:p>
        </w:tc>
        <w:tc>
          <w:tcPr>
            <w:tcW w:w="120" w:type="dxa"/>
            <w:vAlign w:val="bottom"/>
          </w:tcPr>
          <w:p>
            <w:pPr>
              <w:spacing w:after="0"/>
              <w:rPr>
                <w:sz w:val="12"/>
                <w:szCs w:val="12"/>
                <w:color w:val="auto"/>
              </w:rPr>
            </w:pPr>
          </w:p>
        </w:tc>
        <w:tc>
          <w:tcPr>
            <w:tcW w:w="1580" w:type="dxa"/>
            <w:vAlign w:val="bottom"/>
          </w:tcPr>
          <w:p>
            <w:pPr>
              <w:jc w:val="center"/>
              <w:spacing w:after="0" w:line="142" w:lineRule="exact"/>
              <w:rPr>
                <w:sz w:val="20"/>
                <w:szCs w:val="20"/>
                <w:color w:val="auto"/>
              </w:rPr>
            </w:pPr>
            <w:r>
              <w:rPr>
                <w:rFonts w:ascii="Calibri" w:cs="Calibri" w:eastAsia="Calibri" w:hAnsi="Calibri"/>
                <w:sz w:val="15"/>
                <w:szCs w:val="15"/>
                <w:color w:val="auto"/>
              </w:rPr>
              <w:t>March 14, 2024</w:t>
            </w:r>
          </w:p>
        </w:tc>
        <w:tc>
          <w:tcPr>
            <w:tcW w:w="0" w:type="dxa"/>
            <w:vAlign w:val="bottom"/>
          </w:tcPr>
          <w:p>
            <w:pPr>
              <w:spacing w:after="0"/>
              <w:rPr>
                <w:sz w:val="1"/>
                <w:szCs w:val="1"/>
                <w:color w:val="auto"/>
              </w:rPr>
            </w:pPr>
          </w:p>
        </w:tc>
      </w:tr>
      <w:tr>
        <w:trPr>
          <w:trHeight w:val="466"/>
        </w:trPr>
        <w:tc>
          <w:tcPr>
            <w:tcW w:w="1040" w:type="dxa"/>
            <w:vAlign w:val="bottom"/>
          </w:tcPr>
          <w:p>
            <w:pPr>
              <w:ind w:left="180"/>
              <w:spacing w:after="0"/>
              <w:rPr>
                <w:sz w:val="20"/>
                <w:szCs w:val="20"/>
                <w:color w:val="auto"/>
              </w:rPr>
            </w:pPr>
            <w:r>
              <w:rPr>
                <w:rFonts w:ascii="Calibri" w:cs="Calibri" w:eastAsia="Calibri" w:hAnsi="Calibri"/>
                <w:sz w:val="16"/>
                <w:szCs w:val="16"/>
                <w:color w:val="auto"/>
              </w:rPr>
              <w:t>10.92!</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tcBorders>
              <w:bottom w:val="single" w:sz="8" w:color="0000FF"/>
            </w:tcBorders>
            <w:gridSpan w:val="18"/>
          </w:tcPr>
          <w:p>
            <w:pPr>
              <w:spacing w:after="0"/>
              <w:rPr>
                <w:rFonts w:ascii="Calibri" w:cs="Calibri" w:eastAsia="Calibri" w:hAnsi="Calibri"/>
                <w:sz w:val="16"/>
                <w:szCs w:val="16"/>
                <w:color w:val="0000FF"/>
              </w:rPr>
            </w:pPr>
            <w:hyperlink r:id="rId303">
              <w:r>
                <w:rPr>
                  <w:rFonts w:ascii="Calibri" w:cs="Calibri" w:eastAsia="Calibri" w:hAnsi="Calibri"/>
                  <w:sz w:val="16"/>
                  <w:szCs w:val="16"/>
                  <w:color w:val="0000FF"/>
                </w:rPr>
                <w:t>Guaranty and Security Agreement, dated November 25, 2019, by and</w:t>
              </w:r>
            </w:hyperlink>
          </w:p>
        </w:tc>
        <w:tc>
          <w:tcPr>
            <w:tcW w:w="280" w:type="dxa"/>
            <w:vAlign w:val="bottom"/>
            <w:gridSpan w:val="11"/>
          </w:tcPr>
          <w:p>
            <w:pPr>
              <w:spacing w:after="0"/>
              <w:rPr>
                <w:sz w:val="24"/>
                <w:szCs w:val="24"/>
                <w:color w:val="auto"/>
              </w:rPr>
            </w:pPr>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10.63</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March 12, 2022</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20" w:type="dxa"/>
            <w:vAlign w:val="bottom"/>
            <w:gridSpan w:val="29"/>
          </w:tcPr>
          <w:p>
            <w:pPr>
              <w:spacing w:after="0" w:line="142" w:lineRule="exact"/>
              <w:rPr>
                <w:rFonts w:ascii="Calibri" w:cs="Calibri" w:eastAsia="Calibri" w:hAnsi="Calibri"/>
                <w:sz w:val="15"/>
                <w:szCs w:val="15"/>
                <w:color w:val="0000FF"/>
              </w:rPr>
            </w:pPr>
            <w:hyperlink r:id="rId303">
              <w:r>
                <w:rPr>
                  <w:rFonts w:ascii="Calibri" w:cs="Calibri" w:eastAsia="Calibri" w:hAnsi="Calibri"/>
                  <w:sz w:val="15"/>
                  <w:szCs w:val="15"/>
                  <w:color w:val="0000FF"/>
                </w:rPr>
                <w:t>between Akebia Therapeutcs, Inc., Keryx Biopharmaceutcals, Inc. and</w:t>
              </w:r>
            </w:hyperlink>
          </w:p>
        </w:tc>
        <w:tc>
          <w:tcPr>
            <w:tcW w:w="10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tcBorders>
              <w:top w:val="single" w:sz="8" w:color="0000FF"/>
              <w:bottom w:val="single" w:sz="8" w:color="0000FF"/>
            </w:tcBorders>
            <w:gridSpan w:val="2"/>
          </w:tcPr>
          <w:p>
            <w:pPr>
              <w:spacing w:after="0" w:line="142" w:lineRule="exact"/>
              <w:rPr>
                <w:rFonts w:ascii="Calibri" w:cs="Calibri" w:eastAsia="Calibri" w:hAnsi="Calibri"/>
                <w:sz w:val="15"/>
                <w:szCs w:val="15"/>
                <w:color w:val="0000FF"/>
              </w:rPr>
            </w:pPr>
            <w:hyperlink r:id="rId303">
              <w:r>
                <w:rPr>
                  <w:rFonts w:ascii="Calibri" w:cs="Calibri" w:eastAsia="Calibri" w:hAnsi="Calibri"/>
                  <w:sz w:val="15"/>
                  <w:szCs w:val="15"/>
                  <w:color w:val="0000FF"/>
                </w:rPr>
                <w:t>Biopharma Credit plc</w:t>
              </w:r>
            </w:hyperlink>
          </w:p>
        </w:tc>
        <w:tc>
          <w:tcPr>
            <w:tcW w:w="3260" w:type="dxa"/>
            <w:vAlign w:val="bottom"/>
            <w:tcBorders>
              <w:top w:val="single" w:sz="8" w:color="0000FF"/>
            </w:tcBorders>
            <w:gridSpan w:val="22"/>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gridSpan w:val="4"/>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6"/>
        </w:trPr>
        <w:tc>
          <w:tcPr>
            <w:tcW w:w="1040" w:type="dxa"/>
            <w:vAlign w:val="bottom"/>
          </w:tcPr>
          <w:p>
            <w:pPr>
              <w:ind w:left="180"/>
              <w:spacing w:after="0"/>
              <w:rPr>
                <w:sz w:val="20"/>
                <w:szCs w:val="20"/>
                <w:color w:val="auto"/>
              </w:rPr>
            </w:pPr>
            <w:r>
              <w:rPr>
                <w:rFonts w:ascii="Calibri" w:cs="Calibri" w:eastAsia="Calibri" w:hAnsi="Calibri"/>
                <w:sz w:val="16"/>
                <w:szCs w:val="16"/>
                <w:color w:val="auto"/>
              </w:rPr>
              <w:t>10.93!</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29"/>
          </w:tcPr>
          <w:p>
            <w:pPr>
              <w:spacing w:after="0"/>
              <w:rPr>
                <w:rFonts w:ascii="Calibri" w:cs="Calibri" w:eastAsia="Calibri" w:hAnsi="Calibri"/>
                <w:sz w:val="16"/>
                <w:szCs w:val="16"/>
                <w:color w:val="0000FF"/>
              </w:rPr>
            </w:pPr>
            <w:hyperlink r:id="rId304">
              <w:r>
                <w:rPr>
                  <w:rFonts w:ascii="Calibri" w:cs="Calibri" w:eastAsia="Calibri" w:hAnsi="Calibri"/>
                  <w:sz w:val="16"/>
                  <w:szCs w:val="16"/>
                  <w:color w:val="0000FF"/>
                </w:rPr>
                <w:t>Supply Agreement, dated as of March 11, 2020, by and between Akebia</w:t>
              </w:r>
            </w:hyperlink>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10.1</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w w:val="99"/>
              </w:rPr>
              <w:t>May 5, 2020</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2340" w:type="dxa"/>
            <w:vAlign w:val="bottom"/>
            <w:tcBorders>
              <w:top w:val="single" w:sz="8" w:color="0000FF"/>
            </w:tcBorders>
            <w:gridSpan w:val="3"/>
            <w:vMerge w:val="restart"/>
          </w:tcPr>
          <w:p>
            <w:pPr>
              <w:spacing w:after="0" w:line="142" w:lineRule="exact"/>
              <w:rPr>
                <w:rFonts w:ascii="Calibri" w:cs="Calibri" w:eastAsia="Calibri" w:hAnsi="Calibri"/>
                <w:sz w:val="15"/>
                <w:szCs w:val="15"/>
                <w:color w:val="0000FF"/>
              </w:rPr>
            </w:pPr>
            <w:hyperlink r:id="rId304">
              <w:r>
                <w:rPr>
                  <w:rFonts w:ascii="Calibri" w:cs="Calibri" w:eastAsia="Calibri" w:hAnsi="Calibri"/>
                  <w:sz w:val="15"/>
                  <w:szCs w:val="15"/>
                  <w:color w:val="0000FF"/>
                </w:rPr>
                <w:t>Therapeutcs, Inc. and Patheon, Inc.</w:t>
              </w:r>
            </w:hyperlink>
          </w:p>
        </w:tc>
        <w:tc>
          <w:tcPr>
            <w:tcW w:w="2340" w:type="dxa"/>
            <w:vAlign w:val="bottom"/>
            <w:tcBorders>
              <w:top w:val="single" w:sz="8" w:color="0000FF"/>
            </w:tcBorders>
            <w:gridSpan w:val="22"/>
            <w:vMerge w:val="restart"/>
          </w:tcPr>
          <w:p>
            <w:pPr>
              <w:spacing w:after="0"/>
              <w:rPr>
                <w:sz w:val="7"/>
                <w:szCs w:val="7"/>
                <w:color w:val="auto"/>
              </w:rPr>
            </w:pPr>
          </w:p>
        </w:tc>
        <w:tc>
          <w:tcPr>
            <w:tcW w:w="140" w:type="dxa"/>
            <w:vAlign w:val="bottom"/>
            <w:gridSpan w:val="4"/>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340" w:type="dxa"/>
            <w:vAlign w:val="bottom"/>
            <w:tcBorders>
              <w:bottom w:val="single" w:sz="8" w:color="0000FF"/>
            </w:tcBorders>
            <w:gridSpan w:val="3"/>
            <w:vMerge w:val="continue"/>
          </w:tcPr>
          <w:p>
            <w:pPr>
              <w:spacing w:after="0"/>
              <w:rPr>
                <w:sz w:val="4"/>
                <w:szCs w:val="4"/>
                <w:color w:val="auto"/>
              </w:rPr>
            </w:pPr>
          </w:p>
        </w:tc>
        <w:tc>
          <w:tcPr>
            <w:tcW w:w="2340" w:type="dxa"/>
            <w:vAlign w:val="bottom"/>
            <w:gridSpan w:val="22"/>
            <w:vMerge w:val="continue"/>
          </w:tcPr>
          <w:p>
            <w:pPr>
              <w:spacing w:after="0"/>
              <w:rPr>
                <w:sz w:val="4"/>
                <w:szCs w:val="4"/>
                <w:color w:val="auto"/>
              </w:rPr>
            </w:pPr>
          </w:p>
        </w:tc>
        <w:tc>
          <w:tcPr>
            <w:tcW w:w="140" w:type="dxa"/>
            <w:vAlign w:val="bottom"/>
            <w:gridSpan w:val="4"/>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1040" w:type="dxa"/>
            <w:vAlign w:val="bottom"/>
          </w:tcPr>
          <w:p>
            <w:pPr>
              <w:ind w:left="180"/>
              <w:spacing w:after="0"/>
              <w:rPr>
                <w:sz w:val="20"/>
                <w:szCs w:val="20"/>
                <w:color w:val="auto"/>
              </w:rPr>
            </w:pPr>
            <w:r>
              <w:rPr>
                <w:rFonts w:ascii="Calibri" w:cs="Calibri" w:eastAsia="Calibri" w:hAnsi="Calibri"/>
                <w:sz w:val="16"/>
                <w:szCs w:val="16"/>
                <w:color w:val="auto"/>
              </w:rPr>
              <w:t>10.94!</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tcBorders>
              <w:bottom w:val="single" w:sz="8" w:color="0000FF"/>
            </w:tcBorders>
            <w:gridSpan w:val="17"/>
          </w:tcPr>
          <w:p>
            <w:pPr>
              <w:spacing w:after="0"/>
              <w:rPr>
                <w:rFonts w:ascii="Calibri" w:cs="Calibri" w:eastAsia="Calibri" w:hAnsi="Calibri"/>
                <w:sz w:val="16"/>
                <w:szCs w:val="16"/>
                <w:color w:val="0000FF"/>
              </w:rPr>
            </w:pPr>
            <w:hyperlink r:id="rId305">
              <w:r>
                <w:rPr>
                  <w:rFonts w:ascii="Calibri" w:cs="Calibri" w:eastAsia="Calibri" w:hAnsi="Calibri"/>
                  <w:sz w:val="16"/>
                  <w:szCs w:val="16"/>
                  <w:color w:val="0000FF"/>
                </w:rPr>
                <w:t>Supply Agreement, dated as of April 2, 2020, by and between Akebia</w:t>
              </w:r>
            </w:hyperlink>
          </w:p>
        </w:tc>
        <w:tc>
          <w:tcPr>
            <w:tcW w:w="320" w:type="dxa"/>
            <w:vAlign w:val="bottom"/>
            <w:gridSpan w:val="12"/>
          </w:tcPr>
          <w:p>
            <w:pPr>
              <w:spacing w:after="0"/>
              <w:rPr>
                <w:sz w:val="24"/>
                <w:szCs w:val="24"/>
                <w:color w:val="auto"/>
              </w:rPr>
            </w:pPr>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10.2</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August 10, 2020</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40" w:type="dxa"/>
            <w:vAlign w:val="bottom"/>
            <w:gridSpan w:val="9"/>
            <w:vMerge w:val="restart"/>
          </w:tcPr>
          <w:p>
            <w:pPr>
              <w:spacing w:after="0" w:line="142" w:lineRule="exact"/>
              <w:rPr>
                <w:rFonts w:ascii="Calibri" w:cs="Calibri" w:eastAsia="Calibri" w:hAnsi="Calibri"/>
                <w:sz w:val="15"/>
                <w:szCs w:val="15"/>
                <w:color w:val="0000FF"/>
              </w:rPr>
            </w:pPr>
            <w:hyperlink r:id="rId305">
              <w:r>
                <w:rPr>
                  <w:rFonts w:ascii="Calibri" w:cs="Calibri" w:eastAsia="Calibri" w:hAnsi="Calibri"/>
                  <w:sz w:val="15"/>
                  <w:szCs w:val="15"/>
                  <w:color w:val="0000FF"/>
                </w:rPr>
                <w:t>Therapeutcs, Inc. and STA Pharmaceutcal Hong Kong Limited</w:t>
              </w:r>
            </w:hyperlink>
          </w:p>
        </w:tc>
        <w:tc>
          <w:tcPr>
            <w:tcW w:w="780" w:type="dxa"/>
            <w:vAlign w:val="bottom"/>
            <w:gridSpan w:val="20"/>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40" w:type="dxa"/>
            <w:vAlign w:val="bottom"/>
            <w:tcBorders>
              <w:bottom w:val="single" w:sz="8" w:color="0000FF"/>
            </w:tcBorders>
            <w:gridSpan w:val="9"/>
            <w:vMerge w:val="continue"/>
          </w:tcPr>
          <w:p>
            <w:pPr>
              <w:spacing w:after="0"/>
              <w:rPr>
                <w:sz w:val="4"/>
                <w:szCs w:val="4"/>
                <w:color w:val="auto"/>
              </w:rPr>
            </w:pPr>
          </w:p>
        </w:tc>
        <w:tc>
          <w:tcPr>
            <w:tcW w:w="780" w:type="dxa"/>
            <w:vAlign w:val="bottom"/>
            <w:gridSpan w:val="20"/>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Akebia Therapeutcs, Inc. | Form 10-K | Page 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78" w:name="page179"/>
    <w:bookmarkEnd w:id="178"/>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4"/>
          </w:tcPr>
          <w:p>
            <w:pPr>
              <w:ind w:left="500"/>
              <w:spacing w:after="0"/>
              <w:rPr>
                <w:sz w:val="20"/>
                <w:szCs w:val="20"/>
                <w:color w:val="auto"/>
              </w:rPr>
            </w:pPr>
            <w:r>
              <w:rPr>
                <w:rFonts w:ascii="Calibri" w:cs="Calibri" w:eastAsia="Calibri" w:hAnsi="Calibri"/>
                <w:sz w:val="16"/>
                <w:szCs w:val="16"/>
                <w:color w:val="auto"/>
                <w:w w:val="99"/>
              </w:rPr>
              <w:t>Incorporated by Reference</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460" w:type="dxa"/>
            <w:vAlign w:val="bottom"/>
            <w:gridSpan w:val="2"/>
            <w:vMerge w:val="restart"/>
          </w:tcPr>
          <w:p>
            <w:pPr>
              <w:ind w:left="20"/>
              <w:spacing w:after="0"/>
              <w:rPr>
                <w:sz w:val="20"/>
                <w:szCs w:val="20"/>
                <w:color w:val="auto"/>
              </w:rPr>
            </w:pPr>
            <w:r>
              <w:rPr>
                <w:rFonts w:ascii="Calibri" w:cs="Calibri" w:eastAsia="Calibri" w:hAnsi="Calibri"/>
                <w:sz w:val="16"/>
                <w:szCs w:val="16"/>
                <w:b w:val="1"/>
                <w:bCs w:val="1"/>
                <w:color w:val="auto"/>
              </w:rPr>
              <w:t>Exhibit</w:t>
            </w: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4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2"/>
          </w:tcPr>
          <w:p>
            <w:pPr>
              <w:jc w:val="center"/>
              <w:ind w:right="100"/>
              <w:spacing w:after="0" w:line="150" w:lineRule="exact"/>
              <w:rPr>
                <w:sz w:val="20"/>
                <w:szCs w:val="20"/>
                <w:color w:val="auto"/>
              </w:rPr>
            </w:pPr>
            <w:r>
              <w:rPr>
                <w:rFonts w:ascii="Calibri" w:cs="Calibri" w:eastAsia="Calibri" w:hAnsi="Calibri"/>
                <w:sz w:val="16"/>
                <w:szCs w:val="16"/>
                <w:color w:val="auto"/>
              </w:rPr>
              <w:t>Schedule/</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center"/>
              <w:spacing w:after="0" w:line="150" w:lineRule="exact"/>
              <w:rPr>
                <w:sz w:val="20"/>
                <w:szCs w:val="20"/>
                <w:color w:val="auto"/>
              </w:rPr>
            </w:pPr>
            <w:r>
              <w:rPr>
                <w:rFonts w:ascii="Calibri" w:cs="Calibri" w:eastAsia="Calibri" w:hAnsi="Calibri"/>
                <w:sz w:val="16"/>
                <w:szCs w:val="16"/>
                <w:color w:val="auto"/>
              </w:rPr>
              <w:t>Filed Date/ Period End</w:t>
            </w:r>
          </w:p>
        </w:tc>
        <w:tc>
          <w:tcPr>
            <w:tcW w:w="0" w:type="dxa"/>
            <w:vAlign w:val="bottom"/>
          </w:tcPr>
          <w:p>
            <w:pPr>
              <w:spacing w:after="0"/>
              <w:rPr>
                <w:sz w:val="1"/>
                <w:szCs w:val="1"/>
                <w:color w:val="auto"/>
              </w:rPr>
            </w:pPr>
          </w:p>
        </w:tc>
      </w:tr>
      <w:tr>
        <w:trPr>
          <w:trHeight w:val="193"/>
        </w:trPr>
        <w:tc>
          <w:tcPr>
            <w:tcW w:w="1460" w:type="dxa"/>
            <w:vAlign w:val="bottom"/>
            <w:gridSpan w:val="2"/>
          </w:tcPr>
          <w:p>
            <w:pPr>
              <w:ind w:left="20"/>
              <w:spacing w:after="0" w:line="193" w:lineRule="exact"/>
              <w:rPr>
                <w:sz w:val="20"/>
                <w:szCs w:val="20"/>
                <w:color w:val="auto"/>
              </w:rPr>
            </w:pPr>
            <w:r>
              <w:rPr>
                <w:rFonts w:ascii="Calibri" w:cs="Calibri" w:eastAsia="Calibri" w:hAnsi="Calibri"/>
                <w:sz w:val="16"/>
                <w:szCs w:val="16"/>
                <w:b w:val="1"/>
                <w:bCs w:val="1"/>
                <w:color w:val="auto"/>
              </w:rPr>
              <w:t>Number</w:t>
            </w:r>
          </w:p>
        </w:tc>
        <w:tc>
          <w:tcPr>
            <w:tcW w:w="20" w:type="dxa"/>
            <w:vAlign w:val="bottom"/>
          </w:tcPr>
          <w:p>
            <w:pPr>
              <w:spacing w:after="0"/>
              <w:rPr>
                <w:sz w:val="16"/>
                <w:szCs w:val="16"/>
                <w:color w:val="auto"/>
              </w:rPr>
            </w:pPr>
          </w:p>
        </w:tc>
        <w:tc>
          <w:tcPr>
            <w:tcW w:w="4820" w:type="dxa"/>
            <w:vAlign w:val="bottom"/>
            <w:gridSpan w:val="33"/>
          </w:tcPr>
          <w:p>
            <w:pPr>
              <w:spacing w:after="0" w:line="193" w:lineRule="exact"/>
              <w:rPr>
                <w:sz w:val="20"/>
                <w:szCs w:val="20"/>
                <w:color w:val="auto"/>
              </w:rPr>
            </w:pPr>
            <w:r>
              <w:rPr>
                <w:rFonts w:ascii="Calibri" w:cs="Calibri" w:eastAsia="Calibri" w:hAnsi="Calibri"/>
                <w:sz w:val="16"/>
                <w:szCs w:val="16"/>
                <w:b w:val="1"/>
                <w:bCs w:val="1"/>
                <w:color w:val="auto"/>
              </w:rPr>
              <w:t>Descripton of Exhibit</w:t>
            </w:r>
          </w:p>
        </w:tc>
        <w:tc>
          <w:tcPr>
            <w:tcW w:w="1080" w:type="dxa"/>
            <w:vAlign w:val="bottom"/>
            <w:gridSpan w:val="2"/>
          </w:tcPr>
          <w:p>
            <w:pPr>
              <w:jc w:val="center"/>
              <w:ind w:right="100"/>
              <w:spacing w:after="0" w:line="193" w:lineRule="exact"/>
              <w:rPr>
                <w:sz w:val="20"/>
                <w:szCs w:val="20"/>
                <w:color w:val="auto"/>
              </w:rPr>
            </w:pPr>
            <w:r>
              <w:rPr>
                <w:rFonts w:ascii="Calibri" w:cs="Calibri" w:eastAsia="Calibri" w:hAnsi="Calibri"/>
                <w:sz w:val="16"/>
                <w:szCs w:val="16"/>
                <w:color w:val="auto"/>
                <w:w w:val="99"/>
              </w:rPr>
              <w:t>Form</w:t>
            </w:r>
          </w:p>
        </w:tc>
        <w:tc>
          <w:tcPr>
            <w:tcW w:w="1260" w:type="dxa"/>
            <w:vAlign w:val="bottom"/>
            <w:gridSpan w:val="2"/>
          </w:tcPr>
          <w:p>
            <w:pPr>
              <w:jc w:val="center"/>
              <w:ind w:right="80"/>
              <w:spacing w:after="0" w:line="193" w:lineRule="exact"/>
              <w:rPr>
                <w:sz w:val="20"/>
                <w:szCs w:val="20"/>
                <w:color w:val="auto"/>
              </w:rPr>
            </w:pPr>
            <w:r>
              <w:rPr>
                <w:rFonts w:ascii="Calibri" w:cs="Calibri" w:eastAsia="Calibri" w:hAnsi="Calibri"/>
                <w:sz w:val="16"/>
                <w:szCs w:val="16"/>
                <w:color w:val="auto"/>
              </w:rPr>
              <w:t>File No.</w:t>
            </w:r>
          </w:p>
        </w:tc>
        <w:tc>
          <w:tcPr>
            <w:tcW w:w="1000" w:type="dxa"/>
            <w:vAlign w:val="bottom"/>
            <w:gridSpan w:val="2"/>
          </w:tcPr>
          <w:p>
            <w:pPr>
              <w:ind w:left="220"/>
              <w:spacing w:after="0" w:line="193" w:lineRule="exact"/>
              <w:rPr>
                <w:sz w:val="20"/>
                <w:szCs w:val="20"/>
                <w:color w:val="auto"/>
              </w:rPr>
            </w:pPr>
            <w:r>
              <w:rPr>
                <w:rFonts w:ascii="Calibri" w:cs="Calibri" w:eastAsia="Calibri" w:hAnsi="Calibri"/>
                <w:sz w:val="16"/>
                <w:szCs w:val="16"/>
                <w:color w:val="auto"/>
              </w:rPr>
              <w:t>Exhibit</w:t>
            </w:r>
          </w:p>
        </w:tc>
        <w:tc>
          <w:tcPr>
            <w:tcW w:w="1580" w:type="dxa"/>
            <w:vAlign w:val="bottom"/>
          </w:tcPr>
          <w:p>
            <w:pPr>
              <w:jc w:val="center"/>
              <w:spacing w:after="0" w:line="193" w:lineRule="exact"/>
              <w:rPr>
                <w:sz w:val="20"/>
                <w:szCs w:val="20"/>
                <w:color w:val="auto"/>
              </w:rPr>
            </w:pPr>
            <w:r>
              <w:rPr>
                <w:rFonts w:ascii="Calibri" w:cs="Calibri" w:eastAsia="Calibri" w:hAnsi="Calibri"/>
                <w:sz w:val="16"/>
                <w:szCs w:val="16"/>
                <w:color w:val="auto"/>
              </w:rPr>
              <w:t>Date</w:t>
            </w:r>
          </w:p>
        </w:tc>
        <w:tc>
          <w:tcPr>
            <w:tcW w:w="0" w:type="dxa"/>
            <w:vAlign w:val="bottom"/>
          </w:tcPr>
          <w:p>
            <w:pPr>
              <w:spacing w:after="0"/>
              <w:rPr>
                <w:sz w:val="1"/>
                <w:szCs w:val="1"/>
                <w:color w:val="auto"/>
              </w:rPr>
            </w:pPr>
          </w:p>
        </w:tc>
      </w:tr>
      <w:tr>
        <w:trPr>
          <w:trHeight w:val="28"/>
        </w:trPr>
        <w:tc>
          <w:tcPr>
            <w:tcW w:w="10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040" w:type="dxa"/>
            <w:vAlign w:val="bottom"/>
          </w:tcPr>
          <w:p>
            <w:pPr>
              <w:ind w:left="180"/>
              <w:spacing w:after="0" w:line="187" w:lineRule="exact"/>
              <w:rPr>
                <w:sz w:val="20"/>
                <w:szCs w:val="20"/>
                <w:color w:val="auto"/>
              </w:rPr>
            </w:pPr>
            <w:r>
              <w:rPr>
                <w:rFonts w:ascii="Calibri" w:cs="Calibri" w:eastAsia="Calibri" w:hAnsi="Calibri"/>
                <w:sz w:val="16"/>
                <w:szCs w:val="16"/>
                <w:color w:val="auto"/>
              </w:rPr>
              <w:t>10.95!</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40" w:type="dxa"/>
            <w:vAlign w:val="bottom"/>
            <w:gridSpan w:val="31"/>
            <w:vMerge w:val="restart"/>
          </w:tcPr>
          <w:p>
            <w:pPr>
              <w:spacing w:after="0"/>
              <w:rPr>
                <w:rFonts w:ascii="Calibri" w:cs="Calibri" w:eastAsia="Calibri" w:hAnsi="Calibri"/>
                <w:sz w:val="16"/>
                <w:szCs w:val="16"/>
                <w:color w:val="0000FF"/>
              </w:rPr>
            </w:pPr>
            <w:hyperlink r:id="rId307">
              <w:r>
                <w:rPr>
                  <w:rFonts w:ascii="Calibri" w:cs="Calibri" w:eastAsia="Calibri" w:hAnsi="Calibri"/>
                  <w:sz w:val="16"/>
                  <w:szCs w:val="16"/>
                  <w:color w:val="0000FF"/>
                </w:rPr>
                <w:t>Amendment #1 to Supply Agreement, dated as of April 15, 2021, by and</w:t>
              </w:r>
            </w:hyperlink>
          </w:p>
        </w:tc>
        <w:tc>
          <w:tcPr>
            <w:tcW w:w="80" w:type="dxa"/>
            <w:vAlign w:val="bottom"/>
            <w:gridSpan w:val="2"/>
            <w:vMerge w:val="restart"/>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740" w:type="dxa"/>
            <w:vAlign w:val="bottom"/>
            <w:tcBorders>
              <w:bottom w:val="single" w:sz="8" w:color="0000FF"/>
            </w:tcBorders>
            <w:gridSpan w:val="31"/>
            <w:vMerge w:val="continue"/>
          </w:tcPr>
          <w:p>
            <w:pPr>
              <w:spacing w:after="0"/>
              <w:rPr>
                <w:sz w:val="11"/>
                <w:szCs w:val="11"/>
                <w:color w:val="auto"/>
              </w:rPr>
            </w:pPr>
          </w:p>
        </w:tc>
        <w:tc>
          <w:tcPr>
            <w:tcW w:w="80" w:type="dxa"/>
            <w:vAlign w:val="bottom"/>
            <w:gridSpan w:val="2"/>
            <w:vMerge w:val="continue"/>
          </w:tcPr>
          <w:p>
            <w:pPr>
              <w:spacing w:after="0"/>
              <w:rPr>
                <w:sz w:val="11"/>
                <w:szCs w:val="11"/>
                <w:color w:val="auto"/>
              </w:rPr>
            </w:pPr>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11"/>
                <w:szCs w:val="11"/>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10.1</w:t>
            </w:r>
          </w:p>
        </w:tc>
        <w:tc>
          <w:tcPr>
            <w:tcW w:w="120" w:type="dxa"/>
            <w:vAlign w:val="bottom"/>
          </w:tcPr>
          <w:p>
            <w:pPr>
              <w:spacing w:after="0"/>
              <w:rPr>
                <w:sz w:val="11"/>
                <w:szCs w:val="11"/>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August 5, 2021</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20" w:type="dxa"/>
            <w:vAlign w:val="bottom"/>
            <w:gridSpan w:val="33"/>
            <w:vMerge w:val="restart"/>
          </w:tcPr>
          <w:p>
            <w:pPr>
              <w:spacing w:after="0" w:line="142" w:lineRule="exact"/>
              <w:rPr>
                <w:rFonts w:ascii="Calibri" w:cs="Calibri" w:eastAsia="Calibri" w:hAnsi="Calibri"/>
                <w:sz w:val="15"/>
                <w:szCs w:val="15"/>
                <w:color w:val="0000FF"/>
              </w:rPr>
            </w:pPr>
            <w:hyperlink r:id="rId307">
              <w:r>
                <w:rPr>
                  <w:rFonts w:ascii="Calibri" w:cs="Calibri" w:eastAsia="Calibri" w:hAnsi="Calibri"/>
                  <w:sz w:val="15"/>
                  <w:szCs w:val="15"/>
                  <w:color w:val="0000FF"/>
                </w:rPr>
                <w:t>between Akebia Therapeutcs, Inc, and STA Pharmaceutcal Hong Kong</w:t>
              </w:r>
            </w:hyperlink>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820" w:type="dxa"/>
            <w:vAlign w:val="bottom"/>
            <w:gridSpan w:val="33"/>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0000FF"/>
              <w:bottom w:val="single" w:sz="8" w:color="0000FF"/>
            </w:tcBorders>
            <w:gridSpan w:val="2"/>
          </w:tcPr>
          <w:p>
            <w:pPr>
              <w:spacing w:after="0" w:line="142" w:lineRule="exact"/>
              <w:rPr>
                <w:rFonts w:ascii="Calibri" w:cs="Calibri" w:eastAsia="Calibri" w:hAnsi="Calibri"/>
                <w:sz w:val="15"/>
                <w:szCs w:val="15"/>
                <w:color w:val="0000FF"/>
              </w:rPr>
            </w:pPr>
            <w:hyperlink r:id="rId307">
              <w:r>
                <w:rPr>
                  <w:rFonts w:ascii="Calibri" w:cs="Calibri" w:eastAsia="Calibri" w:hAnsi="Calibri"/>
                  <w:sz w:val="15"/>
                  <w:szCs w:val="15"/>
                  <w:color w:val="0000FF"/>
                </w:rPr>
                <w:t>Limited</w:t>
              </w:r>
            </w:hyperlink>
          </w:p>
        </w:tc>
        <w:tc>
          <w:tcPr>
            <w:tcW w:w="4120" w:type="dxa"/>
            <w:vAlign w:val="bottom"/>
            <w:tcBorders>
              <w:top w:val="single" w:sz="8" w:color="0000FF"/>
            </w:tcBorders>
            <w:gridSpan w:val="2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6"/>
        </w:trPr>
        <w:tc>
          <w:tcPr>
            <w:tcW w:w="1040" w:type="dxa"/>
            <w:vAlign w:val="bottom"/>
          </w:tcPr>
          <w:p>
            <w:pPr>
              <w:ind w:left="180"/>
              <w:spacing w:after="0"/>
              <w:rPr>
                <w:sz w:val="20"/>
                <w:szCs w:val="20"/>
                <w:color w:val="auto"/>
              </w:rPr>
            </w:pPr>
            <w:r>
              <w:rPr>
                <w:rFonts w:ascii="Calibri" w:cs="Calibri" w:eastAsia="Calibri" w:hAnsi="Calibri"/>
                <w:sz w:val="16"/>
                <w:szCs w:val="16"/>
                <w:color w:val="auto"/>
              </w:rPr>
              <w:t>10.96!</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33"/>
          </w:tcPr>
          <w:p>
            <w:pPr>
              <w:spacing w:after="0"/>
              <w:rPr>
                <w:rFonts w:ascii="Calibri" w:cs="Calibri" w:eastAsia="Calibri" w:hAnsi="Calibri"/>
                <w:sz w:val="16"/>
                <w:szCs w:val="16"/>
                <w:color w:val="0000FF"/>
              </w:rPr>
            </w:pPr>
            <w:hyperlink r:id="rId308">
              <w:r>
                <w:rPr>
                  <w:rFonts w:ascii="Calibri" w:cs="Calibri" w:eastAsia="Calibri" w:hAnsi="Calibri"/>
                  <w:sz w:val="16"/>
                  <w:szCs w:val="16"/>
                  <w:color w:val="0000FF"/>
                </w:rPr>
                <w:t>Amendment #2 to the Supply Agreement, dated as of April 15, 2024, by</w:t>
              </w:r>
            </w:hyperlink>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10.2</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August 8, 2024</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20" w:type="dxa"/>
            <w:vAlign w:val="bottom"/>
            <w:tcBorders>
              <w:top w:val="single" w:sz="8" w:color="0000FF"/>
            </w:tcBorders>
            <w:gridSpan w:val="30"/>
          </w:tcPr>
          <w:p>
            <w:pPr>
              <w:spacing w:after="0" w:line="142" w:lineRule="exact"/>
              <w:rPr>
                <w:rFonts w:ascii="Calibri" w:cs="Calibri" w:eastAsia="Calibri" w:hAnsi="Calibri"/>
                <w:sz w:val="15"/>
                <w:szCs w:val="15"/>
                <w:color w:val="0000FF"/>
              </w:rPr>
            </w:pPr>
            <w:hyperlink r:id="rId308">
              <w:r>
                <w:rPr>
                  <w:rFonts w:ascii="Calibri" w:cs="Calibri" w:eastAsia="Calibri" w:hAnsi="Calibri"/>
                  <w:sz w:val="15"/>
                  <w:szCs w:val="15"/>
                  <w:color w:val="0000FF"/>
                </w:rPr>
                <w:t>and between Akebia Therapeutcs, Inc. and STA Pharmaceutcal Hong</w:t>
              </w:r>
            </w:hyperlink>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20" w:type="dxa"/>
            <w:vAlign w:val="bottom"/>
            <w:tcBorders>
              <w:top w:val="single" w:sz="8" w:color="0000FF"/>
            </w:tcBorders>
            <w:gridSpan w:val="20"/>
          </w:tcPr>
          <w:p>
            <w:pPr>
              <w:spacing w:after="0" w:line="142" w:lineRule="exact"/>
              <w:rPr>
                <w:rFonts w:ascii="Calibri" w:cs="Calibri" w:eastAsia="Calibri" w:hAnsi="Calibri"/>
                <w:sz w:val="15"/>
                <w:szCs w:val="15"/>
                <w:color w:val="0000FF"/>
              </w:rPr>
            </w:pPr>
            <w:hyperlink r:id="rId308">
              <w:r>
                <w:rPr>
                  <w:rFonts w:ascii="Calibri" w:cs="Calibri" w:eastAsia="Calibri" w:hAnsi="Calibri"/>
                  <w:sz w:val="15"/>
                  <w:szCs w:val="15"/>
                  <w:color w:val="0000FF"/>
                </w:rPr>
                <w:t>Kong Limited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40" w:type="dxa"/>
            <w:vAlign w:val="bottom"/>
          </w:tcPr>
          <w:p>
            <w:pPr>
              <w:ind w:left="180"/>
              <w:spacing w:after="0"/>
              <w:rPr>
                <w:sz w:val="20"/>
                <w:szCs w:val="20"/>
                <w:color w:val="auto"/>
              </w:rPr>
            </w:pPr>
            <w:r>
              <w:rPr>
                <w:rFonts w:ascii="Calibri" w:cs="Calibri" w:eastAsia="Calibri" w:hAnsi="Calibri"/>
                <w:sz w:val="16"/>
                <w:szCs w:val="16"/>
                <w:color w:val="auto"/>
              </w:rPr>
              <w:t>10.97!</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80" w:type="dxa"/>
            <w:vAlign w:val="bottom"/>
            <w:tcBorders>
              <w:bottom w:val="single" w:sz="8" w:color="0000FF"/>
            </w:tcBorders>
            <w:gridSpan w:val="16"/>
          </w:tcPr>
          <w:p>
            <w:pPr>
              <w:spacing w:after="0"/>
              <w:rPr>
                <w:rFonts w:ascii="Calibri" w:cs="Calibri" w:eastAsia="Calibri" w:hAnsi="Calibri"/>
                <w:sz w:val="16"/>
                <w:szCs w:val="16"/>
                <w:color w:val="0000FF"/>
              </w:rPr>
            </w:pPr>
            <w:hyperlink r:id="rId309">
              <w:r>
                <w:rPr>
                  <w:rFonts w:ascii="Calibri" w:cs="Calibri" w:eastAsia="Calibri" w:hAnsi="Calibri"/>
                  <w:sz w:val="16"/>
                  <w:szCs w:val="16"/>
                  <w:color w:val="0000FF"/>
                </w:rPr>
                <w:t>Supply Agreement, dated February 10, 2021, by and between the</w:t>
              </w:r>
            </w:hyperlink>
          </w:p>
        </w:tc>
        <w:tc>
          <w:tcPr>
            <w:tcW w:w="540" w:type="dxa"/>
            <w:vAlign w:val="bottom"/>
            <w:gridSpan w:val="17"/>
          </w:tcPr>
          <w:p>
            <w:pPr>
              <w:spacing w:after="0"/>
              <w:rPr>
                <w:sz w:val="24"/>
                <w:szCs w:val="24"/>
                <w:color w:val="auto"/>
              </w:rPr>
            </w:pPr>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10.4</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May 10, 2021</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3500" w:type="dxa"/>
            <w:vAlign w:val="bottom"/>
            <w:gridSpan w:val="11"/>
            <w:vMerge w:val="restart"/>
          </w:tcPr>
          <w:p>
            <w:pPr>
              <w:spacing w:after="0" w:line="142" w:lineRule="exact"/>
              <w:rPr>
                <w:rFonts w:ascii="Calibri" w:cs="Calibri" w:eastAsia="Calibri" w:hAnsi="Calibri"/>
                <w:sz w:val="15"/>
                <w:szCs w:val="15"/>
                <w:color w:val="0000FF"/>
              </w:rPr>
            </w:pPr>
            <w:hyperlink r:id="rId309">
              <w:r>
                <w:rPr>
                  <w:rFonts w:ascii="Calibri" w:cs="Calibri" w:eastAsia="Calibri" w:hAnsi="Calibri"/>
                  <w:sz w:val="15"/>
                  <w:szCs w:val="15"/>
                  <w:color w:val="0000FF"/>
                </w:rPr>
                <w:t>Company and STA Pharmaceutcal Hong Kong Limited</w:t>
              </w:r>
            </w:hyperlink>
          </w:p>
        </w:tc>
        <w:tc>
          <w:tcPr>
            <w:tcW w:w="1320" w:type="dxa"/>
            <w:vAlign w:val="bottom"/>
            <w:gridSpan w:val="22"/>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3500" w:type="dxa"/>
            <w:vAlign w:val="bottom"/>
            <w:tcBorders>
              <w:bottom w:val="single" w:sz="8" w:color="0000FF"/>
            </w:tcBorders>
            <w:gridSpan w:val="11"/>
            <w:vMerge w:val="continue"/>
          </w:tcPr>
          <w:p>
            <w:pPr>
              <w:spacing w:after="0"/>
              <w:rPr>
                <w:sz w:val="4"/>
                <w:szCs w:val="4"/>
                <w:color w:val="auto"/>
              </w:rPr>
            </w:pPr>
          </w:p>
        </w:tc>
        <w:tc>
          <w:tcPr>
            <w:tcW w:w="1320" w:type="dxa"/>
            <w:vAlign w:val="bottom"/>
            <w:gridSpan w:val="22"/>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1040" w:type="dxa"/>
            <w:vAlign w:val="bottom"/>
          </w:tcPr>
          <w:p>
            <w:pPr>
              <w:ind w:left="180"/>
              <w:spacing w:after="0"/>
              <w:rPr>
                <w:sz w:val="20"/>
                <w:szCs w:val="20"/>
                <w:color w:val="auto"/>
              </w:rPr>
            </w:pPr>
            <w:r>
              <w:rPr>
                <w:rFonts w:ascii="Calibri" w:cs="Calibri" w:eastAsia="Calibri" w:hAnsi="Calibri"/>
                <w:sz w:val="16"/>
                <w:szCs w:val="16"/>
                <w:color w:val="auto"/>
              </w:rPr>
              <w:t>10.98!</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33"/>
          </w:tcPr>
          <w:p>
            <w:pPr>
              <w:spacing w:after="0"/>
              <w:rPr>
                <w:rFonts w:ascii="Calibri" w:cs="Calibri" w:eastAsia="Calibri" w:hAnsi="Calibri"/>
                <w:sz w:val="16"/>
                <w:szCs w:val="16"/>
                <w:color w:val="0000FF"/>
              </w:rPr>
            </w:pPr>
            <w:hyperlink r:id="rId310">
              <w:r>
                <w:rPr>
                  <w:rFonts w:ascii="Calibri" w:cs="Calibri" w:eastAsia="Calibri" w:hAnsi="Calibri"/>
                  <w:sz w:val="16"/>
                  <w:szCs w:val="16"/>
                  <w:color w:val="0000FF"/>
                </w:rPr>
                <w:t>Amendment #1 to Supply Agreement, dated October 15, 2024, by and</w:t>
              </w:r>
            </w:hyperlink>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10.5</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November 7, 2024</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0" w:type="dxa"/>
            <w:vAlign w:val="bottom"/>
            <w:tcBorders>
              <w:top w:val="single" w:sz="8" w:color="0000FF"/>
              <w:bottom w:val="single" w:sz="8" w:color="0000FF"/>
            </w:tcBorders>
            <w:gridSpan w:val="24"/>
          </w:tcPr>
          <w:p>
            <w:pPr>
              <w:spacing w:after="0" w:line="142" w:lineRule="exact"/>
              <w:rPr>
                <w:rFonts w:ascii="Calibri" w:cs="Calibri" w:eastAsia="Calibri" w:hAnsi="Calibri"/>
                <w:sz w:val="15"/>
                <w:szCs w:val="15"/>
                <w:color w:val="0000FF"/>
              </w:rPr>
            </w:pPr>
            <w:hyperlink r:id="rId310">
              <w:r>
                <w:rPr>
                  <w:rFonts w:ascii="Calibri" w:cs="Calibri" w:eastAsia="Calibri" w:hAnsi="Calibri"/>
                  <w:sz w:val="15"/>
                  <w:szCs w:val="15"/>
                  <w:color w:val="0000FF"/>
                </w:rPr>
                <w:t>between Akebia Therapeutcs, Inc. and STA Pharmaceutcal Hong Kong</w:t>
              </w:r>
            </w:hyperlink>
          </w:p>
        </w:tc>
        <w:tc>
          <w:tcPr>
            <w:tcW w:w="40" w:type="dxa"/>
            <w:vAlign w:val="bottom"/>
            <w:tcBorders>
              <w:bottom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40" w:type="dxa"/>
            <w:vAlign w:val="bottom"/>
            <w:gridSpan w:val="26"/>
          </w:tcPr>
          <w:p>
            <w:pPr>
              <w:spacing w:after="0" w:line="142" w:lineRule="exact"/>
              <w:rPr>
                <w:rFonts w:ascii="Calibri" w:cs="Calibri" w:eastAsia="Calibri" w:hAnsi="Calibri"/>
                <w:sz w:val="15"/>
                <w:szCs w:val="15"/>
                <w:color w:val="0000FF"/>
              </w:rPr>
            </w:pPr>
            <w:hyperlink r:id="rId310">
              <w:r>
                <w:rPr>
                  <w:rFonts w:ascii="Calibri" w:cs="Calibri" w:eastAsia="Calibri" w:hAnsi="Calibri"/>
                  <w:sz w:val="15"/>
                  <w:szCs w:val="15"/>
                  <w:color w:val="0000FF"/>
                </w:rPr>
                <w:t>Limited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040" w:type="dxa"/>
            <w:vAlign w:val="bottom"/>
          </w:tcPr>
          <w:p>
            <w:pPr>
              <w:ind w:left="180"/>
              <w:spacing w:after="0"/>
              <w:rPr>
                <w:sz w:val="20"/>
                <w:szCs w:val="20"/>
                <w:color w:val="auto"/>
              </w:rPr>
            </w:pPr>
            <w:r>
              <w:rPr>
                <w:rFonts w:ascii="Calibri" w:cs="Calibri" w:eastAsia="Calibri" w:hAnsi="Calibri"/>
                <w:sz w:val="16"/>
                <w:szCs w:val="16"/>
                <w:color w:val="auto"/>
              </w:rPr>
              <w:t>10.99!</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33"/>
          </w:tcPr>
          <w:p>
            <w:pPr>
              <w:spacing w:after="0"/>
              <w:rPr>
                <w:rFonts w:ascii="Calibri" w:cs="Calibri" w:eastAsia="Calibri" w:hAnsi="Calibri"/>
                <w:sz w:val="16"/>
                <w:szCs w:val="16"/>
                <w:color w:val="0000FF"/>
              </w:rPr>
            </w:pPr>
            <w:hyperlink r:id="rId311">
              <w:r>
                <w:rPr>
                  <w:rFonts w:ascii="Calibri" w:cs="Calibri" w:eastAsia="Calibri" w:hAnsi="Calibri"/>
                  <w:sz w:val="16"/>
                  <w:szCs w:val="16"/>
                  <w:color w:val="0000FF"/>
                </w:rPr>
                <w:t>Royalty Interest Acquisiton Agreement, dated February 25, 2021, by and</w:t>
              </w:r>
            </w:hyperlink>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10.5</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May 10, 2021</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100" w:type="dxa"/>
            <w:vAlign w:val="bottom"/>
            <w:tcBorders>
              <w:top w:val="single" w:sz="8" w:color="0000FF"/>
            </w:tcBorders>
            <w:gridSpan w:val="14"/>
            <w:vMerge w:val="restart"/>
          </w:tcPr>
          <w:p>
            <w:pPr>
              <w:spacing w:after="0" w:line="142" w:lineRule="exact"/>
              <w:rPr>
                <w:rFonts w:ascii="Calibri" w:cs="Calibri" w:eastAsia="Calibri" w:hAnsi="Calibri"/>
                <w:sz w:val="15"/>
                <w:szCs w:val="15"/>
                <w:color w:val="0000FF"/>
              </w:rPr>
            </w:pPr>
            <w:hyperlink r:id="rId311">
              <w:r>
                <w:rPr>
                  <w:rFonts w:ascii="Calibri" w:cs="Calibri" w:eastAsia="Calibri" w:hAnsi="Calibri"/>
                  <w:sz w:val="15"/>
                  <w:szCs w:val="15"/>
                  <w:color w:val="0000FF"/>
                </w:rPr>
                <w:t>between the Company and HealthCare Royalty Partners IV, L.P.</w:t>
              </w:r>
            </w:hyperlink>
          </w:p>
        </w:tc>
        <w:tc>
          <w:tcPr>
            <w:tcW w:w="660" w:type="dxa"/>
            <w:vAlign w:val="bottom"/>
            <w:tcBorders>
              <w:top w:val="single" w:sz="8" w:color="0000FF"/>
            </w:tcBorders>
            <w:gridSpan w:val="18"/>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100" w:type="dxa"/>
            <w:vAlign w:val="bottom"/>
            <w:tcBorders>
              <w:bottom w:val="single" w:sz="8" w:color="0000FF"/>
            </w:tcBorders>
            <w:gridSpan w:val="14"/>
            <w:vMerge w:val="continue"/>
          </w:tcPr>
          <w:p>
            <w:pPr>
              <w:spacing w:after="0"/>
              <w:rPr>
                <w:sz w:val="4"/>
                <w:szCs w:val="4"/>
                <w:color w:val="auto"/>
              </w:rPr>
            </w:pPr>
          </w:p>
        </w:tc>
        <w:tc>
          <w:tcPr>
            <w:tcW w:w="660" w:type="dxa"/>
            <w:vAlign w:val="bottom"/>
            <w:gridSpan w:val="18"/>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6"/>
        </w:trPr>
        <w:tc>
          <w:tcPr>
            <w:tcW w:w="1040" w:type="dxa"/>
            <w:vAlign w:val="bottom"/>
          </w:tcPr>
          <w:p>
            <w:pPr>
              <w:ind w:left="180"/>
              <w:spacing w:after="0"/>
              <w:rPr>
                <w:sz w:val="20"/>
                <w:szCs w:val="20"/>
                <w:color w:val="auto"/>
              </w:rPr>
            </w:pPr>
            <w:r>
              <w:rPr>
                <w:rFonts w:ascii="Calibri" w:cs="Calibri" w:eastAsia="Calibri" w:hAnsi="Calibri"/>
                <w:sz w:val="16"/>
                <w:szCs w:val="16"/>
                <w:color w:val="auto"/>
              </w:rPr>
              <w:t>10.100!</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tcBorders>
              <w:bottom w:val="single" w:sz="8" w:color="0000FF"/>
            </w:tcBorders>
            <w:gridSpan w:val="20"/>
          </w:tcPr>
          <w:p>
            <w:pPr>
              <w:spacing w:after="0"/>
              <w:rPr>
                <w:rFonts w:ascii="Calibri" w:cs="Calibri" w:eastAsia="Calibri" w:hAnsi="Calibri"/>
                <w:sz w:val="16"/>
                <w:szCs w:val="16"/>
                <w:color w:val="0000FF"/>
              </w:rPr>
            </w:pPr>
            <w:hyperlink r:id="rId312">
              <w:r>
                <w:rPr>
                  <w:rFonts w:ascii="Calibri" w:cs="Calibri" w:eastAsia="Calibri" w:hAnsi="Calibri"/>
                  <w:sz w:val="16"/>
                  <w:szCs w:val="16"/>
                  <w:color w:val="0000FF"/>
                </w:rPr>
                <w:t>License Agreement, dated December 22, 2022, by and among Akebia</w:t>
              </w:r>
            </w:hyperlink>
          </w:p>
        </w:tc>
        <w:tc>
          <w:tcPr>
            <w:tcW w:w="300" w:type="dxa"/>
            <w:vAlign w:val="bottom"/>
            <w:gridSpan w:val="13"/>
          </w:tcPr>
          <w:p>
            <w:pPr>
              <w:spacing w:after="0"/>
              <w:rPr>
                <w:sz w:val="24"/>
                <w:szCs w:val="24"/>
                <w:color w:val="auto"/>
              </w:rPr>
            </w:pPr>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10.81</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March 10, 2023</w:t>
            </w:r>
          </w:p>
        </w:tc>
        <w:tc>
          <w:tcPr>
            <w:tcW w:w="0" w:type="dxa"/>
            <w:vAlign w:val="bottom"/>
          </w:tcPr>
          <w:p>
            <w:pPr>
              <w:spacing w:after="0"/>
              <w:rPr>
                <w:sz w:val="1"/>
                <w:szCs w:val="1"/>
                <w:color w:val="auto"/>
              </w:rPr>
            </w:pPr>
          </w:p>
        </w:tc>
      </w:tr>
      <w:tr>
        <w:trPr>
          <w:trHeight w:val="88"/>
        </w:trPr>
        <w:tc>
          <w:tcPr>
            <w:tcW w:w="10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4300" w:type="dxa"/>
            <w:vAlign w:val="bottom"/>
            <w:gridSpan w:val="17"/>
            <w:vMerge w:val="restart"/>
          </w:tcPr>
          <w:p>
            <w:pPr>
              <w:spacing w:after="0" w:line="142" w:lineRule="exact"/>
              <w:rPr>
                <w:rFonts w:ascii="Calibri" w:cs="Calibri" w:eastAsia="Calibri" w:hAnsi="Calibri"/>
                <w:sz w:val="15"/>
                <w:szCs w:val="15"/>
                <w:color w:val="0000FF"/>
              </w:rPr>
            </w:pPr>
            <w:hyperlink r:id="rId312">
              <w:r>
                <w:rPr>
                  <w:rFonts w:ascii="Calibri" w:cs="Calibri" w:eastAsia="Calibri" w:hAnsi="Calibri"/>
                  <w:sz w:val="15"/>
                  <w:szCs w:val="15"/>
                  <w:color w:val="0000FF"/>
                </w:rPr>
                <w:t>Therapeutcs, Inc., Keryx Biopharmaceutcals, Inc. and Averoa SAS</w:t>
              </w:r>
            </w:hyperlink>
          </w:p>
        </w:tc>
        <w:tc>
          <w:tcPr>
            <w:tcW w:w="520" w:type="dxa"/>
            <w:vAlign w:val="bottom"/>
            <w:gridSpan w:val="16"/>
            <w:vMerge w:val="restart"/>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300" w:type="dxa"/>
            <w:vAlign w:val="bottom"/>
            <w:tcBorders>
              <w:bottom w:val="single" w:sz="8" w:color="0000FF"/>
            </w:tcBorders>
            <w:gridSpan w:val="17"/>
            <w:vMerge w:val="continue"/>
          </w:tcPr>
          <w:p>
            <w:pPr>
              <w:spacing w:after="0"/>
              <w:rPr>
                <w:sz w:val="4"/>
                <w:szCs w:val="4"/>
                <w:color w:val="auto"/>
              </w:rPr>
            </w:pPr>
          </w:p>
        </w:tc>
        <w:tc>
          <w:tcPr>
            <w:tcW w:w="520" w:type="dxa"/>
            <w:vAlign w:val="bottom"/>
            <w:gridSpan w:val="16"/>
            <w:vMerge w:val="continue"/>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3"/>
        </w:trPr>
        <w:tc>
          <w:tcPr>
            <w:tcW w:w="1040" w:type="dxa"/>
            <w:vAlign w:val="bottom"/>
          </w:tcPr>
          <w:p>
            <w:pPr>
              <w:ind w:left="180"/>
              <w:spacing w:after="0"/>
              <w:rPr>
                <w:sz w:val="20"/>
                <w:szCs w:val="20"/>
                <w:color w:val="auto"/>
              </w:rPr>
            </w:pPr>
            <w:r>
              <w:rPr>
                <w:rFonts w:ascii="Calibri" w:cs="Calibri" w:eastAsia="Calibri" w:hAnsi="Calibri"/>
                <w:sz w:val="16"/>
                <w:szCs w:val="16"/>
                <w:color w:val="auto"/>
              </w:rPr>
              <w:t>10.101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33"/>
          </w:tcPr>
          <w:p>
            <w:pPr>
              <w:spacing w:after="0"/>
              <w:rPr>
                <w:rFonts w:ascii="Calibri" w:cs="Calibri" w:eastAsia="Calibri" w:hAnsi="Calibri"/>
                <w:sz w:val="16"/>
                <w:szCs w:val="16"/>
                <w:color w:val="0000FF"/>
              </w:rPr>
            </w:pPr>
            <w:hyperlink r:id="rId313">
              <w:r>
                <w:rPr>
                  <w:rFonts w:ascii="Calibri" w:cs="Calibri" w:eastAsia="Calibri" w:hAnsi="Calibri"/>
                  <w:sz w:val="16"/>
                  <w:szCs w:val="16"/>
                  <w:color w:val="0000FF"/>
                </w:rPr>
                <w:t>Amendment #1 to License Agreement, dated August 30, 2024, by and</w:t>
              </w:r>
            </w:hyperlink>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10.4</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November 7, 2024</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60" w:type="dxa"/>
            <w:vAlign w:val="bottom"/>
            <w:tcBorders>
              <w:top w:val="single" w:sz="8" w:color="0000FF"/>
            </w:tcBorders>
            <w:gridSpan w:val="22"/>
          </w:tcPr>
          <w:p>
            <w:pPr>
              <w:spacing w:after="0" w:line="142" w:lineRule="exact"/>
              <w:rPr>
                <w:rFonts w:ascii="Calibri" w:cs="Calibri" w:eastAsia="Calibri" w:hAnsi="Calibri"/>
                <w:sz w:val="15"/>
                <w:szCs w:val="15"/>
                <w:color w:val="0000FF"/>
              </w:rPr>
            </w:pPr>
            <w:hyperlink r:id="rId313">
              <w:r>
                <w:rPr>
                  <w:rFonts w:ascii="Calibri" w:cs="Calibri" w:eastAsia="Calibri" w:hAnsi="Calibri"/>
                  <w:sz w:val="15"/>
                  <w:szCs w:val="15"/>
                  <w:color w:val="0000FF"/>
                </w:rPr>
                <w:t>among Akebia Therapeutcs, Inc., Keryx Biopharmaceutcals, Inc. and</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4"/>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80" w:type="dxa"/>
            <w:vAlign w:val="bottom"/>
            <w:tcBorders>
              <w:top w:val="single" w:sz="8" w:color="0000FF"/>
            </w:tcBorders>
            <w:gridSpan w:val="19"/>
          </w:tcPr>
          <w:p>
            <w:pPr>
              <w:spacing w:after="0" w:line="142" w:lineRule="exact"/>
              <w:rPr>
                <w:rFonts w:ascii="Calibri" w:cs="Calibri" w:eastAsia="Calibri" w:hAnsi="Calibri"/>
                <w:sz w:val="15"/>
                <w:szCs w:val="15"/>
                <w:color w:val="0000FF"/>
              </w:rPr>
            </w:pPr>
            <w:hyperlink r:id="rId313">
              <w:r>
                <w:rPr>
                  <w:rFonts w:ascii="Calibri" w:cs="Calibri" w:eastAsia="Calibri" w:hAnsi="Calibri"/>
                  <w:sz w:val="15"/>
                  <w:szCs w:val="15"/>
                  <w:color w:val="0000FF"/>
                </w:rPr>
                <w:t>Averoa SAS</w:t>
              </w:r>
            </w:hyperlink>
          </w:p>
        </w:tc>
        <w:tc>
          <w:tcPr>
            <w:tcW w:w="6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gridSpan w:val="4"/>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40" w:type="dxa"/>
            <w:vAlign w:val="bottom"/>
          </w:tcPr>
          <w:p>
            <w:pPr>
              <w:ind w:left="180"/>
              <w:spacing w:after="0"/>
              <w:rPr>
                <w:sz w:val="20"/>
                <w:szCs w:val="20"/>
                <w:color w:val="auto"/>
              </w:rPr>
            </w:pPr>
            <w:r>
              <w:rPr>
                <w:rFonts w:ascii="Calibri" w:cs="Calibri" w:eastAsia="Calibri" w:hAnsi="Calibri"/>
                <w:sz w:val="16"/>
                <w:szCs w:val="16"/>
                <w:color w:val="auto"/>
              </w:rPr>
              <w:t>10.102!</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33"/>
          </w:tcPr>
          <w:p>
            <w:pPr>
              <w:spacing w:after="0"/>
              <w:rPr>
                <w:rFonts w:ascii="Calibri" w:cs="Calibri" w:eastAsia="Calibri" w:hAnsi="Calibri"/>
                <w:sz w:val="16"/>
                <w:szCs w:val="16"/>
                <w:color w:val="0000FF"/>
              </w:rPr>
            </w:pPr>
            <w:hyperlink r:id="rId314">
              <w:r>
                <w:rPr>
                  <w:rFonts w:ascii="Calibri" w:cs="Calibri" w:eastAsia="Calibri" w:hAnsi="Calibri"/>
                  <w:sz w:val="16"/>
                  <w:szCs w:val="16"/>
                  <w:color w:val="0000FF"/>
                </w:rPr>
                <w:t>License Agreement, dated May 24, 2023, by and between the Company</w:t>
              </w:r>
            </w:hyperlink>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40" w:type="dxa"/>
            <w:vAlign w:val="bottom"/>
            <w:tcBorders>
              <w:top w:val="single" w:sz="8" w:color="0000FF"/>
              <w:bottom w:val="single" w:sz="8" w:color="0000FF"/>
            </w:tcBorders>
            <w:gridSpan w:val="10"/>
          </w:tcPr>
          <w:p>
            <w:pPr>
              <w:spacing w:after="0" w:line="129" w:lineRule="exact"/>
              <w:rPr>
                <w:rFonts w:ascii="Calibri" w:cs="Calibri" w:eastAsia="Calibri" w:hAnsi="Calibri"/>
                <w:sz w:val="14"/>
                <w:szCs w:val="14"/>
                <w:color w:val="0000FF"/>
              </w:rPr>
            </w:pPr>
            <w:hyperlink r:id="rId314">
              <w:r>
                <w:rPr>
                  <w:rFonts w:ascii="Calibri" w:cs="Calibri" w:eastAsia="Calibri" w:hAnsi="Calibri"/>
                  <w:sz w:val="14"/>
                  <w:szCs w:val="14"/>
                  <w:color w:val="0000FF"/>
                </w:rPr>
                <w:t>and MEDICE Arzneimitel Püter GmbH &amp; Co. KG</w:t>
              </w:r>
            </w:hyperlink>
          </w:p>
        </w:tc>
        <w:tc>
          <w:tcPr>
            <w:tcW w:w="580" w:type="dxa"/>
            <w:vAlign w:val="bottom"/>
            <w:tcBorders>
              <w:top w:val="single" w:sz="8" w:color="0000FF"/>
              <w:bottom w:val="single" w:sz="8" w:color="0000FF"/>
            </w:tcBorders>
            <w:gridSpan w:val="2"/>
          </w:tcPr>
          <w:p>
            <w:pPr>
              <w:spacing w:after="0"/>
              <w:rPr>
                <w:sz w:val="12"/>
                <w:szCs w:val="12"/>
                <w:color w:val="auto"/>
              </w:rPr>
            </w:pPr>
          </w:p>
        </w:tc>
        <w:tc>
          <w:tcPr>
            <w:tcW w:w="140" w:type="dxa"/>
            <w:vAlign w:val="bottom"/>
            <w:tcBorders>
              <w:top w:val="single" w:sz="8" w:color="0000FF"/>
              <w:bottom w:val="single" w:sz="8" w:color="0000FF"/>
            </w:tcBorders>
          </w:tcPr>
          <w:p>
            <w:pPr>
              <w:spacing w:after="0"/>
              <w:rPr>
                <w:sz w:val="12"/>
                <w:szCs w:val="12"/>
                <w:color w:val="auto"/>
              </w:rPr>
            </w:pPr>
          </w:p>
        </w:tc>
        <w:tc>
          <w:tcPr>
            <w:tcW w:w="360" w:type="dxa"/>
            <w:vAlign w:val="bottom"/>
            <w:tcBorders>
              <w:top w:val="single" w:sz="8" w:color="0000FF"/>
              <w:bottom w:val="single" w:sz="8" w:color="0000FF"/>
            </w:tcBorders>
            <w:gridSpan w:val="2"/>
          </w:tcPr>
          <w:p>
            <w:pPr>
              <w:spacing w:after="0"/>
              <w:rPr>
                <w:sz w:val="12"/>
                <w:szCs w:val="12"/>
                <w:color w:val="auto"/>
              </w:rPr>
            </w:pPr>
          </w:p>
        </w:tc>
        <w:tc>
          <w:tcPr>
            <w:tcW w:w="120" w:type="dxa"/>
            <w:vAlign w:val="bottom"/>
            <w:tcBorders>
              <w:top w:val="single" w:sz="8" w:color="0000FF"/>
              <w:bottom w:val="single" w:sz="8" w:color="0000FF"/>
            </w:tcBorders>
            <w:gridSpan w:val="3"/>
          </w:tcPr>
          <w:p>
            <w:pPr>
              <w:spacing w:after="0"/>
              <w:rPr>
                <w:sz w:val="12"/>
                <w:szCs w:val="12"/>
                <w:color w:val="auto"/>
              </w:rPr>
            </w:pPr>
          </w:p>
        </w:tc>
        <w:tc>
          <w:tcPr>
            <w:tcW w:w="200" w:type="dxa"/>
            <w:vAlign w:val="bottom"/>
            <w:tcBorders>
              <w:top w:val="single" w:sz="8" w:color="0000FF"/>
              <w:bottom w:val="single" w:sz="8" w:color="0000FF"/>
            </w:tcBorders>
            <w:gridSpan w:val="3"/>
          </w:tcPr>
          <w:p>
            <w:pPr>
              <w:spacing w:after="0"/>
              <w:rPr>
                <w:sz w:val="12"/>
                <w:szCs w:val="12"/>
                <w:color w:val="auto"/>
              </w:rPr>
            </w:pPr>
          </w:p>
        </w:tc>
        <w:tc>
          <w:tcPr>
            <w:tcW w:w="40" w:type="dxa"/>
            <w:vAlign w:val="bottom"/>
            <w:tcBorders>
              <w:top w:val="single" w:sz="8" w:color="0000FF"/>
              <w:bottom w:val="single" w:sz="8" w:color="0000FF"/>
            </w:tcBorders>
            <w:gridSpan w:val="2"/>
          </w:tcPr>
          <w:p>
            <w:pPr>
              <w:spacing w:after="0"/>
              <w:rPr>
                <w:sz w:val="12"/>
                <w:szCs w:val="12"/>
                <w:color w:val="auto"/>
              </w:rPr>
            </w:pPr>
          </w:p>
        </w:tc>
        <w:tc>
          <w:tcPr>
            <w:tcW w:w="80" w:type="dxa"/>
            <w:vAlign w:val="bottom"/>
            <w:tcBorders>
              <w:top w:val="single" w:sz="8" w:color="0000FF"/>
              <w:bottom w:val="single" w:sz="8" w:color="0000FF"/>
            </w:tcBorders>
            <w:gridSpan w:val="4"/>
          </w:tcPr>
          <w:p>
            <w:pPr>
              <w:spacing w:after="0"/>
              <w:rPr>
                <w:sz w:val="12"/>
                <w:szCs w:val="12"/>
                <w:color w:val="auto"/>
              </w:rPr>
            </w:pPr>
          </w:p>
        </w:tc>
        <w:tc>
          <w:tcPr>
            <w:tcW w:w="20" w:type="dxa"/>
            <w:vAlign w:val="bottom"/>
            <w:tcBorders>
              <w:top w:val="single" w:sz="8" w:color="0000FF"/>
              <w:bottom w:val="single" w:sz="8" w:color="0000FF"/>
            </w:tcBorders>
          </w:tcPr>
          <w:p>
            <w:pPr>
              <w:spacing w:after="0"/>
              <w:rPr>
                <w:sz w:val="12"/>
                <w:szCs w:val="12"/>
                <w:color w:val="auto"/>
              </w:rPr>
            </w:pPr>
          </w:p>
        </w:tc>
        <w:tc>
          <w:tcPr>
            <w:tcW w:w="20" w:type="dxa"/>
            <w:vAlign w:val="bottom"/>
            <w:tcBorders>
              <w:top w:val="single" w:sz="8" w:color="0000FF"/>
              <w:bottom w:val="single" w:sz="8" w:color="0000FF"/>
            </w:tcBorders>
          </w:tcPr>
          <w:p>
            <w:pPr>
              <w:spacing w:after="0"/>
              <w:rPr>
                <w:sz w:val="12"/>
                <w:szCs w:val="12"/>
                <w:color w:val="auto"/>
              </w:rPr>
            </w:pPr>
          </w:p>
        </w:tc>
        <w:tc>
          <w:tcPr>
            <w:tcW w:w="120" w:type="dxa"/>
            <w:vAlign w:val="bottom"/>
            <w:gridSpan w:val="4"/>
          </w:tcPr>
          <w:p>
            <w:pPr>
              <w:spacing w:after="0"/>
              <w:rPr>
                <w:sz w:val="12"/>
                <w:szCs w:val="12"/>
                <w:color w:val="auto"/>
              </w:rPr>
            </w:pPr>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10.1</w:t>
            </w:r>
          </w:p>
        </w:tc>
        <w:tc>
          <w:tcPr>
            <w:tcW w:w="12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August 28, 2023</w:t>
            </w:r>
          </w:p>
        </w:tc>
        <w:tc>
          <w:tcPr>
            <w:tcW w:w="0" w:type="dxa"/>
            <w:vAlign w:val="bottom"/>
          </w:tcPr>
          <w:p>
            <w:pPr>
              <w:spacing w:after="0"/>
              <w:rPr>
                <w:sz w:val="1"/>
                <w:szCs w:val="1"/>
                <w:color w:val="auto"/>
              </w:rPr>
            </w:pPr>
          </w:p>
        </w:tc>
      </w:tr>
      <w:tr>
        <w:trPr>
          <w:trHeight w:val="47"/>
        </w:trPr>
        <w:tc>
          <w:tcPr>
            <w:tcW w:w="1040" w:type="dxa"/>
            <w:vAlign w:val="bottom"/>
            <w:vMerge w:val="restart"/>
          </w:tcPr>
          <w:p>
            <w:pPr>
              <w:ind w:left="180"/>
              <w:spacing w:after="0"/>
              <w:rPr>
                <w:sz w:val="20"/>
                <w:szCs w:val="20"/>
                <w:color w:val="auto"/>
              </w:rPr>
            </w:pPr>
            <w:r>
              <w:rPr>
                <w:rFonts w:ascii="Calibri" w:cs="Calibri" w:eastAsia="Calibri" w:hAnsi="Calibri"/>
                <w:sz w:val="16"/>
                <w:szCs w:val="16"/>
                <w:color w:val="auto"/>
              </w:rPr>
              <w:t>10.103!</w:t>
            </w: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820" w:type="dxa"/>
            <w:vAlign w:val="bottom"/>
            <w:gridSpan w:val="33"/>
            <w:vMerge w:val="restart"/>
          </w:tcPr>
          <w:p>
            <w:pPr>
              <w:spacing w:after="0"/>
              <w:rPr>
                <w:rFonts w:ascii="Calibri" w:cs="Calibri" w:eastAsia="Calibri" w:hAnsi="Calibri"/>
                <w:sz w:val="16"/>
                <w:szCs w:val="16"/>
                <w:color w:val="0000FF"/>
              </w:rPr>
            </w:pPr>
            <w:hyperlink r:id="rId315">
              <w:r>
                <w:rPr>
                  <w:rFonts w:ascii="Calibri" w:cs="Calibri" w:eastAsia="Calibri" w:hAnsi="Calibri"/>
                  <w:sz w:val="16"/>
                  <w:szCs w:val="16"/>
                  <w:color w:val="0000FF"/>
                </w:rPr>
                <w:t>Agreement for the Provision of a Loan Facility dated January 29, 2024</w:t>
              </w:r>
            </w:hyperlink>
          </w:p>
        </w:tc>
        <w:tc>
          <w:tcPr>
            <w:tcW w:w="1080" w:type="dxa"/>
            <w:vAlign w:val="bottom"/>
            <w:gridSpan w:val="2"/>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8"/>
        </w:trPr>
        <w:tc>
          <w:tcPr>
            <w:tcW w:w="10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33"/>
            <w:vMerge w:val="continue"/>
          </w:tcPr>
          <w:p>
            <w:pPr>
              <w:spacing w:after="0"/>
              <w:rPr>
                <w:sz w:val="24"/>
                <w:szCs w:val="24"/>
                <w:color w:val="auto"/>
              </w:rPr>
            </w:pPr>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10.102</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March 14, 2024</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20" w:type="dxa"/>
            <w:vAlign w:val="bottom"/>
            <w:tcBorders>
              <w:top w:val="single" w:sz="8" w:color="0000FF"/>
              <w:bottom w:val="single" w:sz="8" w:color="0000FF"/>
            </w:tcBorders>
            <w:gridSpan w:val="12"/>
          </w:tcPr>
          <w:p>
            <w:pPr>
              <w:spacing w:after="0" w:line="142" w:lineRule="exact"/>
              <w:rPr>
                <w:rFonts w:ascii="Calibri" w:cs="Calibri" w:eastAsia="Calibri" w:hAnsi="Calibri"/>
                <w:sz w:val="15"/>
                <w:szCs w:val="15"/>
                <w:color w:val="0000FF"/>
              </w:rPr>
            </w:pPr>
            <w:hyperlink r:id="rId315">
              <w:r>
                <w:rPr>
                  <w:rFonts w:ascii="Calibri" w:cs="Calibri" w:eastAsia="Calibri" w:hAnsi="Calibri"/>
                  <w:sz w:val="15"/>
                  <w:szCs w:val="15"/>
                  <w:color w:val="0000FF"/>
                </w:rPr>
                <w:t>between the Company and Kreos Capital VII (UK) Limited</w:t>
              </w:r>
            </w:hyperlink>
          </w:p>
        </w:tc>
        <w:tc>
          <w:tcPr>
            <w:tcW w:w="820" w:type="dxa"/>
            <w:vAlign w:val="bottom"/>
            <w:tcBorders>
              <w:top w:val="single" w:sz="8" w:color="0000FF"/>
            </w:tcBorders>
            <w:gridSpan w:val="9"/>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5"/>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66"/>
        </w:trPr>
        <w:tc>
          <w:tcPr>
            <w:tcW w:w="1040" w:type="dxa"/>
            <w:vAlign w:val="bottom"/>
          </w:tcPr>
          <w:p>
            <w:pPr>
              <w:ind w:left="180"/>
              <w:spacing w:after="0"/>
              <w:rPr>
                <w:sz w:val="20"/>
                <w:szCs w:val="20"/>
                <w:color w:val="auto"/>
              </w:rPr>
            </w:pPr>
            <w:r>
              <w:rPr>
                <w:rFonts w:ascii="Calibri" w:cs="Calibri" w:eastAsia="Calibri" w:hAnsi="Calibri"/>
                <w:sz w:val="16"/>
                <w:szCs w:val="16"/>
                <w:color w:val="auto"/>
              </w:rPr>
              <w:t>10.104!</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33"/>
          </w:tcPr>
          <w:p>
            <w:pPr>
              <w:spacing w:after="0"/>
              <w:rPr>
                <w:rFonts w:ascii="Calibri" w:cs="Calibri" w:eastAsia="Calibri" w:hAnsi="Calibri"/>
                <w:sz w:val="16"/>
                <w:szCs w:val="16"/>
                <w:color w:val="0000FF"/>
              </w:rPr>
            </w:pPr>
            <w:hyperlink r:id="rId316">
              <w:r>
                <w:rPr>
                  <w:rFonts w:ascii="Calibri" w:cs="Calibri" w:eastAsia="Calibri" w:hAnsi="Calibri"/>
                  <w:sz w:val="16"/>
                  <w:szCs w:val="16"/>
                  <w:color w:val="0000FF"/>
                </w:rPr>
                <w:t>Amendment #1 to Agreement for the Provision of a Loan Facility, dated</w:t>
              </w:r>
            </w:hyperlink>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80" w:type="dxa"/>
            <w:vAlign w:val="bottom"/>
            <w:tcBorders>
              <w:top w:val="single" w:sz="8" w:color="0000FF"/>
            </w:tcBorders>
            <w:gridSpan w:val="28"/>
          </w:tcPr>
          <w:p>
            <w:pPr>
              <w:spacing w:after="0" w:line="142" w:lineRule="exact"/>
              <w:rPr>
                <w:rFonts w:ascii="Calibri" w:cs="Calibri" w:eastAsia="Calibri" w:hAnsi="Calibri"/>
                <w:sz w:val="15"/>
                <w:szCs w:val="15"/>
                <w:color w:val="0000FF"/>
              </w:rPr>
            </w:pPr>
            <w:hyperlink r:id="rId316">
              <w:r>
                <w:rPr>
                  <w:rFonts w:ascii="Calibri" w:cs="Calibri" w:eastAsia="Calibri" w:hAnsi="Calibri"/>
                  <w:sz w:val="15"/>
                  <w:szCs w:val="15"/>
                  <w:color w:val="0000FF"/>
                </w:rPr>
                <w:t>July 10, 2024, by and between Akebia Therapeutcs, Inc. and Kreos</w:t>
              </w:r>
            </w:hyperlink>
          </w:p>
        </w:tc>
        <w:tc>
          <w:tcPr>
            <w:tcW w:w="140" w:type="dxa"/>
            <w:vAlign w:val="bottom"/>
            <w:gridSpan w:val="5"/>
          </w:tcPr>
          <w:p>
            <w:pPr>
              <w:spacing w:after="0"/>
              <w:rPr>
                <w:sz w:val="12"/>
                <w:szCs w:val="12"/>
                <w:color w:val="auto"/>
              </w:rPr>
            </w:pPr>
          </w:p>
        </w:tc>
        <w:tc>
          <w:tcPr>
            <w:tcW w:w="1080" w:type="dxa"/>
            <w:vAlign w:val="bottom"/>
            <w:gridSpan w:val="2"/>
            <w:vMerge w:val="restart"/>
          </w:tcPr>
          <w:p>
            <w:pPr>
              <w:jc w:val="center"/>
              <w:ind w:right="120"/>
              <w:spacing w:after="0"/>
              <w:rPr>
                <w:sz w:val="20"/>
                <w:szCs w:val="20"/>
                <w:color w:val="auto"/>
              </w:rPr>
            </w:pPr>
            <w:r>
              <w:rPr>
                <w:rFonts w:ascii="Calibri" w:cs="Calibri" w:eastAsia="Calibri" w:hAnsi="Calibri"/>
                <w:sz w:val="16"/>
                <w:szCs w:val="16"/>
                <w:color w:val="auto"/>
              </w:rPr>
              <w:t>10-Q</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10.5</w:t>
            </w:r>
          </w:p>
        </w:tc>
        <w:tc>
          <w:tcPr>
            <w:tcW w:w="12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August 8, 2024</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40" w:type="dxa"/>
            <w:vAlign w:val="bottom"/>
            <w:tcBorders>
              <w:top w:val="single" w:sz="8" w:color="0000FF"/>
            </w:tcBorders>
            <w:gridSpan w:val="18"/>
          </w:tcPr>
          <w:p>
            <w:pPr>
              <w:spacing w:after="0" w:line="142" w:lineRule="exact"/>
              <w:rPr>
                <w:rFonts w:ascii="Calibri" w:cs="Calibri" w:eastAsia="Calibri" w:hAnsi="Calibri"/>
                <w:sz w:val="15"/>
                <w:szCs w:val="15"/>
                <w:color w:val="0000FF"/>
              </w:rPr>
            </w:pPr>
            <w:hyperlink r:id="rId316">
              <w:r>
                <w:rPr>
                  <w:rFonts w:ascii="Calibri" w:cs="Calibri" w:eastAsia="Calibri" w:hAnsi="Calibri"/>
                  <w:sz w:val="15"/>
                  <w:szCs w:val="15"/>
                  <w:color w:val="0000FF"/>
                </w:rPr>
                <w:t>Capital VII (UK) Limited</w:t>
              </w:r>
            </w:hyperlink>
          </w:p>
        </w:tc>
        <w:tc>
          <w:tcPr>
            <w:tcW w:w="24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160" w:type="dxa"/>
            <w:vAlign w:val="bottom"/>
            <w:gridSpan w:val="6"/>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40" w:type="dxa"/>
            <w:vAlign w:val="bottom"/>
          </w:tcPr>
          <w:p>
            <w:pPr>
              <w:ind w:left="180"/>
              <w:spacing w:after="0"/>
              <w:rPr>
                <w:sz w:val="20"/>
                <w:szCs w:val="20"/>
                <w:color w:val="auto"/>
              </w:rPr>
            </w:pPr>
            <w:r>
              <w:rPr>
                <w:rFonts w:ascii="Calibri" w:cs="Calibri" w:eastAsia="Calibri" w:hAnsi="Calibri"/>
                <w:sz w:val="16"/>
                <w:szCs w:val="16"/>
                <w:color w:val="auto"/>
              </w:rPr>
              <w:t>10.105!*</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80" w:type="dxa"/>
            <w:vAlign w:val="bottom"/>
            <w:tcBorders>
              <w:bottom w:val="single" w:sz="8" w:color="0000FF"/>
            </w:tcBorders>
            <w:gridSpan w:val="23"/>
          </w:tcPr>
          <w:p>
            <w:pPr>
              <w:spacing w:after="0"/>
              <w:rPr>
                <w:sz w:val="20"/>
                <w:szCs w:val="20"/>
                <w:color w:val="auto"/>
              </w:rPr>
            </w:pPr>
            <w:r>
              <w:rPr>
                <w:rFonts w:ascii="Calibri" w:cs="Calibri" w:eastAsia="Calibri" w:hAnsi="Calibri"/>
                <w:sz w:val="16"/>
                <w:szCs w:val="16"/>
                <w:color w:val="0000FF"/>
              </w:rPr>
              <w:t>Second Amendment to Agreement for the Provision of a Loan Facility,</w:t>
            </w:r>
          </w:p>
        </w:tc>
        <w:tc>
          <w:tcPr>
            <w:tcW w:w="240" w:type="dxa"/>
            <w:vAlign w:val="bottom"/>
            <w:gridSpan w:val="10"/>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20" w:type="dxa"/>
            <w:vAlign w:val="bottom"/>
            <w:gridSpan w:val="33"/>
          </w:tcPr>
          <w:p>
            <w:pPr>
              <w:spacing w:after="0" w:line="142" w:lineRule="exact"/>
              <w:rPr>
                <w:sz w:val="20"/>
                <w:szCs w:val="20"/>
                <w:color w:val="auto"/>
              </w:rPr>
            </w:pPr>
            <w:r>
              <w:rPr>
                <w:rFonts w:ascii="Calibri" w:cs="Calibri" w:eastAsia="Calibri" w:hAnsi="Calibri"/>
                <w:sz w:val="15"/>
                <w:szCs w:val="15"/>
                <w:color w:val="0000FF"/>
              </w:rPr>
              <w:t>dated February 3, 2025, by and between Akebia Therapeutcs, Inc. and</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60" w:type="dxa"/>
            <w:vAlign w:val="bottom"/>
            <w:tcBorders>
              <w:top w:val="single" w:sz="8" w:color="0000FF"/>
            </w:tcBorders>
            <w:gridSpan w:val="27"/>
          </w:tcPr>
          <w:p>
            <w:pPr>
              <w:spacing w:after="0" w:line="142" w:lineRule="exact"/>
              <w:rPr>
                <w:sz w:val="20"/>
                <w:szCs w:val="20"/>
                <w:color w:val="auto"/>
              </w:rPr>
            </w:pPr>
            <w:r>
              <w:rPr>
                <w:rFonts w:ascii="Calibri" w:cs="Calibri" w:eastAsia="Calibri" w:hAnsi="Calibri"/>
                <w:sz w:val="15"/>
                <w:szCs w:val="15"/>
                <w:color w:val="0000FF"/>
              </w:rPr>
              <w:t>Kreos Capital VII (UK) Limited</w:t>
            </w:r>
          </w:p>
        </w:tc>
        <w:tc>
          <w:tcPr>
            <w:tcW w:w="160" w:type="dxa"/>
            <w:vAlign w:val="bottom"/>
            <w:gridSpan w:val="6"/>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gridSpan w:val="1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1040" w:type="dxa"/>
            <w:vAlign w:val="bottom"/>
          </w:tcPr>
          <w:p>
            <w:pPr>
              <w:ind w:left="180"/>
              <w:spacing w:after="0"/>
              <w:rPr>
                <w:sz w:val="20"/>
                <w:szCs w:val="20"/>
                <w:color w:val="auto"/>
              </w:rPr>
            </w:pPr>
            <w:r>
              <w:rPr>
                <w:rFonts w:ascii="Calibri" w:cs="Calibri" w:eastAsia="Calibri" w:hAnsi="Calibri"/>
                <w:sz w:val="16"/>
                <w:szCs w:val="16"/>
                <w:color w:val="auto"/>
              </w:rPr>
              <w:t>10.106</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33"/>
          </w:tcPr>
          <w:p>
            <w:pPr>
              <w:spacing w:after="0"/>
              <w:rPr>
                <w:rFonts w:ascii="Calibri" w:cs="Calibri" w:eastAsia="Calibri" w:hAnsi="Calibri"/>
                <w:sz w:val="16"/>
                <w:szCs w:val="16"/>
                <w:color w:val="0000FF"/>
              </w:rPr>
            </w:pPr>
            <w:hyperlink r:id="rId317">
              <w:r>
                <w:rPr>
                  <w:rFonts w:ascii="Calibri" w:cs="Calibri" w:eastAsia="Calibri" w:hAnsi="Calibri"/>
                  <w:sz w:val="16"/>
                  <w:szCs w:val="16"/>
                  <w:color w:val="0000FF"/>
                </w:rPr>
                <w:t>Warrant Agreement dated January 29, 2024 by and between the</w:t>
              </w:r>
            </w:hyperlink>
          </w:p>
        </w:tc>
        <w:tc>
          <w:tcPr>
            <w:tcW w:w="1080" w:type="dxa"/>
            <w:vAlign w:val="bottom"/>
            <w:gridSpan w:val="2"/>
            <w:vMerge w:val="restart"/>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vMerge w:val="restart"/>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vMerge w:val="restart"/>
          </w:tcPr>
          <w:p>
            <w:pPr>
              <w:jc w:val="center"/>
              <w:spacing w:after="0"/>
              <w:rPr>
                <w:sz w:val="20"/>
                <w:szCs w:val="20"/>
                <w:color w:val="auto"/>
              </w:rPr>
            </w:pPr>
            <w:r>
              <w:rPr>
                <w:rFonts w:ascii="Calibri" w:cs="Calibri" w:eastAsia="Calibri" w:hAnsi="Calibri"/>
                <w:sz w:val="16"/>
                <w:szCs w:val="16"/>
                <w:color w:val="auto"/>
              </w:rPr>
              <w:t>10.103</w:t>
            </w:r>
          </w:p>
        </w:tc>
        <w:tc>
          <w:tcPr>
            <w:tcW w:w="120" w:type="dxa"/>
            <w:vAlign w:val="bottom"/>
          </w:tcPr>
          <w:p>
            <w:pPr>
              <w:spacing w:after="0"/>
              <w:rPr>
                <w:sz w:val="24"/>
                <w:szCs w:val="24"/>
                <w:color w:val="auto"/>
              </w:rPr>
            </w:pPr>
          </w:p>
        </w:tc>
        <w:tc>
          <w:tcPr>
            <w:tcW w:w="1580" w:type="dxa"/>
            <w:vAlign w:val="bottom"/>
            <w:vMerge w:val="restart"/>
          </w:tcPr>
          <w:p>
            <w:pPr>
              <w:jc w:val="center"/>
              <w:spacing w:after="0"/>
              <w:rPr>
                <w:sz w:val="20"/>
                <w:szCs w:val="20"/>
                <w:color w:val="auto"/>
              </w:rPr>
            </w:pPr>
            <w:r>
              <w:rPr>
                <w:rFonts w:ascii="Calibri" w:cs="Calibri" w:eastAsia="Calibri" w:hAnsi="Calibri"/>
                <w:sz w:val="16"/>
                <w:szCs w:val="16"/>
                <w:color w:val="auto"/>
              </w:rPr>
              <w:t>March 14, 2024</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20" w:type="dxa"/>
            <w:vAlign w:val="bottom"/>
            <w:tcBorders>
              <w:top w:val="single" w:sz="8" w:color="0000FF"/>
              <w:bottom w:val="single" w:sz="8" w:color="0000FF"/>
            </w:tcBorders>
            <w:gridSpan w:val="9"/>
          </w:tcPr>
          <w:p>
            <w:pPr>
              <w:spacing w:after="0" w:line="142" w:lineRule="exact"/>
              <w:rPr>
                <w:rFonts w:ascii="Calibri" w:cs="Calibri" w:eastAsia="Calibri" w:hAnsi="Calibri"/>
                <w:sz w:val="15"/>
                <w:szCs w:val="15"/>
                <w:color w:val="0000FF"/>
              </w:rPr>
            </w:pPr>
            <w:hyperlink r:id="rId317">
              <w:r>
                <w:rPr>
                  <w:rFonts w:ascii="Calibri" w:cs="Calibri" w:eastAsia="Calibri" w:hAnsi="Calibri"/>
                  <w:sz w:val="15"/>
                  <w:szCs w:val="15"/>
                  <w:color w:val="0000FF"/>
                </w:rPr>
                <w:t>Company and Kreos Capital VII Aggregator SCSp</w:t>
              </w:r>
            </w:hyperlink>
          </w:p>
        </w:tc>
        <w:tc>
          <w:tcPr>
            <w:tcW w:w="1100" w:type="dxa"/>
            <w:vAlign w:val="bottom"/>
            <w:tcBorders>
              <w:top w:val="single" w:sz="8" w:color="0000FF"/>
            </w:tcBorders>
            <w:gridSpan w:val="6"/>
          </w:tcPr>
          <w:p>
            <w:pPr>
              <w:spacing w:after="0"/>
              <w:rPr>
                <w:sz w:val="12"/>
                <w:szCs w:val="12"/>
                <w:color w:val="auto"/>
              </w:rPr>
            </w:pPr>
          </w:p>
        </w:tc>
        <w:tc>
          <w:tcPr>
            <w:tcW w:w="600" w:type="dxa"/>
            <w:vAlign w:val="bottom"/>
            <w:gridSpan w:val="18"/>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66"/>
        </w:trPr>
        <w:tc>
          <w:tcPr>
            <w:tcW w:w="1040" w:type="dxa"/>
            <w:vAlign w:val="bottom"/>
          </w:tcPr>
          <w:p>
            <w:pPr>
              <w:ind w:left="140"/>
              <w:spacing w:after="0"/>
              <w:rPr>
                <w:sz w:val="20"/>
                <w:szCs w:val="20"/>
                <w:color w:val="auto"/>
              </w:rPr>
            </w:pPr>
            <w:r>
              <w:rPr>
                <w:rFonts w:ascii="Calibri" w:cs="Calibri" w:eastAsia="Calibri" w:hAnsi="Calibri"/>
                <w:sz w:val="16"/>
                <w:szCs w:val="16"/>
                <w:color w:val="auto"/>
              </w:rPr>
              <w:t>19.1*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33"/>
          </w:tcPr>
          <w:p>
            <w:pPr>
              <w:spacing w:after="0"/>
              <w:rPr>
                <w:sz w:val="20"/>
                <w:szCs w:val="20"/>
                <w:color w:val="auto"/>
              </w:rPr>
            </w:pPr>
            <w:r>
              <w:rPr>
                <w:rFonts w:ascii="Calibri" w:cs="Calibri" w:eastAsia="Calibri" w:hAnsi="Calibri"/>
                <w:sz w:val="16"/>
                <w:szCs w:val="16"/>
                <w:color w:val="0000FF"/>
              </w:rPr>
              <w:t>Akebia Therapeutcs, Inc. Insider Trading Compliance Policy</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40" w:type="dxa"/>
            <w:vAlign w:val="bottom"/>
          </w:tcPr>
          <w:p>
            <w:pPr>
              <w:ind w:left="140"/>
              <w:spacing w:after="0"/>
              <w:rPr>
                <w:sz w:val="20"/>
                <w:szCs w:val="20"/>
                <w:color w:val="auto"/>
              </w:rPr>
            </w:pPr>
            <w:r>
              <w:rPr>
                <w:rFonts w:ascii="Calibri" w:cs="Calibri" w:eastAsia="Calibri" w:hAnsi="Calibri"/>
                <w:sz w:val="16"/>
                <w:szCs w:val="16"/>
                <w:color w:val="auto"/>
              </w:rPr>
              <w:t>21.1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tcBorders>
              <w:top w:val="single" w:sz="8" w:color="0000FF"/>
            </w:tcBorders>
            <w:gridSpan w:val="13"/>
          </w:tcPr>
          <w:p>
            <w:pPr>
              <w:spacing w:after="0"/>
              <w:rPr>
                <w:rFonts w:ascii="Calibri" w:cs="Calibri" w:eastAsia="Calibri" w:hAnsi="Calibri"/>
                <w:sz w:val="16"/>
                <w:szCs w:val="16"/>
                <w:color w:val="0000FF"/>
              </w:rPr>
            </w:pPr>
            <w:hyperlink r:id="rId318">
              <w:r>
                <w:rPr>
                  <w:rFonts w:ascii="Calibri" w:cs="Calibri" w:eastAsia="Calibri" w:hAnsi="Calibri"/>
                  <w:sz w:val="16"/>
                  <w:szCs w:val="16"/>
                  <w:color w:val="0000FF"/>
                </w:rPr>
                <w:t>List of Subsidiaries</w:t>
              </w:r>
            </w:hyperlink>
          </w:p>
        </w:tc>
        <w:tc>
          <w:tcPr>
            <w:tcW w:w="960" w:type="dxa"/>
            <w:vAlign w:val="bottom"/>
            <w:gridSpan w:val="20"/>
          </w:tcPr>
          <w:p>
            <w:pPr>
              <w:spacing w:after="0"/>
              <w:rPr>
                <w:sz w:val="24"/>
                <w:szCs w:val="24"/>
                <w:color w:val="auto"/>
              </w:rPr>
            </w:pPr>
          </w:p>
        </w:tc>
        <w:tc>
          <w:tcPr>
            <w:tcW w:w="1080" w:type="dxa"/>
            <w:vAlign w:val="bottom"/>
            <w:gridSpan w:val="2"/>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tcPr>
          <w:p>
            <w:pPr>
              <w:jc w:val="center"/>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Calibri" w:cs="Calibri" w:eastAsia="Calibri" w:hAnsi="Calibri"/>
                <w:sz w:val="16"/>
                <w:szCs w:val="16"/>
                <w:color w:val="auto"/>
              </w:rPr>
              <w:t>21.1</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Calibri" w:cs="Calibri" w:eastAsia="Calibri" w:hAnsi="Calibri"/>
                <w:sz w:val="16"/>
                <w:szCs w:val="16"/>
                <w:color w:val="auto"/>
              </w:rPr>
              <w:t>February 25, 2021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5"/>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900" w:type="dxa"/>
            <w:vAlign w:val="bottom"/>
            <w:gridSpan w:val="2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40" w:type="dxa"/>
            <w:vAlign w:val="bottom"/>
          </w:tcPr>
          <w:p>
            <w:pPr>
              <w:ind w:left="140"/>
              <w:spacing w:after="0"/>
              <w:rPr>
                <w:sz w:val="20"/>
                <w:szCs w:val="20"/>
                <w:color w:val="auto"/>
              </w:rPr>
            </w:pPr>
            <w:r>
              <w:rPr>
                <w:rFonts w:ascii="Calibri" w:cs="Calibri" w:eastAsia="Calibri" w:hAnsi="Calibri"/>
                <w:sz w:val="16"/>
                <w:szCs w:val="16"/>
                <w:color w:val="auto"/>
              </w:rPr>
              <w:t>23.1*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Borders>
              <w:bottom w:val="single" w:sz="8" w:color="0000FF"/>
            </w:tcBorders>
            <w:gridSpan w:val="8"/>
          </w:tcPr>
          <w:p>
            <w:pPr>
              <w:spacing w:after="0"/>
              <w:rPr>
                <w:sz w:val="20"/>
                <w:szCs w:val="20"/>
                <w:color w:val="auto"/>
              </w:rPr>
            </w:pPr>
            <w:r>
              <w:rPr>
                <w:rFonts w:ascii="Calibri" w:cs="Calibri" w:eastAsia="Calibri" w:hAnsi="Calibri"/>
                <w:sz w:val="16"/>
                <w:szCs w:val="16"/>
                <w:color w:val="0000FF"/>
                <w:w w:val="99"/>
              </w:rPr>
              <w:t>Consent of Ernst &amp; Young LLP</w:t>
            </w:r>
          </w:p>
        </w:tc>
        <w:tc>
          <w:tcPr>
            <w:tcW w:w="2900" w:type="dxa"/>
            <w:vAlign w:val="bottom"/>
            <w:gridSpan w:val="25"/>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Akebia Therapeutcs, Inc. | Form 10-K | Page 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79" w:name="page180"/>
    <w:bookmarkEnd w:id="179"/>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4"/>
          </w:tcPr>
          <w:p>
            <w:pPr>
              <w:ind w:left="500"/>
              <w:spacing w:after="0"/>
              <w:rPr>
                <w:sz w:val="20"/>
                <w:szCs w:val="20"/>
                <w:color w:val="auto"/>
              </w:rPr>
            </w:pPr>
            <w:r>
              <w:rPr>
                <w:rFonts w:ascii="Calibri" w:cs="Calibri" w:eastAsia="Calibri" w:hAnsi="Calibri"/>
                <w:sz w:val="16"/>
                <w:szCs w:val="16"/>
                <w:color w:val="auto"/>
                <w:w w:val="99"/>
              </w:rPr>
              <w:t>Incorporated by Reference</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460" w:type="dxa"/>
            <w:vAlign w:val="bottom"/>
            <w:gridSpan w:val="2"/>
            <w:vMerge w:val="restart"/>
          </w:tcPr>
          <w:p>
            <w:pPr>
              <w:ind w:left="20"/>
              <w:spacing w:after="0"/>
              <w:rPr>
                <w:sz w:val="20"/>
                <w:szCs w:val="20"/>
                <w:color w:val="auto"/>
              </w:rPr>
            </w:pPr>
            <w:r>
              <w:rPr>
                <w:rFonts w:ascii="Calibri" w:cs="Calibri" w:eastAsia="Calibri" w:hAnsi="Calibri"/>
                <w:sz w:val="16"/>
                <w:szCs w:val="16"/>
                <w:b w:val="1"/>
                <w:bCs w:val="1"/>
                <w:color w:val="auto"/>
              </w:rPr>
              <w:t>Exhibit</w:t>
            </w:r>
          </w:p>
        </w:tc>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4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jc w:val="center"/>
              <w:ind w:right="100"/>
              <w:spacing w:after="0" w:line="150" w:lineRule="exact"/>
              <w:rPr>
                <w:sz w:val="20"/>
                <w:szCs w:val="20"/>
                <w:color w:val="auto"/>
              </w:rPr>
            </w:pPr>
            <w:r>
              <w:rPr>
                <w:rFonts w:ascii="Calibri" w:cs="Calibri" w:eastAsia="Calibri" w:hAnsi="Calibri"/>
                <w:sz w:val="16"/>
                <w:szCs w:val="16"/>
                <w:color w:val="auto"/>
              </w:rPr>
              <w:t>Schedule/</w:t>
            </w: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center"/>
              <w:spacing w:after="0" w:line="150" w:lineRule="exact"/>
              <w:rPr>
                <w:sz w:val="20"/>
                <w:szCs w:val="20"/>
                <w:color w:val="auto"/>
              </w:rPr>
            </w:pPr>
            <w:r>
              <w:rPr>
                <w:rFonts w:ascii="Calibri" w:cs="Calibri" w:eastAsia="Calibri" w:hAnsi="Calibri"/>
                <w:sz w:val="16"/>
                <w:szCs w:val="16"/>
                <w:color w:val="auto"/>
              </w:rPr>
              <w:t>Filed Date/ Period End</w:t>
            </w:r>
          </w:p>
        </w:tc>
        <w:tc>
          <w:tcPr>
            <w:tcW w:w="0" w:type="dxa"/>
            <w:vAlign w:val="bottom"/>
          </w:tcPr>
          <w:p>
            <w:pPr>
              <w:spacing w:after="0"/>
              <w:rPr>
                <w:sz w:val="1"/>
                <w:szCs w:val="1"/>
                <w:color w:val="auto"/>
              </w:rPr>
            </w:pPr>
          </w:p>
        </w:tc>
      </w:tr>
      <w:tr>
        <w:trPr>
          <w:trHeight w:val="193"/>
        </w:trPr>
        <w:tc>
          <w:tcPr>
            <w:tcW w:w="1460" w:type="dxa"/>
            <w:vAlign w:val="bottom"/>
            <w:gridSpan w:val="2"/>
          </w:tcPr>
          <w:p>
            <w:pPr>
              <w:ind w:left="20"/>
              <w:spacing w:after="0" w:line="193" w:lineRule="exact"/>
              <w:rPr>
                <w:sz w:val="20"/>
                <w:szCs w:val="20"/>
                <w:color w:val="auto"/>
              </w:rPr>
            </w:pPr>
            <w:r>
              <w:rPr>
                <w:rFonts w:ascii="Calibri" w:cs="Calibri" w:eastAsia="Calibri" w:hAnsi="Calibri"/>
                <w:sz w:val="16"/>
                <w:szCs w:val="16"/>
                <w:b w:val="1"/>
                <w:bCs w:val="1"/>
                <w:color w:val="auto"/>
              </w:rPr>
              <w:t>Number</w:t>
            </w:r>
          </w:p>
        </w:tc>
        <w:tc>
          <w:tcPr>
            <w:tcW w:w="20" w:type="dxa"/>
            <w:vAlign w:val="bottom"/>
          </w:tcPr>
          <w:p>
            <w:pPr>
              <w:spacing w:after="0"/>
              <w:rPr>
                <w:sz w:val="16"/>
                <w:szCs w:val="16"/>
                <w:color w:val="auto"/>
              </w:rPr>
            </w:pPr>
          </w:p>
        </w:tc>
        <w:tc>
          <w:tcPr>
            <w:tcW w:w="4820" w:type="dxa"/>
            <w:vAlign w:val="bottom"/>
            <w:gridSpan w:val="8"/>
          </w:tcPr>
          <w:p>
            <w:pPr>
              <w:spacing w:after="0" w:line="193" w:lineRule="exact"/>
              <w:rPr>
                <w:sz w:val="20"/>
                <w:szCs w:val="20"/>
                <w:color w:val="auto"/>
              </w:rPr>
            </w:pPr>
            <w:r>
              <w:rPr>
                <w:rFonts w:ascii="Calibri" w:cs="Calibri" w:eastAsia="Calibri" w:hAnsi="Calibri"/>
                <w:sz w:val="16"/>
                <w:szCs w:val="16"/>
                <w:b w:val="1"/>
                <w:bCs w:val="1"/>
                <w:color w:val="auto"/>
              </w:rPr>
              <w:t>Descripton of Exhibit</w:t>
            </w:r>
          </w:p>
        </w:tc>
        <w:tc>
          <w:tcPr>
            <w:tcW w:w="1080" w:type="dxa"/>
            <w:vAlign w:val="bottom"/>
            <w:gridSpan w:val="2"/>
          </w:tcPr>
          <w:p>
            <w:pPr>
              <w:jc w:val="center"/>
              <w:ind w:right="100"/>
              <w:spacing w:after="0" w:line="193" w:lineRule="exact"/>
              <w:rPr>
                <w:sz w:val="20"/>
                <w:szCs w:val="20"/>
                <w:color w:val="auto"/>
              </w:rPr>
            </w:pPr>
            <w:r>
              <w:rPr>
                <w:rFonts w:ascii="Calibri" w:cs="Calibri" w:eastAsia="Calibri" w:hAnsi="Calibri"/>
                <w:sz w:val="16"/>
                <w:szCs w:val="16"/>
                <w:color w:val="auto"/>
                <w:w w:val="99"/>
              </w:rPr>
              <w:t>Form</w:t>
            </w:r>
          </w:p>
        </w:tc>
        <w:tc>
          <w:tcPr>
            <w:tcW w:w="1260" w:type="dxa"/>
            <w:vAlign w:val="bottom"/>
            <w:gridSpan w:val="2"/>
          </w:tcPr>
          <w:p>
            <w:pPr>
              <w:jc w:val="center"/>
              <w:ind w:right="80"/>
              <w:spacing w:after="0" w:line="193" w:lineRule="exact"/>
              <w:rPr>
                <w:sz w:val="20"/>
                <w:szCs w:val="20"/>
                <w:color w:val="auto"/>
              </w:rPr>
            </w:pPr>
            <w:r>
              <w:rPr>
                <w:rFonts w:ascii="Calibri" w:cs="Calibri" w:eastAsia="Calibri" w:hAnsi="Calibri"/>
                <w:sz w:val="16"/>
                <w:szCs w:val="16"/>
                <w:color w:val="auto"/>
              </w:rPr>
              <w:t>File No.</w:t>
            </w:r>
          </w:p>
        </w:tc>
        <w:tc>
          <w:tcPr>
            <w:tcW w:w="1000" w:type="dxa"/>
            <w:vAlign w:val="bottom"/>
            <w:gridSpan w:val="2"/>
          </w:tcPr>
          <w:p>
            <w:pPr>
              <w:jc w:val="center"/>
              <w:ind w:right="100"/>
              <w:spacing w:after="0" w:line="193" w:lineRule="exact"/>
              <w:rPr>
                <w:sz w:val="20"/>
                <w:szCs w:val="20"/>
                <w:color w:val="auto"/>
              </w:rPr>
            </w:pPr>
            <w:r>
              <w:rPr>
                <w:rFonts w:ascii="Calibri" w:cs="Calibri" w:eastAsia="Calibri" w:hAnsi="Calibri"/>
                <w:sz w:val="16"/>
                <w:szCs w:val="16"/>
                <w:color w:val="auto"/>
              </w:rPr>
              <w:t>Exhibit</w:t>
            </w:r>
          </w:p>
        </w:tc>
        <w:tc>
          <w:tcPr>
            <w:tcW w:w="1580" w:type="dxa"/>
            <w:vAlign w:val="bottom"/>
          </w:tcPr>
          <w:p>
            <w:pPr>
              <w:jc w:val="center"/>
              <w:spacing w:after="0" w:line="193" w:lineRule="exact"/>
              <w:rPr>
                <w:sz w:val="20"/>
                <w:szCs w:val="20"/>
                <w:color w:val="auto"/>
              </w:rPr>
            </w:pPr>
            <w:r>
              <w:rPr>
                <w:rFonts w:ascii="Calibri" w:cs="Calibri" w:eastAsia="Calibri" w:hAnsi="Calibri"/>
                <w:sz w:val="16"/>
                <w:szCs w:val="16"/>
                <w:color w:val="auto"/>
              </w:rPr>
              <w:t>Date</w:t>
            </w:r>
          </w:p>
        </w:tc>
        <w:tc>
          <w:tcPr>
            <w:tcW w:w="0" w:type="dxa"/>
            <w:vAlign w:val="bottom"/>
          </w:tcPr>
          <w:p>
            <w:pPr>
              <w:spacing w:after="0"/>
              <w:rPr>
                <w:sz w:val="1"/>
                <w:szCs w:val="1"/>
                <w:color w:val="auto"/>
              </w:rPr>
            </w:pPr>
          </w:p>
        </w:tc>
      </w:tr>
      <w:tr>
        <w:trPr>
          <w:trHeight w:val="28"/>
        </w:trPr>
        <w:tc>
          <w:tcPr>
            <w:tcW w:w="10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040" w:type="dxa"/>
            <w:vAlign w:val="bottom"/>
          </w:tcPr>
          <w:p>
            <w:pPr>
              <w:ind w:left="140"/>
              <w:spacing w:after="0" w:line="156" w:lineRule="exact"/>
              <w:rPr>
                <w:sz w:val="20"/>
                <w:szCs w:val="20"/>
                <w:color w:val="auto"/>
              </w:rPr>
            </w:pPr>
            <w:r>
              <w:rPr>
                <w:rFonts w:ascii="Calibri" w:cs="Calibri" w:eastAsia="Calibri" w:hAnsi="Calibri"/>
                <w:sz w:val="16"/>
                <w:szCs w:val="16"/>
                <w:color w:val="auto"/>
              </w:rPr>
              <w:t>31.1*</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gridSpan w:val="8"/>
          </w:tcPr>
          <w:p>
            <w:pPr>
              <w:spacing w:after="0" w:line="156" w:lineRule="exact"/>
              <w:rPr>
                <w:sz w:val="20"/>
                <w:szCs w:val="20"/>
                <w:color w:val="auto"/>
              </w:rPr>
            </w:pPr>
            <w:r>
              <w:rPr>
                <w:rFonts w:ascii="Calibri" w:cs="Calibri" w:eastAsia="Calibri" w:hAnsi="Calibri"/>
                <w:sz w:val="16"/>
                <w:szCs w:val="16"/>
                <w:color w:val="0000FF"/>
              </w:rPr>
              <w:t>Certfcaton of Principal Executve Ofcer Required Under Rule 13a-14(a)</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80" w:type="dxa"/>
            <w:vAlign w:val="bottom"/>
            <w:tcBorders>
              <w:top w:val="single" w:sz="8" w:color="0000FF"/>
              <w:bottom w:val="single" w:sz="8" w:color="0000FF"/>
            </w:tcBorders>
            <w:gridSpan w:val="2"/>
          </w:tcPr>
          <w:p>
            <w:pPr>
              <w:spacing w:after="0" w:line="142" w:lineRule="exact"/>
              <w:rPr>
                <w:sz w:val="20"/>
                <w:szCs w:val="20"/>
                <w:color w:val="auto"/>
              </w:rPr>
            </w:pPr>
            <w:r>
              <w:rPr>
                <w:rFonts w:ascii="Calibri" w:cs="Calibri" w:eastAsia="Calibri" w:hAnsi="Calibri"/>
                <w:sz w:val="15"/>
                <w:szCs w:val="15"/>
                <w:color w:val="0000FF"/>
              </w:rPr>
              <w:t>of the Securites Exchange Act of 1934, as amended</w:t>
            </w:r>
          </w:p>
        </w:tc>
        <w:tc>
          <w:tcPr>
            <w:tcW w:w="140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2"/>
        </w:trPr>
        <w:tc>
          <w:tcPr>
            <w:tcW w:w="1040" w:type="dxa"/>
            <w:vAlign w:val="bottom"/>
          </w:tcPr>
          <w:p>
            <w:pPr>
              <w:ind w:left="140"/>
              <w:spacing w:after="0"/>
              <w:rPr>
                <w:sz w:val="20"/>
                <w:szCs w:val="20"/>
                <w:color w:val="auto"/>
              </w:rPr>
            </w:pPr>
            <w:r>
              <w:rPr>
                <w:rFonts w:ascii="Calibri" w:cs="Calibri" w:eastAsia="Calibri" w:hAnsi="Calibri"/>
                <w:sz w:val="16"/>
                <w:szCs w:val="16"/>
                <w:color w:val="auto"/>
              </w:rPr>
              <w:t>31.2*</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8"/>
          </w:tcPr>
          <w:p>
            <w:pPr>
              <w:spacing w:after="0"/>
              <w:rPr>
                <w:sz w:val="20"/>
                <w:szCs w:val="20"/>
                <w:color w:val="auto"/>
              </w:rPr>
            </w:pPr>
            <w:r>
              <w:rPr>
                <w:rFonts w:ascii="Calibri" w:cs="Calibri" w:eastAsia="Calibri" w:hAnsi="Calibri"/>
                <w:sz w:val="16"/>
                <w:szCs w:val="16"/>
                <w:color w:val="0000FF"/>
              </w:rPr>
              <w:t>Certfcaton of Principal Financial Ofcer Required Under Rule 13a-14(a)</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80" w:type="dxa"/>
            <w:vAlign w:val="bottom"/>
            <w:tcBorders>
              <w:top w:val="single" w:sz="8" w:color="0000FF"/>
              <w:bottom w:val="single" w:sz="8" w:color="0000FF"/>
            </w:tcBorders>
            <w:gridSpan w:val="2"/>
          </w:tcPr>
          <w:p>
            <w:pPr>
              <w:spacing w:after="0" w:line="142" w:lineRule="exact"/>
              <w:rPr>
                <w:sz w:val="20"/>
                <w:szCs w:val="20"/>
                <w:color w:val="auto"/>
              </w:rPr>
            </w:pPr>
            <w:r>
              <w:rPr>
                <w:rFonts w:ascii="Calibri" w:cs="Calibri" w:eastAsia="Calibri" w:hAnsi="Calibri"/>
                <w:sz w:val="15"/>
                <w:szCs w:val="15"/>
                <w:color w:val="0000FF"/>
              </w:rPr>
              <w:t>of the Securites Exchange Act of 1934, as amended</w:t>
            </w:r>
          </w:p>
        </w:tc>
        <w:tc>
          <w:tcPr>
            <w:tcW w:w="1360" w:type="dxa"/>
            <w:vAlign w:val="bottom"/>
            <w:tcBorders>
              <w:top w:val="single" w:sz="8" w:color="0000FF"/>
            </w:tcBorders>
            <w:gridSpan w:val="3"/>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2"/>
        </w:trPr>
        <w:tc>
          <w:tcPr>
            <w:tcW w:w="1040" w:type="dxa"/>
            <w:vAlign w:val="bottom"/>
          </w:tcPr>
          <w:p>
            <w:pPr>
              <w:ind w:left="140"/>
              <w:spacing w:after="0"/>
              <w:rPr>
                <w:sz w:val="20"/>
                <w:szCs w:val="20"/>
                <w:color w:val="auto"/>
              </w:rPr>
            </w:pPr>
            <w:r>
              <w:rPr>
                <w:rFonts w:ascii="Calibri" w:cs="Calibri" w:eastAsia="Calibri" w:hAnsi="Calibri"/>
                <w:sz w:val="16"/>
                <w:szCs w:val="16"/>
                <w:color w:val="auto"/>
              </w:rPr>
              <w:t>32.1*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00" w:type="dxa"/>
            <w:vAlign w:val="bottom"/>
            <w:tcBorders>
              <w:bottom w:val="single" w:sz="8" w:color="0000FF"/>
            </w:tcBorders>
            <w:gridSpan w:val="4"/>
          </w:tcPr>
          <w:p>
            <w:pPr>
              <w:spacing w:after="0"/>
              <w:rPr>
                <w:sz w:val="20"/>
                <w:szCs w:val="20"/>
                <w:color w:val="auto"/>
              </w:rPr>
            </w:pPr>
            <w:r>
              <w:rPr>
                <w:rFonts w:ascii="Calibri" w:cs="Calibri" w:eastAsia="Calibri" w:hAnsi="Calibri"/>
                <w:sz w:val="16"/>
                <w:szCs w:val="16"/>
                <w:color w:val="0000FF"/>
              </w:rPr>
              <w:t>Certfcaton of Principal Executve Ofcer and Principal Financial Ofcer</w:t>
            </w:r>
          </w:p>
        </w:tc>
        <w:tc>
          <w:tcPr>
            <w:tcW w:w="120" w:type="dxa"/>
            <w:vAlign w:val="bottom"/>
            <w:gridSpan w:val="4"/>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20" w:type="dxa"/>
            <w:vAlign w:val="bottom"/>
            <w:gridSpan w:val="8"/>
          </w:tcPr>
          <w:p>
            <w:pPr>
              <w:spacing w:after="0" w:line="142" w:lineRule="exact"/>
              <w:rPr>
                <w:sz w:val="20"/>
                <w:szCs w:val="20"/>
                <w:color w:val="auto"/>
              </w:rPr>
            </w:pPr>
            <w:r>
              <w:rPr>
                <w:rFonts w:ascii="Calibri" w:cs="Calibri" w:eastAsia="Calibri" w:hAnsi="Calibri"/>
                <w:sz w:val="15"/>
                <w:szCs w:val="15"/>
                <w:color w:val="0000FF"/>
              </w:rPr>
              <w:t>Required Under Rule 13a-14(b) of the Securites Exchange Act of 1934, as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0" w:type="dxa"/>
            <w:vAlign w:val="bottom"/>
            <w:tcBorders>
              <w:top w:val="single" w:sz="8" w:color="0000FF"/>
            </w:tcBorders>
            <w:gridSpan w:val="7"/>
          </w:tcPr>
          <w:p>
            <w:pPr>
              <w:spacing w:after="0" w:line="142" w:lineRule="exact"/>
              <w:rPr>
                <w:sz w:val="20"/>
                <w:szCs w:val="20"/>
                <w:color w:val="auto"/>
              </w:rPr>
            </w:pPr>
            <w:r>
              <w:rPr>
                <w:rFonts w:ascii="Calibri" w:cs="Calibri" w:eastAsia="Calibri" w:hAnsi="Calibri"/>
                <w:sz w:val="15"/>
                <w:szCs w:val="15"/>
                <w:color w:val="0000FF"/>
              </w:rPr>
              <w:t>amended, and 18 U.S.C. 1350</w:t>
            </w: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460" w:type="dxa"/>
            <w:vAlign w:val="bottom"/>
            <w:gridSpan w:val="2"/>
          </w:tcPr>
          <w:p>
            <w:pPr>
              <w:ind w:left="180"/>
              <w:spacing w:after="0"/>
              <w:rPr>
                <w:sz w:val="20"/>
                <w:szCs w:val="20"/>
                <w:color w:val="auto"/>
              </w:rPr>
            </w:pPr>
            <w:r>
              <w:rPr>
                <w:rFonts w:ascii="Calibri" w:cs="Calibri" w:eastAsia="Calibri" w:hAnsi="Calibri"/>
                <w:sz w:val="16"/>
                <w:szCs w:val="16"/>
                <w:color w:val="auto"/>
              </w:rPr>
              <w:t>97.1†</w:t>
            </w:r>
          </w:p>
        </w:tc>
        <w:tc>
          <w:tcPr>
            <w:tcW w:w="20" w:type="dxa"/>
            <w:vAlign w:val="bottom"/>
          </w:tcPr>
          <w:p>
            <w:pPr>
              <w:spacing w:after="0"/>
              <w:rPr>
                <w:sz w:val="24"/>
                <w:szCs w:val="24"/>
                <w:color w:val="auto"/>
              </w:rPr>
            </w:pPr>
          </w:p>
        </w:tc>
        <w:tc>
          <w:tcPr>
            <w:tcW w:w="4820" w:type="dxa"/>
            <w:vAlign w:val="bottom"/>
            <w:gridSpan w:val="8"/>
          </w:tcPr>
          <w:p>
            <w:pPr>
              <w:spacing w:after="0"/>
              <w:rPr>
                <w:rFonts w:ascii="Calibri" w:cs="Calibri" w:eastAsia="Calibri" w:hAnsi="Calibri"/>
                <w:sz w:val="16"/>
                <w:szCs w:val="16"/>
                <w:color w:val="0000FF"/>
              </w:rPr>
            </w:pPr>
            <w:hyperlink r:id="rId320">
              <w:r>
                <w:rPr>
                  <w:rFonts w:ascii="Calibri" w:cs="Calibri" w:eastAsia="Calibri" w:hAnsi="Calibri"/>
                  <w:sz w:val="16"/>
                  <w:szCs w:val="16"/>
                  <w:color w:val="0000FF"/>
                </w:rPr>
                <w:t>Akebia Therapeutcs, Inc. Dodd-Frank Compensaton Recovery Policy</w:t>
              </w:r>
            </w:hyperlink>
          </w:p>
        </w:tc>
        <w:tc>
          <w:tcPr>
            <w:tcW w:w="1080" w:type="dxa"/>
            <w:vAlign w:val="bottom"/>
            <w:gridSpan w:val="2"/>
          </w:tcPr>
          <w:p>
            <w:pPr>
              <w:jc w:val="center"/>
              <w:ind w:right="100"/>
              <w:spacing w:after="0"/>
              <w:rPr>
                <w:sz w:val="20"/>
                <w:szCs w:val="20"/>
                <w:color w:val="auto"/>
              </w:rPr>
            </w:pPr>
            <w:r>
              <w:rPr>
                <w:rFonts w:ascii="Calibri" w:cs="Calibri" w:eastAsia="Calibri" w:hAnsi="Calibri"/>
                <w:sz w:val="16"/>
                <w:szCs w:val="16"/>
                <w:color w:val="auto"/>
              </w:rPr>
              <w:t>10-K</w:t>
            </w:r>
          </w:p>
        </w:tc>
        <w:tc>
          <w:tcPr>
            <w:tcW w:w="1180" w:type="dxa"/>
            <w:vAlign w:val="bottom"/>
          </w:tcPr>
          <w:p>
            <w:pPr>
              <w:jc w:val="right"/>
              <w:ind w:right="159"/>
              <w:spacing w:after="0"/>
              <w:rPr>
                <w:sz w:val="20"/>
                <w:szCs w:val="20"/>
                <w:color w:val="auto"/>
              </w:rPr>
            </w:pPr>
            <w:r>
              <w:rPr>
                <w:rFonts w:ascii="Calibri" w:cs="Calibri" w:eastAsia="Calibri" w:hAnsi="Calibri"/>
                <w:sz w:val="16"/>
                <w:szCs w:val="16"/>
                <w:color w:val="auto"/>
              </w:rPr>
              <w:t>001-36352</w:t>
            </w:r>
          </w:p>
        </w:tc>
        <w:tc>
          <w:tcPr>
            <w:tcW w:w="80" w:type="dxa"/>
            <w:vAlign w:val="bottom"/>
          </w:tcPr>
          <w:p>
            <w:pPr>
              <w:spacing w:after="0"/>
              <w:rPr>
                <w:sz w:val="24"/>
                <w:szCs w:val="24"/>
                <w:color w:val="auto"/>
              </w:rPr>
            </w:pPr>
          </w:p>
        </w:tc>
        <w:tc>
          <w:tcPr>
            <w:tcW w:w="880" w:type="dxa"/>
            <w:vAlign w:val="bottom"/>
          </w:tcPr>
          <w:p>
            <w:pPr>
              <w:jc w:val="right"/>
              <w:ind w:right="199"/>
              <w:spacing w:after="0"/>
              <w:rPr>
                <w:sz w:val="20"/>
                <w:szCs w:val="20"/>
                <w:color w:val="auto"/>
              </w:rPr>
            </w:pPr>
            <w:r>
              <w:rPr>
                <w:rFonts w:ascii="Calibri" w:cs="Calibri" w:eastAsia="Calibri" w:hAnsi="Calibri"/>
                <w:sz w:val="16"/>
                <w:szCs w:val="16"/>
                <w:color w:val="auto"/>
              </w:rPr>
              <w:t>97.1</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Calibri" w:cs="Calibri" w:eastAsia="Calibri" w:hAnsi="Calibri"/>
                <w:sz w:val="16"/>
                <w:szCs w:val="16"/>
                <w:color w:val="auto"/>
              </w:rPr>
              <w:t>March 14, 2024</w:t>
            </w: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gridSpan w:val="3"/>
            <w:shd w:val="clear" w:color="auto" w:fill="0000FF"/>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460" w:type="dxa"/>
            <w:vAlign w:val="bottom"/>
            <w:gridSpan w:val="2"/>
          </w:tcPr>
          <w:p>
            <w:pPr>
              <w:ind w:left="20"/>
              <w:spacing w:after="0"/>
              <w:rPr>
                <w:sz w:val="20"/>
                <w:szCs w:val="20"/>
                <w:color w:val="auto"/>
              </w:rPr>
            </w:pPr>
            <w:r>
              <w:rPr>
                <w:rFonts w:ascii="Calibri" w:cs="Calibri" w:eastAsia="Calibri" w:hAnsi="Calibri"/>
                <w:sz w:val="16"/>
                <w:szCs w:val="16"/>
                <w:color w:val="auto"/>
              </w:rPr>
              <w:t>101.INS*</w:t>
            </w:r>
          </w:p>
        </w:tc>
        <w:tc>
          <w:tcPr>
            <w:tcW w:w="20" w:type="dxa"/>
            <w:vAlign w:val="bottom"/>
          </w:tcPr>
          <w:p>
            <w:pPr>
              <w:spacing w:after="0"/>
              <w:rPr>
                <w:sz w:val="24"/>
                <w:szCs w:val="24"/>
                <w:color w:val="auto"/>
              </w:rPr>
            </w:pPr>
          </w:p>
        </w:tc>
        <w:tc>
          <w:tcPr>
            <w:tcW w:w="4820" w:type="dxa"/>
            <w:vAlign w:val="bottom"/>
            <w:gridSpan w:val="8"/>
          </w:tcPr>
          <w:p>
            <w:pPr>
              <w:spacing w:after="0"/>
              <w:rPr>
                <w:sz w:val="20"/>
                <w:szCs w:val="20"/>
                <w:color w:val="auto"/>
              </w:rPr>
            </w:pPr>
            <w:r>
              <w:rPr>
                <w:rFonts w:ascii="Calibri" w:cs="Calibri" w:eastAsia="Calibri" w:hAnsi="Calibri"/>
                <w:sz w:val="16"/>
                <w:szCs w:val="16"/>
                <w:color w:val="auto"/>
              </w:rPr>
              <w:t>Inline XBRL Instance Document (the instance document does not appear</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20" w:type="dxa"/>
            <w:vAlign w:val="bottom"/>
            <w:gridSpan w:val="8"/>
          </w:tcPr>
          <w:p>
            <w:pPr>
              <w:spacing w:after="0" w:line="162" w:lineRule="exact"/>
              <w:rPr>
                <w:sz w:val="20"/>
                <w:szCs w:val="20"/>
                <w:color w:val="auto"/>
              </w:rPr>
            </w:pPr>
            <w:r>
              <w:rPr>
                <w:rFonts w:ascii="Calibri" w:cs="Calibri" w:eastAsia="Calibri" w:hAnsi="Calibri"/>
                <w:sz w:val="16"/>
                <w:szCs w:val="16"/>
                <w:color w:val="auto"/>
              </w:rPr>
              <w:t>in the Interactve Data File because XBRL tags are embedded within the</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20" w:type="dxa"/>
            <w:vAlign w:val="bottom"/>
            <w:gridSpan w:val="8"/>
          </w:tcPr>
          <w:p>
            <w:pPr>
              <w:spacing w:after="0" w:line="193" w:lineRule="exact"/>
              <w:rPr>
                <w:sz w:val="20"/>
                <w:szCs w:val="20"/>
                <w:color w:val="auto"/>
              </w:rPr>
            </w:pPr>
            <w:r>
              <w:rPr>
                <w:rFonts w:ascii="Calibri" w:cs="Calibri" w:eastAsia="Calibri" w:hAnsi="Calibri"/>
                <w:sz w:val="16"/>
                <w:szCs w:val="16"/>
                <w:color w:val="auto"/>
              </w:rPr>
              <w:t>Inline XBRL document)</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2"/>
        </w:trPr>
        <w:tc>
          <w:tcPr>
            <w:tcW w:w="1460" w:type="dxa"/>
            <w:vAlign w:val="bottom"/>
            <w:gridSpan w:val="2"/>
          </w:tcPr>
          <w:p>
            <w:pPr>
              <w:ind w:left="20"/>
              <w:spacing w:after="0"/>
              <w:rPr>
                <w:sz w:val="20"/>
                <w:szCs w:val="20"/>
                <w:color w:val="auto"/>
              </w:rPr>
            </w:pPr>
            <w:r>
              <w:rPr>
                <w:rFonts w:ascii="Calibri" w:cs="Calibri" w:eastAsia="Calibri" w:hAnsi="Calibri"/>
                <w:sz w:val="16"/>
                <w:szCs w:val="16"/>
                <w:color w:val="auto"/>
              </w:rPr>
              <w:t>101.SCH*</w:t>
            </w:r>
          </w:p>
        </w:tc>
        <w:tc>
          <w:tcPr>
            <w:tcW w:w="20" w:type="dxa"/>
            <w:vAlign w:val="bottom"/>
          </w:tcPr>
          <w:p>
            <w:pPr>
              <w:spacing w:after="0"/>
              <w:rPr>
                <w:sz w:val="24"/>
                <w:szCs w:val="24"/>
                <w:color w:val="auto"/>
              </w:rPr>
            </w:pPr>
          </w:p>
        </w:tc>
        <w:tc>
          <w:tcPr>
            <w:tcW w:w="4820" w:type="dxa"/>
            <w:vAlign w:val="bottom"/>
            <w:gridSpan w:val="8"/>
          </w:tcPr>
          <w:p>
            <w:pPr>
              <w:spacing w:after="0"/>
              <w:rPr>
                <w:sz w:val="20"/>
                <w:szCs w:val="20"/>
                <w:color w:val="auto"/>
              </w:rPr>
            </w:pPr>
            <w:r>
              <w:rPr>
                <w:rFonts w:ascii="Calibri" w:cs="Calibri" w:eastAsia="Calibri" w:hAnsi="Calibri"/>
                <w:sz w:val="16"/>
                <w:szCs w:val="16"/>
                <w:color w:val="auto"/>
              </w:rPr>
              <w:t>Inline XBRL Taxonomy Extension Schema Document</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60" w:type="dxa"/>
            <w:vAlign w:val="bottom"/>
            <w:gridSpan w:val="2"/>
          </w:tcPr>
          <w:p>
            <w:pPr>
              <w:ind w:left="20"/>
              <w:spacing w:after="0"/>
              <w:rPr>
                <w:sz w:val="20"/>
                <w:szCs w:val="20"/>
                <w:color w:val="auto"/>
              </w:rPr>
            </w:pPr>
            <w:r>
              <w:rPr>
                <w:rFonts w:ascii="Calibri" w:cs="Calibri" w:eastAsia="Calibri" w:hAnsi="Calibri"/>
                <w:sz w:val="16"/>
                <w:szCs w:val="16"/>
                <w:color w:val="auto"/>
              </w:rPr>
              <w:t>101.CAL*</w:t>
            </w:r>
          </w:p>
        </w:tc>
        <w:tc>
          <w:tcPr>
            <w:tcW w:w="20" w:type="dxa"/>
            <w:vAlign w:val="bottom"/>
          </w:tcPr>
          <w:p>
            <w:pPr>
              <w:spacing w:after="0"/>
              <w:rPr>
                <w:sz w:val="24"/>
                <w:szCs w:val="24"/>
                <w:color w:val="auto"/>
              </w:rPr>
            </w:pPr>
          </w:p>
        </w:tc>
        <w:tc>
          <w:tcPr>
            <w:tcW w:w="4820" w:type="dxa"/>
            <w:vAlign w:val="bottom"/>
            <w:gridSpan w:val="8"/>
          </w:tcPr>
          <w:p>
            <w:pPr>
              <w:spacing w:after="0"/>
              <w:rPr>
                <w:sz w:val="20"/>
                <w:szCs w:val="20"/>
                <w:color w:val="auto"/>
              </w:rPr>
            </w:pPr>
            <w:r>
              <w:rPr>
                <w:rFonts w:ascii="Calibri" w:cs="Calibri" w:eastAsia="Calibri" w:hAnsi="Calibri"/>
                <w:sz w:val="16"/>
                <w:szCs w:val="16"/>
                <w:color w:val="auto"/>
              </w:rPr>
              <w:t>Inline XBRL Taxonomy Extension Calculaton Linkbase Document</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60" w:type="dxa"/>
            <w:vAlign w:val="bottom"/>
            <w:gridSpan w:val="2"/>
          </w:tcPr>
          <w:p>
            <w:pPr>
              <w:ind w:left="20"/>
              <w:spacing w:after="0"/>
              <w:rPr>
                <w:sz w:val="20"/>
                <w:szCs w:val="20"/>
                <w:color w:val="auto"/>
              </w:rPr>
            </w:pPr>
            <w:r>
              <w:rPr>
                <w:rFonts w:ascii="Calibri" w:cs="Calibri" w:eastAsia="Calibri" w:hAnsi="Calibri"/>
                <w:sz w:val="16"/>
                <w:szCs w:val="16"/>
                <w:color w:val="auto"/>
              </w:rPr>
              <w:t>101.DEF*</w:t>
            </w:r>
          </w:p>
        </w:tc>
        <w:tc>
          <w:tcPr>
            <w:tcW w:w="20" w:type="dxa"/>
            <w:vAlign w:val="bottom"/>
          </w:tcPr>
          <w:p>
            <w:pPr>
              <w:spacing w:after="0"/>
              <w:rPr>
                <w:sz w:val="24"/>
                <w:szCs w:val="24"/>
                <w:color w:val="auto"/>
              </w:rPr>
            </w:pPr>
          </w:p>
        </w:tc>
        <w:tc>
          <w:tcPr>
            <w:tcW w:w="4820" w:type="dxa"/>
            <w:vAlign w:val="bottom"/>
            <w:gridSpan w:val="8"/>
          </w:tcPr>
          <w:p>
            <w:pPr>
              <w:spacing w:after="0"/>
              <w:rPr>
                <w:sz w:val="20"/>
                <w:szCs w:val="20"/>
                <w:color w:val="auto"/>
              </w:rPr>
            </w:pPr>
            <w:r>
              <w:rPr>
                <w:rFonts w:ascii="Calibri" w:cs="Calibri" w:eastAsia="Calibri" w:hAnsi="Calibri"/>
                <w:sz w:val="16"/>
                <w:szCs w:val="16"/>
                <w:color w:val="auto"/>
              </w:rPr>
              <w:t>Inline XBRL Taxonomy Extension Defniton Linkbase Document</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60" w:type="dxa"/>
            <w:vAlign w:val="bottom"/>
            <w:gridSpan w:val="2"/>
          </w:tcPr>
          <w:p>
            <w:pPr>
              <w:ind w:left="20"/>
              <w:spacing w:after="0"/>
              <w:rPr>
                <w:sz w:val="20"/>
                <w:szCs w:val="20"/>
                <w:color w:val="auto"/>
              </w:rPr>
            </w:pPr>
            <w:r>
              <w:rPr>
                <w:rFonts w:ascii="Calibri" w:cs="Calibri" w:eastAsia="Calibri" w:hAnsi="Calibri"/>
                <w:sz w:val="16"/>
                <w:szCs w:val="16"/>
                <w:color w:val="auto"/>
              </w:rPr>
              <w:t>101.LAB*</w:t>
            </w:r>
          </w:p>
        </w:tc>
        <w:tc>
          <w:tcPr>
            <w:tcW w:w="20" w:type="dxa"/>
            <w:vAlign w:val="bottom"/>
          </w:tcPr>
          <w:p>
            <w:pPr>
              <w:spacing w:after="0"/>
              <w:rPr>
                <w:sz w:val="24"/>
                <w:szCs w:val="24"/>
                <w:color w:val="auto"/>
              </w:rPr>
            </w:pPr>
          </w:p>
        </w:tc>
        <w:tc>
          <w:tcPr>
            <w:tcW w:w="4820" w:type="dxa"/>
            <w:vAlign w:val="bottom"/>
            <w:gridSpan w:val="8"/>
          </w:tcPr>
          <w:p>
            <w:pPr>
              <w:spacing w:after="0"/>
              <w:rPr>
                <w:sz w:val="20"/>
                <w:szCs w:val="20"/>
                <w:color w:val="auto"/>
              </w:rPr>
            </w:pPr>
            <w:r>
              <w:rPr>
                <w:rFonts w:ascii="Calibri" w:cs="Calibri" w:eastAsia="Calibri" w:hAnsi="Calibri"/>
                <w:sz w:val="16"/>
                <w:szCs w:val="16"/>
                <w:color w:val="auto"/>
              </w:rPr>
              <w:t>Inline XBRL Taxonomy Extension Labels Linkbase Document</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460" w:type="dxa"/>
            <w:vAlign w:val="bottom"/>
            <w:gridSpan w:val="2"/>
          </w:tcPr>
          <w:p>
            <w:pPr>
              <w:ind w:left="20"/>
              <w:spacing w:after="0"/>
              <w:rPr>
                <w:sz w:val="20"/>
                <w:szCs w:val="20"/>
                <w:color w:val="auto"/>
              </w:rPr>
            </w:pPr>
            <w:r>
              <w:rPr>
                <w:rFonts w:ascii="Calibri" w:cs="Calibri" w:eastAsia="Calibri" w:hAnsi="Calibri"/>
                <w:sz w:val="16"/>
                <w:szCs w:val="16"/>
                <w:color w:val="auto"/>
              </w:rPr>
              <w:t>101.PRE*</w:t>
            </w:r>
          </w:p>
        </w:tc>
        <w:tc>
          <w:tcPr>
            <w:tcW w:w="20" w:type="dxa"/>
            <w:vAlign w:val="bottom"/>
          </w:tcPr>
          <w:p>
            <w:pPr>
              <w:spacing w:after="0"/>
              <w:rPr>
                <w:sz w:val="24"/>
                <w:szCs w:val="24"/>
                <w:color w:val="auto"/>
              </w:rPr>
            </w:pPr>
          </w:p>
        </w:tc>
        <w:tc>
          <w:tcPr>
            <w:tcW w:w="4820" w:type="dxa"/>
            <w:vAlign w:val="bottom"/>
            <w:gridSpan w:val="8"/>
          </w:tcPr>
          <w:p>
            <w:pPr>
              <w:spacing w:after="0"/>
              <w:rPr>
                <w:sz w:val="20"/>
                <w:szCs w:val="20"/>
                <w:color w:val="auto"/>
              </w:rPr>
            </w:pPr>
            <w:r>
              <w:rPr>
                <w:rFonts w:ascii="Calibri" w:cs="Calibri" w:eastAsia="Calibri" w:hAnsi="Calibri"/>
                <w:sz w:val="16"/>
                <w:szCs w:val="16"/>
                <w:color w:val="auto"/>
              </w:rPr>
              <w:t>Inline XBRL Taxonomy Extension Presentaton Linkbase Document</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480" w:right="5020" w:hanging="1454"/>
        <w:spacing w:after="0" w:line="218" w:lineRule="auto"/>
        <w:tabs>
          <w:tab w:leader="none" w:pos="1480" w:val="left"/>
        </w:tabs>
        <w:numPr>
          <w:ilvl w:val="1"/>
          <w:numId w:val="77"/>
        </w:numPr>
        <w:rPr>
          <w:rFonts w:ascii="Calibri" w:cs="Calibri" w:eastAsia="Calibri" w:hAnsi="Calibri"/>
          <w:sz w:val="16"/>
          <w:szCs w:val="16"/>
          <w:color w:val="auto"/>
        </w:rPr>
      </w:pPr>
      <w:r>
        <w:rPr>
          <w:rFonts w:ascii="Calibri" w:cs="Calibri" w:eastAsia="Calibri" w:hAnsi="Calibri"/>
          <w:sz w:val="16"/>
          <w:szCs w:val="16"/>
          <w:color w:val="auto"/>
        </w:rPr>
        <w:t>Cover Page Interactve Data File (formated as Inline XBRL and contained in Exhibit 101)</w:t>
      </w:r>
    </w:p>
    <w:p>
      <w:pPr>
        <w:spacing w:after="0" w:line="200" w:lineRule="exact"/>
        <w:rPr>
          <w:rFonts w:ascii="Calibri" w:cs="Calibri" w:eastAsia="Calibri" w:hAnsi="Calibri"/>
          <w:sz w:val="16"/>
          <w:szCs w:val="16"/>
          <w:color w:val="auto"/>
        </w:rPr>
      </w:pPr>
    </w:p>
    <w:p>
      <w:pPr>
        <w:spacing w:after="0" w:line="361" w:lineRule="exact"/>
        <w:rPr>
          <w:rFonts w:ascii="Calibri" w:cs="Calibri" w:eastAsia="Calibri" w:hAnsi="Calibri"/>
          <w:sz w:val="16"/>
          <w:szCs w:val="16"/>
          <w:color w:val="auto"/>
        </w:rPr>
      </w:pPr>
    </w:p>
    <w:p>
      <w:pPr>
        <w:spacing w:after="0"/>
        <w:rPr>
          <w:rFonts w:ascii="Calibri" w:cs="Calibri" w:eastAsia="Calibri" w:hAnsi="Calibri"/>
          <w:sz w:val="16"/>
          <w:szCs w:val="16"/>
          <w:color w:val="auto"/>
        </w:rPr>
      </w:pPr>
      <w:r>
        <w:rPr>
          <w:rFonts w:ascii="Calibri" w:cs="Calibri" w:eastAsia="Calibri" w:hAnsi="Calibri"/>
          <w:sz w:val="16"/>
          <w:szCs w:val="16"/>
          <w:color w:val="auto"/>
        </w:rPr>
        <w:t>* Filed, or submited electronically, herewith</w:t>
      </w:r>
    </w:p>
    <w:p>
      <w:pPr>
        <w:spacing w:after="0" w:line="102" w:lineRule="exact"/>
        <w:rPr>
          <w:sz w:val="20"/>
          <w:szCs w:val="20"/>
          <w:color w:val="auto"/>
        </w:rPr>
      </w:pPr>
    </w:p>
    <w:p>
      <w:pPr>
        <w:spacing w:after="0"/>
        <w:rPr>
          <w:sz w:val="20"/>
          <w:szCs w:val="20"/>
          <w:color w:val="auto"/>
        </w:rPr>
      </w:pPr>
      <w:r>
        <w:rPr>
          <w:rFonts w:ascii="Calibri" w:cs="Calibri" w:eastAsia="Calibri" w:hAnsi="Calibri"/>
          <w:sz w:val="16"/>
          <w:szCs w:val="16"/>
          <w:color w:val="auto"/>
        </w:rPr>
        <w:t>† Indicates management contract or compensatory plan</w:t>
      </w:r>
    </w:p>
    <w:p>
      <w:pPr>
        <w:spacing w:after="0" w:line="103" w:lineRule="exact"/>
        <w:rPr>
          <w:sz w:val="20"/>
          <w:szCs w:val="20"/>
          <w:color w:val="auto"/>
        </w:rPr>
      </w:pPr>
    </w:p>
    <w:p>
      <w:pPr>
        <w:jc w:val="both"/>
        <w:ind w:right="3020" w:firstLine="8"/>
        <w:spacing w:after="0" w:line="373" w:lineRule="auto"/>
        <w:tabs>
          <w:tab w:leader="none" w:pos="117" w:val="left"/>
        </w:tabs>
        <w:numPr>
          <w:ilvl w:val="0"/>
          <w:numId w:val="78"/>
        </w:numPr>
        <w:rPr>
          <w:rFonts w:ascii="Calibri" w:cs="Calibri" w:eastAsia="Calibri" w:hAnsi="Calibri"/>
          <w:sz w:val="16"/>
          <w:szCs w:val="16"/>
          <w:color w:val="auto"/>
        </w:rPr>
      </w:pPr>
      <w:r>
        <w:rPr>
          <w:rFonts w:ascii="Calibri" w:cs="Calibri" w:eastAsia="Calibri" w:hAnsi="Calibri"/>
          <w:sz w:val="16"/>
          <w:szCs w:val="16"/>
          <w:color w:val="auto"/>
        </w:rPr>
        <w:t>Indicates portons of the exhibit (indicated by asterisks) have been omited pursuant to a request for confdental treatment ! Indicates portons of the exhibit (indicated by asterisks) have been omited pursuant to Item 601(b)(10)(iv) of Regulaton S-K</w:t>
      </w:r>
    </w:p>
    <w:p>
      <w:pPr>
        <w:ind w:firstLine="8"/>
        <w:spacing w:after="0" w:line="246" w:lineRule="auto"/>
        <w:tabs>
          <w:tab w:leader="none" w:pos="198" w:val="left"/>
        </w:tabs>
        <w:numPr>
          <w:ilvl w:val="0"/>
          <w:numId w:val="79"/>
        </w:numPr>
        <w:rPr>
          <w:rFonts w:ascii="Calibri" w:cs="Calibri" w:eastAsia="Calibri" w:hAnsi="Calibri"/>
          <w:sz w:val="16"/>
          <w:szCs w:val="16"/>
          <w:color w:val="auto"/>
        </w:rPr>
      </w:pPr>
      <w:r>
        <w:rPr>
          <w:rFonts w:ascii="Calibri" w:cs="Calibri" w:eastAsia="Calibri" w:hAnsi="Calibri"/>
          <w:sz w:val="16"/>
          <w:szCs w:val="16"/>
          <w:color w:val="auto"/>
        </w:rPr>
        <w:t>The schedules to the Agreement and Plan of Merger have been omited pursuant to Item 601(b)(2) of Regulaton S-K. The Company will furnish copies of such schedules to the Securites and Exchange Commission upon request by the Commission</w:t>
      </w:r>
    </w:p>
    <w:p>
      <w:pPr>
        <w:spacing w:after="0" w:line="9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16. Form 10-K Summary</w:t>
      </w:r>
    </w:p>
    <w:p>
      <w:pPr>
        <w:spacing w:after="0" w:line="104" w:lineRule="exact"/>
        <w:rPr>
          <w:sz w:val="20"/>
          <w:szCs w:val="20"/>
          <w:color w:val="auto"/>
        </w:rPr>
      </w:pPr>
    </w:p>
    <w:p>
      <w:pPr>
        <w:spacing w:after="0"/>
        <w:rPr>
          <w:sz w:val="20"/>
          <w:szCs w:val="20"/>
          <w:color w:val="auto"/>
        </w:rPr>
      </w:pPr>
      <w:r>
        <w:rPr>
          <w:rFonts w:ascii="Calibri" w:cs="Calibri" w:eastAsia="Calibri" w:hAnsi="Calibri"/>
          <w:sz w:val="18"/>
          <w:szCs w:val="18"/>
          <w:color w:val="auto"/>
        </w:rPr>
        <w:t>None.</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Akebia Therapeutcs, Inc. | Form 10-K | Page 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0" w:name="page181"/>
    <w:bookmarkEnd w:id="180"/>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SIGNATURES</w:t>
      </w:r>
    </w:p>
    <w:p>
      <w:pPr>
        <w:spacing w:after="0" w:line="1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Pursuant to the requirements of Secton 13 or 15(d) of the Securites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6" w:lineRule="exact"/>
        <w:rPr>
          <w:sz w:val="20"/>
          <w:szCs w:val="20"/>
          <w:color w:val="auto"/>
        </w:rPr>
      </w:pPr>
    </w:p>
    <w:p>
      <w:pPr>
        <w:ind w:left="6180"/>
        <w:spacing w:after="0"/>
        <w:rPr>
          <w:sz w:val="20"/>
          <w:szCs w:val="20"/>
          <w:color w:val="auto"/>
        </w:rPr>
      </w:pPr>
      <w:r>
        <w:rPr>
          <w:rFonts w:ascii="Calibri" w:cs="Calibri" w:eastAsia="Calibri" w:hAnsi="Calibri"/>
          <w:sz w:val="16"/>
          <w:szCs w:val="16"/>
          <w:b w:val="1"/>
          <w:bCs w:val="1"/>
          <w:color w:val="auto"/>
        </w:rPr>
        <w:t>AKEBIA THERAPEUTICS, INC.</w:t>
      </w:r>
    </w:p>
    <w:p>
      <w:pPr>
        <w:spacing w:after="0" w:line="237" w:lineRule="exact"/>
        <w:rPr>
          <w:sz w:val="20"/>
          <w:szCs w:val="20"/>
          <w:color w:val="auto"/>
        </w:rPr>
      </w:pPr>
    </w:p>
    <w:p>
      <w:pPr>
        <w:ind w:left="20"/>
        <w:spacing w:after="0"/>
        <w:tabs>
          <w:tab w:leader="none" w:pos="6160" w:val="left"/>
          <w:tab w:leader="none" w:pos="6980" w:val="left"/>
        </w:tabs>
        <w:rPr>
          <w:sz w:val="20"/>
          <w:szCs w:val="20"/>
          <w:color w:val="auto"/>
        </w:rPr>
      </w:pPr>
      <w:r>
        <w:rPr>
          <w:rFonts w:ascii="Calibri" w:cs="Calibri" w:eastAsia="Calibri" w:hAnsi="Calibri"/>
          <w:sz w:val="16"/>
          <w:szCs w:val="16"/>
          <w:color w:val="auto"/>
        </w:rPr>
        <w:t>Date: March 13, 2025</w:t>
      </w:r>
      <w:r>
        <w:rPr>
          <w:sz w:val="20"/>
          <w:szCs w:val="20"/>
          <w:color w:val="auto"/>
        </w:rPr>
        <w:tab/>
      </w:r>
      <w:r>
        <w:rPr>
          <w:rFonts w:ascii="Calibri" w:cs="Calibri" w:eastAsia="Calibri" w:hAnsi="Calibri"/>
          <w:sz w:val="16"/>
          <w:szCs w:val="16"/>
          <w:color w:val="auto"/>
        </w:rPr>
        <w:t>By:</w:t>
      </w:r>
      <w:r>
        <w:rPr>
          <w:sz w:val="20"/>
          <w:szCs w:val="20"/>
          <w:color w:val="auto"/>
        </w:rPr>
        <w:tab/>
      </w:r>
      <w:r>
        <w:rPr>
          <w:rFonts w:ascii="Calibri" w:cs="Calibri" w:eastAsia="Calibri" w:hAnsi="Calibri"/>
          <w:sz w:val="16"/>
          <w:szCs w:val="16"/>
          <w:color w:val="auto"/>
        </w:rPr>
        <w:t>/s/ John P.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0628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22">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14" w:lineRule="exact"/>
        <w:rPr>
          <w:sz w:val="20"/>
          <w:szCs w:val="20"/>
          <w:color w:val="auto"/>
        </w:rPr>
      </w:pPr>
    </w:p>
    <w:p>
      <w:pPr>
        <w:ind w:left="7000"/>
        <w:spacing w:after="0"/>
        <w:rPr>
          <w:sz w:val="20"/>
          <w:szCs w:val="20"/>
          <w:color w:val="auto"/>
        </w:rPr>
      </w:pPr>
      <w:r>
        <w:rPr>
          <w:rFonts w:ascii="Calibri" w:cs="Calibri" w:eastAsia="Calibri" w:hAnsi="Calibri"/>
          <w:sz w:val="16"/>
          <w:szCs w:val="16"/>
          <w:color w:val="auto"/>
        </w:rPr>
        <w:t>John P. Butler</w:t>
      </w:r>
    </w:p>
    <w:p>
      <w:pPr>
        <w:spacing w:after="0" w:line="21" w:lineRule="exact"/>
        <w:rPr>
          <w:sz w:val="20"/>
          <w:szCs w:val="20"/>
          <w:color w:val="auto"/>
        </w:rPr>
      </w:pPr>
    </w:p>
    <w:p>
      <w:pPr>
        <w:ind w:left="7000"/>
        <w:spacing w:after="0"/>
        <w:rPr>
          <w:sz w:val="20"/>
          <w:szCs w:val="20"/>
          <w:color w:val="auto"/>
        </w:rPr>
      </w:pPr>
      <w:r>
        <w:rPr>
          <w:rFonts w:ascii="Calibri" w:cs="Calibri" w:eastAsia="Calibri" w:hAnsi="Calibri"/>
          <w:sz w:val="16"/>
          <w:szCs w:val="16"/>
          <w:i w:val="1"/>
          <w:iCs w:val="1"/>
          <w:color w:val="auto"/>
        </w:rPr>
        <w:t>President and Chief Executve Ofcer</w:t>
      </w:r>
    </w:p>
    <w:p>
      <w:pPr>
        <w:spacing w:after="0" w:line="208"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this report was signed by the following persons on behalf of the registrant and in the capacites and on the date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Akebia Therapeutcs, Inc. | Form 10-K | Page 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1" w:name="page182"/>
    <w:bookmarkEnd w:id="181"/>
    <w:p>
      <w:pPr>
        <w:spacing w:after="0"/>
        <w:rPr>
          <w:sz w:val="20"/>
          <w:szCs w:val="20"/>
          <w:color w:val="auto"/>
        </w:rPr>
      </w:pPr>
      <w:r>
        <w:rPr>
          <w:rFonts w:ascii="Calibri" w:cs="Calibri" w:eastAsia="Calibri" w:hAnsi="Calibri"/>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900" w:type="dxa"/>
            <w:vAlign w:val="bottom"/>
          </w:tcPr>
          <w:p>
            <w:pPr>
              <w:spacing w:after="0"/>
              <w:rPr>
                <w:sz w:val="20"/>
                <w:szCs w:val="20"/>
                <w:color w:val="auto"/>
              </w:rPr>
            </w:pPr>
            <w:r>
              <w:rPr>
                <w:rFonts w:ascii="Calibri" w:cs="Calibri" w:eastAsia="Calibri" w:hAnsi="Calibri"/>
                <w:sz w:val="16"/>
                <w:szCs w:val="16"/>
                <w:color w:val="auto"/>
              </w:rPr>
              <w:t>Date: March 13, 2025</w:t>
            </w:r>
          </w:p>
        </w:tc>
        <w:tc>
          <w:tcPr>
            <w:tcW w:w="900" w:type="dxa"/>
            <w:vAlign w:val="bottom"/>
          </w:tcPr>
          <w:p>
            <w:pPr>
              <w:ind w:left="460"/>
              <w:spacing w:after="0"/>
              <w:rPr>
                <w:sz w:val="20"/>
                <w:szCs w:val="20"/>
                <w:color w:val="auto"/>
              </w:rPr>
            </w:pPr>
            <w:r>
              <w:rPr>
                <w:rFonts w:ascii="Calibri" w:cs="Calibri" w:eastAsia="Calibri" w:hAnsi="Calibri"/>
                <w:sz w:val="16"/>
                <w:szCs w:val="16"/>
                <w:color w:val="auto"/>
              </w:rPr>
              <w:t>By:</w:t>
            </w:r>
          </w:p>
        </w:tc>
        <w:tc>
          <w:tcPr>
            <w:tcW w:w="7700" w:type="dxa"/>
            <w:vAlign w:val="bottom"/>
          </w:tcPr>
          <w:p>
            <w:pPr>
              <w:ind w:left="20"/>
              <w:spacing w:after="0"/>
              <w:rPr>
                <w:sz w:val="20"/>
                <w:szCs w:val="20"/>
                <w:color w:val="auto"/>
              </w:rPr>
            </w:pPr>
            <w:r>
              <w:rPr>
                <w:rFonts w:ascii="Calibri" w:cs="Calibri" w:eastAsia="Calibri" w:hAnsi="Calibri"/>
                <w:sz w:val="16"/>
                <w:szCs w:val="16"/>
                <w:color w:val="auto"/>
              </w:rPr>
              <w:t>/s/ John P. Butler</w:t>
            </w:r>
          </w:p>
        </w:tc>
      </w:tr>
      <w:tr>
        <w:trPr>
          <w:trHeight w:val="28"/>
        </w:trPr>
        <w:tc>
          <w:tcPr>
            <w:tcW w:w="1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r>
      <w:tr>
        <w:trPr>
          <w:trHeight w:val="187"/>
        </w:trPr>
        <w:tc>
          <w:tcPr>
            <w:tcW w:w="1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700" w:type="dxa"/>
            <w:vAlign w:val="bottom"/>
          </w:tcPr>
          <w:p>
            <w:pPr>
              <w:ind w:left="20"/>
              <w:spacing w:after="0" w:line="187" w:lineRule="exact"/>
              <w:rPr>
                <w:sz w:val="20"/>
                <w:szCs w:val="20"/>
                <w:color w:val="auto"/>
              </w:rPr>
            </w:pPr>
            <w:r>
              <w:rPr>
                <w:rFonts w:ascii="Calibri" w:cs="Calibri" w:eastAsia="Calibri" w:hAnsi="Calibri"/>
                <w:sz w:val="16"/>
                <w:szCs w:val="16"/>
                <w:color w:val="auto"/>
              </w:rPr>
              <w:t>John P. Butler</w:t>
            </w:r>
          </w:p>
        </w:tc>
      </w:tr>
      <w:tr>
        <w:trPr>
          <w:trHeight w:val="211"/>
        </w:trPr>
        <w:tc>
          <w:tcPr>
            <w:tcW w:w="1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700" w:type="dxa"/>
            <w:vAlign w:val="bottom"/>
          </w:tcPr>
          <w:p>
            <w:pPr>
              <w:ind w:left="20"/>
              <w:spacing w:after="0"/>
              <w:rPr>
                <w:sz w:val="20"/>
                <w:szCs w:val="20"/>
                <w:color w:val="auto"/>
              </w:rPr>
            </w:pPr>
            <w:r>
              <w:rPr>
                <w:rFonts w:ascii="Calibri" w:cs="Calibri" w:eastAsia="Calibri" w:hAnsi="Calibri"/>
                <w:sz w:val="16"/>
                <w:szCs w:val="16"/>
                <w:i w:val="1"/>
                <w:iCs w:val="1"/>
                <w:color w:val="auto"/>
              </w:rPr>
              <w:t>Director, President and Chief Executve Ofcer (Principal Executve Ofcer)</w:t>
            </w:r>
          </w:p>
        </w:tc>
      </w:tr>
      <w:tr>
        <w:trPr>
          <w:trHeight w:val="486"/>
        </w:trPr>
        <w:tc>
          <w:tcPr>
            <w:tcW w:w="1900" w:type="dxa"/>
            <w:vAlign w:val="bottom"/>
          </w:tcPr>
          <w:p>
            <w:pPr>
              <w:spacing w:after="0"/>
              <w:rPr>
                <w:sz w:val="20"/>
                <w:szCs w:val="20"/>
                <w:color w:val="auto"/>
              </w:rPr>
            </w:pPr>
            <w:r>
              <w:rPr>
                <w:rFonts w:ascii="Calibri" w:cs="Calibri" w:eastAsia="Calibri" w:hAnsi="Calibri"/>
                <w:sz w:val="16"/>
                <w:szCs w:val="16"/>
                <w:color w:val="auto"/>
              </w:rPr>
              <w:t>Date: March 13, 2025</w:t>
            </w:r>
          </w:p>
        </w:tc>
        <w:tc>
          <w:tcPr>
            <w:tcW w:w="900" w:type="dxa"/>
            <w:vAlign w:val="bottom"/>
          </w:tcPr>
          <w:p>
            <w:pPr>
              <w:ind w:left="460"/>
              <w:spacing w:after="0"/>
              <w:rPr>
                <w:sz w:val="20"/>
                <w:szCs w:val="20"/>
                <w:color w:val="auto"/>
              </w:rPr>
            </w:pPr>
            <w:r>
              <w:rPr>
                <w:rFonts w:ascii="Calibri" w:cs="Calibri" w:eastAsia="Calibri" w:hAnsi="Calibri"/>
                <w:sz w:val="16"/>
                <w:szCs w:val="16"/>
                <w:color w:val="auto"/>
              </w:rPr>
              <w:t>By:</w:t>
            </w:r>
          </w:p>
        </w:tc>
        <w:tc>
          <w:tcPr>
            <w:tcW w:w="7700" w:type="dxa"/>
            <w:vAlign w:val="bottom"/>
          </w:tcPr>
          <w:p>
            <w:pPr>
              <w:ind w:left="20"/>
              <w:spacing w:after="0"/>
              <w:rPr>
                <w:sz w:val="20"/>
                <w:szCs w:val="20"/>
                <w:color w:val="auto"/>
              </w:rPr>
            </w:pPr>
            <w:r>
              <w:rPr>
                <w:rFonts w:ascii="Calibri" w:cs="Calibri" w:eastAsia="Calibri" w:hAnsi="Calibri"/>
                <w:sz w:val="16"/>
                <w:szCs w:val="16"/>
                <w:color w:val="auto"/>
              </w:rPr>
              <w:t>/s/ Erik J. Ostrowski</w:t>
            </w:r>
          </w:p>
        </w:tc>
      </w:tr>
      <w:tr>
        <w:trPr>
          <w:trHeight w:val="28"/>
        </w:trPr>
        <w:tc>
          <w:tcPr>
            <w:tcW w:w="1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r>
      <w:tr>
        <w:trPr>
          <w:trHeight w:val="187"/>
        </w:trPr>
        <w:tc>
          <w:tcPr>
            <w:tcW w:w="1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700" w:type="dxa"/>
            <w:vAlign w:val="bottom"/>
          </w:tcPr>
          <w:p>
            <w:pPr>
              <w:ind w:left="20"/>
              <w:spacing w:after="0" w:line="187" w:lineRule="exact"/>
              <w:rPr>
                <w:sz w:val="20"/>
                <w:szCs w:val="20"/>
                <w:color w:val="auto"/>
              </w:rPr>
            </w:pPr>
            <w:r>
              <w:rPr>
                <w:rFonts w:ascii="Calibri" w:cs="Calibri" w:eastAsia="Calibri" w:hAnsi="Calibri"/>
                <w:sz w:val="16"/>
                <w:szCs w:val="16"/>
                <w:color w:val="auto"/>
              </w:rPr>
              <w:t>Erik J. Ostrowski</w:t>
            </w:r>
          </w:p>
        </w:tc>
      </w:tr>
      <w:tr>
        <w:trPr>
          <w:trHeight w:val="211"/>
        </w:trPr>
        <w:tc>
          <w:tcPr>
            <w:tcW w:w="1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700" w:type="dxa"/>
            <w:vAlign w:val="bottom"/>
          </w:tcPr>
          <w:p>
            <w:pPr>
              <w:ind w:left="20"/>
              <w:spacing w:after="0"/>
              <w:rPr>
                <w:sz w:val="20"/>
                <w:szCs w:val="20"/>
                <w:color w:val="auto"/>
              </w:rPr>
            </w:pPr>
            <w:r>
              <w:rPr>
                <w:rFonts w:ascii="Calibri" w:cs="Calibri" w:eastAsia="Calibri" w:hAnsi="Calibri"/>
                <w:sz w:val="16"/>
                <w:szCs w:val="16"/>
                <w:i w:val="1"/>
                <w:iCs w:val="1"/>
                <w:color w:val="auto"/>
              </w:rPr>
              <w:t>Senior Vice President, Chief Financial Ofcer and Chief Business Ofcer (Principal Financial Ofcer)</w:t>
            </w:r>
          </w:p>
        </w:tc>
      </w:tr>
      <w:tr>
        <w:trPr>
          <w:trHeight w:val="486"/>
        </w:trPr>
        <w:tc>
          <w:tcPr>
            <w:tcW w:w="1900" w:type="dxa"/>
            <w:vAlign w:val="bottom"/>
          </w:tcPr>
          <w:p>
            <w:pPr>
              <w:spacing w:after="0"/>
              <w:rPr>
                <w:sz w:val="20"/>
                <w:szCs w:val="20"/>
                <w:color w:val="auto"/>
              </w:rPr>
            </w:pPr>
            <w:r>
              <w:rPr>
                <w:rFonts w:ascii="Calibri" w:cs="Calibri" w:eastAsia="Calibri" w:hAnsi="Calibri"/>
                <w:sz w:val="16"/>
                <w:szCs w:val="16"/>
                <w:color w:val="auto"/>
              </w:rPr>
              <w:t>Date: March 13, 2025</w:t>
            </w:r>
          </w:p>
        </w:tc>
        <w:tc>
          <w:tcPr>
            <w:tcW w:w="900" w:type="dxa"/>
            <w:vAlign w:val="bottom"/>
          </w:tcPr>
          <w:p>
            <w:pPr>
              <w:spacing w:after="0"/>
              <w:rPr>
                <w:sz w:val="24"/>
                <w:szCs w:val="24"/>
                <w:color w:val="auto"/>
              </w:rPr>
            </w:pPr>
          </w:p>
        </w:tc>
        <w:tc>
          <w:tcPr>
            <w:tcW w:w="7700" w:type="dxa"/>
            <w:vAlign w:val="bottom"/>
          </w:tcPr>
          <w:p>
            <w:pPr>
              <w:ind w:left="20"/>
              <w:spacing w:after="0"/>
              <w:rPr>
                <w:sz w:val="20"/>
                <w:szCs w:val="20"/>
                <w:color w:val="auto"/>
              </w:rPr>
            </w:pPr>
            <w:r>
              <w:rPr>
                <w:rFonts w:ascii="Calibri" w:cs="Calibri" w:eastAsia="Calibri" w:hAnsi="Calibri"/>
                <w:sz w:val="16"/>
                <w:szCs w:val="16"/>
                <w:color w:val="auto"/>
              </w:rPr>
              <w:t>/s/ Richard C. Malabre</w:t>
            </w:r>
          </w:p>
        </w:tc>
      </w:tr>
      <w:tr>
        <w:trPr>
          <w:trHeight w:val="28"/>
        </w:trPr>
        <w:tc>
          <w:tcPr>
            <w:tcW w:w="1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r>
      <w:tr>
        <w:trPr>
          <w:trHeight w:val="187"/>
        </w:trPr>
        <w:tc>
          <w:tcPr>
            <w:tcW w:w="1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700" w:type="dxa"/>
            <w:vAlign w:val="bottom"/>
          </w:tcPr>
          <w:p>
            <w:pPr>
              <w:ind w:left="20"/>
              <w:spacing w:after="0" w:line="187" w:lineRule="exact"/>
              <w:rPr>
                <w:sz w:val="20"/>
                <w:szCs w:val="20"/>
                <w:color w:val="auto"/>
              </w:rPr>
            </w:pPr>
            <w:r>
              <w:rPr>
                <w:rFonts w:ascii="Calibri" w:cs="Calibri" w:eastAsia="Calibri" w:hAnsi="Calibri"/>
                <w:sz w:val="16"/>
                <w:szCs w:val="16"/>
                <w:color w:val="auto"/>
              </w:rPr>
              <w:t>Richard C. Malabre</w:t>
            </w:r>
          </w:p>
        </w:tc>
      </w:tr>
      <w:tr>
        <w:trPr>
          <w:trHeight w:val="211"/>
        </w:trPr>
        <w:tc>
          <w:tcPr>
            <w:tcW w:w="1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700" w:type="dxa"/>
            <w:vAlign w:val="bottom"/>
          </w:tcPr>
          <w:p>
            <w:pPr>
              <w:ind w:left="20"/>
              <w:spacing w:after="0"/>
              <w:rPr>
                <w:sz w:val="20"/>
                <w:szCs w:val="20"/>
                <w:color w:val="auto"/>
              </w:rPr>
            </w:pPr>
            <w:r>
              <w:rPr>
                <w:rFonts w:ascii="Calibri" w:cs="Calibri" w:eastAsia="Calibri" w:hAnsi="Calibri"/>
                <w:sz w:val="16"/>
                <w:szCs w:val="16"/>
                <w:i w:val="1"/>
                <w:iCs w:val="1"/>
                <w:color w:val="auto"/>
              </w:rPr>
              <w:t>Senior Vice President, Chief Accountng Ofcer (Principal Accountng Ofcer)</w:t>
            </w:r>
          </w:p>
        </w:tc>
      </w:tr>
      <w:tr>
        <w:trPr>
          <w:trHeight w:val="486"/>
        </w:trPr>
        <w:tc>
          <w:tcPr>
            <w:tcW w:w="1900" w:type="dxa"/>
            <w:vAlign w:val="bottom"/>
          </w:tcPr>
          <w:p>
            <w:pPr>
              <w:spacing w:after="0"/>
              <w:rPr>
                <w:sz w:val="20"/>
                <w:szCs w:val="20"/>
                <w:color w:val="auto"/>
              </w:rPr>
            </w:pPr>
            <w:r>
              <w:rPr>
                <w:rFonts w:ascii="Calibri" w:cs="Calibri" w:eastAsia="Calibri" w:hAnsi="Calibri"/>
                <w:sz w:val="16"/>
                <w:szCs w:val="16"/>
                <w:color w:val="auto"/>
              </w:rPr>
              <w:t>Date: March 13, 2025</w:t>
            </w:r>
          </w:p>
        </w:tc>
        <w:tc>
          <w:tcPr>
            <w:tcW w:w="900" w:type="dxa"/>
            <w:vAlign w:val="bottom"/>
          </w:tcPr>
          <w:p>
            <w:pPr>
              <w:ind w:left="460"/>
              <w:spacing w:after="0"/>
              <w:rPr>
                <w:sz w:val="20"/>
                <w:szCs w:val="20"/>
                <w:color w:val="auto"/>
              </w:rPr>
            </w:pPr>
            <w:r>
              <w:rPr>
                <w:rFonts w:ascii="Calibri" w:cs="Calibri" w:eastAsia="Calibri" w:hAnsi="Calibri"/>
                <w:sz w:val="16"/>
                <w:szCs w:val="16"/>
                <w:color w:val="auto"/>
              </w:rPr>
              <w:t>By:</w:t>
            </w:r>
          </w:p>
        </w:tc>
        <w:tc>
          <w:tcPr>
            <w:tcW w:w="7700" w:type="dxa"/>
            <w:vAlign w:val="bottom"/>
          </w:tcPr>
          <w:p>
            <w:pPr>
              <w:ind w:left="20"/>
              <w:spacing w:after="0"/>
              <w:rPr>
                <w:sz w:val="20"/>
                <w:szCs w:val="20"/>
                <w:color w:val="auto"/>
              </w:rPr>
            </w:pPr>
            <w:r>
              <w:rPr>
                <w:rFonts w:ascii="Calibri" w:cs="Calibri" w:eastAsia="Calibri" w:hAnsi="Calibri"/>
                <w:sz w:val="16"/>
                <w:szCs w:val="16"/>
                <w:color w:val="auto"/>
              </w:rPr>
              <w:t>/s/ Adrian Adams</w:t>
            </w:r>
          </w:p>
        </w:tc>
      </w:tr>
      <w:tr>
        <w:trPr>
          <w:trHeight w:val="28"/>
        </w:trPr>
        <w:tc>
          <w:tcPr>
            <w:tcW w:w="1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r>
      <w:tr>
        <w:trPr>
          <w:trHeight w:val="187"/>
        </w:trPr>
        <w:tc>
          <w:tcPr>
            <w:tcW w:w="1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700" w:type="dxa"/>
            <w:vAlign w:val="bottom"/>
          </w:tcPr>
          <w:p>
            <w:pPr>
              <w:ind w:left="20"/>
              <w:spacing w:after="0" w:line="187" w:lineRule="exact"/>
              <w:rPr>
                <w:sz w:val="20"/>
                <w:szCs w:val="20"/>
                <w:color w:val="auto"/>
              </w:rPr>
            </w:pPr>
            <w:r>
              <w:rPr>
                <w:rFonts w:ascii="Calibri" w:cs="Calibri" w:eastAsia="Calibri" w:hAnsi="Calibri"/>
                <w:sz w:val="16"/>
                <w:szCs w:val="16"/>
                <w:color w:val="auto"/>
              </w:rPr>
              <w:t>Adrian Adams</w:t>
            </w:r>
          </w:p>
        </w:tc>
      </w:tr>
      <w:tr>
        <w:trPr>
          <w:trHeight w:val="211"/>
        </w:trPr>
        <w:tc>
          <w:tcPr>
            <w:tcW w:w="1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700" w:type="dxa"/>
            <w:vAlign w:val="bottom"/>
          </w:tcPr>
          <w:p>
            <w:pPr>
              <w:ind w:left="20"/>
              <w:spacing w:after="0"/>
              <w:rPr>
                <w:sz w:val="20"/>
                <w:szCs w:val="20"/>
                <w:color w:val="auto"/>
              </w:rPr>
            </w:pPr>
            <w:r>
              <w:rPr>
                <w:rFonts w:ascii="Calibri" w:cs="Calibri" w:eastAsia="Calibri" w:hAnsi="Calibri"/>
                <w:sz w:val="16"/>
                <w:szCs w:val="16"/>
                <w:i w:val="1"/>
                <w:iCs w:val="1"/>
                <w:color w:val="auto"/>
              </w:rPr>
              <w:t>Chairperson and Director</w:t>
            </w:r>
          </w:p>
        </w:tc>
      </w:tr>
      <w:tr>
        <w:trPr>
          <w:trHeight w:val="486"/>
        </w:trPr>
        <w:tc>
          <w:tcPr>
            <w:tcW w:w="1900" w:type="dxa"/>
            <w:vAlign w:val="bottom"/>
          </w:tcPr>
          <w:p>
            <w:pPr>
              <w:spacing w:after="0"/>
              <w:rPr>
                <w:sz w:val="20"/>
                <w:szCs w:val="20"/>
                <w:color w:val="auto"/>
              </w:rPr>
            </w:pPr>
            <w:r>
              <w:rPr>
                <w:rFonts w:ascii="Calibri" w:cs="Calibri" w:eastAsia="Calibri" w:hAnsi="Calibri"/>
                <w:sz w:val="16"/>
                <w:szCs w:val="16"/>
                <w:color w:val="auto"/>
              </w:rPr>
              <w:t>Date: March 13, 2025</w:t>
            </w:r>
          </w:p>
        </w:tc>
        <w:tc>
          <w:tcPr>
            <w:tcW w:w="900" w:type="dxa"/>
            <w:vAlign w:val="bottom"/>
          </w:tcPr>
          <w:p>
            <w:pPr>
              <w:ind w:left="460"/>
              <w:spacing w:after="0"/>
              <w:rPr>
                <w:sz w:val="20"/>
                <w:szCs w:val="20"/>
                <w:color w:val="auto"/>
              </w:rPr>
            </w:pPr>
            <w:r>
              <w:rPr>
                <w:rFonts w:ascii="Calibri" w:cs="Calibri" w:eastAsia="Calibri" w:hAnsi="Calibri"/>
                <w:sz w:val="16"/>
                <w:szCs w:val="16"/>
                <w:color w:val="auto"/>
              </w:rPr>
              <w:t>By:</w:t>
            </w:r>
          </w:p>
        </w:tc>
        <w:tc>
          <w:tcPr>
            <w:tcW w:w="7700" w:type="dxa"/>
            <w:vAlign w:val="bottom"/>
          </w:tcPr>
          <w:p>
            <w:pPr>
              <w:ind w:left="20"/>
              <w:spacing w:after="0"/>
              <w:rPr>
                <w:sz w:val="20"/>
                <w:szCs w:val="20"/>
                <w:color w:val="auto"/>
              </w:rPr>
            </w:pPr>
            <w:r>
              <w:rPr>
                <w:rFonts w:ascii="Calibri" w:cs="Calibri" w:eastAsia="Calibri" w:hAnsi="Calibri"/>
                <w:sz w:val="16"/>
                <w:szCs w:val="16"/>
                <w:color w:val="auto"/>
              </w:rPr>
              <w:t>/s/ Ron Frieson</w:t>
            </w:r>
          </w:p>
        </w:tc>
      </w:tr>
      <w:tr>
        <w:trPr>
          <w:trHeight w:val="28"/>
        </w:trPr>
        <w:tc>
          <w:tcPr>
            <w:tcW w:w="1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r>
      <w:tr>
        <w:trPr>
          <w:trHeight w:val="187"/>
        </w:trPr>
        <w:tc>
          <w:tcPr>
            <w:tcW w:w="1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700" w:type="dxa"/>
            <w:vAlign w:val="bottom"/>
          </w:tcPr>
          <w:p>
            <w:pPr>
              <w:ind w:left="20"/>
              <w:spacing w:after="0" w:line="187" w:lineRule="exact"/>
              <w:rPr>
                <w:sz w:val="20"/>
                <w:szCs w:val="20"/>
                <w:color w:val="auto"/>
              </w:rPr>
            </w:pPr>
            <w:r>
              <w:rPr>
                <w:rFonts w:ascii="Calibri" w:cs="Calibri" w:eastAsia="Calibri" w:hAnsi="Calibri"/>
                <w:sz w:val="16"/>
                <w:szCs w:val="16"/>
                <w:color w:val="auto"/>
              </w:rPr>
              <w:t>Ron Frieson</w:t>
            </w:r>
          </w:p>
        </w:tc>
      </w:tr>
      <w:tr>
        <w:trPr>
          <w:trHeight w:val="211"/>
        </w:trPr>
        <w:tc>
          <w:tcPr>
            <w:tcW w:w="1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700" w:type="dxa"/>
            <w:vAlign w:val="bottom"/>
          </w:tcPr>
          <w:p>
            <w:pPr>
              <w:ind w:left="20"/>
              <w:spacing w:after="0"/>
              <w:rPr>
                <w:sz w:val="20"/>
                <w:szCs w:val="20"/>
                <w:color w:val="auto"/>
              </w:rPr>
            </w:pPr>
            <w:r>
              <w:rPr>
                <w:rFonts w:ascii="Calibri" w:cs="Calibri" w:eastAsia="Calibri" w:hAnsi="Calibri"/>
                <w:sz w:val="16"/>
                <w:szCs w:val="16"/>
                <w:i w:val="1"/>
                <w:iCs w:val="1"/>
                <w:color w:val="auto"/>
              </w:rPr>
              <w:t>Director</w:t>
            </w:r>
          </w:p>
        </w:tc>
      </w:tr>
      <w:tr>
        <w:trPr>
          <w:trHeight w:val="486"/>
        </w:trPr>
        <w:tc>
          <w:tcPr>
            <w:tcW w:w="1900" w:type="dxa"/>
            <w:vAlign w:val="bottom"/>
          </w:tcPr>
          <w:p>
            <w:pPr>
              <w:spacing w:after="0"/>
              <w:rPr>
                <w:sz w:val="20"/>
                <w:szCs w:val="20"/>
                <w:color w:val="auto"/>
              </w:rPr>
            </w:pPr>
            <w:r>
              <w:rPr>
                <w:rFonts w:ascii="Calibri" w:cs="Calibri" w:eastAsia="Calibri" w:hAnsi="Calibri"/>
                <w:sz w:val="16"/>
                <w:szCs w:val="16"/>
                <w:color w:val="auto"/>
              </w:rPr>
              <w:t>Date: March 13, 2025</w:t>
            </w:r>
          </w:p>
        </w:tc>
        <w:tc>
          <w:tcPr>
            <w:tcW w:w="900" w:type="dxa"/>
            <w:vAlign w:val="bottom"/>
          </w:tcPr>
          <w:p>
            <w:pPr>
              <w:ind w:left="460"/>
              <w:spacing w:after="0"/>
              <w:rPr>
                <w:sz w:val="20"/>
                <w:szCs w:val="20"/>
                <w:color w:val="auto"/>
              </w:rPr>
            </w:pPr>
            <w:r>
              <w:rPr>
                <w:rFonts w:ascii="Calibri" w:cs="Calibri" w:eastAsia="Calibri" w:hAnsi="Calibri"/>
                <w:sz w:val="16"/>
                <w:szCs w:val="16"/>
                <w:color w:val="auto"/>
              </w:rPr>
              <w:t>By:</w:t>
            </w:r>
          </w:p>
        </w:tc>
        <w:tc>
          <w:tcPr>
            <w:tcW w:w="7700" w:type="dxa"/>
            <w:vAlign w:val="bottom"/>
          </w:tcPr>
          <w:p>
            <w:pPr>
              <w:ind w:left="20"/>
              <w:spacing w:after="0"/>
              <w:rPr>
                <w:sz w:val="20"/>
                <w:szCs w:val="20"/>
                <w:color w:val="auto"/>
              </w:rPr>
            </w:pPr>
            <w:r>
              <w:rPr>
                <w:rFonts w:ascii="Calibri" w:cs="Calibri" w:eastAsia="Calibri" w:hAnsi="Calibri"/>
                <w:sz w:val="16"/>
                <w:szCs w:val="16"/>
                <w:color w:val="auto"/>
              </w:rPr>
              <w:t>/s/ Steven C. Gilman</w:t>
            </w:r>
          </w:p>
        </w:tc>
      </w:tr>
      <w:tr>
        <w:trPr>
          <w:trHeight w:val="28"/>
        </w:trPr>
        <w:tc>
          <w:tcPr>
            <w:tcW w:w="1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r>
      <w:tr>
        <w:trPr>
          <w:trHeight w:val="187"/>
        </w:trPr>
        <w:tc>
          <w:tcPr>
            <w:tcW w:w="1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700" w:type="dxa"/>
            <w:vAlign w:val="bottom"/>
          </w:tcPr>
          <w:p>
            <w:pPr>
              <w:ind w:left="20"/>
              <w:spacing w:after="0" w:line="187" w:lineRule="exact"/>
              <w:rPr>
                <w:sz w:val="20"/>
                <w:szCs w:val="20"/>
                <w:color w:val="auto"/>
              </w:rPr>
            </w:pPr>
            <w:r>
              <w:rPr>
                <w:rFonts w:ascii="Calibri" w:cs="Calibri" w:eastAsia="Calibri" w:hAnsi="Calibri"/>
                <w:sz w:val="16"/>
                <w:szCs w:val="16"/>
                <w:color w:val="auto"/>
              </w:rPr>
              <w:t>Steven C. Gilman</w:t>
            </w:r>
          </w:p>
        </w:tc>
      </w:tr>
      <w:tr>
        <w:trPr>
          <w:trHeight w:val="211"/>
        </w:trPr>
        <w:tc>
          <w:tcPr>
            <w:tcW w:w="1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700" w:type="dxa"/>
            <w:vAlign w:val="bottom"/>
          </w:tcPr>
          <w:p>
            <w:pPr>
              <w:ind w:left="20"/>
              <w:spacing w:after="0"/>
              <w:rPr>
                <w:sz w:val="20"/>
                <w:szCs w:val="20"/>
                <w:color w:val="auto"/>
              </w:rPr>
            </w:pPr>
            <w:r>
              <w:rPr>
                <w:rFonts w:ascii="Calibri" w:cs="Calibri" w:eastAsia="Calibri" w:hAnsi="Calibri"/>
                <w:sz w:val="16"/>
                <w:szCs w:val="16"/>
                <w:i w:val="1"/>
                <w:iCs w:val="1"/>
                <w:color w:val="auto"/>
              </w:rPr>
              <w:t>Director</w:t>
            </w:r>
          </w:p>
        </w:tc>
      </w:tr>
      <w:tr>
        <w:trPr>
          <w:trHeight w:val="503"/>
        </w:trPr>
        <w:tc>
          <w:tcPr>
            <w:tcW w:w="1900" w:type="dxa"/>
            <w:vAlign w:val="bottom"/>
          </w:tcPr>
          <w:p>
            <w:pPr>
              <w:spacing w:after="0"/>
              <w:rPr>
                <w:sz w:val="20"/>
                <w:szCs w:val="20"/>
                <w:color w:val="auto"/>
              </w:rPr>
            </w:pPr>
            <w:r>
              <w:rPr>
                <w:rFonts w:ascii="Calibri" w:cs="Calibri" w:eastAsia="Calibri" w:hAnsi="Calibri"/>
                <w:sz w:val="16"/>
                <w:szCs w:val="16"/>
                <w:color w:val="auto"/>
              </w:rPr>
              <w:t>Date: March 13, 2025</w:t>
            </w:r>
          </w:p>
        </w:tc>
        <w:tc>
          <w:tcPr>
            <w:tcW w:w="900" w:type="dxa"/>
            <w:vAlign w:val="bottom"/>
          </w:tcPr>
          <w:p>
            <w:pPr>
              <w:ind w:left="460"/>
              <w:spacing w:after="0"/>
              <w:rPr>
                <w:sz w:val="20"/>
                <w:szCs w:val="20"/>
                <w:color w:val="auto"/>
              </w:rPr>
            </w:pPr>
            <w:r>
              <w:rPr>
                <w:rFonts w:ascii="Calibri" w:cs="Calibri" w:eastAsia="Calibri" w:hAnsi="Calibri"/>
                <w:sz w:val="18"/>
                <w:szCs w:val="18"/>
                <w:color w:val="auto"/>
              </w:rPr>
              <w:t>By:</w:t>
            </w:r>
          </w:p>
        </w:tc>
        <w:tc>
          <w:tcPr>
            <w:tcW w:w="7700" w:type="dxa"/>
            <w:vAlign w:val="bottom"/>
          </w:tcPr>
          <w:p>
            <w:pPr>
              <w:ind w:left="20"/>
              <w:spacing w:after="0"/>
              <w:rPr>
                <w:sz w:val="20"/>
                <w:szCs w:val="20"/>
                <w:color w:val="auto"/>
              </w:rPr>
            </w:pPr>
            <w:r>
              <w:rPr>
                <w:rFonts w:ascii="Calibri" w:cs="Calibri" w:eastAsia="Calibri" w:hAnsi="Calibri"/>
                <w:sz w:val="16"/>
                <w:szCs w:val="16"/>
                <w:color w:val="auto"/>
              </w:rPr>
              <w:t>/s/ Michael Rogers</w:t>
            </w:r>
          </w:p>
        </w:tc>
      </w:tr>
      <w:tr>
        <w:trPr>
          <w:trHeight w:val="23"/>
        </w:trPr>
        <w:tc>
          <w:tcPr>
            <w:tcW w:w="1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r>
      <w:tr>
        <w:trPr>
          <w:trHeight w:val="187"/>
        </w:trPr>
        <w:tc>
          <w:tcPr>
            <w:tcW w:w="1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700" w:type="dxa"/>
            <w:vAlign w:val="bottom"/>
          </w:tcPr>
          <w:p>
            <w:pPr>
              <w:ind w:left="20"/>
              <w:spacing w:after="0" w:line="187" w:lineRule="exact"/>
              <w:rPr>
                <w:sz w:val="20"/>
                <w:szCs w:val="20"/>
                <w:color w:val="auto"/>
              </w:rPr>
            </w:pPr>
            <w:r>
              <w:rPr>
                <w:rFonts w:ascii="Calibri" w:cs="Calibri" w:eastAsia="Calibri" w:hAnsi="Calibri"/>
                <w:sz w:val="16"/>
                <w:szCs w:val="16"/>
                <w:color w:val="auto"/>
              </w:rPr>
              <w:t>Michael Rogers</w:t>
            </w:r>
          </w:p>
        </w:tc>
      </w:tr>
      <w:tr>
        <w:trPr>
          <w:trHeight w:val="211"/>
        </w:trPr>
        <w:tc>
          <w:tcPr>
            <w:tcW w:w="1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700" w:type="dxa"/>
            <w:vAlign w:val="bottom"/>
          </w:tcPr>
          <w:p>
            <w:pPr>
              <w:ind w:left="20"/>
              <w:spacing w:after="0"/>
              <w:rPr>
                <w:sz w:val="20"/>
                <w:szCs w:val="20"/>
                <w:color w:val="auto"/>
              </w:rPr>
            </w:pPr>
            <w:r>
              <w:rPr>
                <w:rFonts w:ascii="Calibri" w:cs="Calibri" w:eastAsia="Calibri" w:hAnsi="Calibri"/>
                <w:sz w:val="16"/>
                <w:szCs w:val="16"/>
                <w:i w:val="1"/>
                <w:iCs w:val="1"/>
                <w:color w:val="auto"/>
              </w:rPr>
              <w:t>Director</w:t>
            </w:r>
          </w:p>
        </w:tc>
      </w:tr>
      <w:tr>
        <w:trPr>
          <w:trHeight w:val="517"/>
        </w:trPr>
        <w:tc>
          <w:tcPr>
            <w:tcW w:w="1900" w:type="dxa"/>
            <w:vAlign w:val="bottom"/>
          </w:tcPr>
          <w:p>
            <w:pPr>
              <w:spacing w:after="0"/>
              <w:rPr>
                <w:sz w:val="20"/>
                <w:szCs w:val="20"/>
                <w:color w:val="auto"/>
              </w:rPr>
            </w:pPr>
            <w:r>
              <w:rPr>
                <w:rFonts w:ascii="Calibri" w:cs="Calibri" w:eastAsia="Calibri" w:hAnsi="Calibri"/>
                <w:sz w:val="16"/>
                <w:szCs w:val="16"/>
                <w:color w:val="auto"/>
              </w:rPr>
              <w:t>Date: March 13, 2025</w:t>
            </w:r>
          </w:p>
        </w:tc>
        <w:tc>
          <w:tcPr>
            <w:tcW w:w="900" w:type="dxa"/>
            <w:vAlign w:val="bottom"/>
          </w:tcPr>
          <w:p>
            <w:pPr>
              <w:ind w:left="460"/>
              <w:spacing w:after="0"/>
              <w:rPr>
                <w:sz w:val="20"/>
                <w:szCs w:val="20"/>
                <w:color w:val="auto"/>
              </w:rPr>
            </w:pPr>
            <w:r>
              <w:rPr>
                <w:rFonts w:ascii="Calibri" w:cs="Calibri" w:eastAsia="Calibri" w:hAnsi="Calibri"/>
                <w:sz w:val="18"/>
                <w:szCs w:val="18"/>
                <w:color w:val="auto"/>
              </w:rPr>
              <w:t>By:</w:t>
            </w:r>
          </w:p>
        </w:tc>
        <w:tc>
          <w:tcPr>
            <w:tcW w:w="7700" w:type="dxa"/>
            <w:vAlign w:val="bottom"/>
          </w:tcPr>
          <w:p>
            <w:pPr>
              <w:ind w:left="20"/>
              <w:spacing w:after="0"/>
              <w:rPr>
                <w:sz w:val="20"/>
                <w:szCs w:val="20"/>
                <w:color w:val="auto"/>
              </w:rPr>
            </w:pPr>
            <w:r>
              <w:rPr>
                <w:rFonts w:ascii="Calibri" w:cs="Calibri" w:eastAsia="Calibri" w:hAnsi="Calibri"/>
                <w:sz w:val="16"/>
                <w:szCs w:val="16"/>
                <w:color w:val="auto"/>
              </w:rPr>
              <w:t>/s/ Cynthia Smith</w:t>
            </w:r>
          </w:p>
        </w:tc>
      </w:tr>
      <w:tr>
        <w:trPr>
          <w:trHeight w:val="23"/>
        </w:trPr>
        <w:tc>
          <w:tcPr>
            <w:tcW w:w="1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r>
      <w:tr>
        <w:trPr>
          <w:trHeight w:val="187"/>
        </w:trPr>
        <w:tc>
          <w:tcPr>
            <w:tcW w:w="1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700" w:type="dxa"/>
            <w:vAlign w:val="bottom"/>
          </w:tcPr>
          <w:p>
            <w:pPr>
              <w:ind w:left="20"/>
              <w:spacing w:after="0" w:line="187" w:lineRule="exact"/>
              <w:rPr>
                <w:sz w:val="20"/>
                <w:szCs w:val="20"/>
                <w:color w:val="auto"/>
              </w:rPr>
            </w:pPr>
            <w:r>
              <w:rPr>
                <w:rFonts w:ascii="Calibri" w:cs="Calibri" w:eastAsia="Calibri" w:hAnsi="Calibri"/>
                <w:sz w:val="16"/>
                <w:szCs w:val="16"/>
                <w:color w:val="auto"/>
              </w:rPr>
              <w:t>Cynthia Smith</w:t>
            </w:r>
          </w:p>
        </w:tc>
      </w:tr>
      <w:tr>
        <w:trPr>
          <w:trHeight w:val="211"/>
        </w:trPr>
        <w:tc>
          <w:tcPr>
            <w:tcW w:w="1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700" w:type="dxa"/>
            <w:vAlign w:val="bottom"/>
          </w:tcPr>
          <w:p>
            <w:pPr>
              <w:ind w:left="20"/>
              <w:spacing w:after="0"/>
              <w:rPr>
                <w:sz w:val="20"/>
                <w:szCs w:val="20"/>
                <w:color w:val="auto"/>
              </w:rPr>
            </w:pPr>
            <w:r>
              <w:rPr>
                <w:rFonts w:ascii="Calibri" w:cs="Calibri" w:eastAsia="Calibri" w:hAnsi="Calibri"/>
                <w:sz w:val="16"/>
                <w:szCs w:val="16"/>
                <w:i w:val="1"/>
                <w:iCs w:val="1"/>
                <w:color w:val="auto"/>
              </w:rPr>
              <w:t>Director</w:t>
            </w:r>
          </w:p>
        </w:tc>
      </w:tr>
      <w:tr>
        <w:trPr>
          <w:trHeight w:val="517"/>
        </w:trPr>
        <w:tc>
          <w:tcPr>
            <w:tcW w:w="1900" w:type="dxa"/>
            <w:vAlign w:val="bottom"/>
          </w:tcPr>
          <w:p>
            <w:pPr>
              <w:spacing w:after="0"/>
              <w:rPr>
                <w:sz w:val="20"/>
                <w:szCs w:val="20"/>
                <w:color w:val="auto"/>
              </w:rPr>
            </w:pPr>
            <w:r>
              <w:rPr>
                <w:rFonts w:ascii="Calibri" w:cs="Calibri" w:eastAsia="Calibri" w:hAnsi="Calibri"/>
                <w:sz w:val="16"/>
                <w:szCs w:val="16"/>
                <w:color w:val="auto"/>
              </w:rPr>
              <w:t>Date: March 13, 2025</w:t>
            </w:r>
          </w:p>
        </w:tc>
        <w:tc>
          <w:tcPr>
            <w:tcW w:w="900" w:type="dxa"/>
            <w:vAlign w:val="bottom"/>
          </w:tcPr>
          <w:p>
            <w:pPr>
              <w:ind w:left="460"/>
              <w:spacing w:after="0"/>
              <w:rPr>
                <w:sz w:val="20"/>
                <w:szCs w:val="20"/>
                <w:color w:val="auto"/>
              </w:rPr>
            </w:pPr>
            <w:r>
              <w:rPr>
                <w:rFonts w:ascii="Calibri" w:cs="Calibri" w:eastAsia="Calibri" w:hAnsi="Calibri"/>
                <w:sz w:val="18"/>
                <w:szCs w:val="18"/>
                <w:color w:val="auto"/>
              </w:rPr>
              <w:t>By:</w:t>
            </w:r>
          </w:p>
        </w:tc>
        <w:tc>
          <w:tcPr>
            <w:tcW w:w="7700" w:type="dxa"/>
            <w:vAlign w:val="bottom"/>
          </w:tcPr>
          <w:p>
            <w:pPr>
              <w:ind w:left="20"/>
              <w:spacing w:after="0"/>
              <w:rPr>
                <w:sz w:val="20"/>
                <w:szCs w:val="20"/>
                <w:color w:val="auto"/>
              </w:rPr>
            </w:pPr>
            <w:r>
              <w:rPr>
                <w:rFonts w:ascii="Calibri" w:cs="Calibri" w:eastAsia="Calibri" w:hAnsi="Calibri"/>
                <w:sz w:val="16"/>
                <w:szCs w:val="16"/>
                <w:color w:val="auto"/>
              </w:rPr>
              <w:t>/s/ Myles Wolf</w:t>
            </w:r>
          </w:p>
        </w:tc>
      </w:tr>
      <w:tr>
        <w:trPr>
          <w:trHeight w:val="23"/>
        </w:trPr>
        <w:tc>
          <w:tcPr>
            <w:tcW w:w="1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r>
      <w:tr>
        <w:trPr>
          <w:trHeight w:val="187"/>
        </w:trPr>
        <w:tc>
          <w:tcPr>
            <w:tcW w:w="1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700" w:type="dxa"/>
            <w:vAlign w:val="bottom"/>
          </w:tcPr>
          <w:p>
            <w:pPr>
              <w:ind w:left="20"/>
              <w:spacing w:after="0" w:line="187" w:lineRule="exact"/>
              <w:rPr>
                <w:sz w:val="20"/>
                <w:szCs w:val="20"/>
                <w:color w:val="auto"/>
              </w:rPr>
            </w:pPr>
            <w:r>
              <w:rPr>
                <w:rFonts w:ascii="Calibri" w:cs="Calibri" w:eastAsia="Calibri" w:hAnsi="Calibri"/>
                <w:sz w:val="16"/>
                <w:szCs w:val="16"/>
                <w:color w:val="auto"/>
              </w:rPr>
              <w:t>Myles Wolf</w:t>
            </w:r>
          </w:p>
        </w:tc>
      </w:tr>
      <w:tr>
        <w:trPr>
          <w:trHeight w:val="211"/>
        </w:trPr>
        <w:tc>
          <w:tcPr>
            <w:tcW w:w="1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700" w:type="dxa"/>
            <w:vAlign w:val="bottom"/>
          </w:tcPr>
          <w:p>
            <w:pPr>
              <w:ind w:left="20"/>
              <w:spacing w:after="0"/>
              <w:rPr>
                <w:sz w:val="20"/>
                <w:szCs w:val="20"/>
                <w:color w:val="auto"/>
              </w:rPr>
            </w:pPr>
            <w:r>
              <w:rPr>
                <w:rFonts w:ascii="Calibri" w:cs="Calibri" w:eastAsia="Calibri" w:hAnsi="Calibri"/>
                <w:sz w:val="16"/>
                <w:szCs w:val="16"/>
                <w:i w:val="1"/>
                <w:iCs w:val="1"/>
                <w:color w:val="auto"/>
              </w:rPr>
              <w:t>Director</w:t>
            </w:r>
          </w:p>
        </w:tc>
      </w:tr>
      <w:tr>
        <w:trPr>
          <w:trHeight w:val="503"/>
        </w:trPr>
        <w:tc>
          <w:tcPr>
            <w:tcW w:w="1900" w:type="dxa"/>
            <w:vAlign w:val="bottom"/>
          </w:tcPr>
          <w:p>
            <w:pPr>
              <w:spacing w:after="0"/>
              <w:rPr>
                <w:sz w:val="20"/>
                <w:szCs w:val="20"/>
                <w:color w:val="auto"/>
              </w:rPr>
            </w:pPr>
            <w:r>
              <w:rPr>
                <w:rFonts w:ascii="Calibri" w:cs="Calibri" w:eastAsia="Calibri" w:hAnsi="Calibri"/>
                <w:sz w:val="16"/>
                <w:szCs w:val="16"/>
                <w:color w:val="auto"/>
              </w:rPr>
              <w:t>Date: March 13, 2025</w:t>
            </w:r>
          </w:p>
        </w:tc>
        <w:tc>
          <w:tcPr>
            <w:tcW w:w="900" w:type="dxa"/>
            <w:vAlign w:val="bottom"/>
          </w:tcPr>
          <w:p>
            <w:pPr>
              <w:ind w:left="460"/>
              <w:spacing w:after="0"/>
              <w:rPr>
                <w:sz w:val="20"/>
                <w:szCs w:val="20"/>
                <w:color w:val="auto"/>
              </w:rPr>
            </w:pPr>
            <w:r>
              <w:rPr>
                <w:rFonts w:ascii="Calibri" w:cs="Calibri" w:eastAsia="Calibri" w:hAnsi="Calibri"/>
                <w:sz w:val="18"/>
                <w:szCs w:val="18"/>
                <w:color w:val="auto"/>
              </w:rPr>
              <w:t>By:</w:t>
            </w:r>
          </w:p>
        </w:tc>
        <w:tc>
          <w:tcPr>
            <w:tcW w:w="7700" w:type="dxa"/>
            <w:vAlign w:val="bottom"/>
          </w:tcPr>
          <w:p>
            <w:pPr>
              <w:ind w:left="20"/>
              <w:spacing w:after="0"/>
              <w:rPr>
                <w:sz w:val="20"/>
                <w:szCs w:val="20"/>
                <w:color w:val="auto"/>
              </w:rPr>
            </w:pPr>
            <w:r>
              <w:rPr>
                <w:rFonts w:ascii="Calibri" w:cs="Calibri" w:eastAsia="Calibri" w:hAnsi="Calibri"/>
                <w:sz w:val="16"/>
                <w:szCs w:val="16"/>
                <w:color w:val="auto"/>
              </w:rPr>
              <w:t>/s/ LeAnne M. Zumwalt</w:t>
            </w:r>
          </w:p>
        </w:tc>
      </w:tr>
      <w:tr>
        <w:trPr>
          <w:trHeight w:val="23"/>
        </w:trPr>
        <w:tc>
          <w:tcPr>
            <w:tcW w:w="1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r>
      <w:tr>
        <w:trPr>
          <w:trHeight w:val="187"/>
        </w:trPr>
        <w:tc>
          <w:tcPr>
            <w:tcW w:w="1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700" w:type="dxa"/>
            <w:vAlign w:val="bottom"/>
          </w:tcPr>
          <w:p>
            <w:pPr>
              <w:ind w:left="20"/>
              <w:spacing w:after="0" w:line="187" w:lineRule="exact"/>
              <w:rPr>
                <w:sz w:val="20"/>
                <w:szCs w:val="20"/>
                <w:color w:val="auto"/>
              </w:rPr>
            </w:pPr>
            <w:r>
              <w:rPr>
                <w:rFonts w:ascii="Calibri" w:cs="Calibri" w:eastAsia="Calibri" w:hAnsi="Calibri"/>
                <w:sz w:val="16"/>
                <w:szCs w:val="16"/>
                <w:color w:val="auto"/>
              </w:rPr>
              <w:t>LeAnne M. Zumwalt</w:t>
            </w:r>
          </w:p>
        </w:tc>
      </w:tr>
      <w:tr>
        <w:trPr>
          <w:trHeight w:val="211"/>
        </w:trPr>
        <w:tc>
          <w:tcPr>
            <w:tcW w:w="1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700" w:type="dxa"/>
            <w:vAlign w:val="bottom"/>
          </w:tcPr>
          <w:p>
            <w:pPr>
              <w:ind w:left="20"/>
              <w:spacing w:after="0"/>
              <w:rPr>
                <w:sz w:val="20"/>
                <w:szCs w:val="20"/>
                <w:color w:val="auto"/>
              </w:rPr>
            </w:pPr>
            <w:r>
              <w:rPr>
                <w:rFonts w:ascii="Calibri" w:cs="Calibri" w:eastAsia="Calibri" w:hAnsi="Calibri"/>
                <w:sz w:val="16"/>
                <w:szCs w:val="16"/>
                <w:i w:val="1"/>
                <w:iCs w:val="1"/>
                <w:color w:val="auto"/>
              </w:rPr>
              <w:t>Director</w:t>
            </w:r>
          </w:p>
        </w:tc>
      </w:tr>
      <w:tr>
        <w:trPr>
          <w:trHeight w:val="868"/>
        </w:trPr>
        <w:tc>
          <w:tcPr>
            <w:tcW w:w="1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700" w:type="dxa"/>
            <w:vAlign w:val="bottom"/>
          </w:tcPr>
          <w:p>
            <w:pPr>
              <w:ind w:left="1060"/>
              <w:spacing w:after="0"/>
              <w:rPr>
                <w:sz w:val="20"/>
                <w:szCs w:val="20"/>
                <w:color w:val="auto"/>
              </w:rPr>
            </w:pPr>
            <w:r>
              <w:rPr>
                <w:rFonts w:ascii="Calibri" w:cs="Calibri" w:eastAsia="Calibri" w:hAnsi="Calibri"/>
                <w:sz w:val="18"/>
                <w:szCs w:val="18"/>
                <w:color w:val="auto"/>
              </w:rPr>
              <w:t>Akebia Therapeutcs, Inc. | Form 10-K | Page 180</w:t>
            </w:r>
          </w:p>
        </w:tc>
      </w:tr>
    </w:tbl>
    <w:p>
      <w:pPr>
        <w:sectPr>
          <w:pgSz w:w="11900" w:h="16838" w:orient="portrait"/>
          <w:cols w:equalWidth="0" w:num="1">
            <w:col w:w="10520"/>
          </w:cols>
          <w:pgMar w:left="320" w:top="328" w:right="1059" w:bottom="1440" w:gutter="0" w:footer="0" w:header="0"/>
        </w:sectPr>
      </w:pPr>
    </w:p>
    <w:bookmarkStart w:id="182" w:name="page183"/>
    <w:bookmarkEnd w:id="182"/>
    <w:p>
      <w:pPr>
        <w:ind w:left="7140"/>
        <w:spacing w:after="0"/>
        <w:rPr>
          <w:sz w:val="20"/>
          <w:szCs w:val="20"/>
          <w:color w:val="auto"/>
        </w:rPr>
      </w:pPr>
      <w:r>
        <w:rPr>
          <w:rFonts w:ascii="Times New Roman" w:cs="Times New Roman" w:eastAsia="Times New Roman" w:hAnsi="Times New Roman"/>
          <w:sz w:val="22"/>
          <w:szCs w:val="22"/>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22"/>
          <w:szCs w:val="22"/>
          <w:b w:val="1"/>
          <w:bCs w:val="1"/>
          <w:color w:val="auto"/>
        </w:rPr>
        <w:t>AKEBIA THERAPEUTICS, INC. FOURTH AMENDED AND RESTATED NON-EMPLOYEE DIRECTOR COMPENSATION PROGRAM</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Effective January 27, 2025</w:t>
      </w:r>
    </w:p>
    <w:p>
      <w:pPr>
        <w:spacing w:after="0" w:line="218" w:lineRule="exact"/>
        <w:rPr>
          <w:sz w:val="20"/>
          <w:szCs w:val="20"/>
          <w:color w:val="auto"/>
        </w:rPr>
      </w:pPr>
    </w:p>
    <w:p>
      <w:pPr>
        <w:jc w:val="both"/>
        <w:ind w:firstLine="847"/>
        <w:spacing w:after="0" w:line="248" w:lineRule="auto"/>
        <w:rPr>
          <w:sz w:val="20"/>
          <w:szCs w:val="20"/>
          <w:color w:val="auto"/>
        </w:rPr>
      </w:pPr>
      <w:r>
        <w:rPr>
          <w:rFonts w:ascii="Times New Roman" w:cs="Times New Roman" w:eastAsia="Times New Roman" w:hAnsi="Times New Roman"/>
          <w:sz w:val="22"/>
          <w:szCs w:val="22"/>
          <w:color w:val="auto"/>
        </w:rPr>
        <w:t>Non-employee members of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Akebia Therapeutics,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shall be eligible to receive cash and equity compensation as set forth in this Fourth Amended and Restated Non-Employee Director Compensation Program (this “</w:t>
      </w:r>
      <w:r>
        <w:rPr>
          <w:rFonts w:ascii="Times New Roman" w:cs="Times New Roman" w:eastAsia="Times New Roman" w:hAnsi="Times New Roman"/>
          <w:sz w:val="22"/>
          <w:szCs w:val="22"/>
          <w:b w:val="1"/>
          <w:bCs w:val="1"/>
          <w:i w:val="1"/>
          <w:iCs w:val="1"/>
          <w:color w:val="auto"/>
        </w:rPr>
        <w:t>Program</w:t>
      </w:r>
      <w:r>
        <w:rPr>
          <w:rFonts w:ascii="Times New Roman" w:cs="Times New Roman" w:eastAsia="Times New Roman" w:hAnsi="Times New Roman"/>
          <w:sz w:val="22"/>
          <w:szCs w:val="22"/>
          <w:color w:val="auto"/>
        </w:rPr>
        <w:t>”). The cash and equity compensation described in this Program shall be paid or be made, as applicable, automatically and without further action of the Board, to each member of the Board who is not an employee of the Company or any parent or subsidiary of the Company (each, a “</w:t>
      </w:r>
      <w:r>
        <w:rPr>
          <w:rFonts w:ascii="Times New Roman" w:cs="Times New Roman" w:eastAsia="Times New Roman" w:hAnsi="Times New Roman"/>
          <w:sz w:val="22"/>
          <w:szCs w:val="22"/>
          <w:b w:val="1"/>
          <w:bCs w:val="1"/>
          <w:i w:val="1"/>
          <w:iCs w:val="1"/>
          <w:color w:val="auto"/>
        </w:rPr>
        <w:t>Non-Employee Director</w:t>
      </w:r>
      <w:r>
        <w:rPr>
          <w:rFonts w:ascii="Times New Roman" w:cs="Times New Roman" w:eastAsia="Times New Roman" w:hAnsi="Times New Roman"/>
          <w:sz w:val="22"/>
          <w:szCs w:val="22"/>
          <w:color w:val="auto"/>
        </w:rPr>
        <w:t>”) who is eligible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shall be reviewed by the Board periodically and may be amended, modified or terminated by the Board at any time in its sole discretion and nothing herein should be construed as a guarantee to any Non-Employee Director of any particular level of cash or equity compensation. The terms and conditions of this Program shall supersede any prior cash and/or equity compensation arrangements for service as a member of the Board between the Company and any of its Non-Employee Directors. This Program shall become effective on the date set forth above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w:t>
      </w:r>
    </w:p>
    <w:p>
      <w:pPr>
        <w:spacing w:after="0" w:line="204" w:lineRule="exact"/>
        <w:rPr>
          <w:sz w:val="20"/>
          <w:szCs w:val="20"/>
          <w:color w:val="auto"/>
        </w:rPr>
      </w:pPr>
    </w:p>
    <w:p>
      <w:pPr>
        <w:ind w:left="1080" w:hanging="225"/>
        <w:spacing w:after="0"/>
        <w:tabs>
          <w:tab w:leader="none" w:pos="108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Compensation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firstLine="1703"/>
        <w:spacing w:after="0" w:line="271" w:lineRule="auto"/>
        <w:tabs>
          <w:tab w:leader="none" w:pos="1988"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Retainers</w:t>
      </w:r>
      <w:r>
        <w:rPr>
          <w:rFonts w:ascii="Times New Roman" w:cs="Times New Roman" w:eastAsia="Times New Roman" w:hAnsi="Times New Roman"/>
          <w:sz w:val="22"/>
          <w:szCs w:val="22"/>
          <w:color w:val="auto"/>
        </w:rPr>
        <w:t>. Each Non-Employee Director shall be eligible to receive an annual retainer of $50,000 for service on the Board.</w:t>
      </w:r>
    </w:p>
    <w:p>
      <w:pPr>
        <w:spacing w:after="0" w:line="157" w:lineRule="exact"/>
        <w:rPr>
          <w:rFonts w:ascii="Times New Roman" w:cs="Times New Roman" w:eastAsia="Times New Roman" w:hAnsi="Times New Roman"/>
          <w:sz w:val="22"/>
          <w:szCs w:val="22"/>
          <w:color w:val="auto"/>
        </w:rPr>
      </w:pPr>
    </w:p>
    <w:p>
      <w:pPr>
        <w:ind w:firstLine="1703"/>
        <w:spacing w:after="0" w:line="271" w:lineRule="auto"/>
        <w:tabs>
          <w:tab w:leader="none" w:pos="2001"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Annual Retainers</w:t>
      </w:r>
      <w:r>
        <w:rPr>
          <w:rFonts w:ascii="Times New Roman" w:cs="Times New Roman" w:eastAsia="Times New Roman" w:hAnsi="Times New Roman"/>
          <w:sz w:val="22"/>
          <w:szCs w:val="22"/>
          <w:color w:val="auto"/>
        </w:rPr>
        <w:t>. In addition to the annual retainer payable pursuant to Section 1(a) above, a Non-Employee Director shall be eligible to receive the following annual retainers:</w:t>
      </w:r>
    </w:p>
    <w:p>
      <w:pPr>
        <w:spacing w:after="0" w:line="171" w:lineRule="exact"/>
        <w:rPr>
          <w:rFonts w:ascii="Times New Roman" w:cs="Times New Roman" w:eastAsia="Times New Roman" w:hAnsi="Times New Roman"/>
          <w:sz w:val="22"/>
          <w:szCs w:val="22"/>
          <w:color w:val="auto"/>
        </w:rPr>
      </w:pPr>
    </w:p>
    <w:p>
      <w:pPr>
        <w:jc w:val="both"/>
        <w:ind w:firstLine="2550"/>
        <w:spacing w:after="0" w:line="252" w:lineRule="auto"/>
        <w:tabs>
          <w:tab w:leader="none" w:pos="2800" w:val="left"/>
        </w:tabs>
        <w:numPr>
          <w:ilvl w:val="2"/>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Chairperson of the Board</w:t>
      </w:r>
      <w:r>
        <w:rPr>
          <w:rFonts w:ascii="Times New Roman" w:cs="Times New Roman" w:eastAsia="Times New Roman" w:hAnsi="Times New Roman"/>
          <w:sz w:val="22"/>
          <w:szCs w:val="22"/>
          <w:color w:val="auto"/>
        </w:rPr>
        <w:t>. A Non-Employee Director serving as Chairperson of the Board shall be eligible to receive an additional annual retainer of $35,000 for such service; provided, that, in the event that a Non-Employee Director is one of two concurrently serving Chairpersons of the Board, the additional annual retainer payable to such Non-Employee Director pursuant to this Section 1(b)(i) shall be $17,500.</w:t>
      </w:r>
    </w:p>
    <w:p>
      <w:pPr>
        <w:spacing w:after="0" w:line="179" w:lineRule="exact"/>
        <w:rPr>
          <w:rFonts w:ascii="Times New Roman" w:cs="Times New Roman" w:eastAsia="Times New Roman" w:hAnsi="Times New Roman"/>
          <w:sz w:val="22"/>
          <w:szCs w:val="22"/>
          <w:color w:val="auto"/>
        </w:rPr>
      </w:pPr>
    </w:p>
    <w:p>
      <w:pPr>
        <w:jc w:val="both"/>
        <w:ind w:firstLine="2550"/>
        <w:spacing w:after="0" w:line="256" w:lineRule="auto"/>
        <w:tabs>
          <w:tab w:leader="none" w:pos="2860" w:val="left"/>
        </w:tabs>
        <w:numPr>
          <w:ilvl w:val="2"/>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Audit Committee</w:t>
      </w:r>
      <w:r>
        <w:rPr>
          <w:rFonts w:ascii="Times New Roman" w:cs="Times New Roman" w:eastAsia="Times New Roman" w:hAnsi="Times New Roman"/>
          <w:sz w:val="22"/>
          <w:szCs w:val="22"/>
          <w:color w:val="auto"/>
        </w:rPr>
        <w:t>. A Non-Employee Director serving as Chairperson of the Audit Committee of the Board (the “</w:t>
      </w:r>
      <w:r>
        <w:rPr>
          <w:rFonts w:ascii="Times New Roman" w:cs="Times New Roman" w:eastAsia="Times New Roman" w:hAnsi="Times New Roman"/>
          <w:sz w:val="22"/>
          <w:szCs w:val="22"/>
          <w:b w:val="1"/>
          <w:bCs w:val="1"/>
          <w:i w:val="1"/>
          <w:iCs w:val="1"/>
          <w:color w:val="auto"/>
        </w:rPr>
        <w:t>Audit Committee</w:t>
      </w:r>
      <w:r>
        <w:rPr>
          <w:rFonts w:ascii="Times New Roman" w:cs="Times New Roman" w:eastAsia="Times New Roman" w:hAnsi="Times New Roman"/>
          <w:sz w:val="22"/>
          <w:szCs w:val="22"/>
          <w:color w:val="auto"/>
        </w:rPr>
        <w:t>”) shall be eligible to receive an additional annual retainer of $20,000 for such service. A Non-Employee Director serving as a member of the Audit Committee (other than the Chairperson of the Audit Committee) shall be eligible to receive an additional annual retainer of $10,000 for such service.</w:t>
      </w:r>
    </w:p>
    <w:p>
      <w:pPr>
        <w:sectPr>
          <w:pgSz w:w="11900" w:h="16838" w:orient="portrait"/>
          <w:cols w:equalWidth="0" w:num="1">
            <w:col w:w="11240"/>
          </w:cols>
          <w:pgMar w:left="320" w:top="122" w:right="339" w:bottom="1440" w:gutter="0" w:footer="0" w:header="0"/>
        </w:sectPr>
      </w:pPr>
    </w:p>
    <w:bookmarkStart w:id="183" w:name="page184"/>
    <w:bookmarkEnd w:id="183"/>
    <w:p>
      <w:pPr>
        <w:ind w:left="6285"/>
        <w:spacing w:after="0"/>
        <w:rPr>
          <w:sz w:val="20"/>
          <w:szCs w:val="20"/>
          <w:color w:val="auto"/>
        </w:rPr>
      </w:pPr>
      <w:r>
        <w:rPr>
          <w:rFonts w:ascii="Times New Roman" w:cs="Times New Roman" w:eastAsia="Times New Roman" w:hAnsi="Times New Roman"/>
          <w:sz w:val="22"/>
          <w:szCs w:val="22"/>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855" w:firstLine="2550"/>
        <w:spacing w:after="0" w:line="253" w:lineRule="auto"/>
        <w:tabs>
          <w:tab w:leader="none" w:pos="2146" w:val="left"/>
        </w:tabs>
        <w:numPr>
          <w:ilvl w:val="2"/>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A Non-Employee Director serving as Chairperson of the Compensation Committee of the Board (the “</w:t>
      </w:r>
      <w:r>
        <w:rPr>
          <w:rFonts w:ascii="Times New Roman" w:cs="Times New Roman" w:eastAsia="Times New Roman" w:hAnsi="Times New Roman"/>
          <w:sz w:val="22"/>
          <w:szCs w:val="22"/>
          <w:b w:val="1"/>
          <w:bCs w:val="1"/>
          <w:i w:val="1"/>
          <w:iCs w:val="1"/>
          <w:color w:val="auto"/>
        </w:rPr>
        <w:t>Compensation Committee</w:t>
      </w:r>
      <w:r>
        <w:rPr>
          <w:rFonts w:ascii="Times New Roman" w:cs="Times New Roman" w:eastAsia="Times New Roman" w:hAnsi="Times New Roman"/>
          <w:sz w:val="22"/>
          <w:szCs w:val="22"/>
          <w:color w:val="auto"/>
        </w:rPr>
        <w:t>”) shall be eligible to receive an additional annual retainer of $15,000 for such service. A Non-Employee Director serving as a member of the Compensation Committee (other than the Chairperson of the Compensation Committee) shall be eligible to receive an additional annual retainer of $7,500 for such service.</w:t>
      </w:r>
    </w:p>
    <w:p>
      <w:pPr>
        <w:spacing w:after="0" w:line="178" w:lineRule="exact"/>
        <w:rPr>
          <w:rFonts w:ascii="Times New Roman" w:cs="Times New Roman" w:eastAsia="Times New Roman" w:hAnsi="Times New Roman"/>
          <w:sz w:val="22"/>
          <w:szCs w:val="22"/>
          <w:color w:val="auto"/>
        </w:rPr>
      </w:pPr>
    </w:p>
    <w:p>
      <w:pPr>
        <w:jc w:val="both"/>
        <w:ind w:left="-855" w:firstLine="2550"/>
        <w:spacing w:after="0" w:line="253" w:lineRule="auto"/>
        <w:tabs>
          <w:tab w:leader="none" w:pos="2107" w:val="left"/>
        </w:tabs>
        <w:numPr>
          <w:ilvl w:val="2"/>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Nominating and Corporate Governance Committee</w:t>
      </w:r>
      <w:r>
        <w:rPr>
          <w:rFonts w:ascii="Times New Roman" w:cs="Times New Roman" w:eastAsia="Times New Roman" w:hAnsi="Times New Roman"/>
          <w:sz w:val="22"/>
          <w:szCs w:val="22"/>
          <w:color w:val="auto"/>
        </w:rPr>
        <w:t>. A Non-Employee Director serving as Chairperson of the Nominating and Corporate Governance Committee of the Board (the “</w:t>
      </w:r>
      <w:r>
        <w:rPr>
          <w:rFonts w:ascii="Times New Roman" w:cs="Times New Roman" w:eastAsia="Times New Roman" w:hAnsi="Times New Roman"/>
          <w:sz w:val="22"/>
          <w:szCs w:val="22"/>
          <w:b w:val="1"/>
          <w:bCs w:val="1"/>
          <w:i w:val="1"/>
          <w:iCs w:val="1"/>
          <w:color w:val="auto"/>
        </w:rPr>
        <w:t>NCG Committee</w:t>
      </w:r>
      <w:r>
        <w:rPr>
          <w:rFonts w:ascii="Times New Roman" w:cs="Times New Roman" w:eastAsia="Times New Roman" w:hAnsi="Times New Roman"/>
          <w:sz w:val="22"/>
          <w:szCs w:val="22"/>
          <w:color w:val="auto"/>
        </w:rPr>
        <w:t>”) shall be eligible to receive an additional annual retainer of $10,000 for such service. A Non-Employee Director serving as a member of the NCG Committee (other than the Chairperson of the NCG Committee) shall be eligible to receive an additional annual retainer of $5,000 for such service.</w:t>
      </w:r>
    </w:p>
    <w:p>
      <w:pPr>
        <w:spacing w:after="0" w:line="178" w:lineRule="exact"/>
        <w:rPr>
          <w:rFonts w:ascii="Times New Roman" w:cs="Times New Roman" w:eastAsia="Times New Roman" w:hAnsi="Times New Roman"/>
          <w:sz w:val="22"/>
          <w:szCs w:val="22"/>
          <w:color w:val="auto"/>
        </w:rPr>
      </w:pPr>
    </w:p>
    <w:p>
      <w:pPr>
        <w:jc w:val="both"/>
        <w:ind w:left="-855" w:firstLine="2550"/>
        <w:spacing w:after="0" w:line="252" w:lineRule="auto"/>
        <w:tabs>
          <w:tab w:leader="none" w:pos="2020" w:val="left"/>
        </w:tabs>
        <w:numPr>
          <w:ilvl w:val="2"/>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Research and Development Committee</w:t>
      </w:r>
      <w:r>
        <w:rPr>
          <w:rFonts w:ascii="Times New Roman" w:cs="Times New Roman" w:eastAsia="Times New Roman" w:hAnsi="Times New Roman"/>
          <w:sz w:val="22"/>
          <w:szCs w:val="22"/>
          <w:color w:val="auto"/>
        </w:rPr>
        <w:t>. A Non-Employee Director serving as Chairperson of the Research and Development Committee of the Board (the “</w:t>
      </w:r>
      <w:r>
        <w:rPr>
          <w:rFonts w:ascii="Times New Roman" w:cs="Times New Roman" w:eastAsia="Times New Roman" w:hAnsi="Times New Roman"/>
          <w:sz w:val="22"/>
          <w:szCs w:val="22"/>
          <w:b w:val="1"/>
          <w:bCs w:val="1"/>
          <w:i w:val="1"/>
          <w:iCs w:val="1"/>
          <w:color w:val="auto"/>
        </w:rPr>
        <w:t>R&amp;D Committee</w:t>
      </w:r>
      <w:r>
        <w:rPr>
          <w:rFonts w:ascii="Times New Roman" w:cs="Times New Roman" w:eastAsia="Times New Roman" w:hAnsi="Times New Roman"/>
          <w:sz w:val="22"/>
          <w:szCs w:val="22"/>
          <w:color w:val="auto"/>
        </w:rPr>
        <w:t>”) shall be eligible to receive an additional annual retainer of $10,000 for such service. A Non-Employee Director serving as a member of the R&amp;D Committee (other than the Chairperson of the R&amp;D Committee) shall be eligible to receive an additional annual retainer of $5,000 for such service.</w:t>
      </w:r>
    </w:p>
    <w:p>
      <w:pPr>
        <w:spacing w:after="0" w:line="192" w:lineRule="exact"/>
        <w:rPr>
          <w:rFonts w:ascii="Times New Roman" w:cs="Times New Roman" w:eastAsia="Times New Roman" w:hAnsi="Times New Roman"/>
          <w:sz w:val="22"/>
          <w:szCs w:val="22"/>
          <w:color w:val="auto"/>
        </w:rPr>
      </w:pPr>
    </w:p>
    <w:p>
      <w:pPr>
        <w:jc w:val="both"/>
        <w:ind w:left="-855" w:firstLine="1703"/>
        <w:spacing w:after="0" w:line="251" w:lineRule="auto"/>
        <w:tabs>
          <w:tab w:leader="none" w:pos="1160"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Retainers</w:t>
      </w:r>
      <w:r>
        <w:rPr>
          <w:rFonts w:ascii="Times New Roman" w:cs="Times New Roman" w:eastAsia="Times New Roman" w:hAnsi="Times New Roman"/>
          <w:sz w:val="22"/>
          <w:szCs w:val="22"/>
          <w:color w:val="auto"/>
        </w:rPr>
        <w:t>. The annual retainers described in Sections 1(a) and 1(b)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positions described in Section 1(b), for an entire calendar quarter, the retainer paid to such Non-Employee Director shall be prorated for the portion of such calendar quarter actually served as a Non-Employee Director, or in such position, as applicable.</w:t>
      </w:r>
    </w:p>
    <w:p>
      <w:pPr>
        <w:spacing w:after="0" w:line="181" w:lineRule="exact"/>
        <w:rPr>
          <w:rFonts w:ascii="Times New Roman" w:cs="Times New Roman" w:eastAsia="Times New Roman" w:hAnsi="Times New Roman"/>
          <w:sz w:val="22"/>
          <w:szCs w:val="22"/>
          <w:color w:val="auto"/>
        </w:rPr>
      </w:pPr>
    </w:p>
    <w:p>
      <w:pPr>
        <w:jc w:val="both"/>
        <w:ind w:left="-855" w:firstLine="855"/>
        <w:spacing w:after="0" w:line="248" w:lineRule="auto"/>
        <w:tabs>
          <w:tab w:leader="none" w:pos="221"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Compensation</w:t>
      </w:r>
      <w:r>
        <w:rPr>
          <w:rFonts w:ascii="Times New Roman" w:cs="Times New Roman" w:eastAsia="Times New Roman" w:hAnsi="Times New Roman"/>
          <w:sz w:val="22"/>
          <w:szCs w:val="22"/>
          <w:color w:val="auto"/>
        </w:rPr>
        <w:t>. Non-Employee Directors shall be granted the equity awards described below. Each award described below shall be granted under and shall be subject to the terms and provisions of the Company’s 2023 Stock Incentive Plan, as amended, or any other successor Company equity incentive plan under which awards are permitted to be made to Non-Employee Directors (the “</w:t>
      </w:r>
      <w:r>
        <w:rPr>
          <w:rFonts w:ascii="Times New Roman" w:cs="Times New Roman" w:eastAsia="Times New Roman" w:hAnsi="Times New Roman"/>
          <w:sz w:val="22"/>
          <w:szCs w:val="22"/>
          <w:b w:val="1"/>
          <w:bCs w:val="1"/>
          <w:i w:val="1"/>
          <w:iCs w:val="1"/>
          <w:color w:val="auto"/>
        </w:rPr>
        <w:t>Equity Plan</w:t>
      </w:r>
      <w:r>
        <w:rPr>
          <w:rFonts w:ascii="Times New Roman" w:cs="Times New Roman" w:eastAsia="Times New Roman" w:hAnsi="Times New Roman"/>
          <w:sz w:val="22"/>
          <w:szCs w:val="22"/>
          <w:color w:val="auto"/>
        </w:rPr>
        <w:t>”) and (i) for option awards, a non-qualified stock option award agreement, including attached exhibits, in substantially the form of award agreement applicable to Non-Employee Directors most recently approved by the Board and/or the Compensation Committee, as applicable, and (ii) for restricted stock unit awards, a restricted stock unit award agreement, including attached exhibits, in substantially the form of award agreement applicable to Non-Employee Directors most recently approved by the Board and/or the Compensation Committee, as applicable. All applicable terms of the Equity Plan apply to this Program as if fully set forth herein. For the avoidance of doubt, if there is any conflict between the terms of the Equity Plan (including the applicable award agreements thereunder) and this Program, the Equity Plan (including the applicable award agreements thereunder) shall control.</w:t>
      </w:r>
    </w:p>
    <w:p>
      <w:pPr>
        <w:sectPr>
          <w:pgSz w:w="11900" w:h="16838" w:orient="portrait"/>
          <w:cols w:equalWidth="0" w:num="1">
            <w:col w:w="10385"/>
          </w:cols>
          <w:pgMar w:left="1175" w:top="122" w:right="339" w:bottom="1440" w:gutter="0" w:footer="0" w:header="0"/>
        </w:sectPr>
      </w:pPr>
    </w:p>
    <w:bookmarkStart w:id="184" w:name="page185"/>
    <w:bookmarkEnd w:id="184"/>
    <w:p>
      <w:pPr>
        <w:ind w:left="6020"/>
        <w:spacing w:after="0"/>
        <w:rPr>
          <w:sz w:val="20"/>
          <w:szCs w:val="20"/>
          <w:color w:val="auto"/>
        </w:rPr>
      </w:pPr>
      <w:r>
        <w:rPr>
          <w:rFonts w:ascii="Times New Roman" w:cs="Times New Roman" w:eastAsia="Times New Roman" w:hAnsi="Times New Roman"/>
          <w:sz w:val="22"/>
          <w:szCs w:val="22"/>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1120" w:firstLine="1703"/>
        <w:spacing w:after="0" w:line="256" w:lineRule="auto"/>
        <w:tabs>
          <w:tab w:leader="none" w:pos="88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Awards</w:t>
      </w:r>
      <w:r>
        <w:rPr>
          <w:rFonts w:ascii="Times New Roman" w:cs="Times New Roman" w:eastAsia="Times New Roman" w:hAnsi="Times New Roman"/>
          <w:sz w:val="22"/>
          <w:szCs w:val="22"/>
          <w:color w:val="auto"/>
        </w:rPr>
        <w:t>. Each Non-Employee Director who is initially elected or appointed to the Board after the Effective Date shall be eligible to receive, on the date of such initial election or appointment, an option to purchase 214,400 shares of the Company’s common stock (subject to adjustment as provided in the Equity Plan). The awards described in this Section 2(a) shall be referred to as “</w:t>
      </w:r>
      <w:r>
        <w:rPr>
          <w:rFonts w:ascii="Times New Roman" w:cs="Times New Roman" w:eastAsia="Times New Roman" w:hAnsi="Times New Roman"/>
          <w:sz w:val="22"/>
          <w:szCs w:val="22"/>
          <w:b w:val="1"/>
          <w:bCs w:val="1"/>
          <w:i w:val="1"/>
          <w:iCs w:val="1"/>
          <w:color w:val="auto"/>
        </w:rPr>
        <w:t>Initial Awards</w:t>
      </w:r>
      <w:r>
        <w:rPr>
          <w:rFonts w:ascii="Times New Roman" w:cs="Times New Roman" w:eastAsia="Times New Roman" w:hAnsi="Times New Roman"/>
          <w:sz w:val="22"/>
          <w:szCs w:val="22"/>
          <w:color w:val="auto"/>
        </w:rPr>
        <w:t>.” No Non-Employee Director shall be granted more than one Initial Award.</w:t>
      </w:r>
    </w:p>
    <w:p>
      <w:pPr>
        <w:spacing w:after="0" w:line="176" w:lineRule="exact"/>
        <w:rPr>
          <w:rFonts w:ascii="Times New Roman" w:cs="Times New Roman" w:eastAsia="Times New Roman" w:hAnsi="Times New Roman"/>
          <w:sz w:val="22"/>
          <w:szCs w:val="22"/>
          <w:color w:val="auto"/>
        </w:rPr>
      </w:pPr>
    </w:p>
    <w:p>
      <w:pPr>
        <w:jc w:val="both"/>
        <w:ind w:left="-1120" w:firstLine="1703"/>
        <w:spacing w:after="0" w:line="247" w:lineRule="auto"/>
        <w:tabs>
          <w:tab w:leader="none" w:pos="89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Subsequent Awards</w:t>
      </w:r>
      <w:r>
        <w:rPr>
          <w:rFonts w:ascii="Times New Roman" w:cs="Times New Roman" w:eastAsia="Times New Roman" w:hAnsi="Times New Roman"/>
          <w:sz w:val="22"/>
          <w:szCs w:val="22"/>
          <w:color w:val="auto"/>
        </w:rPr>
        <w:t>. A Non-Employee Director who (i) has been serving on the Board for at least six months as of the date of any annual meeting of the Company’s stockholders after the Effective Date and (ii) will continue to serve as a Non-Employee Director immediately following such meeting, shall be automatically granted, on the date of such annual meeting, an option to purchase 53,600 shares of the Company’s common stock (subject to adjustment as provided in the Equity Plan) and 35,700 restricted stock units of the Company. The option awards described in this Section 2(b) shall be referred to as “</w:t>
      </w:r>
      <w:r>
        <w:rPr>
          <w:rFonts w:ascii="Times New Roman" w:cs="Times New Roman" w:eastAsia="Times New Roman" w:hAnsi="Times New Roman"/>
          <w:sz w:val="22"/>
          <w:szCs w:val="22"/>
          <w:b w:val="1"/>
          <w:bCs w:val="1"/>
          <w:i w:val="1"/>
          <w:iCs w:val="1"/>
          <w:color w:val="auto"/>
        </w:rPr>
        <w:t>Subsequent Options</w:t>
      </w:r>
      <w:r>
        <w:rPr>
          <w:rFonts w:ascii="Times New Roman" w:cs="Times New Roman" w:eastAsia="Times New Roman" w:hAnsi="Times New Roman"/>
          <w:sz w:val="22"/>
          <w:szCs w:val="22"/>
          <w:color w:val="auto"/>
        </w:rPr>
        <w:t>”, the restricted stock unit awards described in this Section 2(b) shall be referred to as “</w:t>
      </w:r>
      <w:r>
        <w:rPr>
          <w:rFonts w:ascii="Times New Roman" w:cs="Times New Roman" w:eastAsia="Times New Roman" w:hAnsi="Times New Roman"/>
          <w:sz w:val="22"/>
          <w:szCs w:val="22"/>
          <w:b w:val="1"/>
          <w:bCs w:val="1"/>
          <w:i w:val="1"/>
          <w:iCs w:val="1"/>
          <w:color w:val="auto"/>
        </w:rPr>
        <w:t>Subsequent RSUs</w:t>
      </w:r>
      <w:r>
        <w:rPr>
          <w:rFonts w:ascii="Times New Roman" w:cs="Times New Roman" w:eastAsia="Times New Roman" w:hAnsi="Times New Roman"/>
          <w:sz w:val="22"/>
          <w:szCs w:val="22"/>
          <w:color w:val="auto"/>
        </w:rPr>
        <w:t>”, and the Subsequent Options and Subsequent RSUs shall together be referred to as the “</w:t>
      </w:r>
      <w:r>
        <w:rPr>
          <w:rFonts w:ascii="Times New Roman" w:cs="Times New Roman" w:eastAsia="Times New Roman" w:hAnsi="Times New Roman"/>
          <w:sz w:val="22"/>
          <w:szCs w:val="22"/>
          <w:b w:val="1"/>
          <w:bCs w:val="1"/>
          <w:i w:val="1"/>
          <w:iCs w:val="1"/>
          <w:color w:val="auto"/>
        </w:rPr>
        <w:t>Subsequent Awards</w:t>
      </w:r>
      <w:r>
        <w:rPr>
          <w:rFonts w:ascii="Times New Roman" w:cs="Times New Roman" w:eastAsia="Times New Roman" w:hAnsi="Times New Roman"/>
          <w:sz w:val="22"/>
          <w:szCs w:val="22"/>
          <w:color w:val="auto"/>
        </w:rPr>
        <w:t>.” For the avoidance of doubt, a Non-Employee Director elected for the first time to the Board at an annual meeting of the Company’s stockholders shall only receive an Initial Award in connection with such election, and shall not receive any Subsequent Awards on the date of such meeting as well.</w:t>
      </w:r>
    </w:p>
    <w:p>
      <w:pPr>
        <w:spacing w:after="0" w:line="204" w:lineRule="exact"/>
        <w:rPr>
          <w:rFonts w:ascii="Times New Roman" w:cs="Times New Roman" w:eastAsia="Times New Roman" w:hAnsi="Times New Roman"/>
          <w:sz w:val="22"/>
          <w:szCs w:val="22"/>
          <w:color w:val="auto"/>
        </w:rPr>
      </w:pPr>
    </w:p>
    <w:p>
      <w:pPr>
        <w:jc w:val="both"/>
        <w:ind w:left="-1120" w:firstLine="1703"/>
        <w:spacing w:after="0" w:line="250" w:lineRule="auto"/>
        <w:tabs>
          <w:tab w:leader="none" w:pos="90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Service of Employee Directors</w:t>
      </w:r>
      <w:r>
        <w:rPr>
          <w:rFonts w:ascii="Times New Roman" w:cs="Times New Roman" w:eastAsia="Times New Roman" w:hAnsi="Times New Roman"/>
          <w:sz w:val="22"/>
          <w:szCs w:val="22"/>
          <w:color w:val="auto"/>
        </w:rPr>
        <w:t>. Members of the Board who are employees of the Company or any parent or subsidiary of the Company who subsequently terminate their service with the Company and any parent or subsidiary of the Company and remain on the Board will not receive an Initial Award pursuant to Section 2(a) above, but to the extent that they are otherwise eligible, will be eligible to receive, after termination from service with the Company and any parent or subsidiary of the Company, Subsequent Awards as described in Section 2(b) above.</w:t>
      </w:r>
    </w:p>
    <w:p>
      <w:pPr>
        <w:spacing w:after="0" w:line="194" w:lineRule="exact"/>
        <w:rPr>
          <w:rFonts w:ascii="Times New Roman" w:cs="Times New Roman" w:eastAsia="Times New Roman" w:hAnsi="Times New Roman"/>
          <w:sz w:val="22"/>
          <w:szCs w:val="22"/>
          <w:color w:val="auto"/>
        </w:rPr>
      </w:pPr>
    </w:p>
    <w:p>
      <w:pPr>
        <w:ind w:left="880" w:hanging="297"/>
        <w:spacing w:after="0"/>
        <w:tabs>
          <w:tab w:leader="none" w:pos="88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of Awards Granted to Non-Employee Directors.</w:t>
      </w:r>
    </w:p>
    <w:p>
      <w:pPr>
        <w:spacing w:after="0" w:line="219" w:lineRule="exact"/>
        <w:rPr>
          <w:rFonts w:ascii="Times New Roman" w:cs="Times New Roman" w:eastAsia="Times New Roman" w:hAnsi="Times New Roman"/>
          <w:sz w:val="22"/>
          <w:szCs w:val="22"/>
          <w:color w:val="auto"/>
        </w:rPr>
      </w:pPr>
    </w:p>
    <w:p>
      <w:pPr>
        <w:jc w:val="both"/>
        <w:ind w:left="-1120" w:firstLine="2550"/>
        <w:spacing w:after="0" w:line="257" w:lineRule="auto"/>
        <w:tabs>
          <w:tab w:leader="none" w:pos="168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The per share exercise price of each option granted to a Non-Employee Director shall equal the fair market value (as determined pursuant to the Equity Plan) of a share of the Company’s common stock on the date the option is granted.</w:t>
      </w:r>
    </w:p>
    <w:p>
      <w:pPr>
        <w:spacing w:after="0" w:line="172" w:lineRule="exact"/>
        <w:rPr>
          <w:rFonts w:ascii="Times New Roman" w:cs="Times New Roman" w:eastAsia="Times New Roman" w:hAnsi="Times New Roman"/>
          <w:sz w:val="22"/>
          <w:szCs w:val="22"/>
          <w:color w:val="auto"/>
        </w:rPr>
      </w:pPr>
    </w:p>
    <w:p>
      <w:pPr>
        <w:jc w:val="both"/>
        <w:ind w:left="-1120" w:firstLine="2550"/>
        <w:spacing w:after="0" w:line="250" w:lineRule="auto"/>
        <w:tabs>
          <w:tab w:leader="none" w:pos="174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Each Initial Award shall vest and become exercisable in accordance with the following schedule, subject to the Non-Employee Director remaining in continuous employment or other service relationship with the Company (“</w:t>
      </w:r>
      <w:r>
        <w:rPr>
          <w:rFonts w:ascii="Times New Roman" w:cs="Times New Roman" w:eastAsia="Times New Roman" w:hAnsi="Times New Roman"/>
          <w:sz w:val="22"/>
          <w:szCs w:val="22"/>
          <w:b w:val="1"/>
          <w:bCs w:val="1"/>
          <w:i w:val="1"/>
          <w:iCs w:val="1"/>
          <w:color w:val="auto"/>
        </w:rPr>
        <w:t>Service</w:t>
      </w:r>
      <w:r>
        <w:rPr>
          <w:rFonts w:ascii="Times New Roman" w:cs="Times New Roman" w:eastAsia="Times New Roman" w:hAnsi="Times New Roman"/>
          <w:sz w:val="22"/>
          <w:szCs w:val="22"/>
          <w:color w:val="auto"/>
        </w:rPr>
        <w:t>”) through each such vesting date: 33 1/3% of the Initial Award shall vest on the one-year anniversary of the date of grant and 66 2/3% shall vest ratably on the first day of each calendar quarter between the one-year anniversary of the date of grant and the third anniversary of the date of grant. Each Subsequent Option shall vest and become exercisable in full on the first anniversary of the date of grant (or, if earlier, immediately prior to the first annual meeting of the Company’s stockholders occurring after the date of grant), subject to the Non-Employee Director remaining in continuous Service through such vesting date. Each Subsequent RSU shall vest in full on the first anniversary of the date of grant (or, if earlier, immediately prior to the first annual meeting</w:t>
      </w:r>
    </w:p>
    <w:p>
      <w:pPr>
        <w:sectPr>
          <w:pgSz w:w="11900" w:h="16838" w:orient="portrait"/>
          <w:cols w:equalWidth="0" w:num="1">
            <w:col w:w="10120"/>
          </w:cols>
          <w:pgMar w:left="1440" w:top="122" w:right="339" w:bottom="1440" w:gutter="0" w:footer="0" w:header="0"/>
        </w:sectPr>
      </w:pPr>
    </w:p>
    <w:bookmarkStart w:id="185" w:name="page186"/>
    <w:bookmarkEnd w:id="185"/>
    <w:p>
      <w:pPr>
        <w:ind w:left="7140"/>
        <w:spacing w:after="0"/>
        <w:rPr>
          <w:sz w:val="20"/>
          <w:szCs w:val="20"/>
          <w:color w:val="auto"/>
        </w:rPr>
      </w:pPr>
      <w:r>
        <w:rPr>
          <w:rFonts w:ascii="Times New Roman" w:cs="Times New Roman" w:eastAsia="Times New Roman" w:hAnsi="Times New Roman"/>
          <w:sz w:val="22"/>
          <w:szCs w:val="22"/>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of the Company’s stockholders occurring after the date of grant), subject to the Non-Employee Director remaining in continuous Service through such vesting date. Each Initial Award and Subsequent Award that is then-outstanding shall vest and become exercisable in full upon a change in control of the Company or termination of the Non-Employee Director’s Service due to the Non-Employee Director’s death or Disability. For purposes of the Program, “</w:t>
      </w:r>
      <w:r>
        <w:rPr>
          <w:rFonts w:ascii="Times New Roman" w:cs="Times New Roman" w:eastAsia="Times New Roman" w:hAnsi="Times New Roman"/>
          <w:sz w:val="21"/>
          <w:szCs w:val="21"/>
          <w:b w:val="1"/>
          <w:bCs w:val="1"/>
          <w:i w:val="1"/>
          <w:iCs w:val="1"/>
          <w:color w:val="auto"/>
        </w:rPr>
        <w:t>Disability</w:t>
      </w:r>
      <w:r>
        <w:rPr>
          <w:rFonts w:ascii="Times New Roman" w:cs="Times New Roman" w:eastAsia="Times New Roman" w:hAnsi="Times New Roman"/>
          <w:sz w:val="21"/>
          <w:szCs w:val="21"/>
          <w:color w:val="auto"/>
        </w:rPr>
        <w:t>” means Executive’s inability by reason of physical or mental impairment to perform his/her job duties for a period exceeding twelve (12) consecutive weeks.</w:t>
      </w:r>
    </w:p>
    <w:p>
      <w:pPr>
        <w:spacing w:after="0" w:line="164" w:lineRule="exact"/>
        <w:rPr>
          <w:sz w:val="20"/>
          <w:szCs w:val="20"/>
          <w:color w:val="auto"/>
        </w:rPr>
      </w:pPr>
    </w:p>
    <w:p>
      <w:pPr>
        <w:ind w:right="20" w:firstLine="2550"/>
        <w:spacing w:after="0" w:line="271" w:lineRule="auto"/>
        <w:tabs>
          <w:tab w:leader="none" w:pos="2934"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of each option granted to a Non-Employee Director shall be ten (10) years from the date the option is granted.</w:t>
      </w:r>
    </w:p>
    <w:p>
      <w:pPr>
        <w:spacing w:after="0" w:line="184" w:lineRule="exact"/>
        <w:rPr>
          <w:rFonts w:ascii="Times New Roman" w:cs="Times New Roman" w:eastAsia="Times New Roman" w:hAnsi="Times New Roman"/>
          <w:sz w:val="22"/>
          <w:szCs w:val="22"/>
          <w:color w:val="auto"/>
        </w:rPr>
      </w:pPr>
    </w:p>
    <w:p>
      <w:pPr>
        <w:jc w:val="both"/>
        <w:ind w:firstLine="855"/>
        <w:spacing w:after="0" w:line="263" w:lineRule="auto"/>
        <w:tabs>
          <w:tab w:leader="none" w:pos="1157"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Non-Employee Director Compensation Limit</w:t>
      </w:r>
      <w:r>
        <w:rPr>
          <w:rFonts w:ascii="Times New Roman" w:cs="Times New Roman" w:eastAsia="Times New Roman" w:hAnsi="Times New Roman"/>
          <w:sz w:val="22"/>
          <w:szCs w:val="22"/>
          <w:color w:val="auto"/>
        </w:rPr>
        <w:t>. Notwithstanding anything herein to the contrary, the cash compensation and equity compensation that each Non-Employee Director is entitled to receive under this Program shall be subject to any limits set forth in the applicable Equity Plan with respect to limits on awards to Non-Employee Directors.</w:t>
      </w:r>
    </w:p>
    <w:p>
      <w:pPr>
        <w:spacing w:after="0" w:line="194" w:lineRule="exact"/>
        <w:rPr>
          <w:rFonts w:ascii="Times New Roman" w:cs="Times New Roman" w:eastAsia="Times New Roman" w:hAnsi="Times New Roman"/>
          <w:sz w:val="22"/>
          <w:szCs w:val="22"/>
          <w:color w:val="auto"/>
        </w:rPr>
      </w:pPr>
    </w:p>
    <w:p>
      <w:pPr>
        <w:jc w:val="both"/>
        <w:ind w:firstLine="855"/>
        <w:spacing w:after="0" w:line="262" w:lineRule="auto"/>
        <w:tabs>
          <w:tab w:leader="none" w:pos="1063"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Reimbursements</w:t>
      </w:r>
      <w:r>
        <w:rPr>
          <w:rFonts w:ascii="Times New Roman" w:cs="Times New Roman" w:eastAsia="Times New Roman" w:hAnsi="Times New Roman"/>
          <w:sz w:val="21"/>
          <w:szCs w:val="21"/>
          <w:color w:val="auto"/>
        </w:rPr>
        <w:t>. The Company shall reimburse each Non-Employee Director for all reasonable, documented, out-of-pocket travel and other business expenses incurred by such Non-Employee Director in the performance of such Non-Employee Director’s duties to the Company in accordance with the Company’s applicable expense reimbursement policies and procedures, as in effect from time to time. To the extent that any reimbursement under this Program provides for a deferral of compensation under Section 409A of the Internal Revenue Code of 1986, as amended: (a) the amount eligible for reimbursement in one calendar year may not affect the amount eligible for reimbursement in any other calendar year; (b) the right to reimbursement is not subject to liquidation or exchange for another benefit; and (c) any such reimbursement of an expense must be made on or before the last day of the calendar year following the calendar year in which the expense was incurred.</w:t>
      </w:r>
    </w:p>
    <w:p>
      <w:pPr>
        <w:sectPr>
          <w:pgSz w:w="11900" w:h="16838" w:orient="portrait"/>
          <w:cols w:equalWidth="0" w:num="1">
            <w:col w:w="11240"/>
          </w:cols>
          <w:pgMar w:left="320" w:top="122"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22"/>
          <w:szCs w:val="22"/>
          <w:b w:val="1"/>
          <w:bCs w:val="1"/>
          <w:color w:val="auto"/>
        </w:rPr>
        <w:t>Exhibit 10.78</w:t>
      </w:r>
    </w:p>
    <w:p>
      <w:pPr>
        <w:spacing w:after="0" w:line="2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2"/>
          <w:szCs w:val="22"/>
          <w:color w:val="auto"/>
        </w:rPr>
        <w:t>Certain identified information has been excluded from the exhibit because it is both (i) not material and (ii) is the type of</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information that the registrant treats as private or confidential. Double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WHITBY PRODUCT AGREEMENT (Ferric Citrate IR Tablets)</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This Product Agreement (this “</w:t>
      </w:r>
      <w:r>
        <w:rPr>
          <w:rFonts w:ascii="Times New Roman" w:cs="Times New Roman" w:eastAsia="Times New Roman" w:hAnsi="Times New Roman"/>
          <w:sz w:val="22"/>
          <w:szCs w:val="22"/>
          <w:b w:val="1"/>
          <w:bCs w:val="1"/>
          <w:color w:val="auto"/>
        </w:rPr>
        <w:t>Product Agreement</w:t>
      </w:r>
      <w:r>
        <w:rPr>
          <w:rFonts w:ascii="Times New Roman" w:cs="Times New Roman" w:eastAsia="Times New Roman" w:hAnsi="Times New Roman"/>
          <w:sz w:val="22"/>
          <w:szCs w:val="22"/>
          <w:color w:val="auto"/>
        </w:rPr>
        <w:t xml:space="preserve">”) is issued under the Master Manufacturing Services Agreement dated </w:t>
      </w:r>
      <w:r>
        <w:rPr>
          <w:rFonts w:ascii="Times New Roman" w:cs="Times New Roman" w:eastAsia="Times New Roman" w:hAnsi="Times New Roman"/>
          <w:sz w:val="22"/>
          <w:szCs w:val="22"/>
          <w:b w:val="1"/>
          <w:bCs w:val="1"/>
          <w:color w:val="auto"/>
        </w:rPr>
        <w:t>September 27, 2016</w:t>
      </w:r>
      <w:r>
        <w:rPr>
          <w:rFonts w:ascii="Times New Roman" w:cs="Times New Roman" w:eastAsia="Times New Roman" w:hAnsi="Times New Roman"/>
          <w:sz w:val="22"/>
          <w:szCs w:val="22"/>
          <w:color w:val="auto"/>
        </w:rPr>
        <w:t xml:space="preserve"> between Patheon Manufacturing Services LLC and Keryx BioPharmaceuticals, Inc. (the “</w:t>
      </w:r>
      <w:r>
        <w:rPr>
          <w:rFonts w:ascii="Times New Roman" w:cs="Times New Roman" w:eastAsia="Times New Roman" w:hAnsi="Times New Roman"/>
          <w:sz w:val="22"/>
          <w:szCs w:val="22"/>
          <w:b w:val="1"/>
          <w:bCs w:val="1"/>
          <w:color w:val="auto"/>
        </w:rPr>
        <w:t>Master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and is entered into</w:t>
      </w:r>
      <w:r>
        <w:rPr>
          <w:rFonts w:ascii="Times New Roman" w:cs="Times New Roman" w:eastAsia="Times New Roman" w:hAnsi="Times New Roman"/>
          <w:sz w:val="22"/>
          <w:szCs w:val="22"/>
          <w:b w:val="1"/>
          <w:bCs w:val="1"/>
          <w:color w:val="auto"/>
        </w:rPr>
        <w:t xml:space="preserve"> August 29, 2017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between Patheon Inc., a Canadian corporation, having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place of business at [**] (“</w:t>
      </w:r>
      <w:r>
        <w:rPr>
          <w:rFonts w:ascii="Times New Roman" w:cs="Times New Roman" w:eastAsia="Times New Roman" w:hAnsi="Times New Roman"/>
          <w:sz w:val="22"/>
          <w:szCs w:val="22"/>
          <w:b w:val="1"/>
          <w:bCs w:val="1"/>
          <w:color w:val="auto"/>
        </w:rPr>
        <w:t>Patheon”)</w:t>
      </w:r>
      <w:r>
        <w:rPr>
          <w:rFonts w:ascii="Times New Roman" w:cs="Times New Roman" w:eastAsia="Times New Roman" w:hAnsi="Times New Roman"/>
          <w:sz w:val="22"/>
          <w:szCs w:val="22"/>
          <w:color w:val="auto"/>
        </w:rPr>
        <w:t xml:space="preserve"> and Keryx BioPharmaceuticals, Inc., a corporation existing under the laws of Delaware, having a principal place of business at One Marina Park Drive, 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 Boston, MA 02210 (“</w:t>
      </w:r>
      <w:r>
        <w:rPr>
          <w:rFonts w:ascii="Times New Roman" w:cs="Times New Roman" w:eastAsia="Times New Roman" w:hAnsi="Times New Roman"/>
          <w:sz w:val="22"/>
          <w:szCs w:val="22"/>
          <w:b w:val="1"/>
          <w:bCs w:val="1"/>
          <w:color w:val="auto"/>
        </w:rPr>
        <w:t>Client</w:t>
      </w:r>
      <w:r>
        <w:rPr>
          <w:rFonts w:ascii="Times New Roman" w:cs="Times New Roman" w:eastAsia="Times New Roman" w:hAnsi="Times New Roman"/>
          <w:sz w:val="22"/>
          <w:szCs w:val="22"/>
          <w:color w:val="auto"/>
        </w:rPr>
        <w:t>”).</w:t>
      </w:r>
    </w:p>
    <w:p>
      <w:pPr>
        <w:spacing w:after="0" w:line="7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terms and conditions of the Master Agreement are incorporated herein except to the extent this Product Agreement expressly references the specific provision in the Master Agreement to be modified by this Product Agreement. All capitalized terms that are used but not defined in this Product Agreement will have the respective meanings given to them in the Master Agreement.</w:t>
      </w:r>
    </w:p>
    <w:p>
      <w:pPr>
        <w:spacing w:after="0" w:line="17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Schedules to this Product Agreement are incorporated into and will be construed in accordance with the terms of this Product Agreement.</w:t>
      </w:r>
    </w:p>
    <w:p>
      <w:pPr>
        <w:spacing w:after="0" w:line="140" w:lineRule="exact"/>
        <w:rPr>
          <w:sz w:val="20"/>
          <w:szCs w:val="20"/>
          <w:color w:val="auto"/>
        </w:rPr>
      </w:pPr>
    </w:p>
    <w:p>
      <w:pPr>
        <w:ind w:left="660" w:hanging="409"/>
        <w:spacing w:after="0"/>
        <w:tabs>
          <w:tab w:leader="none" w:pos="66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Product List and Specifications: </w:t>
      </w:r>
      <w:r>
        <w:rPr>
          <w:rFonts w:ascii="Times New Roman" w:cs="Times New Roman" w:eastAsia="Times New Roman" w:hAnsi="Times New Roman"/>
          <w:sz w:val="22"/>
          <w:szCs w:val="22"/>
          <w:color w:val="auto"/>
        </w:rPr>
        <w:t>(See Schedule A attached hereto)</w:t>
      </w:r>
    </w:p>
    <w:p>
      <w:pPr>
        <w:spacing w:after="0" w:line="179" w:lineRule="exact"/>
        <w:rPr>
          <w:rFonts w:ascii="Times New Roman" w:cs="Times New Roman" w:eastAsia="Times New Roman" w:hAnsi="Times New Roman"/>
          <w:sz w:val="22"/>
          <w:szCs w:val="22"/>
          <w:b w:val="1"/>
          <w:bCs w:val="1"/>
          <w:color w:val="auto"/>
        </w:rPr>
      </w:pPr>
    </w:p>
    <w:p>
      <w:pPr>
        <w:ind w:left="660" w:hanging="409"/>
        <w:spacing w:after="0"/>
        <w:tabs>
          <w:tab w:leader="none" w:pos="66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Minimum Order Quantity, Annual Volume, and Price: </w:t>
      </w:r>
      <w:r>
        <w:rPr>
          <w:rFonts w:ascii="Times New Roman" w:cs="Times New Roman" w:eastAsia="Times New Roman" w:hAnsi="Times New Roman"/>
          <w:sz w:val="22"/>
          <w:szCs w:val="22"/>
          <w:color w:val="auto"/>
        </w:rPr>
        <w:t>(See Schedule B attached hereto)</w:t>
      </w:r>
    </w:p>
    <w:p>
      <w:pPr>
        <w:spacing w:after="0" w:line="179" w:lineRule="exact"/>
        <w:rPr>
          <w:rFonts w:ascii="Times New Roman" w:cs="Times New Roman" w:eastAsia="Times New Roman" w:hAnsi="Times New Roman"/>
          <w:sz w:val="22"/>
          <w:szCs w:val="22"/>
          <w:b w:val="1"/>
          <w:bCs w:val="1"/>
          <w:color w:val="auto"/>
        </w:rPr>
      </w:pPr>
    </w:p>
    <w:p>
      <w:pPr>
        <w:ind w:left="660" w:hanging="409"/>
        <w:spacing w:after="0"/>
        <w:tabs>
          <w:tab w:leader="none" w:pos="66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Annual Stability Testing and Validation Activities (if applicable): </w:t>
      </w:r>
      <w:r>
        <w:rPr>
          <w:rFonts w:ascii="Times New Roman" w:cs="Times New Roman" w:eastAsia="Times New Roman" w:hAnsi="Times New Roman"/>
          <w:sz w:val="22"/>
          <w:szCs w:val="22"/>
          <w:color w:val="auto"/>
        </w:rPr>
        <w:t>(See Schedule C attached hereto)</w:t>
      </w:r>
    </w:p>
    <w:p>
      <w:pPr>
        <w:spacing w:after="0" w:line="179" w:lineRule="exact"/>
        <w:rPr>
          <w:rFonts w:ascii="Times New Roman" w:cs="Times New Roman" w:eastAsia="Times New Roman" w:hAnsi="Times New Roman"/>
          <w:sz w:val="22"/>
          <w:szCs w:val="22"/>
          <w:b w:val="1"/>
          <w:bCs w:val="1"/>
          <w:color w:val="auto"/>
        </w:rPr>
      </w:pPr>
    </w:p>
    <w:p>
      <w:pPr>
        <w:ind w:left="660" w:hanging="409"/>
        <w:spacing w:after="0"/>
        <w:tabs>
          <w:tab w:leader="none" w:pos="66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Active Materials, Active Materials Credit Value, and Maximum Credit Value: </w:t>
      </w:r>
      <w:r>
        <w:rPr>
          <w:rFonts w:ascii="Times New Roman" w:cs="Times New Roman" w:eastAsia="Times New Roman" w:hAnsi="Times New Roman"/>
          <w:sz w:val="22"/>
          <w:szCs w:val="22"/>
          <w:color w:val="auto"/>
        </w:rPr>
        <w:t>(See Schedule D attached hereto)</w:t>
      </w:r>
    </w:p>
    <w:p>
      <w:pPr>
        <w:spacing w:after="0" w:line="179" w:lineRule="exact"/>
        <w:rPr>
          <w:rFonts w:ascii="Times New Roman" w:cs="Times New Roman" w:eastAsia="Times New Roman" w:hAnsi="Times New Roman"/>
          <w:sz w:val="22"/>
          <w:szCs w:val="22"/>
          <w:b w:val="1"/>
          <w:bCs w:val="1"/>
          <w:color w:val="auto"/>
        </w:rPr>
      </w:pPr>
    </w:p>
    <w:p>
      <w:pPr>
        <w:ind w:left="660" w:hanging="409"/>
        <w:spacing w:after="0"/>
        <w:tabs>
          <w:tab w:leader="none" w:pos="66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Client Supply Chain Inventory Documentation Requirements: </w:t>
      </w:r>
      <w:r>
        <w:rPr>
          <w:rFonts w:ascii="Times New Roman" w:cs="Times New Roman" w:eastAsia="Times New Roman" w:hAnsi="Times New Roman"/>
          <w:sz w:val="22"/>
          <w:szCs w:val="22"/>
          <w:color w:val="auto"/>
        </w:rPr>
        <w:t>(See Schedule E attached hereto)</w:t>
      </w:r>
    </w:p>
    <w:p>
      <w:pPr>
        <w:spacing w:after="0" w:line="179" w:lineRule="exact"/>
        <w:rPr>
          <w:rFonts w:ascii="Times New Roman" w:cs="Times New Roman" w:eastAsia="Times New Roman" w:hAnsi="Times New Roman"/>
          <w:sz w:val="22"/>
          <w:szCs w:val="22"/>
          <w:b w:val="1"/>
          <w:bCs w:val="1"/>
          <w:color w:val="auto"/>
        </w:rPr>
      </w:pPr>
    </w:p>
    <w:p>
      <w:pPr>
        <w:ind w:left="660" w:hanging="409"/>
        <w:spacing w:after="0"/>
        <w:tabs>
          <w:tab w:leader="none" w:pos="66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Yearly Forecasted Volume: </w:t>
      </w:r>
      <w:r>
        <w:rPr>
          <w:rFonts w:ascii="Times New Roman" w:cs="Times New Roman" w:eastAsia="Times New Roman" w:hAnsi="Times New Roman"/>
          <w:sz w:val="22"/>
          <w:szCs w:val="22"/>
          <w:color w:val="auto"/>
        </w:rPr>
        <w:t>Not applicable</w:t>
      </w:r>
    </w:p>
    <w:p>
      <w:pPr>
        <w:spacing w:after="0" w:line="179" w:lineRule="exact"/>
        <w:rPr>
          <w:rFonts w:ascii="Times New Roman" w:cs="Times New Roman" w:eastAsia="Times New Roman" w:hAnsi="Times New Roman"/>
          <w:sz w:val="22"/>
          <w:szCs w:val="22"/>
          <w:b w:val="1"/>
          <w:bCs w:val="1"/>
          <w:color w:val="auto"/>
        </w:rPr>
      </w:pPr>
    </w:p>
    <w:p>
      <w:pPr>
        <w:ind w:left="660" w:hanging="409"/>
        <w:spacing w:after="0"/>
        <w:tabs>
          <w:tab w:leader="none" w:pos="66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Territory: </w:t>
      </w:r>
      <w:r>
        <w:rPr>
          <w:rFonts w:ascii="Times New Roman" w:cs="Times New Roman" w:eastAsia="Times New Roman" w:hAnsi="Times New Roman"/>
          <w:sz w:val="22"/>
          <w:szCs w:val="22"/>
          <w:color w:val="auto"/>
        </w:rPr>
        <w:t>USA, Europe, Canada</w:t>
      </w:r>
    </w:p>
    <w:p>
      <w:pPr>
        <w:spacing w:after="0" w:line="179" w:lineRule="exact"/>
        <w:rPr>
          <w:rFonts w:ascii="Times New Roman" w:cs="Times New Roman" w:eastAsia="Times New Roman" w:hAnsi="Times New Roman"/>
          <w:sz w:val="22"/>
          <w:szCs w:val="22"/>
          <w:b w:val="1"/>
          <w:bCs w:val="1"/>
          <w:color w:val="auto"/>
        </w:rPr>
      </w:pPr>
    </w:p>
    <w:p>
      <w:pPr>
        <w:ind w:left="660" w:hanging="409"/>
        <w:spacing w:after="0"/>
        <w:tabs>
          <w:tab w:leader="none" w:pos="66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Manufacturing Site</w:t>
      </w:r>
      <w:r>
        <w:rPr>
          <w:rFonts w:ascii="Times New Roman" w:cs="Times New Roman" w:eastAsia="Times New Roman" w:hAnsi="Times New Roman"/>
          <w:sz w:val="22"/>
          <w:szCs w:val="22"/>
          <w:color w:val="auto"/>
        </w:rPr>
        <w:t>: [**]</w:t>
      </w:r>
    </w:p>
    <w:p>
      <w:pPr>
        <w:spacing w:after="0" w:line="179" w:lineRule="exact"/>
        <w:rPr>
          <w:rFonts w:ascii="Times New Roman" w:cs="Times New Roman" w:eastAsia="Times New Roman" w:hAnsi="Times New Roman"/>
          <w:sz w:val="22"/>
          <w:szCs w:val="22"/>
          <w:b w:val="1"/>
          <w:bCs w:val="1"/>
          <w:color w:val="auto"/>
        </w:rPr>
      </w:pPr>
    </w:p>
    <w:p>
      <w:pPr>
        <w:ind w:left="660" w:hanging="409"/>
        <w:spacing w:after="0"/>
        <w:tabs>
          <w:tab w:leader="none" w:pos="66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Governing Law: </w:t>
      </w:r>
      <w:r>
        <w:rPr>
          <w:rFonts w:ascii="Times New Roman" w:cs="Times New Roman" w:eastAsia="Times New Roman" w:hAnsi="Times New Roman"/>
          <w:sz w:val="22"/>
          <w:szCs w:val="22"/>
          <w:color w:val="auto"/>
        </w:rPr>
        <w:t>New York per the Master Agreement</w:t>
      </w:r>
    </w:p>
    <w:p>
      <w:pPr>
        <w:spacing w:after="0" w:line="179" w:lineRule="exact"/>
        <w:rPr>
          <w:rFonts w:ascii="Times New Roman" w:cs="Times New Roman" w:eastAsia="Times New Roman" w:hAnsi="Times New Roman"/>
          <w:sz w:val="22"/>
          <w:szCs w:val="22"/>
          <w:b w:val="1"/>
          <w:bCs w:val="1"/>
          <w:color w:val="auto"/>
        </w:rPr>
      </w:pPr>
    </w:p>
    <w:p>
      <w:pPr>
        <w:ind w:left="660" w:hanging="409"/>
        <w:spacing w:after="0"/>
        <w:tabs>
          <w:tab w:leader="none" w:pos="66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Inflation Index: </w:t>
      </w:r>
      <w:r>
        <w:rPr>
          <w:rFonts w:ascii="Times New Roman" w:cs="Times New Roman" w:eastAsia="Times New Roman" w:hAnsi="Times New Roman"/>
          <w:sz w:val="22"/>
          <w:szCs w:val="22"/>
          <w:color w:val="auto"/>
        </w:rPr>
        <w:t>PPI</w:t>
      </w:r>
    </w:p>
    <w:p>
      <w:pPr>
        <w:spacing w:after="0" w:line="179" w:lineRule="exact"/>
        <w:rPr>
          <w:rFonts w:ascii="Times New Roman" w:cs="Times New Roman" w:eastAsia="Times New Roman" w:hAnsi="Times New Roman"/>
          <w:sz w:val="22"/>
          <w:szCs w:val="22"/>
          <w:b w:val="1"/>
          <w:bCs w:val="1"/>
          <w:color w:val="auto"/>
        </w:rPr>
      </w:pPr>
    </w:p>
    <w:p>
      <w:pPr>
        <w:ind w:left="640" w:hanging="389"/>
        <w:spacing w:after="0"/>
        <w:tabs>
          <w:tab w:leader="none" w:pos="64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Currency:</w:t>
      </w:r>
      <w:r>
        <w:rPr>
          <w:rFonts w:ascii="Times New Roman" w:cs="Times New Roman" w:eastAsia="Times New Roman" w:hAnsi="Times New Roman"/>
          <w:sz w:val="22"/>
          <w:szCs w:val="22"/>
          <w:color w:val="auto"/>
        </w:rPr>
        <w:t>$ USD</w:t>
      </w:r>
    </w:p>
    <w:p>
      <w:pPr>
        <w:spacing w:after="0" w:line="179" w:lineRule="exact"/>
        <w:rPr>
          <w:rFonts w:ascii="Times New Roman" w:cs="Times New Roman" w:eastAsia="Times New Roman" w:hAnsi="Times New Roman"/>
          <w:sz w:val="22"/>
          <w:szCs w:val="22"/>
          <w:b w:val="1"/>
          <w:bCs w:val="1"/>
          <w:color w:val="auto"/>
        </w:rPr>
      </w:pPr>
    </w:p>
    <w:p>
      <w:pPr>
        <w:ind w:left="660" w:hanging="409"/>
        <w:spacing w:after="0"/>
        <w:tabs>
          <w:tab w:leader="none" w:pos="66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Initial Set Exchange Rate: </w:t>
      </w:r>
      <w:r>
        <w:rPr>
          <w:rFonts w:ascii="Times New Roman" w:cs="Times New Roman" w:eastAsia="Times New Roman" w:hAnsi="Times New Roman"/>
          <w:sz w:val="22"/>
          <w:szCs w:val="22"/>
          <w:color w:val="auto"/>
        </w:rPr>
        <w:t>1:1.3401 (USD:CAD)</w:t>
      </w:r>
    </w:p>
    <w:p>
      <w:pPr>
        <w:spacing w:after="0" w:line="179" w:lineRule="exact"/>
        <w:rPr>
          <w:rFonts w:ascii="Times New Roman" w:cs="Times New Roman" w:eastAsia="Times New Roman" w:hAnsi="Times New Roman"/>
          <w:sz w:val="22"/>
          <w:szCs w:val="22"/>
          <w:b w:val="1"/>
          <w:bCs w:val="1"/>
          <w:color w:val="auto"/>
        </w:rPr>
      </w:pPr>
    </w:p>
    <w:p>
      <w:pPr>
        <w:ind w:left="660" w:hanging="409"/>
        <w:spacing w:after="0"/>
        <w:tabs>
          <w:tab w:leader="none" w:pos="66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Initial Product Term: </w:t>
      </w:r>
      <w:r>
        <w:rPr>
          <w:rFonts w:ascii="Times New Roman" w:cs="Times New Roman" w:eastAsia="Times New Roman" w:hAnsi="Times New Roman"/>
          <w:sz w:val="22"/>
          <w:szCs w:val="22"/>
          <w:color w:val="auto"/>
        </w:rPr>
        <w:t>From the Effective Date until December 31, 2024.</w:t>
      </w:r>
    </w:p>
    <w:p>
      <w:pPr>
        <w:sectPr>
          <w:pgSz w:w="11900" w:h="16838" w:orient="portrait"/>
          <w:cols w:equalWidth="0" w:num="1">
            <w:col w:w="11240"/>
          </w:cols>
          <w:pgMar w:left="320" w:top="122" w:right="339" w:bottom="1440" w:gutter="0" w:footer="0" w:header="0"/>
        </w:sectPr>
      </w:pPr>
    </w:p>
    <w:bookmarkStart w:id="187" w:name="page188"/>
    <w:bookmarkEnd w:id="187"/>
    <w:p>
      <w:pPr>
        <w:spacing w:after="0" w:line="200" w:lineRule="exact"/>
        <w:rPr>
          <w:sz w:val="20"/>
          <w:szCs w:val="20"/>
          <w:color w:val="auto"/>
        </w:rPr>
      </w:pPr>
    </w:p>
    <w:p>
      <w:pPr>
        <w:spacing w:after="0" w:line="305" w:lineRule="exact"/>
        <w:rPr>
          <w:sz w:val="20"/>
          <w:szCs w:val="20"/>
          <w:color w:val="auto"/>
        </w:rPr>
      </w:pPr>
    </w:p>
    <w:p>
      <w:pPr>
        <w:ind w:left="660" w:hanging="409"/>
        <w:spacing w:after="0"/>
        <w:tabs>
          <w:tab w:leader="none" w:pos="66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p>
    <w:p>
      <w:pPr>
        <w:spacing w:after="0" w:line="18" w:lineRule="exact"/>
        <w:rPr>
          <w:rFonts w:ascii="Times New Roman" w:cs="Times New Roman" w:eastAsia="Times New Roman" w:hAnsi="Times New Roman"/>
          <w:sz w:val="22"/>
          <w:szCs w:val="22"/>
          <w:b w:val="1"/>
          <w:bCs w:val="1"/>
          <w:color w:val="auto"/>
        </w:rPr>
      </w:pPr>
    </w:p>
    <w:p>
      <w:pPr>
        <w:ind w:left="6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p>
    <w:p>
      <w:pPr>
        <w:spacing w:after="0" w:line="151" w:lineRule="exact"/>
        <w:rPr>
          <w:rFonts w:ascii="Times New Roman" w:cs="Times New Roman" w:eastAsia="Times New Roman" w:hAnsi="Times New Roman"/>
          <w:sz w:val="22"/>
          <w:szCs w:val="22"/>
          <w:b w:val="1"/>
          <w:bCs w:val="1"/>
          <w:color w:val="auto"/>
        </w:rPr>
      </w:pPr>
    </w:p>
    <w:p>
      <w:pPr>
        <w:ind w:left="660" w:hanging="409"/>
        <w:spacing w:after="0"/>
        <w:tabs>
          <w:tab w:leader="none" w:pos="66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Other Modifications to the Master Agreement: </w:t>
      </w:r>
      <w:r>
        <w:rPr>
          <w:rFonts w:ascii="Times New Roman" w:cs="Times New Roman" w:eastAsia="Times New Roman" w:hAnsi="Times New Roman"/>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duly authorized representatives of the parties have executed this Product Agreement as of the Effective Date set forth above.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PATHEON, INC.</w:t>
      </w: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color w:val="auto"/>
        </w:rPr>
        <w:t>/s/ Don Liscombe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-11430</wp:posOffset>
            </wp:positionV>
            <wp:extent cx="10972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2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Don Liscombe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2874010</wp:posOffset>
            </wp:positionH>
            <wp:positionV relativeFrom="paragraph">
              <wp:posOffset>-13970</wp:posOffset>
            </wp:positionV>
            <wp:extent cx="9486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25">
                      <a:extLst>
                        <a:ext uri="{28A0092B-C50C-407E-A947-70E740481C1C}"/>
                      </a:extLst>
                    </a:blip>
                    <a:srcRect/>
                    <a:stretch>
                      <a:fillRect/>
                    </a:stretch>
                  </pic:blipFill>
                  <pic:spPr bwMode="auto">
                    <a:xfrm>
                      <a:off x="0" y="0"/>
                      <a:ext cx="948690" cy="8255"/>
                    </a:xfrm>
                    <a:prstGeom prst="rect">
                      <a:avLst/>
                    </a:prstGeom>
                    <a:noFill/>
                  </pic:spPr>
                </pic:pic>
              </a:graphicData>
            </a:graphic>
          </wp:anchor>
        </w:drawing>
      </w:r>
    </w:p>
    <w:p>
      <w:pPr>
        <w:spacing w:after="0" w:line="20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VP &amp;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2800350</wp:posOffset>
            </wp:positionH>
            <wp:positionV relativeFrom="paragraph">
              <wp:posOffset>-13970</wp:posOffset>
            </wp:positionV>
            <wp:extent cx="14433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26">
                      <a:extLst>
                        <a:ext uri="{28A0092B-C50C-407E-A947-70E740481C1C}"/>
                      </a:extLst>
                    </a:blip>
                    <a:srcRect/>
                    <a:stretch>
                      <a:fillRect/>
                    </a:stretch>
                  </pic:blipFill>
                  <pic:spPr bwMode="auto">
                    <a:xfrm>
                      <a:off x="0" y="0"/>
                      <a:ext cx="14433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KERYX BIOPHARMACEUTICALS, INC.</w:t>
      </w:r>
    </w:p>
    <w:p>
      <w:pPr>
        <w:spacing w:after="0" w:line="2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color w:val="auto"/>
        </w:rPr>
        <w:t>/s/ Gregory P. Madison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-11430</wp:posOffset>
            </wp:positionV>
            <wp:extent cx="14097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27">
                      <a:extLst>
                        <a:ext uri="{28A0092B-C50C-407E-A947-70E740481C1C}"/>
                      </a:extLst>
                    </a:blip>
                    <a:srcRect/>
                    <a:stretch>
                      <a:fillRect/>
                    </a:stretch>
                  </pic:blipFill>
                  <pic:spPr bwMode="auto">
                    <a:xfrm>
                      <a:off x="0" y="0"/>
                      <a:ext cx="1409700" cy="8255"/>
                    </a:xfrm>
                    <a:prstGeom prst="rect">
                      <a:avLst/>
                    </a:prstGeom>
                    <a:noFill/>
                  </pic:spPr>
                </pic:pic>
              </a:graphicData>
            </a:graphic>
          </wp:anchor>
        </w:drawing>
      </w:r>
    </w:p>
    <w:p>
      <w:pPr>
        <w:spacing w:after="0" w:line="2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Gregory P. Madison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2874010</wp:posOffset>
            </wp:positionH>
            <wp:positionV relativeFrom="paragraph">
              <wp:posOffset>-13970</wp:posOffset>
            </wp:positionV>
            <wp:extent cx="123825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28">
                      <a:extLst>
                        <a:ext uri="{28A0092B-C50C-407E-A947-70E740481C1C}"/>
                      </a:extLst>
                    </a:blip>
                    <a:srcRect/>
                    <a:stretch>
                      <a:fillRect/>
                    </a:stretch>
                  </pic:blipFill>
                  <pic:spPr bwMode="auto">
                    <a:xfrm>
                      <a:off x="0" y="0"/>
                      <a:ext cx="1238250" cy="8255"/>
                    </a:xfrm>
                    <a:prstGeom prst="rect">
                      <a:avLst/>
                    </a:prstGeom>
                    <a:noFill/>
                  </pic:spPr>
                </pic:pic>
              </a:graphicData>
            </a:graphic>
          </wp:anchor>
        </w:drawing>
      </w:r>
    </w:p>
    <w:p>
      <w:pPr>
        <w:spacing w:after="0" w:line="20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2800350</wp:posOffset>
            </wp:positionH>
            <wp:positionV relativeFrom="paragraph">
              <wp:posOffset>-13970</wp:posOffset>
            </wp:positionV>
            <wp:extent cx="10972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2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200" w:lineRule="exact"/>
        <w:rPr>
          <w:sz w:val="20"/>
          <w:szCs w:val="20"/>
          <w:color w:val="auto"/>
        </w:rPr>
      </w:pPr>
    </w:p>
    <w:p>
      <w:pPr>
        <w:spacing w:after="0" w:line="3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SCHEDULE A</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PRODUCT LIST AND SPECIFICATIONS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Product List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Auryxia (Ferric Citrate IR Tablets) [**]</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Specifications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139"/>
          </w:cols>
          <w:pgMar w:left="320" w:top="1440" w:right="1440" w:bottom="1440" w:gutter="0" w:footer="0" w:header="0"/>
        </w:sectPr>
      </w:pPr>
    </w:p>
    <w:bookmarkStart w:id="189" w:name="page190"/>
    <w:bookmarkEnd w:id="189"/>
    <w:p>
      <w:pPr>
        <w:spacing w:after="0" w:line="200" w:lineRule="exact"/>
        <w:rPr>
          <w:sz w:val="20"/>
          <w:szCs w:val="20"/>
          <w:color w:val="auto"/>
        </w:rPr>
      </w:pPr>
    </w:p>
    <w:p>
      <w:pPr>
        <w:spacing w:after="0" w:line="3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SCHEDULE B</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MINIMUM ORDER QUANTITY. ANNUAL VOLUME, AND PRICE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139"/>
          </w:cols>
          <w:pgMar w:left="320" w:top="1440" w:right="1440" w:bottom="1440" w:gutter="0" w:footer="0" w:header="0"/>
        </w:sectPr>
      </w:pPr>
    </w:p>
    <w:bookmarkStart w:id="190" w:name="page191"/>
    <w:bookmarkEnd w:id="190"/>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SCHEDULE 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ANNUAL STABILITY TESTING AND VALIDATION ACTIVITIES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Stability Testing</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Patheon and Client will agree in writing on any stability testing to be performed by Patheon on the Products. This agreement will specify the commercial and Product stability protocols applicable to the stability testing and the fees payable by Client for this testing.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D</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ACTIVE MATERIALS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1190" w:type="dxa"/>
        <w:tblCellMar>
          <w:top w:w="0" w:type="dxa"/>
          <w:left w:w="0" w:type="dxa"/>
          <w:bottom w:w="0" w:type="dxa"/>
          <w:right w:w="0" w:type="dxa"/>
        </w:tblCellMar>
      </w:tblPr>
      <w:tr>
        <w:trPr>
          <w:trHeight w:val="284"/>
        </w:trPr>
        <w:tc>
          <w:tcPr>
            <w:tcW w:w="360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ACTIVE MATERIALS</w:t>
            </w:r>
          </w:p>
        </w:tc>
        <w:tc>
          <w:tcPr>
            <w:tcW w:w="368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SUPPLIER</w:t>
            </w:r>
          </w:p>
        </w:tc>
      </w:tr>
      <w:tr>
        <w:trPr>
          <w:trHeight w:val="263"/>
        </w:trPr>
        <w:tc>
          <w:tcPr>
            <w:tcW w:w="3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Ferric Citrate</w:t>
            </w:r>
          </w:p>
        </w:tc>
        <w:tc>
          <w:tcPr>
            <w:tcW w:w="3680" w:type="dxa"/>
            <w:vAlign w:val="bottom"/>
            <w:tcBorders>
              <w:bottom w:val="single" w:sz="8" w:color="auto"/>
              <w:right w:val="single" w:sz="8" w:color="auto"/>
            </w:tcBorders>
          </w:tcPr>
          <w:p>
            <w:pPr>
              <w:jc w:val="right"/>
              <w:ind w:right="1572"/>
              <w:spacing w:after="0"/>
              <w:rPr>
                <w:sz w:val="20"/>
                <w:szCs w:val="20"/>
                <w:color w:val="auto"/>
              </w:rPr>
            </w:pPr>
            <w:r>
              <w:rPr>
                <w:rFonts w:ascii="Times New Roman" w:cs="Times New Roman" w:eastAsia="Times New Roman" w:hAnsi="Times New Roman"/>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3700" w:firstLine="3685"/>
        <w:spacing w:after="0" w:line="475" w:lineRule="auto"/>
        <w:rPr>
          <w:sz w:val="20"/>
          <w:szCs w:val="20"/>
          <w:color w:val="auto"/>
        </w:rPr>
      </w:pPr>
      <w:r>
        <w:rPr>
          <w:rFonts w:ascii="Times New Roman" w:cs="Times New Roman" w:eastAsia="Times New Roman" w:hAnsi="Times New Roman"/>
          <w:sz w:val="22"/>
          <w:szCs w:val="22"/>
          <w:b w:val="1"/>
          <w:bCs w:val="1"/>
          <w:u w:val="single" w:color="auto"/>
          <w:color w:val="auto"/>
        </w:rPr>
        <w:t xml:space="preserve">ACTIVE MATERIALS CREDIT VALUE </w:t>
      </w:r>
      <w:r>
        <w:rPr>
          <w:rFonts w:ascii="Times New Roman" w:cs="Times New Roman" w:eastAsia="Times New Roman" w:hAnsi="Times New Roman"/>
          <w:sz w:val="22"/>
          <w:szCs w:val="22"/>
          <w:color w:val="auto"/>
        </w:rPr>
        <w:t>The Active Materials Credit Value will be as follows:</w:t>
      </w:r>
    </w:p>
    <w:tbl>
      <w:tblPr>
        <w:tblLayout w:type="fixed"/>
        <w:tblInd w:w="10" w:type="dxa"/>
        <w:tblCellMar>
          <w:top w:w="0" w:type="dxa"/>
          <w:left w:w="0" w:type="dxa"/>
          <w:bottom w:w="0" w:type="dxa"/>
          <w:right w:w="0" w:type="dxa"/>
        </w:tblCellMar>
      </w:tblPr>
      <w:tr>
        <w:trPr>
          <w:trHeight w:val="261"/>
        </w:trPr>
        <w:tc>
          <w:tcPr>
            <w:tcW w:w="4220" w:type="dxa"/>
            <w:vAlign w:val="bottom"/>
            <w:tcBorders>
              <w:top w:val="single" w:sz="8" w:color="auto"/>
              <w:left w:val="single" w:sz="8" w:color="auto"/>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PRODUCT</w:t>
            </w:r>
          </w:p>
        </w:tc>
        <w:tc>
          <w:tcPr>
            <w:tcW w:w="2780" w:type="dxa"/>
            <w:vAlign w:val="bottom"/>
            <w:tcBorders>
              <w:top w:val="single" w:sz="8" w:color="auto"/>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ACTIVE MATERIALS</w:t>
            </w:r>
          </w:p>
        </w:tc>
        <w:tc>
          <w:tcPr>
            <w:tcW w:w="4260" w:type="dxa"/>
            <w:vAlign w:val="bottom"/>
            <w:tcBorders>
              <w:top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ACTIVE MATERIALS</w:t>
            </w:r>
          </w:p>
        </w:tc>
        <w:tc>
          <w:tcPr>
            <w:tcW w:w="0" w:type="dxa"/>
            <w:vAlign w:val="bottom"/>
          </w:tcPr>
          <w:p>
            <w:pPr>
              <w:spacing w:after="0"/>
              <w:rPr>
                <w:sz w:val="1"/>
                <w:szCs w:val="1"/>
                <w:color w:val="auto"/>
              </w:rPr>
            </w:pPr>
          </w:p>
        </w:tc>
      </w:tr>
      <w:tr>
        <w:trPr>
          <w:trHeight w:val="151"/>
        </w:trPr>
        <w:tc>
          <w:tcPr>
            <w:tcW w:w="4220" w:type="dxa"/>
            <w:vAlign w:val="bottom"/>
            <w:tcBorders>
              <w:left w:val="single" w:sz="8" w:color="auto"/>
              <w:right w:val="single" w:sz="8" w:color="auto"/>
            </w:tcBorders>
            <w:vMerge w:val="continue"/>
            <w:shd w:val="clear" w:color="auto" w:fill="BFBFBF"/>
          </w:tcPr>
          <w:p>
            <w:pPr>
              <w:spacing w:after="0"/>
              <w:rPr>
                <w:sz w:val="13"/>
                <w:szCs w:val="13"/>
                <w:color w:val="auto"/>
              </w:rPr>
            </w:pPr>
          </w:p>
        </w:tc>
        <w:tc>
          <w:tcPr>
            <w:tcW w:w="2780" w:type="dxa"/>
            <w:vAlign w:val="bottom"/>
            <w:tcBorders>
              <w:right w:val="single" w:sz="8" w:color="auto"/>
            </w:tcBorders>
            <w:vMerge w:val="continue"/>
            <w:shd w:val="clear" w:color="auto" w:fill="BFBFBF"/>
          </w:tcPr>
          <w:p>
            <w:pPr>
              <w:spacing w:after="0"/>
              <w:rPr>
                <w:sz w:val="13"/>
                <w:szCs w:val="13"/>
                <w:color w:val="auto"/>
              </w:rPr>
            </w:pPr>
          </w:p>
        </w:tc>
        <w:tc>
          <w:tcPr>
            <w:tcW w:w="426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CREDIT VALUE</w:t>
            </w:r>
          </w:p>
        </w:tc>
        <w:tc>
          <w:tcPr>
            <w:tcW w:w="0" w:type="dxa"/>
            <w:vAlign w:val="bottom"/>
          </w:tcPr>
          <w:p>
            <w:pPr>
              <w:spacing w:after="0"/>
              <w:rPr>
                <w:sz w:val="1"/>
                <w:szCs w:val="1"/>
                <w:color w:val="auto"/>
              </w:rPr>
            </w:pPr>
          </w:p>
        </w:tc>
      </w:tr>
      <w:tr>
        <w:trPr>
          <w:trHeight w:val="144"/>
        </w:trPr>
        <w:tc>
          <w:tcPr>
            <w:tcW w:w="4220" w:type="dxa"/>
            <w:vAlign w:val="bottom"/>
            <w:tcBorders>
              <w:left w:val="single" w:sz="8" w:color="auto"/>
              <w:bottom w:val="single" w:sz="8" w:color="auto"/>
              <w:right w:val="single" w:sz="8" w:color="auto"/>
            </w:tcBorders>
            <w:shd w:val="clear" w:color="auto" w:fill="BFBFBF"/>
          </w:tcPr>
          <w:p>
            <w:pPr>
              <w:spacing w:after="0"/>
              <w:rPr>
                <w:sz w:val="12"/>
                <w:szCs w:val="12"/>
                <w:color w:val="auto"/>
              </w:rPr>
            </w:pPr>
          </w:p>
        </w:tc>
        <w:tc>
          <w:tcPr>
            <w:tcW w:w="2780" w:type="dxa"/>
            <w:vAlign w:val="bottom"/>
            <w:tcBorders>
              <w:bottom w:val="single" w:sz="8" w:color="auto"/>
              <w:right w:val="single" w:sz="8" w:color="auto"/>
            </w:tcBorders>
            <w:shd w:val="clear" w:color="auto" w:fill="BFBFBF"/>
          </w:tcPr>
          <w:p>
            <w:pPr>
              <w:spacing w:after="0"/>
              <w:rPr>
                <w:sz w:val="12"/>
                <w:szCs w:val="12"/>
                <w:color w:val="auto"/>
              </w:rPr>
            </w:pPr>
          </w:p>
        </w:tc>
        <w:tc>
          <w:tcPr>
            <w:tcW w:w="4260" w:type="dxa"/>
            <w:vAlign w:val="bottom"/>
            <w:tcBorders>
              <w:bottom w:val="single" w:sz="8" w:color="auto"/>
              <w:right w:val="single" w:sz="8" w:color="auto"/>
            </w:tcBorders>
            <w:vMerge w:val="continue"/>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Auryxia (Ferric Citrate IR Tablets)</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Ferric Citrate</w:t>
            </w:r>
          </w:p>
        </w:tc>
        <w:tc>
          <w:tcPr>
            <w:tcW w:w="4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MAXIMUM CREDIT VALUE</w:t>
      </w:r>
    </w:p>
    <w:p>
      <w:pPr>
        <w:spacing w:after="0" w:line="237" w:lineRule="exact"/>
        <w:rPr>
          <w:sz w:val="20"/>
          <w:szCs w:val="20"/>
          <w:color w:val="auto"/>
        </w:rPr>
      </w:pPr>
    </w:p>
    <w:p>
      <w:pPr>
        <w:jc w:val="both"/>
        <w:ind w:right="40"/>
        <w:spacing w:after="0" w:line="271" w:lineRule="auto"/>
        <w:rPr>
          <w:sz w:val="20"/>
          <w:szCs w:val="20"/>
          <w:color w:val="auto"/>
        </w:rPr>
      </w:pPr>
      <w:r>
        <w:rPr>
          <w:rFonts w:ascii="Times New Roman" w:cs="Times New Roman" w:eastAsia="Times New Roman" w:hAnsi="Times New Roman"/>
          <w:sz w:val="22"/>
          <w:szCs w:val="22"/>
          <w:color w:val="auto"/>
        </w:rPr>
        <w:t>Patheon’s liability for Active Materials calculated in accordance with Section 2.2 of the Master Agreement in a Year will not exceed, in the aggregate, the maximum credit value set forth below:</w:t>
      </w:r>
    </w:p>
    <w:p>
      <w:pPr>
        <w:spacing w:after="0" w:line="179" w:lineRule="exact"/>
        <w:rPr>
          <w:sz w:val="20"/>
          <w:szCs w:val="20"/>
          <w:color w:val="auto"/>
        </w:rPr>
      </w:pPr>
    </w:p>
    <w:tbl>
      <w:tblPr>
        <w:tblLayout w:type="fixed"/>
        <w:tblInd w:w="1210" w:type="dxa"/>
        <w:tblCellMar>
          <w:top w:w="0" w:type="dxa"/>
          <w:left w:w="0" w:type="dxa"/>
          <w:bottom w:w="0" w:type="dxa"/>
          <w:right w:w="0" w:type="dxa"/>
        </w:tblCellMar>
      </w:tblPr>
      <w:tr>
        <w:trPr>
          <w:trHeight w:val="283"/>
        </w:trPr>
        <w:tc>
          <w:tcPr>
            <w:tcW w:w="278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PRODUCT</w:t>
            </w:r>
          </w:p>
        </w:tc>
        <w:tc>
          <w:tcPr>
            <w:tcW w:w="440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MAXIMUM CREDIT VALUE</w:t>
            </w:r>
          </w:p>
        </w:tc>
      </w:tr>
      <w:tr>
        <w:trPr>
          <w:trHeight w:val="196"/>
        </w:trPr>
        <w:tc>
          <w:tcPr>
            <w:tcW w:w="278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8"/>
              </w:rPr>
              <w:t>Auryxia (Ferric Citrate IR</w:t>
            </w:r>
          </w:p>
        </w:tc>
        <w:tc>
          <w:tcPr>
            <w:tcW w:w="440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7"/>
              </w:rPr>
              <w:t>[**] per Year to Patheon under this Product</w:t>
            </w:r>
          </w:p>
        </w:tc>
      </w:tr>
      <w:tr>
        <w:trPr>
          <w:trHeight w:val="283"/>
        </w:trPr>
        <w:tc>
          <w:tcPr>
            <w:tcW w:w="2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4"/>
              </w:rPr>
              <w:t>Tablets)</w:t>
            </w:r>
          </w:p>
        </w:tc>
        <w:tc>
          <w:tcPr>
            <w:tcW w:w="4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Agreement.</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YIELD TOLERANCE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60"/>
          </w:cols>
          <w:pgMar w:left="320" w:top="1440" w:right="319" w:bottom="1440" w:gutter="0" w:footer="0" w:header="0"/>
        </w:sectPr>
      </w:pPr>
    </w:p>
    <w:bookmarkStart w:id="192" w:name="page193"/>
    <w:bookmarkEnd w:id="192"/>
    <w:p>
      <w:pPr>
        <w:spacing w:after="0" w:line="200" w:lineRule="exact"/>
        <w:rPr>
          <w:sz w:val="20"/>
          <w:szCs w:val="20"/>
          <w:color w:val="auto"/>
        </w:rPr>
      </w:pPr>
    </w:p>
    <w:p>
      <w:pPr>
        <w:spacing w:after="0" w:line="3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E</w:t>
      </w: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Client Supply Chain Inventory Documentation Requirements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139"/>
          </w:cols>
          <w:pgMar w:left="320" w:top="1440" w:right="1440" w:bottom="1440" w:gutter="0" w:footer="0" w:header="0"/>
        </w:sectPr>
      </w:pPr>
    </w:p>
    <w:bookmarkStart w:id="193" w:name="page194"/>
    <w:bookmarkEnd w:id="193"/>
    <w:p>
      <w:pPr>
        <w:jc w:val="right"/>
        <w:spacing w:after="0"/>
        <w:rPr>
          <w:sz w:val="20"/>
          <w:szCs w:val="20"/>
          <w:color w:val="auto"/>
        </w:rPr>
      </w:pPr>
      <w:r>
        <w:rPr>
          <w:rFonts w:ascii="Calibri" w:cs="Calibri" w:eastAsia="Calibri" w:hAnsi="Calibri"/>
          <w:sz w:val="20"/>
          <w:szCs w:val="20"/>
          <w:b w:val="1"/>
          <w:bCs w:val="1"/>
          <w:color w:val="auto"/>
        </w:rPr>
        <w:t>Exhibit 10.105</w:t>
      </w:r>
    </w:p>
    <w:p>
      <w:pPr>
        <w:jc w:val="right"/>
        <w:spacing w:after="0" w:line="212" w:lineRule="auto"/>
        <w:rPr>
          <w:sz w:val="20"/>
          <w:szCs w:val="20"/>
          <w:color w:val="auto"/>
        </w:rPr>
      </w:pPr>
      <w:r>
        <w:rPr>
          <w:rFonts w:ascii="Calibri" w:cs="Calibri" w:eastAsia="Calibri" w:hAnsi="Calibri"/>
          <w:sz w:val="20"/>
          <w:szCs w:val="20"/>
          <w:color w:val="auto"/>
        </w:rPr>
        <w:t>Executon Version</w:t>
      </w:r>
    </w:p>
    <w:p>
      <w:pPr>
        <w:spacing w:after="0" w:line="215" w:lineRule="exact"/>
        <w:rPr>
          <w:sz w:val="20"/>
          <w:szCs w:val="20"/>
          <w:color w:val="auto"/>
        </w:rPr>
      </w:pPr>
    </w:p>
    <w:p>
      <w:pPr>
        <w:ind w:left="180"/>
        <w:spacing w:after="0"/>
        <w:rPr>
          <w:sz w:val="20"/>
          <w:szCs w:val="20"/>
          <w:color w:val="auto"/>
        </w:rPr>
      </w:pPr>
      <w:r>
        <w:rPr>
          <w:rFonts w:ascii="Calibri" w:cs="Calibri" w:eastAsia="Calibri" w:hAnsi="Calibri"/>
          <w:sz w:val="20"/>
          <w:szCs w:val="20"/>
          <w:color w:val="auto"/>
        </w:rPr>
        <w:t>Certain identfed informaton has been excluded from the exhibit because it is both (i) not material and (ii) is the type of informaton</w:t>
      </w:r>
    </w:p>
    <w:p>
      <w:pPr>
        <w:ind w:left="3540"/>
        <w:spacing w:after="0" w:line="238" w:lineRule="auto"/>
        <w:rPr>
          <w:sz w:val="20"/>
          <w:szCs w:val="20"/>
          <w:color w:val="auto"/>
        </w:rPr>
      </w:pPr>
      <w:r>
        <w:rPr>
          <w:rFonts w:ascii="Calibri" w:cs="Calibri" w:eastAsia="Calibri" w:hAnsi="Calibri"/>
          <w:sz w:val="20"/>
          <w:szCs w:val="20"/>
          <w:color w:val="auto"/>
        </w:rPr>
        <w:t>that the registrant treats as private or confdental.</w:t>
      </w:r>
    </w:p>
    <w:p>
      <w:pPr>
        <w:jc w:val="center"/>
        <w:spacing w:after="0" w:line="226" w:lineRule="auto"/>
        <w:rPr>
          <w:sz w:val="20"/>
          <w:szCs w:val="20"/>
          <w:color w:val="auto"/>
        </w:rPr>
      </w:pPr>
      <w:r>
        <w:rPr>
          <w:rFonts w:ascii="Calibri" w:cs="Calibri" w:eastAsia="Calibri" w:hAnsi="Calibri"/>
          <w:sz w:val="20"/>
          <w:szCs w:val="20"/>
          <w:color w:val="auto"/>
        </w:rPr>
        <w:t>Double asterisks denote omissions.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Calibri" w:cs="Calibri" w:eastAsia="Calibri" w:hAnsi="Calibri"/>
          <w:sz w:val="18"/>
          <w:szCs w:val="18"/>
          <w:u w:val="single" w:color="auto"/>
          <w:color w:val="auto"/>
        </w:rPr>
        <w:t>SECOND AMENDMENT TO AGREEMENT FOR THE PROVISION OF A LOAN FACILITY</w:t>
      </w:r>
    </w:p>
    <w:p>
      <w:pPr>
        <w:spacing w:after="0" w:line="150" w:lineRule="exact"/>
        <w:rPr>
          <w:sz w:val="20"/>
          <w:szCs w:val="20"/>
          <w:color w:val="auto"/>
        </w:rPr>
      </w:pPr>
    </w:p>
    <w:p>
      <w:pPr>
        <w:jc w:val="both"/>
        <w:ind w:firstLine="648"/>
        <w:spacing w:after="0" w:line="244" w:lineRule="auto"/>
        <w:rPr>
          <w:sz w:val="20"/>
          <w:szCs w:val="20"/>
          <w:color w:val="auto"/>
        </w:rPr>
      </w:pPr>
      <w:r>
        <w:rPr>
          <w:rFonts w:ascii="Calibri" w:cs="Calibri" w:eastAsia="Calibri" w:hAnsi="Calibri"/>
          <w:sz w:val="18"/>
          <w:szCs w:val="18"/>
          <w:color w:val="auto"/>
        </w:rPr>
        <w:t xml:space="preserve">This </w:t>
      </w:r>
      <w:r>
        <w:rPr>
          <w:rFonts w:ascii="Calibri" w:cs="Calibri" w:eastAsia="Calibri" w:hAnsi="Calibri"/>
          <w:sz w:val="18"/>
          <w:szCs w:val="18"/>
          <w:b w:val="1"/>
          <w:bCs w:val="1"/>
          <w:color w:val="auto"/>
        </w:rPr>
        <w:t>SECOND AMENDMENT TO AGREEMENT FOR THE PROVISION OF A LOAN FACILITY</w:t>
      </w:r>
      <w:r>
        <w:rPr>
          <w:rFonts w:ascii="Calibri" w:cs="Calibri" w:eastAsia="Calibri" w:hAnsi="Calibri"/>
          <w:sz w:val="18"/>
          <w:szCs w:val="18"/>
          <w:color w:val="auto"/>
        </w:rPr>
        <w:t xml:space="preserve"> (the “</w:t>
      </w:r>
      <w:r>
        <w:rPr>
          <w:rFonts w:ascii="Calibri" w:cs="Calibri" w:eastAsia="Calibri" w:hAnsi="Calibri"/>
          <w:sz w:val="18"/>
          <w:szCs w:val="18"/>
          <w:b w:val="1"/>
          <w:bCs w:val="1"/>
          <w:color w:val="auto"/>
        </w:rPr>
        <w:t>Amendment</w:t>
      </w:r>
      <w:r>
        <w:rPr>
          <w:rFonts w:ascii="Calibri" w:cs="Calibri" w:eastAsia="Calibri" w:hAnsi="Calibri"/>
          <w:sz w:val="18"/>
          <w:szCs w:val="18"/>
          <w:color w:val="auto"/>
        </w:rPr>
        <w:t>”), dated as of February 3, 2025 (the “</w:t>
      </w:r>
      <w:r>
        <w:rPr>
          <w:rFonts w:ascii="Calibri" w:cs="Calibri" w:eastAsia="Calibri" w:hAnsi="Calibri"/>
          <w:sz w:val="18"/>
          <w:szCs w:val="18"/>
          <w:b w:val="1"/>
          <w:bCs w:val="1"/>
          <w:color w:val="auto"/>
        </w:rPr>
        <w:t>Amendment Efectve Date</w:t>
      </w:r>
      <w:r>
        <w:rPr>
          <w:rFonts w:ascii="Calibri" w:cs="Calibri" w:eastAsia="Calibri" w:hAnsi="Calibri"/>
          <w:sz w:val="18"/>
          <w:szCs w:val="18"/>
          <w:color w:val="auto"/>
        </w:rPr>
        <w:t xml:space="preserve">”), is made by and between </w:t>
      </w:r>
      <w:r>
        <w:rPr>
          <w:rFonts w:ascii="Calibri" w:cs="Calibri" w:eastAsia="Calibri" w:hAnsi="Calibri"/>
          <w:sz w:val="18"/>
          <w:szCs w:val="18"/>
          <w:b w:val="1"/>
          <w:bCs w:val="1"/>
          <w:color w:val="auto"/>
        </w:rPr>
        <w:t>KREOS CAPITAL VII (UK) LIMITED</w:t>
      </w:r>
      <w:r>
        <w:rPr>
          <w:rFonts w:ascii="Calibri" w:cs="Calibri" w:eastAsia="Calibri" w:hAnsi="Calibri"/>
          <w:sz w:val="18"/>
          <w:szCs w:val="18"/>
          <w:color w:val="auto"/>
        </w:rPr>
        <w:t>, a company incorporated in England and Wales under registraton number 13611522 whose registered ofce is at 8 Sackville Street, London, WS1 3DG, as a Lender (the “</w:t>
      </w:r>
      <w:r>
        <w:rPr>
          <w:rFonts w:ascii="Calibri" w:cs="Calibri" w:eastAsia="Calibri" w:hAnsi="Calibri"/>
          <w:sz w:val="18"/>
          <w:szCs w:val="18"/>
          <w:b w:val="1"/>
          <w:bCs w:val="1"/>
          <w:color w:val="auto"/>
        </w:rPr>
        <w:t>Lender</w:t>
      </w:r>
      <w:r>
        <w:rPr>
          <w:rFonts w:ascii="Calibri" w:cs="Calibri" w:eastAsia="Calibri" w:hAnsi="Calibri"/>
          <w:sz w:val="18"/>
          <w:szCs w:val="18"/>
          <w:color w:val="auto"/>
        </w:rPr>
        <w:t>” and "</w:t>
      </w:r>
      <w:r>
        <w:rPr>
          <w:rFonts w:ascii="Calibri" w:cs="Calibri" w:eastAsia="Calibri" w:hAnsi="Calibri"/>
          <w:sz w:val="18"/>
          <w:szCs w:val="18"/>
          <w:b w:val="1"/>
          <w:bCs w:val="1"/>
          <w:color w:val="auto"/>
        </w:rPr>
        <w:t>Lender Representatve</w:t>
      </w:r>
      <w:r>
        <w:rPr>
          <w:rFonts w:ascii="Calibri" w:cs="Calibri" w:eastAsia="Calibri" w:hAnsi="Calibri"/>
          <w:sz w:val="18"/>
          <w:szCs w:val="18"/>
          <w:color w:val="auto"/>
        </w:rPr>
        <w:t xml:space="preserve">", which expression shall include its permited successors and permited assigns), and </w:t>
      </w:r>
      <w:r>
        <w:rPr>
          <w:rFonts w:ascii="Calibri" w:cs="Calibri" w:eastAsia="Calibri" w:hAnsi="Calibri"/>
          <w:sz w:val="18"/>
          <w:szCs w:val="18"/>
          <w:b w:val="1"/>
          <w:bCs w:val="1"/>
          <w:color w:val="auto"/>
        </w:rPr>
        <w:t>AKEBIA THERAPEUTICS, INC.</w:t>
      </w:r>
      <w:r>
        <w:rPr>
          <w:rFonts w:ascii="Calibri" w:cs="Calibri" w:eastAsia="Calibri" w:hAnsi="Calibri"/>
          <w:sz w:val="18"/>
          <w:szCs w:val="18"/>
          <w:color w:val="auto"/>
        </w:rPr>
        <w:t>, a Delaware corporaton (the “</w:t>
      </w:r>
      <w:r>
        <w:rPr>
          <w:rFonts w:ascii="Calibri" w:cs="Calibri" w:eastAsia="Calibri" w:hAnsi="Calibri"/>
          <w:sz w:val="18"/>
          <w:szCs w:val="18"/>
          <w:b w:val="1"/>
          <w:bCs w:val="1"/>
          <w:color w:val="auto"/>
        </w:rPr>
        <w:t>Borrower</w:t>
      </w:r>
      <w:r>
        <w:rPr>
          <w:rFonts w:ascii="Calibri" w:cs="Calibri" w:eastAsia="Calibri" w:hAnsi="Calibri"/>
          <w:sz w:val="18"/>
          <w:szCs w:val="18"/>
          <w:color w:val="auto"/>
        </w:rPr>
        <w:t>” and "</w:t>
      </w:r>
      <w:r>
        <w:rPr>
          <w:rFonts w:ascii="Calibri" w:cs="Calibri" w:eastAsia="Calibri" w:hAnsi="Calibri"/>
          <w:sz w:val="18"/>
          <w:szCs w:val="18"/>
          <w:b w:val="1"/>
          <w:bCs w:val="1"/>
          <w:color w:val="auto"/>
        </w:rPr>
        <w:t>Borrower Representatve</w:t>
      </w:r>
      <w:r>
        <w:rPr>
          <w:rFonts w:ascii="Calibri" w:cs="Calibri" w:eastAsia="Calibri" w:hAnsi="Calibri"/>
          <w:sz w:val="18"/>
          <w:szCs w:val="18"/>
          <w:color w:val="auto"/>
        </w:rPr>
        <w:t>"), and amends that certain AGREEMENT FOR THE PROVISION OF A LOAN FACILITY dated as of January 29, 2024 (as amended by that certain First Amendment to Agreement for the Provision of a Loan Facility, dated as of July 10, 2024, the “</w:t>
      </w:r>
      <w:r>
        <w:rPr>
          <w:rFonts w:ascii="Calibri" w:cs="Calibri" w:eastAsia="Calibri" w:hAnsi="Calibri"/>
          <w:sz w:val="18"/>
          <w:szCs w:val="18"/>
          <w:b w:val="1"/>
          <w:bCs w:val="1"/>
          <w:color w:val="auto"/>
        </w:rPr>
        <w:t>Existng Loan Agreement</w:t>
      </w:r>
      <w:r>
        <w:rPr>
          <w:rFonts w:ascii="Calibri" w:cs="Calibri" w:eastAsia="Calibri" w:hAnsi="Calibri"/>
          <w:sz w:val="18"/>
          <w:szCs w:val="18"/>
          <w:color w:val="auto"/>
        </w:rPr>
        <w:t>”) by and between the Lender Representatve and the Borrower Representatve and the other partes thereto from tme to tme. The Existng Loan Agreement as amended by this Amendment is hereinafer referred to as the “</w:t>
      </w:r>
      <w:r>
        <w:rPr>
          <w:rFonts w:ascii="Calibri" w:cs="Calibri" w:eastAsia="Calibri" w:hAnsi="Calibri"/>
          <w:sz w:val="18"/>
          <w:szCs w:val="18"/>
          <w:b w:val="1"/>
          <w:bCs w:val="1"/>
          <w:color w:val="auto"/>
        </w:rPr>
        <w:t>Loan Agreement</w:t>
      </w:r>
      <w:r>
        <w:rPr>
          <w:rFonts w:ascii="Calibri" w:cs="Calibri" w:eastAsia="Calibri" w:hAnsi="Calibri"/>
          <w:sz w:val="18"/>
          <w:szCs w:val="18"/>
          <w:color w:val="auto"/>
        </w:rPr>
        <w:t>”. Capitalized terms used in this Amendment without defniton shall have the meanings ascribed to such terms in the Loan Agreement.</w:t>
      </w:r>
    </w:p>
    <w:p>
      <w:pPr>
        <w:spacing w:after="0" w:line="149" w:lineRule="exact"/>
        <w:rPr>
          <w:sz w:val="20"/>
          <w:szCs w:val="20"/>
          <w:color w:val="auto"/>
        </w:rPr>
      </w:pPr>
    </w:p>
    <w:p>
      <w:pPr>
        <w:jc w:val="both"/>
        <w:ind w:firstLine="648"/>
        <w:spacing w:after="0" w:line="246" w:lineRule="auto"/>
        <w:rPr>
          <w:sz w:val="20"/>
          <w:szCs w:val="20"/>
          <w:color w:val="auto"/>
        </w:rPr>
      </w:pPr>
      <w:r>
        <w:rPr>
          <w:rFonts w:ascii="Calibri" w:cs="Calibri" w:eastAsia="Calibri" w:hAnsi="Calibri"/>
          <w:sz w:val="18"/>
          <w:szCs w:val="18"/>
          <w:b w:val="1"/>
          <w:bCs w:val="1"/>
          <w:color w:val="auto"/>
        </w:rPr>
        <w:t>WHEREAS</w:t>
      </w:r>
      <w:r>
        <w:rPr>
          <w:rFonts w:ascii="Calibri" w:cs="Calibri" w:eastAsia="Calibri" w:hAnsi="Calibri"/>
          <w:sz w:val="18"/>
          <w:szCs w:val="18"/>
          <w:color w:val="auto"/>
        </w:rPr>
        <w:t>, the Borrower Representatve and the Lender Representatve are party to the Existng Loan Agreement which provides for, among other</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things, (A) a Loan under Tranche C to be made to the Borrower Representatve on the terms and conditons contained in the Existng Loan Agreement, including that the Expiry Date of Tranche C was December 31, 2024 (the “</w:t>
      </w:r>
      <w:r>
        <w:rPr>
          <w:rFonts w:ascii="Calibri" w:cs="Calibri" w:eastAsia="Calibri" w:hAnsi="Calibri"/>
          <w:sz w:val="18"/>
          <w:szCs w:val="18"/>
          <w:b w:val="1"/>
          <w:bCs w:val="1"/>
          <w:color w:val="auto"/>
        </w:rPr>
        <w:t>Original Expiry Date</w:t>
      </w:r>
      <w:r>
        <w:rPr>
          <w:rFonts w:ascii="Calibri" w:cs="Calibri" w:eastAsia="Calibri" w:hAnsi="Calibri"/>
          <w:sz w:val="18"/>
          <w:szCs w:val="18"/>
          <w:color w:val="auto"/>
        </w:rPr>
        <w:t>”) and (B) a Transacton Fee in respect of Tranche C in an amount equal to [**]% of the aggregate commited amount of Tranche C, [**]% of which was paid on the Closing Date and the remaining [**]% of which (such remaining amount, the “</w:t>
      </w:r>
      <w:r>
        <w:rPr>
          <w:rFonts w:ascii="Calibri" w:cs="Calibri" w:eastAsia="Calibri" w:hAnsi="Calibri"/>
          <w:sz w:val="18"/>
          <w:szCs w:val="18"/>
          <w:b w:val="1"/>
          <w:bCs w:val="1"/>
          <w:color w:val="auto"/>
        </w:rPr>
        <w:t>Tranche C Funding Fee</w:t>
      </w:r>
      <w:r>
        <w:rPr>
          <w:rFonts w:ascii="Calibri" w:cs="Calibri" w:eastAsia="Calibri" w:hAnsi="Calibri"/>
          <w:sz w:val="18"/>
          <w:szCs w:val="18"/>
          <w:color w:val="auto"/>
        </w:rPr>
        <w:t>”) is payable on the earliest to occur of (i) the date Tranche C is funded, (ii) the date that the commitments in respect of Tranche C are terminated or cancelled and (iii) the date on which the availability period of Tranche C terminates;</w:t>
      </w:r>
    </w:p>
    <w:p>
      <w:pPr>
        <w:spacing w:after="0" w:line="147" w:lineRule="exact"/>
        <w:rPr>
          <w:sz w:val="20"/>
          <w:szCs w:val="20"/>
          <w:color w:val="auto"/>
        </w:rPr>
      </w:pPr>
    </w:p>
    <w:p>
      <w:pPr>
        <w:jc w:val="both"/>
        <w:ind w:firstLine="648"/>
        <w:spacing w:after="0" w:line="245" w:lineRule="auto"/>
        <w:rPr>
          <w:sz w:val="20"/>
          <w:szCs w:val="20"/>
          <w:color w:val="auto"/>
        </w:rPr>
      </w:pPr>
      <w:r>
        <w:rPr>
          <w:rFonts w:ascii="Calibri" w:cs="Calibri" w:eastAsia="Calibri" w:hAnsi="Calibri"/>
          <w:sz w:val="18"/>
          <w:szCs w:val="18"/>
          <w:b w:val="1"/>
          <w:bCs w:val="1"/>
          <w:color w:val="auto"/>
        </w:rPr>
        <w:t>WHEREAS</w:t>
      </w:r>
      <w:r>
        <w:rPr>
          <w:rFonts w:ascii="Calibri" w:cs="Calibri" w:eastAsia="Calibri" w:hAnsi="Calibri"/>
          <w:sz w:val="18"/>
          <w:szCs w:val="18"/>
          <w:color w:val="auto"/>
        </w:rPr>
        <w:t>, the Borrower Representatve has requested the Lender Representatve to amend the Loan Agreement to provide for an extension of the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Expiry Date for Tranche C to February 3, 2025; and</w:t>
      </w:r>
    </w:p>
    <w:p>
      <w:pPr>
        <w:spacing w:after="0" w:line="141" w:lineRule="exact"/>
        <w:rPr>
          <w:sz w:val="20"/>
          <w:szCs w:val="20"/>
          <w:color w:val="auto"/>
        </w:rPr>
      </w:pPr>
    </w:p>
    <w:p>
      <w:pPr>
        <w:ind w:left="660"/>
        <w:spacing w:after="0"/>
        <w:rPr>
          <w:sz w:val="20"/>
          <w:szCs w:val="20"/>
          <w:color w:val="auto"/>
        </w:rPr>
      </w:pPr>
      <w:r>
        <w:rPr>
          <w:rFonts w:ascii="Calibri" w:cs="Calibri" w:eastAsia="Calibri" w:hAnsi="Calibri"/>
          <w:sz w:val="18"/>
          <w:szCs w:val="18"/>
          <w:b w:val="1"/>
          <w:bCs w:val="1"/>
          <w:color w:val="auto"/>
        </w:rPr>
        <w:t>WHEREAS</w:t>
      </w:r>
      <w:r>
        <w:rPr>
          <w:rFonts w:ascii="Calibri" w:cs="Calibri" w:eastAsia="Calibri" w:hAnsi="Calibri"/>
          <w:sz w:val="18"/>
          <w:szCs w:val="18"/>
          <w:color w:val="auto"/>
        </w:rPr>
        <w:t>, the Lender Representatve has agreed to provide such extension on the terms and subject to the conditons hereof.</w:t>
      </w:r>
    </w:p>
    <w:p>
      <w:pPr>
        <w:spacing w:after="0" w:line="150" w:lineRule="exact"/>
        <w:rPr>
          <w:sz w:val="20"/>
          <w:szCs w:val="20"/>
          <w:color w:val="auto"/>
        </w:rPr>
      </w:pPr>
    </w:p>
    <w:p>
      <w:pPr>
        <w:jc w:val="both"/>
        <w:ind w:firstLine="648"/>
        <w:spacing w:after="0" w:line="245" w:lineRule="auto"/>
        <w:rPr>
          <w:sz w:val="20"/>
          <w:szCs w:val="20"/>
          <w:color w:val="auto"/>
        </w:rPr>
      </w:pPr>
      <w:r>
        <w:rPr>
          <w:rFonts w:ascii="Calibri" w:cs="Calibri" w:eastAsia="Calibri" w:hAnsi="Calibri"/>
          <w:sz w:val="18"/>
          <w:szCs w:val="18"/>
          <w:b w:val="1"/>
          <w:bCs w:val="1"/>
          <w:color w:val="auto"/>
        </w:rPr>
        <w:t>NOW THEREFORE</w:t>
      </w:r>
      <w:r>
        <w:rPr>
          <w:rFonts w:ascii="Calibri" w:cs="Calibri" w:eastAsia="Calibri" w:hAnsi="Calibri"/>
          <w:sz w:val="18"/>
          <w:szCs w:val="18"/>
          <w:color w:val="auto"/>
        </w:rPr>
        <w:t>, for good and valuable consideraton the receipt and sufciency of which is hereby acknowledged, the Borrower Representatve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and the Lender Representatve hereby agree as follows:</w:t>
      </w:r>
    </w:p>
    <w:p>
      <w:pPr>
        <w:spacing w:after="0" w:line="141" w:lineRule="exact"/>
        <w:rPr>
          <w:sz w:val="20"/>
          <w:szCs w:val="20"/>
          <w:color w:val="auto"/>
        </w:rPr>
      </w:pPr>
    </w:p>
    <w:p>
      <w:pPr>
        <w:ind w:left="640" w:hanging="308"/>
        <w:spacing w:after="0"/>
        <w:tabs>
          <w:tab w:leader="none" w:pos="640" w:val="left"/>
        </w:tabs>
        <w:numPr>
          <w:ilvl w:val="0"/>
          <w:numId w:val="89"/>
        </w:numPr>
        <w:rPr>
          <w:rFonts w:ascii="Calibri" w:cs="Calibri" w:eastAsia="Calibri" w:hAnsi="Calibri"/>
          <w:sz w:val="18"/>
          <w:szCs w:val="18"/>
          <w:color w:val="auto"/>
        </w:rPr>
      </w:pPr>
      <w:r>
        <w:rPr>
          <w:rFonts w:ascii="Calibri" w:cs="Calibri" w:eastAsia="Calibri" w:hAnsi="Calibri"/>
          <w:sz w:val="18"/>
          <w:szCs w:val="18"/>
          <w:u w:val="single" w:color="auto"/>
          <w:color w:val="auto"/>
        </w:rPr>
        <w:t>Amendments</w:t>
      </w:r>
      <w:r>
        <w:rPr>
          <w:rFonts w:ascii="Calibri" w:cs="Calibri" w:eastAsia="Calibri" w:hAnsi="Calibri"/>
          <w:sz w:val="18"/>
          <w:szCs w:val="18"/>
          <w:color w:val="auto"/>
        </w:rPr>
        <w:t>.</w:t>
      </w:r>
    </w:p>
    <w:p>
      <w:pPr>
        <w:spacing w:after="0" w:line="14" w:lineRule="exact"/>
        <w:rPr>
          <w:rFonts w:ascii="Calibri" w:cs="Calibri" w:eastAsia="Calibri" w:hAnsi="Calibri"/>
          <w:sz w:val="18"/>
          <w:szCs w:val="18"/>
          <w:color w:val="auto"/>
        </w:rPr>
      </w:pPr>
    </w:p>
    <w:p>
      <w:pPr>
        <w:ind w:left="1300" w:hanging="320"/>
        <w:spacing w:after="0" w:line="243" w:lineRule="auto"/>
        <w:tabs>
          <w:tab w:leader="none" w:pos="1293" w:val="left"/>
        </w:tabs>
        <w:numPr>
          <w:ilvl w:val="1"/>
          <w:numId w:val="89"/>
        </w:numPr>
        <w:rPr>
          <w:rFonts w:ascii="Calibri" w:cs="Calibri" w:eastAsia="Calibri" w:hAnsi="Calibri"/>
          <w:sz w:val="18"/>
          <w:szCs w:val="18"/>
          <w:color w:val="auto"/>
        </w:rPr>
      </w:pPr>
      <w:r>
        <w:rPr>
          <w:rFonts w:ascii="Calibri" w:cs="Calibri" w:eastAsia="Calibri" w:hAnsi="Calibri"/>
          <w:sz w:val="18"/>
          <w:szCs w:val="18"/>
          <w:color w:val="auto"/>
        </w:rPr>
        <w:t>The Existng Loan Agreement is hereby amended by deletng “December 31, 2024” appearing next to “Tranche C” in the Expiry Date porton of the Loan Facility Terms, and replacing it with “February 3, 2025.”</w:t>
      </w:r>
    </w:p>
    <w:p>
      <w:pPr>
        <w:ind w:left="1300" w:hanging="320"/>
        <w:spacing w:after="0" w:line="235" w:lineRule="auto"/>
        <w:tabs>
          <w:tab w:leader="none" w:pos="1300" w:val="left"/>
        </w:tabs>
        <w:numPr>
          <w:ilvl w:val="1"/>
          <w:numId w:val="89"/>
        </w:numPr>
        <w:rPr>
          <w:rFonts w:ascii="Calibri" w:cs="Calibri" w:eastAsia="Calibri" w:hAnsi="Calibri"/>
          <w:sz w:val="18"/>
          <w:szCs w:val="18"/>
          <w:color w:val="auto"/>
        </w:rPr>
      </w:pPr>
      <w:r>
        <w:rPr>
          <w:rFonts w:ascii="Calibri" w:cs="Calibri" w:eastAsia="Calibri" w:hAnsi="Calibri"/>
          <w:sz w:val="18"/>
          <w:szCs w:val="18"/>
          <w:color w:val="auto"/>
        </w:rPr>
        <w:t>The Existng Loan Agreement is hereby amended by deletng Clause 6.2 and replacing it with the following:</w:t>
      </w:r>
    </w:p>
    <w:p>
      <w:pPr>
        <w:spacing w:after="0" w:line="15" w:lineRule="exact"/>
        <w:rPr>
          <w:sz w:val="20"/>
          <w:szCs w:val="20"/>
          <w:color w:val="auto"/>
        </w:rPr>
      </w:pPr>
    </w:p>
    <w:p>
      <w:pPr>
        <w:ind w:left="1960" w:right="100"/>
        <w:spacing w:after="0" w:line="244" w:lineRule="auto"/>
        <w:rPr>
          <w:sz w:val="20"/>
          <w:szCs w:val="20"/>
          <w:color w:val="auto"/>
        </w:rPr>
      </w:pPr>
      <w:r>
        <w:rPr>
          <w:rFonts w:ascii="Calibri" w:cs="Calibri" w:eastAsia="Calibri" w:hAnsi="Calibri"/>
          <w:sz w:val="18"/>
          <w:szCs w:val="18"/>
          <w:color w:val="auto"/>
        </w:rPr>
        <w:t>“Interest on the principal amount of each Tranche from tme to tme shall accrue from day to day at a rate of Adjusted Term SOFR plus six point seven fve per cent (6.75% per annum) (the “</w:t>
      </w:r>
      <w:r>
        <w:rPr>
          <w:rFonts w:ascii="Calibri" w:cs="Calibri" w:eastAsia="Calibri" w:hAnsi="Calibri"/>
          <w:sz w:val="18"/>
          <w:szCs w:val="18"/>
          <w:b w:val="1"/>
          <w:bCs w:val="1"/>
          <w:color w:val="auto"/>
        </w:rPr>
        <w:t>Applicable Interest Rate</w:t>
      </w:r>
      <w:r>
        <w:rPr>
          <w:rFonts w:ascii="Calibri" w:cs="Calibri" w:eastAsia="Calibri" w:hAnsi="Calibri"/>
          <w:sz w:val="18"/>
          <w:szCs w:val="18"/>
          <w:color w:val="auto"/>
        </w:rPr>
        <w:t xml:space="preserve">”), from the applicable Drawdown Date untl the repayment in full of such Loan; </w:t>
      </w:r>
      <w:r>
        <w:rPr>
          <w:rFonts w:ascii="Calibri" w:cs="Calibri" w:eastAsia="Calibri" w:hAnsi="Calibri"/>
          <w:sz w:val="18"/>
          <w:szCs w:val="18"/>
          <w:u w:val="single" w:color="auto"/>
          <w:color w:val="auto"/>
        </w:rPr>
        <w:t>provided</w:t>
      </w:r>
      <w:r>
        <w:rPr>
          <w:rFonts w:ascii="Calibri" w:cs="Calibri" w:eastAsia="Calibri" w:hAnsi="Calibri"/>
          <w:sz w:val="18"/>
          <w:szCs w:val="18"/>
          <w:color w:val="auto"/>
        </w:rPr>
        <w:t xml:space="preserve"> that the all-in interest rate shall not exceed 15.00% per annum. Notwithstanding the foregoing, to the extent a Loan is funded by the Lender to the Borrower under Tranche C (such Loan, the “</w:t>
      </w:r>
      <w:r>
        <w:rPr>
          <w:rFonts w:ascii="Calibri" w:cs="Calibri" w:eastAsia="Calibri" w:hAnsi="Calibri"/>
          <w:sz w:val="18"/>
          <w:szCs w:val="18"/>
          <w:b w:val="1"/>
          <w:bCs w:val="1"/>
          <w:color w:val="auto"/>
        </w:rPr>
        <w:t>Tranche C Loan</w:t>
      </w:r>
      <w:r>
        <w:rPr>
          <w:rFonts w:ascii="Calibri" w:cs="Calibri" w:eastAsia="Calibri" w:hAnsi="Calibri"/>
          <w:sz w:val="18"/>
          <w:szCs w:val="18"/>
          <w:color w:val="auto"/>
        </w:rPr>
        <w:t>”), interest on the Tranche C Loan shall accrue commencing on December 31, 2024 (notwithstanding that such Tranche C Loan will not be advanced untl on or about February 3, 2025), as if such Tranche C Loan were advanced on December 31, 2024, and accordingly, the frst interest payment in respect of the Tranche C Loan (which shall be</w:t>
      </w:r>
    </w:p>
    <w:p>
      <w:pPr>
        <w:sectPr>
          <w:pgSz w:w="11900" w:h="16838" w:orient="portrait"/>
          <w:cols w:equalWidth="0" w:num="1">
            <w:col w:w="11240"/>
          </w:cols>
          <w:pgMar w:left="320" w:top="106" w:right="339" w:bottom="1440" w:gutter="0" w:footer="0" w:header="0"/>
        </w:sectPr>
      </w:pPr>
    </w:p>
    <w:bookmarkStart w:id="194" w:name="page195"/>
    <w:bookmarkEnd w:id="194"/>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628" w:right="120"/>
        <w:spacing w:after="0" w:line="243" w:lineRule="auto"/>
        <w:rPr>
          <w:sz w:val="20"/>
          <w:szCs w:val="20"/>
          <w:color w:val="auto"/>
        </w:rPr>
      </w:pPr>
      <w:r>
        <w:rPr>
          <w:rFonts w:ascii="Calibri" w:cs="Calibri" w:eastAsia="Calibri" w:hAnsi="Calibri"/>
          <w:sz w:val="18"/>
          <w:szCs w:val="18"/>
          <w:color w:val="auto"/>
        </w:rPr>
        <w:t>comprised of the accrued and unpaid interest from December 31, 2024 through (but excluding) the Drawdown Date for such Tranche C Loan) shall be paid by Borrower at the tme of the disbursement of such Tranche C Loan, by way of deducton by the Lender Representatve from the principal amount advanced; such interest payment is intended to compensate Lender Representatve for delayed funding, and shall not consttute a penalty. Interest on the Loan and each part thereof shall be paid to the Lender Representatve on each Monthly Repayment Date in the Contractual Currency in the amounts to be specifed in the Repayment Schedule.”</w:t>
      </w:r>
    </w:p>
    <w:p>
      <w:pPr>
        <w:spacing w:after="0" w:line="2" w:lineRule="exact"/>
        <w:rPr>
          <w:sz w:val="20"/>
          <w:szCs w:val="20"/>
          <w:color w:val="auto"/>
        </w:rPr>
      </w:pPr>
    </w:p>
    <w:p>
      <w:pPr>
        <w:jc w:val="both"/>
        <w:ind w:left="968" w:right="20" w:hanging="320"/>
        <w:spacing w:after="0" w:line="248" w:lineRule="auto"/>
        <w:tabs>
          <w:tab w:leader="none" w:pos="965" w:val="left"/>
        </w:tabs>
        <w:numPr>
          <w:ilvl w:val="1"/>
          <w:numId w:val="90"/>
        </w:numPr>
        <w:rPr>
          <w:rFonts w:ascii="Calibri" w:cs="Calibri" w:eastAsia="Calibri" w:hAnsi="Calibri"/>
          <w:sz w:val="18"/>
          <w:szCs w:val="18"/>
          <w:color w:val="auto"/>
        </w:rPr>
      </w:pPr>
      <w:r>
        <w:rPr>
          <w:rFonts w:ascii="Calibri" w:cs="Calibri" w:eastAsia="Calibri" w:hAnsi="Calibri"/>
          <w:sz w:val="18"/>
          <w:szCs w:val="18"/>
          <w:color w:val="auto"/>
        </w:rPr>
        <w:t>Notwithstanding anything in the Existng Loan Agreement or the Loan Agreement to the contrary (including Secton 3.2.1 or Secton 3.5.3(i) thereof), the Lender hereby agrees that the executed Drawdown Notce in respect of Tranche C may be delivered to the Lender [**] prior to the date of funding of Tranche C.</w:t>
      </w:r>
    </w:p>
    <w:p>
      <w:pPr>
        <w:spacing w:after="0" w:line="236" w:lineRule="exact"/>
        <w:rPr>
          <w:rFonts w:ascii="Calibri" w:cs="Calibri" w:eastAsia="Calibri" w:hAnsi="Calibri"/>
          <w:sz w:val="18"/>
          <w:szCs w:val="18"/>
          <w:color w:val="auto"/>
        </w:rPr>
      </w:pPr>
    </w:p>
    <w:p>
      <w:pPr>
        <w:ind w:left="968" w:right="200" w:hanging="320"/>
        <w:spacing w:after="0" w:line="269" w:lineRule="auto"/>
        <w:tabs>
          <w:tab w:leader="none" w:pos="956" w:val="left"/>
        </w:tabs>
        <w:numPr>
          <w:ilvl w:val="1"/>
          <w:numId w:val="90"/>
        </w:numPr>
        <w:rPr>
          <w:rFonts w:ascii="Calibri" w:cs="Calibri" w:eastAsia="Calibri" w:hAnsi="Calibri"/>
          <w:sz w:val="17"/>
          <w:szCs w:val="17"/>
          <w:color w:val="auto"/>
        </w:rPr>
      </w:pPr>
      <w:r>
        <w:rPr>
          <w:rFonts w:ascii="Calibri" w:cs="Calibri" w:eastAsia="Calibri" w:hAnsi="Calibri"/>
          <w:sz w:val="17"/>
          <w:szCs w:val="17"/>
          <w:color w:val="auto"/>
        </w:rPr>
        <w:t>The partes hereto hereby agree that the Tranche C Funding Fee shall be due and payable on the Drawdown Date for the Tranche C Loan (and for the avoidance of doubt and notwithstanding anything in the Existng Loan Agreement or the Loan Agreement to the contrary, no Default or Event of Default resulted from the Tranche C Funding Fee not being paid by the Borrower on the Original Expiry Date).</w:t>
      </w:r>
    </w:p>
    <w:p>
      <w:pPr>
        <w:spacing w:after="0" w:line="220" w:lineRule="exact"/>
        <w:rPr>
          <w:rFonts w:ascii="Calibri" w:cs="Calibri" w:eastAsia="Calibri" w:hAnsi="Calibri"/>
          <w:sz w:val="17"/>
          <w:szCs w:val="17"/>
          <w:color w:val="auto"/>
        </w:rPr>
      </w:pPr>
    </w:p>
    <w:p>
      <w:pPr>
        <w:ind w:left="968" w:right="340" w:hanging="320"/>
        <w:spacing w:after="0" w:line="245" w:lineRule="auto"/>
        <w:tabs>
          <w:tab w:leader="none" w:pos="965" w:val="left"/>
        </w:tabs>
        <w:numPr>
          <w:ilvl w:val="1"/>
          <w:numId w:val="90"/>
        </w:numPr>
        <w:rPr>
          <w:rFonts w:ascii="Calibri" w:cs="Calibri" w:eastAsia="Calibri" w:hAnsi="Calibri"/>
          <w:sz w:val="18"/>
          <w:szCs w:val="18"/>
          <w:color w:val="auto"/>
        </w:rPr>
      </w:pPr>
      <w:r>
        <w:rPr>
          <w:rFonts w:ascii="Calibri" w:cs="Calibri" w:eastAsia="Calibri" w:hAnsi="Calibri"/>
          <w:sz w:val="18"/>
          <w:szCs w:val="18"/>
          <w:color w:val="auto"/>
        </w:rPr>
        <w:t>All references in the Loan Documents to the Loan Agreement shall henceforth include references to the Existng Loan Agreement, as modifed and amended by this Amendment, and as may, from tme to tme, be further amended, modifed, extended, renewed, and/or increased.</w:t>
      </w:r>
    </w:p>
    <w:p>
      <w:pPr>
        <w:spacing w:after="0" w:line="2" w:lineRule="exact"/>
        <w:rPr>
          <w:rFonts w:ascii="Calibri" w:cs="Calibri" w:eastAsia="Calibri" w:hAnsi="Calibri"/>
          <w:sz w:val="18"/>
          <w:szCs w:val="18"/>
          <w:color w:val="auto"/>
        </w:rPr>
      </w:pPr>
    </w:p>
    <w:p>
      <w:pPr>
        <w:ind w:left="968" w:right="280" w:hanging="320"/>
        <w:spacing w:after="0" w:line="245" w:lineRule="auto"/>
        <w:tabs>
          <w:tab w:leader="none" w:pos="946" w:val="left"/>
        </w:tabs>
        <w:numPr>
          <w:ilvl w:val="1"/>
          <w:numId w:val="90"/>
        </w:numPr>
        <w:rPr>
          <w:rFonts w:ascii="Calibri" w:cs="Calibri" w:eastAsia="Calibri" w:hAnsi="Calibri"/>
          <w:sz w:val="18"/>
          <w:szCs w:val="18"/>
          <w:color w:val="auto"/>
        </w:rPr>
      </w:pPr>
      <w:r>
        <w:rPr>
          <w:rFonts w:ascii="Calibri" w:cs="Calibri" w:eastAsia="Calibri" w:hAnsi="Calibri"/>
          <w:sz w:val="18"/>
          <w:szCs w:val="18"/>
          <w:color w:val="auto"/>
        </w:rPr>
        <w:t>Any and all of the terms and provisions of the Loan Documents are hereby amended and modifed wherever necessary, even though not specifcally addressed herein, so as to conform to the amendments and modifcatons set forth herein.</w:t>
      </w:r>
    </w:p>
    <w:p>
      <w:pPr>
        <w:spacing w:after="0" w:line="248" w:lineRule="exact"/>
        <w:rPr>
          <w:rFonts w:ascii="Calibri" w:cs="Calibri" w:eastAsia="Calibri" w:hAnsi="Calibri"/>
          <w:sz w:val="18"/>
          <w:szCs w:val="18"/>
          <w:color w:val="auto"/>
        </w:rPr>
      </w:pPr>
    </w:p>
    <w:p>
      <w:pPr>
        <w:ind w:left="308" w:hanging="308"/>
        <w:spacing w:after="0"/>
        <w:tabs>
          <w:tab w:leader="none" w:pos="308" w:val="left"/>
        </w:tabs>
        <w:numPr>
          <w:ilvl w:val="0"/>
          <w:numId w:val="91"/>
        </w:numPr>
        <w:rPr>
          <w:rFonts w:ascii="Calibri" w:cs="Calibri" w:eastAsia="Calibri" w:hAnsi="Calibri"/>
          <w:sz w:val="18"/>
          <w:szCs w:val="18"/>
          <w:color w:val="auto"/>
        </w:rPr>
      </w:pPr>
      <w:r>
        <w:rPr>
          <w:rFonts w:ascii="Calibri" w:cs="Calibri" w:eastAsia="Calibri" w:hAnsi="Calibri"/>
          <w:sz w:val="18"/>
          <w:szCs w:val="18"/>
          <w:u w:val="single" w:color="auto"/>
          <w:color w:val="auto"/>
        </w:rPr>
        <w:t>Conditons Precedent</w:t>
      </w:r>
      <w:r>
        <w:rPr>
          <w:rFonts w:ascii="Calibri" w:cs="Calibri" w:eastAsia="Calibri" w:hAnsi="Calibri"/>
          <w:sz w:val="18"/>
          <w:szCs w:val="18"/>
          <w:color w:val="auto"/>
        </w:rPr>
        <w:t>. This Amendment shall not be efectve unless and untl:</w:t>
      </w:r>
    </w:p>
    <w:p>
      <w:pPr>
        <w:ind w:left="968" w:hanging="320"/>
        <w:spacing w:after="0" w:line="235" w:lineRule="auto"/>
        <w:tabs>
          <w:tab w:leader="none" w:pos="968" w:val="left"/>
        </w:tabs>
        <w:numPr>
          <w:ilvl w:val="1"/>
          <w:numId w:val="91"/>
        </w:numPr>
        <w:rPr>
          <w:rFonts w:ascii="Calibri" w:cs="Calibri" w:eastAsia="Calibri" w:hAnsi="Calibri"/>
          <w:sz w:val="18"/>
          <w:szCs w:val="18"/>
          <w:color w:val="auto"/>
        </w:rPr>
      </w:pPr>
      <w:r>
        <w:rPr>
          <w:rFonts w:ascii="Calibri" w:cs="Calibri" w:eastAsia="Calibri" w:hAnsi="Calibri"/>
          <w:sz w:val="18"/>
          <w:szCs w:val="18"/>
          <w:color w:val="auto"/>
        </w:rPr>
        <w:t>Lender Representatve receives fully executed counterparts of this Amendment signed by Borrower Representatve;</w:t>
      </w:r>
    </w:p>
    <w:p>
      <w:pPr>
        <w:spacing w:after="0" w:line="15" w:lineRule="exact"/>
        <w:rPr>
          <w:rFonts w:ascii="Calibri" w:cs="Calibri" w:eastAsia="Calibri" w:hAnsi="Calibri"/>
          <w:sz w:val="18"/>
          <w:szCs w:val="18"/>
          <w:color w:val="auto"/>
        </w:rPr>
      </w:pPr>
    </w:p>
    <w:p>
      <w:pPr>
        <w:ind w:left="968" w:hanging="320"/>
        <w:spacing w:after="0" w:line="245" w:lineRule="auto"/>
        <w:tabs>
          <w:tab w:leader="none" w:pos="956" w:val="left"/>
        </w:tabs>
        <w:numPr>
          <w:ilvl w:val="1"/>
          <w:numId w:val="91"/>
        </w:numPr>
        <w:rPr>
          <w:rFonts w:ascii="Calibri" w:cs="Calibri" w:eastAsia="Calibri" w:hAnsi="Calibri"/>
          <w:sz w:val="18"/>
          <w:szCs w:val="18"/>
          <w:color w:val="auto"/>
        </w:rPr>
      </w:pPr>
      <w:r>
        <w:rPr>
          <w:rFonts w:ascii="Calibri" w:cs="Calibri" w:eastAsia="Calibri" w:hAnsi="Calibri"/>
          <w:sz w:val="18"/>
          <w:szCs w:val="18"/>
          <w:color w:val="auto"/>
        </w:rPr>
        <w:t>Borrower Representatve shall have delivered, or caused to be delivered, in each case, in form and substance reasonably satsfactory to Lender Representatve:</w:t>
      </w:r>
    </w:p>
    <w:p>
      <w:pPr>
        <w:spacing w:after="0" w:line="145" w:lineRule="exact"/>
        <w:rPr>
          <w:rFonts w:ascii="Calibri" w:cs="Calibri" w:eastAsia="Calibri" w:hAnsi="Calibri"/>
          <w:sz w:val="18"/>
          <w:szCs w:val="18"/>
          <w:color w:val="auto"/>
        </w:rPr>
      </w:pPr>
    </w:p>
    <w:p>
      <w:pPr>
        <w:ind w:left="1628" w:hanging="170"/>
        <w:spacing w:after="0" w:line="245" w:lineRule="auto"/>
        <w:tabs>
          <w:tab w:leader="none" w:pos="1618" w:val="left"/>
        </w:tabs>
        <w:numPr>
          <w:ilvl w:val="2"/>
          <w:numId w:val="91"/>
        </w:numPr>
        <w:rPr>
          <w:rFonts w:ascii="Calibri" w:cs="Calibri" w:eastAsia="Calibri" w:hAnsi="Calibri"/>
          <w:sz w:val="18"/>
          <w:szCs w:val="18"/>
          <w:color w:val="auto"/>
        </w:rPr>
      </w:pPr>
      <w:r>
        <w:rPr>
          <w:rFonts w:ascii="Calibri" w:cs="Calibri" w:eastAsia="Calibri" w:hAnsi="Calibri"/>
          <w:sz w:val="18"/>
          <w:szCs w:val="18"/>
          <w:color w:val="auto"/>
        </w:rPr>
        <w:t>to Kreos Capital VII Aggregator SCSp, a duly executed Tranche C Warrant (as defned in the Warrant Agreement, dated as of January 29, 2024, by and among the Borrower and Kreos Capital VII Aggregator SCSp); and</w:t>
      </w:r>
    </w:p>
    <w:p>
      <w:pPr>
        <w:spacing w:after="0" w:line="239" w:lineRule="exact"/>
        <w:rPr>
          <w:rFonts w:ascii="Calibri" w:cs="Calibri" w:eastAsia="Calibri" w:hAnsi="Calibri"/>
          <w:sz w:val="18"/>
          <w:szCs w:val="18"/>
          <w:color w:val="auto"/>
        </w:rPr>
      </w:pPr>
    </w:p>
    <w:p>
      <w:pPr>
        <w:ind w:left="1628" w:hanging="170"/>
        <w:spacing w:after="0" w:line="245" w:lineRule="auto"/>
        <w:tabs>
          <w:tab w:leader="none" w:pos="1618" w:val="left"/>
        </w:tabs>
        <w:numPr>
          <w:ilvl w:val="2"/>
          <w:numId w:val="91"/>
        </w:numPr>
        <w:rPr>
          <w:rFonts w:ascii="Calibri" w:cs="Calibri" w:eastAsia="Calibri" w:hAnsi="Calibri"/>
          <w:sz w:val="18"/>
          <w:szCs w:val="18"/>
          <w:color w:val="auto"/>
        </w:rPr>
      </w:pPr>
      <w:r>
        <w:rPr>
          <w:rFonts w:ascii="Calibri" w:cs="Calibri" w:eastAsia="Calibri" w:hAnsi="Calibri"/>
          <w:sz w:val="18"/>
          <w:szCs w:val="18"/>
          <w:color w:val="auto"/>
        </w:rPr>
        <w:t>to Lender Representatve, a duly executed Drawdown Notce for the Tranche C Loan in the principal amount of $10,000,000, as required by the Loan Agreement;</w:t>
      </w:r>
    </w:p>
    <w:p>
      <w:pPr>
        <w:spacing w:after="0" w:line="10" w:lineRule="exact"/>
        <w:rPr>
          <w:rFonts w:ascii="Calibri" w:cs="Calibri" w:eastAsia="Calibri" w:hAnsi="Calibri"/>
          <w:sz w:val="18"/>
          <w:szCs w:val="18"/>
          <w:color w:val="auto"/>
        </w:rPr>
      </w:pPr>
    </w:p>
    <w:p>
      <w:pPr>
        <w:jc w:val="both"/>
        <w:ind w:left="968" w:hanging="320"/>
        <w:spacing w:after="0"/>
        <w:tabs>
          <w:tab w:leader="none" w:pos="965" w:val="left"/>
        </w:tabs>
        <w:numPr>
          <w:ilvl w:val="1"/>
          <w:numId w:val="91"/>
        </w:numPr>
        <w:rPr>
          <w:rFonts w:ascii="Calibri" w:cs="Calibri" w:eastAsia="Calibri" w:hAnsi="Calibri"/>
          <w:sz w:val="18"/>
          <w:szCs w:val="18"/>
          <w:color w:val="auto"/>
        </w:rPr>
      </w:pPr>
      <w:r>
        <w:rPr>
          <w:rFonts w:ascii="Calibri" w:cs="Calibri" w:eastAsia="Calibri" w:hAnsi="Calibri"/>
          <w:sz w:val="18"/>
          <w:szCs w:val="18"/>
          <w:color w:val="auto"/>
        </w:rPr>
        <w:t>Immediately afer giving efect to this Amendment, the representatons and warrantes in Secton 4 of this Amendment shall be true and correct in all material respects (without duplicaton of any materiality qualifers therein) as of the Amendment Efectve Date with the same efect as though made as of such date (except to the extent that such representatons and warrantes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12"/>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0908"/>
          </w:cols>
          <w:pgMar w:left="652" w:top="1440" w:right="339" w:bottom="1440" w:gutter="0" w:footer="0" w:header="0"/>
        </w:sectPr>
      </w:pPr>
    </w:p>
    <w:bookmarkStart w:id="195" w:name="page196"/>
    <w:bookmarkEnd w:id="195"/>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968"/>
        <w:spacing w:after="0" w:line="235" w:lineRule="auto"/>
        <w:rPr>
          <w:sz w:val="20"/>
          <w:szCs w:val="20"/>
          <w:color w:val="auto"/>
        </w:rPr>
      </w:pPr>
      <w:r>
        <w:rPr>
          <w:rFonts w:ascii="Calibri" w:cs="Calibri" w:eastAsia="Calibri" w:hAnsi="Calibri"/>
          <w:sz w:val="18"/>
          <w:szCs w:val="18"/>
          <w:color w:val="auto"/>
        </w:rPr>
        <w:t>specifcally refer to an earlier date, in which case they are true and correct in all material respects (without duplicaton of any materiality qualifers therein) as of such earlier date);</w:t>
      </w:r>
    </w:p>
    <w:p>
      <w:pPr>
        <w:spacing w:after="0" w:line="253" w:lineRule="exact"/>
        <w:rPr>
          <w:sz w:val="20"/>
          <w:szCs w:val="20"/>
          <w:color w:val="auto"/>
        </w:rPr>
      </w:pPr>
    </w:p>
    <w:p>
      <w:pPr>
        <w:ind w:left="968" w:hanging="320"/>
        <w:spacing w:after="0"/>
        <w:tabs>
          <w:tab w:leader="none" w:pos="968" w:val="left"/>
        </w:tabs>
        <w:numPr>
          <w:ilvl w:val="1"/>
          <w:numId w:val="92"/>
        </w:numPr>
        <w:rPr>
          <w:rFonts w:ascii="Calibri" w:cs="Calibri" w:eastAsia="Calibri" w:hAnsi="Calibri"/>
          <w:sz w:val="18"/>
          <w:szCs w:val="18"/>
          <w:color w:val="auto"/>
        </w:rPr>
      </w:pPr>
      <w:r>
        <w:rPr>
          <w:rFonts w:ascii="Calibri" w:cs="Calibri" w:eastAsia="Calibri" w:hAnsi="Calibri"/>
          <w:sz w:val="18"/>
          <w:szCs w:val="18"/>
          <w:color w:val="auto"/>
        </w:rPr>
        <w:t>Immediately afer giving efect to this Amendment, no Default or Event of Default exists; and</w:t>
      </w:r>
    </w:p>
    <w:p>
      <w:pPr>
        <w:spacing w:after="0" w:line="244" w:lineRule="exact"/>
        <w:rPr>
          <w:rFonts w:ascii="Calibri" w:cs="Calibri" w:eastAsia="Calibri" w:hAnsi="Calibri"/>
          <w:sz w:val="18"/>
          <w:szCs w:val="18"/>
          <w:color w:val="auto"/>
        </w:rPr>
      </w:pPr>
    </w:p>
    <w:p>
      <w:pPr>
        <w:jc w:val="both"/>
        <w:ind w:left="968" w:hanging="320"/>
        <w:spacing w:after="0" w:line="245" w:lineRule="auto"/>
        <w:tabs>
          <w:tab w:leader="none" w:pos="965" w:val="left"/>
        </w:tabs>
        <w:numPr>
          <w:ilvl w:val="1"/>
          <w:numId w:val="92"/>
        </w:numPr>
        <w:rPr>
          <w:rFonts w:ascii="Calibri" w:cs="Calibri" w:eastAsia="Calibri" w:hAnsi="Calibri"/>
          <w:sz w:val="18"/>
          <w:szCs w:val="18"/>
          <w:color w:val="auto"/>
        </w:rPr>
      </w:pPr>
      <w:r>
        <w:rPr>
          <w:rFonts w:ascii="Calibri" w:cs="Calibri" w:eastAsia="Calibri" w:hAnsi="Calibri"/>
          <w:sz w:val="18"/>
          <w:szCs w:val="18"/>
          <w:color w:val="auto"/>
        </w:rPr>
        <w:t>Borrower Representatve shall have paid all fees, costs and expenses required to be paid by it under the Loan Documents as of the Amendment Efectve Date (including all fees, charges and disbursements of counsel to Lender Representatve in connecton with this Amendment) to the extent invoiced on or before [**] prior to the Amendment Efectve Date.</w:t>
      </w:r>
    </w:p>
    <w:p>
      <w:pPr>
        <w:spacing w:after="0" w:line="2" w:lineRule="exact"/>
        <w:rPr>
          <w:rFonts w:ascii="Calibri" w:cs="Calibri" w:eastAsia="Calibri" w:hAnsi="Calibri"/>
          <w:sz w:val="18"/>
          <w:szCs w:val="18"/>
          <w:color w:val="auto"/>
        </w:rPr>
      </w:pPr>
    </w:p>
    <w:p>
      <w:pPr>
        <w:jc w:val="both"/>
        <w:ind w:left="328" w:hanging="328"/>
        <w:spacing w:after="0" w:line="244" w:lineRule="auto"/>
        <w:tabs>
          <w:tab w:leader="none" w:pos="313" w:val="left"/>
        </w:tabs>
        <w:numPr>
          <w:ilvl w:val="0"/>
          <w:numId w:val="93"/>
        </w:numPr>
        <w:rPr>
          <w:rFonts w:ascii="Calibri" w:cs="Calibri" w:eastAsia="Calibri" w:hAnsi="Calibri"/>
          <w:sz w:val="18"/>
          <w:szCs w:val="18"/>
          <w:color w:val="auto"/>
        </w:rPr>
      </w:pPr>
      <w:r>
        <w:rPr>
          <w:rFonts w:ascii="Calibri" w:cs="Calibri" w:eastAsia="Calibri" w:hAnsi="Calibri"/>
          <w:sz w:val="18"/>
          <w:szCs w:val="18"/>
          <w:u w:val="single" w:color="auto"/>
          <w:color w:val="auto"/>
        </w:rPr>
        <w:t>Ratfcatons</w:t>
      </w:r>
      <w:r>
        <w:rPr>
          <w:rFonts w:ascii="Calibri" w:cs="Calibri" w:eastAsia="Calibri" w:hAnsi="Calibri"/>
          <w:sz w:val="18"/>
          <w:szCs w:val="18"/>
          <w:color w:val="auto"/>
        </w:rPr>
        <w:t>. Borrower Representatve (a) ratfes and confrms all provisions of the Loan Documents as amended by this Amendment; (b) ratfes and confrms that all guarantes and liens granted to the Lender Representatve under the Loan Documents are not released, reduced, or otherwise adversely afected by this Amendment and contnue to guarantee and secure, as applicable, full payment and performance of all present and future obligatons under the Loan Documents; and (c) subject to the Perfecton Exceptons and any other exceptons, thresholds, limitatons and deadlines contained in the other Loan Documents, agrees to perform such acts and duly authorize, execute, acknowledge, deliver, fle, and record such additonal documents, and certfcates as the Lender Representatve may request in order to create, perfect, preserve, and protect those guarantes, assurances, and Security Interests.</w:t>
      </w:r>
    </w:p>
    <w:p>
      <w:pPr>
        <w:spacing w:after="0" w:line="10" w:lineRule="exact"/>
        <w:rPr>
          <w:rFonts w:ascii="Calibri" w:cs="Calibri" w:eastAsia="Calibri" w:hAnsi="Calibri"/>
          <w:sz w:val="18"/>
          <w:szCs w:val="18"/>
          <w:color w:val="auto"/>
        </w:rPr>
      </w:pPr>
    </w:p>
    <w:p>
      <w:pPr>
        <w:ind w:left="308" w:hanging="308"/>
        <w:spacing w:after="0"/>
        <w:tabs>
          <w:tab w:leader="none" w:pos="308" w:val="left"/>
        </w:tabs>
        <w:numPr>
          <w:ilvl w:val="0"/>
          <w:numId w:val="93"/>
        </w:numPr>
        <w:rPr>
          <w:rFonts w:ascii="Calibri" w:cs="Calibri" w:eastAsia="Calibri" w:hAnsi="Calibri"/>
          <w:sz w:val="18"/>
          <w:szCs w:val="18"/>
          <w:color w:val="auto"/>
        </w:rPr>
      </w:pPr>
      <w:r>
        <w:rPr>
          <w:rFonts w:ascii="Calibri" w:cs="Calibri" w:eastAsia="Calibri" w:hAnsi="Calibri"/>
          <w:sz w:val="18"/>
          <w:szCs w:val="18"/>
          <w:u w:val="single" w:color="auto"/>
          <w:color w:val="auto"/>
        </w:rPr>
        <w:t>Representatons</w:t>
      </w:r>
      <w:r>
        <w:rPr>
          <w:rFonts w:ascii="Calibri" w:cs="Calibri" w:eastAsia="Calibri" w:hAnsi="Calibri"/>
          <w:sz w:val="18"/>
          <w:szCs w:val="18"/>
          <w:color w:val="auto"/>
        </w:rPr>
        <w:t>. Borrower Representatve hereby represents and warrants to the Lender Representatve that as of the date of this Amendment:</w:t>
      </w:r>
    </w:p>
    <w:p>
      <w:pPr>
        <w:spacing w:after="0" w:line="149" w:lineRule="exact"/>
        <w:rPr>
          <w:rFonts w:ascii="Calibri" w:cs="Calibri" w:eastAsia="Calibri" w:hAnsi="Calibri"/>
          <w:sz w:val="18"/>
          <w:szCs w:val="18"/>
          <w:color w:val="auto"/>
        </w:rPr>
      </w:pPr>
    </w:p>
    <w:p>
      <w:pPr>
        <w:ind w:left="968" w:hanging="320"/>
        <w:spacing w:after="0" w:line="245" w:lineRule="auto"/>
        <w:tabs>
          <w:tab w:leader="none" w:pos="961" w:val="left"/>
        </w:tabs>
        <w:numPr>
          <w:ilvl w:val="1"/>
          <w:numId w:val="93"/>
        </w:numPr>
        <w:rPr>
          <w:rFonts w:ascii="Calibri" w:cs="Calibri" w:eastAsia="Calibri" w:hAnsi="Calibri"/>
          <w:sz w:val="18"/>
          <w:szCs w:val="18"/>
          <w:color w:val="auto"/>
        </w:rPr>
      </w:pPr>
      <w:r>
        <w:rPr>
          <w:rFonts w:ascii="Calibri" w:cs="Calibri" w:eastAsia="Calibri" w:hAnsi="Calibri"/>
          <w:sz w:val="18"/>
          <w:szCs w:val="18"/>
          <w:color w:val="auto"/>
        </w:rPr>
        <w:t>the Borrower Representatve has the corporate capacity, and has taken all corporate acton and obtained all corporate consents, necessary for it to execute this Amendment and perform its obligatons hereunder;</w:t>
      </w:r>
    </w:p>
    <w:p>
      <w:pPr>
        <w:spacing w:after="0" w:line="145" w:lineRule="exact"/>
        <w:rPr>
          <w:rFonts w:ascii="Calibri" w:cs="Calibri" w:eastAsia="Calibri" w:hAnsi="Calibri"/>
          <w:sz w:val="18"/>
          <w:szCs w:val="18"/>
          <w:color w:val="auto"/>
        </w:rPr>
      </w:pPr>
    </w:p>
    <w:p>
      <w:pPr>
        <w:jc w:val="both"/>
        <w:ind w:left="968" w:hanging="320"/>
        <w:spacing w:after="0" w:line="244" w:lineRule="auto"/>
        <w:tabs>
          <w:tab w:leader="none" w:pos="956" w:val="left"/>
        </w:tabs>
        <w:numPr>
          <w:ilvl w:val="1"/>
          <w:numId w:val="93"/>
        </w:numPr>
        <w:rPr>
          <w:rFonts w:ascii="Calibri" w:cs="Calibri" w:eastAsia="Calibri" w:hAnsi="Calibri"/>
          <w:sz w:val="18"/>
          <w:szCs w:val="18"/>
          <w:color w:val="auto"/>
        </w:rPr>
      </w:pPr>
      <w:r>
        <w:rPr>
          <w:rFonts w:ascii="Calibri" w:cs="Calibri" w:eastAsia="Calibri" w:hAnsi="Calibri"/>
          <w:sz w:val="18"/>
          <w:szCs w:val="18"/>
          <w:color w:val="auto"/>
        </w:rPr>
        <w:t>this Amendment will, upon executon and delivery thereof by all partes hereto, consttute the Borrower Representatve’s legal, valid and binding obligaton enforceable against the Borrower Representatve in accordance with its terms, subject to the efects of bankruptcy, insolvency, fraudulent conveyance, reorganizaton, moratorium and other similar laws relatng to or afectng creditors’ rights generally, and general equitable principles (whether considered in a proceeding in equity or at law);</w:t>
      </w:r>
    </w:p>
    <w:p>
      <w:pPr>
        <w:spacing w:after="0" w:line="159" w:lineRule="exact"/>
        <w:rPr>
          <w:rFonts w:ascii="Calibri" w:cs="Calibri" w:eastAsia="Calibri" w:hAnsi="Calibri"/>
          <w:sz w:val="18"/>
          <w:szCs w:val="18"/>
          <w:color w:val="auto"/>
        </w:rPr>
      </w:pPr>
    </w:p>
    <w:p>
      <w:pPr>
        <w:ind w:left="968" w:hanging="320"/>
        <w:spacing w:after="0" w:line="235" w:lineRule="auto"/>
        <w:tabs>
          <w:tab w:leader="none" w:pos="965" w:val="left"/>
        </w:tabs>
        <w:numPr>
          <w:ilvl w:val="1"/>
          <w:numId w:val="93"/>
        </w:numPr>
        <w:rPr>
          <w:rFonts w:ascii="Calibri" w:cs="Calibri" w:eastAsia="Calibri" w:hAnsi="Calibri"/>
          <w:sz w:val="18"/>
          <w:szCs w:val="18"/>
          <w:color w:val="auto"/>
        </w:rPr>
      </w:pPr>
      <w:r>
        <w:rPr>
          <w:rFonts w:ascii="Calibri" w:cs="Calibri" w:eastAsia="Calibri" w:hAnsi="Calibri"/>
          <w:sz w:val="18"/>
          <w:szCs w:val="18"/>
          <w:color w:val="auto"/>
        </w:rPr>
        <w:t>the executon and delivery of this Amendment by the Borrower Representatve does not violate (i) any applicable material law or other material legal or regulatory requirement or (ii) its organizatonal documents;</w:t>
      </w:r>
    </w:p>
    <w:p>
      <w:pPr>
        <w:spacing w:after="0" w:line="163" w:lineRule="exact"/>
        <w:rPr>
          <w:rFonts w:ascii="Calibri" w:cs="Calibri" w:eastAsia="Calibri" w:hAnsi="Calibri"/>
          <w:sz w:val="18"/>
          <w:szCs w:val="18"/>
          <w:color w:val="auto"/>
        </w:rPr>
      </w:pPr>
    </w:p>
    <w:p>
      <w:pPr>
        <w:jc w:val="both"/>
        <w:ind w:left="968" w:hanging="320"/>
        <w:spacing w:after="0" w:line="244" w:lineRule="auto"/>
        <w:tabs>
          <w:tab w:leader="none" w:pos="956" w:val="left"/>
        </w:tabs>
        <w:numPr>
          <w:ilvl w:val="1"/>
          <w:numId w:val="93"/>
        </w:numPr>
        <w:rPr>
          <w:rFonts w:ascii="Calibri" w:cs="Calibri" w:eastAsia="Calibri" w:hAnsi="Calibri"/>
          <w:sz w:val="18"/>
          <w:szCs w:val="18"/>
          <w:color w:val="auto"/>
        </w:rPr>
      </w:pPr>
      <w:r>
        <w:rPr>
          <w:rFonts w:ascii="Calibri" w:cs="Calibri" w:eastAsia="Calibri" w:hAnsi="Calibri"/>
          <w:sz w:val="18"/>
          <w:szCs w:val="18"/>
          <w:color w:val="auto"/>
        </w:rPr>
        <w:t>all representatons and warrantes in the Loan Documents are true and correct in all material respects (without duplicaton of any materiality qualifers therein) as of the Amendment Efectve Date with the same efect as though made as of such date (except to the extent that such representatons and warrantes specifcally refer to an earlier date, in which case they are true and correct in all material respects (without duplicaton of any materiality qualifers therein) as of such earlier date); and</w:t>
      </w:r>
    </w:p>
    <w:p>
      <w:pPr>
        <w:spacing w:after="0" w:line="141" w:lineRule="exact"/>
        <w:rPr>
          <w:rFonts w:ascii="Calibri" w:cs="Calibri" w:eastAsia="Calibri" w:hAnsi="Calibri"/>
          <w:sz w:val="18"/>
          <w:szCs w:val="18"/>
          <w:color w:val="auto"/>
        </w:rPr>
      </w:pPr>
    </w:p>
    <w:p>
      <w:pPr>
        <w:ind w:left="968" w:hanging="320"/>
        <w:spacing w:after="0"/>
        <w:tabs>
          <w:tab w:leader="none" w:pos="968" w:val="left"/>
        </w:tabs>
        <w:numPr>
          <w:ilvl w:val="1"/>
          <w:numId w:val="93"/>
        </w:numPr>
        <w:rPr>
          <w:rFonts w:ascii="Calibri" w:cs="Calibri" w:eastAsia="Calibri" w:hAnsi="Calibri"/>
          <w:sz w:val="18"/>
          <w:szCs w:val="18"/>
          <w:color w:val="auto"/>
        </w:rPr>
      </w:pPr>
      <w:r>
        <w:rPr>
          <w:rFonts w:ascii="Calibri" w:cs="Calibri" w:eastAsia="Calibri" w:hAnsi="Calibri"/>
          <w:sz w:val="18"/>
          <w:szCs w:val="18"/>
          <w:color w:val="auto"/>
        </w:rPr>
        <w:t>immediately afer giving efect to this Amendment, no Default or Event of Default has occurred and is contnuing.</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12"/>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0908"/>
          </w:cols>
          <w:pgMar w:left="652" w:top="1440" w:right="339" w:bottom="1440" w:gutter="0" w:footer="0" w:header="0"/>
        </w:sectPr>
      </w:pPr>
    </w:p>
    <w:bookmarkStart w:id="196" w:name="page197"/>
    <w:bookmarkEnd w:id="196"/>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328" w:hanging="328"/>
        <w:spacing w:after="0" w:line="241" w:lineRule="auto"/>
        <w:tabs>
          <w:tab w:leader="none" w:pos="313" w:val="left"/>
        </w:tabs>
        <w:numPr>
          <w:ilvl w:val="0"/>
          <w:numId w:val="94"/>
        </w:numPr>
        <w:rPr>
          <w:rFonts w:ascii="Calibri" w:cs="Calibri" w:eastAsia="Calibri" w:hAnsi="Calibri"/>
          <w:sz w:val="18"/>
          <w:szCs w:val="18"/>
          <w:color w:val="auto"/>
        </w:rPr>
      </w:pPr>
      <w:r>
        <w:rPr>
          <w:rFonts w:ascii="Calibri" w:cs="Calibri" w:eastAsia="Calibri" w:hAnsi="Calibri"/>
          <w:sz w:val="18"/>
          <w:szCs w:val="18"/>
          <w:u w:val="single" w:color="auto"/>
          <w:color w:val="auto"/>
        </w:rPr>
        <w:t>Contnued Efect</w:t>
      </w:r>
      <w:r>
        <w:rPr>
          <w:rFonts w:ascii="Calibri" w:cs="Calibri" w:eastAsia="Calibri" w:hAnsi="Calibri"/>
          <w:sz w:val="18"/>
          <w:szCs w:val="18"/>
          <w:color w:val="auto"/>
        </w:rPr>
        <w:t>. Except to the extent amended hereby, all terms, provisions and conditons of the Loan Agreement and the other Loan Documents, and all documents executed in connecton therewith, shall contnue in full force and efect and shall remain enforceable and binding in accordance with their respectve terms. Without limitaton of the foregoing or Secton 2(e), all unpaid legal fees of Lender Representatve in connecton with this Amendment and the transactons contemplated hereby shall be paid by the Borrower, to the extent required by and in accordance with the terms of Secton 10.3.1 of the Loan Agreement.</w:t>
      </w:r>
    </w:p>
    <w:p>
      <w:pPr>
        <w:spacing w:after="0" w:line="12" w:lineRule="exact"/>
        <w:rPr>
          <w:rFonts w:ascii="Calibri" w:cs="Calibri" w:eastAsia="Calibri" w:hAnsi="Calibri"/>
          <w:sz w:val="18"/>
          <w:szCs w:val="18"/>
          <w:color w:val="auto"/>
        </w:rPr>
      </w:pPr>
    </w:p>
    <w:p>
      <w:pPr>
        <w:ind w:left="308" w:hanging="308"/>
        <w:spacing w:after="0"/>
        <w:tabs>
          <w:tab w:leader="none" w:pos="308" w:val="left"/>
        </w:tabs>
        <w:numPr>
          <w:ilvl w:val="0"/>
          <w:numId w:val="94"/>
        </w:numPr>
        <w:rPr>
          <w:rFonts w:ascii="Calibri" w:cs="Calibri" w:eastAsia="Calibri" w:hAnsi="Calibri"/>
          <w:sz w:val="18"/>
          <w:szCs w:val="18"/>
          <w:color w:val="auto"/>
        </w:rPr>
      </w:pPr>
      <w:r>
        <w:rPr>
          <w:rFonts w:ascii="Calibri" w:cs="Calibri" w:eastAsia="Calibri" w:hAnsi="Calibri"/>
          <w:sz w:val="18"/>
          <w:szCs w:val="18"/>
          <w:u w:val="single" w:color="auto"/>
          <w:color w:val="auto"/>
        </w:rPr>
        <w:t>Post Amendment Efectve Date Covenant</w:t>
      </w:r>
      <w:r>
        <w:rPr>
          <w:rFonts w:ascii="Calibri" w:cs="Calibri" w:eastAsia="Calibri" w:hAnsi="Calibri"/>
          <w:sz w:val="18"/>
          <w:szCs w:val="18"/>
          <w:color w:val="auto"/>
        </w:rPr>
        <w:t>.</w:t>
      </w:r>
    </w:p>
    <w:p>
      <w:pPr>
        <w:spacing w:after="0" w:line="1" w:lineRule="exact"/>
        <w:rPr>
          <w:rFonts w:ascii="Calibri" w:cs="Calibri" w:eastAsia="Calibri" w:hAnsi="Calibri"/>
          <w:sz w:val="18"/>
          <w:szCs w:val="18"/>
          <w:color w:val="auto"/>
        </w:rPr>
      </w:pPr>
    </w:p>
    <w:p>
      <w:pPr>
        <w:jc w:val="both"/>
        <w:ind w:left="968" w:hanging="320"/>
        <w:spacing w:after="0" w:line="248" w:lineRule="auto"/>
        <w:tabs>
          <w:tab w:leader="none" w:pos="961" w:val="left"/>
        </w:tabs>
        <w:numPr>
          <w:ilvl w:val="1"/>
          <w:numId w:val="94"/>
        </w:numPr>
        <w:rPr>
          <w:rFonts w:ascii="Calibri" w:cs="Calibri" w:eastAsia="Calibri" w:hAnsi="Calibri"/>
          <w:sz w:val="18"/>
          <w:szCs w:val="18"/>
          <w:color w:val="auto"/>
        </w:rPr>
      </w:pPr>
      <w:r>
        <w:rPr>
          <w:rFonts w:ascii="Calibri" w:cs="Calibri" w:eastAsia="Calibri" w:hAnsi="Calibri"/>
          <w:sz w:val="18"/>
          <w:szCs w:val="18"/>
          <w:color w:val="auto"/>
        </w:rPr>
        <w:t>On or before the [**] following the Amendment Efectve Date (or such later tme period as the Lender Representatve may agree in its reasonable discreton), the Borrower Representatve shall have delivered a supplemental Perfecton Certfcate to the Lender Representatve.</w:t>
      </w:r>
    </w:p>
    <w:p>
      <w:pPr>
        <w:spacing w:after="0" w:line="380" w:lineRule="exact"/>
        <w:rPr>
          <w:rFonts w:ascii="Calibri" w:cs="Calibri" w:eastAsia="Calibri" w:hAnsi="Calibri"/>
          <w:sz w:val="18"/>
          <w:szCs w:val="18"/>
          <w:color w:val="auto"/>
        </w:rPr>
      </w:pPr>
    </w:p>
    <w:p>
      <w:pPr>
        <w:ind w:left="308" w:hanging="308"/>
        <w:spacing w:after="0"/>
        <w:tabs>
          <w:tab w:leader="none" w:pos="308" w:val="left"/>
        </w:tabs>
        <w:numPr>
          <w:ilvl w:val="0"/>
          <w:numId w:val="94"/>
        </w:numPr>
        <w:rPr>
          <w:rFonts w:ascii="Calibri" w:cs="Calibri" w:eastAsia="Calibri" w:hAnsi="Calibri"/>
          <w:sz w:val="18"/>
          <w:szCs w:val="18"/>
          <w:color w:val="auto"/>
        </w:rPr>
      </w:pPr>
      <w:r>
        <w:rPr>
          <w:rFonts w:ascii="Calibri" w:cs="Calibri" w:eastAsia="Calibri" w:hAnsi="Calibri"/>
          <w:sz w:val="18"/>
          <w:szCs w:val="18"/>
          <w:u w:val="single" w:color="auto"/>
          <w:color w:val="auto"/>
        </w:rPr>
        <w:t>Loan Documents</w:t>
      </w:r>
      <w:r>
        <w:rPr>
          <w:rFonts w:ascii="Calibri" w:cs="Calibri" w:eastAsia="Calibri" w:hAnsi="Calibri"/>
          <w:sz w:val="18"/>
          <w:szCs w:val="18"/>
          <w:color w:val="auto"/>
        </w:rPr>
        <w:t>. This Amendment consttutes a Loan Document.</w:t>
      </w:r>
    </w:p>
    <w:p>
      <w:pPr>
        <w:spacing w:after="0" w:line="14" w:lineRule="exact"/>
        <w:rPr>
          <w:rFonts w:ascii="Calibri" w:cs="Calibri" w:eastAsia="Calibri" w:hAnsi="Calibri"/>
          <w:sz w:val="18"/>
          <w:szCs w:val="18"/>
          <w:color w:val="auto"/>
        </w:rPr>
      </w:pPr>
    </w:p>
    <w:p>
      <w:pPr>
        <w:ind w:left="328" w:right="780" w:hanging="328"/>
        <w:spacing w:after="0" w:line="235" w:lineRule="auto"/>
        <w:tabs>
          <w:tab w:leader="none" w:pos="313" w:val="left"/>
        </w:tabs>
        <w:numPr>
          <w:ilvl w:val="0"/>
          <w:numId w:val="94"/>
        </w:numPr>
        <w:rPr>
          <w:rFonts w:ascii="Calibri" w:cs="Calibri" w:eastAsia="Calibri" w:hAnsi="Calibri"/>
          <w:sz w:val="18"/>
          <w:szCs w:val="18"/>
          <w:color w:val="auto"/>
        </w:rPr>
      </w:pPr>
      <w:r>
        <w:rPr>
          <w:rFonts w:ascii="Calibri" w:cs="Calibri" w:eastAsia="Calibri" w:hAnsi="Calibri"/>
          <w:sz w:val="18"/>
          <w:szCs w:val="18"/>
          <w:u w:val="single" w:color="auto"/>
          <w:color w:val="auto"/>
        </w:rPr>
        <w:t>Partes</w:t>
      </w:r>
      <w:r>
        <w:rPr>
          <w:rFonts w:ascii="Calibri" w:cs="Calibri" w:eastAsia="Calibri" w:hAnsi="Calibri"/>
          <w:sz w:val="18"/>
          <w:szCs w:val="18"/>
          <w:color w:val="auto"/>
        </w:rPr>
        <w:t>. This Amendment binds and inures to the beneft of the Loan Partes and the Lender Representatve and their respectve permited successors and permited assigns.</w:t>
      </w:r>
    </w:p>
    <w:p>
      <w:pPr>
        <w:spacing w:after="0" w:line="15" w:lineRule="exact"/>
        <w:rPr>
          <w:rFonts w:ascii="Calibri" w:cs="Calibri" w:eastAsia="Calibri" w:hAnsi="Calibri"/>
          <w:sz w:val="18"/>
          <w:szCs w:val="18"/>
          <w:color w:val="auto"/>
        </w:rPr>
      </w:pPr>
    </w:p>
    <w:p>
      <w:pPr>
        <w:jc w:val="both"/>
        <w:ind w:left="328" w:hanging="328"/>
        <w:spacing w:after="0" w:line="260" w:lineRule="auto"/>
        <w:tabs>
          <w:tab w:leader="none" w:pos="313" w:val="left"/>
        </w:tabs>
        <w:numPr>
          <w:ilvl w:val="0"/>
          <w:numId w:val="94"/>
        </w:numPr>
        <w:rPr>
          <w:rFonts w:ascii="Calibri" w:cs="Calibri" w:eastAsia="Calibri" w:hAnsi="Calibri"/>
          <w:sz w:val="17"/>
          <w:szCs w:val="17"/>
          <w:color w:val="auto"/>
        </w:rPr>
      </w:pPr>
      <w:r>
        <w:rPr>
          <w:rFonts w:ascii="Calibri" w:cs="Calibri" w:eastAsia="Calibri" w:hAnsi="Calibri"/>
          <w:sz w:val="17"/>
          <w:szCs w:val="17"/>
          <w:u w:val="single" w:color="auto"/>
          <w:color w:val="auto"/>
        </w:rPr>
        <w:t>RELEASE</w:t>
      </w:r>
      <w:r>
        <w:rPr>
          <w:rFonts w:ascii="Calibri" w:cs="Calibri" w:eastAsia="Calibri" w:hAnsi="Calibri"/>
          <w:sz w:val="17"/>
          <w:szCs w:val="17"/>
          <w:color w:val="auto"/>
        </w:rPr>
        <w:t>. BORROWER REPRESENTATIVE AND EACH LOAN PARTY HEREBY ACKNOWLEDGES AND AGREES THAT, AS OF THE DATE HEREOF, SUBJECT TO APPLICABLE LAW, THE OBLIGATIONS UNDER THE LOAN AGREEMENT AND UNDER THE OTHER LOAN DOCUMENTS ARE ABSOLUTE AND UNCONDITIONAL WITHOUT ANY RIGHT OF RESCISSION, SETOFF, COUNTERCLAIM, DEFENSE, OFFSET, CROSS-COMPLAINT, CLAIM OR DEMAND OF ANY KIND OR NATURE WHATSOEVER THAT CAN BE ASSERTED TO REDUCE OR ELIMINATE ALL OR ANY PART OF ITS LIABILITY TO REPAY SUCH OBLIGATIONS OR TO SEEK AFFIRMATIVE RELIEF OR DAMAGES OF ANY KIND OR NATURE FROM LENDER REPRESENTATIVE. BORROWER REPRESENTATIVE AND EACH LOAN PARTY HEREBY VOLUNTARILY AND KNOWINGLY RELEASES AND FOREVER DISCHARGES LENDER REPRESENTATIVE, AND ITS PREDECESSORS, AGENTS, EMPLOYEES, SUCCESSORS, AND ASSIGNS (COLLECTIVELY, THE “RELEASED PARTIES”), FROM ALL POSSIBLE CLAIMS, DEMANDS, ACTIONS, CAUSES OF ACTION, DAMAGES, COSTS, EXPENSES, AND LIABILITIES WHATSOEVER ARISING FROM OR UNDER THE LOAN DOCUMENTS, AND THE TRANSACTION EVIDENCED THEREBY, [**], FIXED, CONTINGENT, OR CONDITIONAL, AT LAW OR IN EQUITY, ORIGINATING IN WHOLE OR IN PART ON OR PRIOR TO THE DATE HEREOF WHICH BORROWER REPRESENTATIVE AND/OR ANY SUBSIDIARY GUARANTOR MAY NOW OR HEREAFTER HAVE AGAINST THE RELEASED PARTIES, IF ANY, AND IRRESPECTIVE OF WHETHER ANY SUCH CLAIMS ARISE OUT OF CONTRACT, TORT, VIOLATION OF LAW OR REGULATIONS, OR OTHERWISE, INCLUDING, WITHOUT LIMITATION, ANY CONTRACTING FOR, CHARGING, TAKING, RESERVING, COLLECTING, OR RECEIVING INTEREST IN EXCESS OF THE HIGHEST LAWFUL RATE APPLICABLE.</w:t>
      </w:r>
    </w:p>
    <w:p>
      <w:pPr>
        <w:spacing w:after="0" w:line="249" w:lineRule="exact"/>
        <w:rPr>
          <w:rFonts w:ascii="Calibri" w:cs="Calibri" w:eastAsia="Calibri" w:hAnsi="Calibri"/>
          <w:sz w:val="17"/>
          <w:szCs w:val="17"/>
          <w:color w:val="auto"/>
        </w:rPr>
      </w:pPr>
    </w:p>
    <w:p>
      <w:pPr>
        <w:ind w:left="328" w:hanging="328"/>
        <w:spacing w:after="0" w:line="235" w:lineRule="auto"/>
        <w:tabs>
          <w:tab w:leader="none" w:pos="321" w:val="left"/>
        </w:tabs>
        <w:numPr>
          <w:ilvl w:val="0"/>
          <w:numId w:val="94"/>
        </w:numPr>
        <w:rPr>
          <w:rFonts w:ascii="Calibri" w:cs="Calibri" w:eastAsia="Calibri" w:hAnsi="Calibri"/>
          <w:sz w:val="18"/>
          <w:szCs w:val="18"/>
          <w:color w:val="auto"/>
        </w:rPr>
      </w:pPr>
      <w:r>
        <w:rPr>
          <w:rFonts w:ascii="Calibri" w:cs="Calibri" w:eastAsia="Calibri" w:hAnsi="Calibri"/>
          <w:sz w:val="18"/>
          <w:szCs w:val="18"/>
          <w:u w:val="single" w:color="auto"/>
          <w:color w:val="auto"/>
        </w:rPr>
        <w:t>Incorporaton by Reference</w:t>
      </w:r>
      <w:r>
        <w:rPr>
          <w:rFonts w:ascii="Calibri" w:cs="Calibri" w:eastAsia="Calibri" w:hAnsi="Calibri"/>
          <w:sz w:val="18"/>
          <w:szCs w:val="18"/>
          <w:color w:val="auto"/>
        </w:rPr>
        <w:t xml:space="preserve">. Clauses 2, 15.1, 15.3, 15.15, 15.17, 15.18, 15.21, 15.22, 15.23, 15.24, 15.25 and 15.26 of the Loan Agreement are hereby incorporated by reference </w:t>
      </w:r>
      <w:r>
        <w:rPr>
          <w:rFonts w:ascii="Calibri" w:cs="Calibri" w:eastAsia="Calibri" w:hAnsi="Calibri"/>
          <w:sz w:val="18"/>
          <w:szCs w:val="18"/>
          <w:b w:val="1"/>
          <w:bCs w:val="1"/>
          <w:i w:val="1"/>
          <w:iCs w:val="1"/>
          <w:color w:val="auto"/>
        </w:rPr>
        <w:t>mutats mutandis</w:t>
      </w:r>
      <w:r>
        <w:rPr>
          <w:rFonts w:ascii="Calibri" w:cs="Calibri" w:eastAsia="Calibri" w:hAnsi="Calibri"/>
          <w:sz w:val="18"/>
          <w:szCs w:val="18"/>
          <w:color w:val="auto"/>
        </w:rPr>
        <w:t>.</w:t>
      </w:r>
    </w:p>
    <w:p>
      <w:pPr>
        <w:spacing w:after="0" w:line="253" w:lineRule="exact"/>
        <w:rPr>
          <w:rFonts w:ascii="Calibri" w:cs="Calibri" w:eastAsia="Calibri" w:hAnsi="Calibri"/>
          <w:sz w:val="18"/>
          <w:szCs w:val="18"/>
          <w:color w:val="auto"/>
        </w:rPr>
      </w:pPr>
    </w:p>
    <w:p>
      <w:pPr>
        <w:ind w:left="308" w:hanging="308"/>
        <w:spacing w:after="0"/>
        <w:tabs>
          <w:tab w:leader="none" w:pos="308" w:val="left"/>
        </w:tabs>
        <w:numPr>
          <w:ilvl w:val="0"/>
          <w:numId w:val="94"/>
        </w:numPr>
        <w:rPr>
          <w:rFonts w:ascii="Calibri" w:cs="Calibri" w:eastAsia="Calibri" w:hAnsi="Calibri"/>
          <w:sz w:val="18"/>
          <w:szCs w:val="18"/>
          <w:color w:val="auto"/>
        </w:rPr>
      </w:pPr>
      <w:r>
        <w:rPr>
          <w:rFonts w:ascii="Calibri" w:cs="Calibri" w:eastAsia="Calibri" w:hAnsi="Calibri"/>
          <w:sz w:val="18"/>
          <w:szCs w:val="18"/>
          <w:u w:val="single" w:color="auto"/>
          <w:color w:val="auto"/>
        </w:rPr>
        <w:t>Governing Law</w:t>
      </w:r>
      <w:r>
        <w:rPr>
          <w:rFonts w:ascii="Calibri" w:cs="Calibri" w:eastAsia="Calibri" w:hAnsi="Calibri"/>
          <w:sz w:val="18"/>
          <w:szCs w:val="18"/>
          <w:color w:val="auto"/>
        </w:rPr>
        <w:t>. THIS AMENDMENT SHALL BE CONSTRUED IN ACCORDANCE WITH AND GOVERNED BY THE LAWS OF THE STATE OF NEW YORK.</w:t>
      </w:r>
    </w:p>
    <w:p>
      <w:pPr>
        <w:spacing w:after="0" w:line="252" w:lineRule="exact"/>
        <w:rPr>
          <w:rFonts w:ascii="Calibri" w:cs="Calibri" w:eastAsia="Calibri" w:hAnsi="Calibri"/>
          <w:sz w:val="18"/>
          <w:szCs w:val="18"/>
          <w:color w:val="auto"/>
        </w:rPr>
      </w:pPr>
    </w:p>
    <w:p>
      <w:pPr>
        <w:ind w:left="3728"/>
        <w:spacing w:after="0"/>
        <w:rPr>
          <w:rFonts w:ascii="Calibri" w:cs="Calibri" w:eastAsia="Calibri" w:hAnsi="Calibri"/>
          <w:sz w:val="18"/>
          <w:szCs w:val="18"/>
          <w:color w:val="auto"/>
        </w:rPr>
      </w:pPr>
      <w:r>
        <w:rPr>
          <w:rFonts w:ascii="Calibri" w:cs="Calibri" w:eastAsia="Calibri" w:hAnsi="Calibri"/>
          <w:sz w:val="18"/>
          <w:szCs w:val="18"/>
          <w:color w:val="auto"/>
        </w:rPr>
        <w:t>[Remainder of Page Intentonally Lef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12"/>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0908"/>
          </w:cols>
          <w:pgMar w:left="652" w:top="1440" w:right="339" w:bottom="1440" w:gutter="0" w:footer="0" w:header="0"/>
        </w:sectPr>
      </w:pPr>
    </w:p>
    <w:bookmarkStart w:id="197" w:name="page198"/>
    <w:bookmarkEnd w:id="197"/>
    <w:p>
      <w:pPr>
        <w:spacing w:after="0" w:line="365" w:lineRule="exact"/>
        <w:rPr>
          <w:sz w:val="20"/>
          <w:szCs w:val="20"/>
          <w:color w:val="auto"/>
        </w:rPr>
      </w:pPr>
    </w:p>
    <w:p>
      <w:pPr>
        <w:spacing w:after="0"/>
        <w:rPr>
          <w:sz w:val="20"/>
          <w:szCs w:val="20"/>
          <w:color w:val="auto"/>
        </w:rPr>
      </w:pPr>
      <w:r>
        <w:rPr>
          <w:rFonts w:ascii="Calibri" w:cs="Calibri" w:eastAsia="Calibri" w:hAnsi="Calibri"/>
          <w:sz w:val="17"/>
          <w:szCs w:val="17"/>
          <w:color w:val="auto"/>
        </w:rPr>
        <w:t>IN WITNESS WHEREOF, the partes hereto have caused this Amendment to be duly executed and delivered as of the day and year frst above writen.</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alibri" w:cs="Calibri" w:eastAsia="Calibri" w:hAnsi="Calibri"/>
          <w:sz w:val="18"/>
          <w:szCs w:val="18"/>
          <w:b w:val="1"/>
          <w:bCs w:val="1"/>
          <w:u w:val="single" w:color="auto"/>
          <w:color w:val="auto"/>
        </w:rPr>
        <w:t>BORROWER AND BORROWER REPRESENTATIVE</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AKEBIA THERAPEUTICS, INC.</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alibri" w:cs="Calibri" w:eastAsia="Calibri" w:hAnsi="Calibri"/>
          <w:sz w:val="18"/>
          <w:szCs w:val="18"/>
          <w:color w:val="auto"/>
        </w:rPr>
        <w:t>By: _</w:t>
      </w:r>
      <w:r>
        <w:rPr>
          <w:rFonts w:ascii="Calibri" w:cs="Calibri" w:eastAsia="Calibri" w:hAnsi="Calibri"/>
          <w:sz w:val="18"/>
          <w:szCs w:val="18"/>
          <w:u w:val="single" w:color="auto"/>
          <w:color w:val="auto"/>
        </w:rPr>
        <w:t>/s/ John P. Butler</w:t>
      </w:r>
      <w:r>
        <w:rPr>
          <w:rFonts w:ascii="Calibri" w:cs="Calibri" w:eastAsia="Calibri" w:hAnsi="Calibri"/>
          <w:sz w:val="18"/>
          <w:szCs w:val="18"/>
          <w:color w:val="auto"/>
        </w:rPr>
        <w:t>____________</w:t>
      </w:r>
    </w:p>
    <w:p>
      <w:pPr>
        <w:spacing w:after="0" w:line="10"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Name: __ </w:t>
      </w:r>
      <w:r>
        <w:rPr>
          <w:rFonts w:ascii="Calibri" w:cs="Calibri" w:eastAsia="Calibri" w:hAnsi="Calibri"/>
          <w:sz w:val="18"/>
          <w:szCs w:val="18"/>
          <w:u w:val="single" w:color="auto"/>
          <w:color w:val="auto"/>
        </w:rPr>
        <w:t>John P. Butler</w:t>
      </w:r>
      <w:r>
        <w:rPr>
          <w:rFonts w:ascii="Calibri" w:cs="Calibri" w:eastAsia="Calibri" w:hAnsi="Calibri"/>
          <w:sz w:val="18"/>
          <w:szCs w:val="18"/>
          <w:color w:val="auto"/>
        </w:rPr>
        <w:t xml:space="preserve"> __________</w:t>
      </w:r>
    </w:p>
    <w:p>
      <w:pPr>
        <w:spacing w:after="0" w:line="235" w:lineRule="auto"/>
        <w:rPr>
          <w:sz w:val="20"/>
          <w:szCs w:val="20"/>
          <w:color w:val="auto"/>
        </w:rPr>
      </w:pPr>
      <w:r>
        <w:rPr>
          <w:rFonts w:ascii="Calibri" w:cs="Calibri" w:eastAsia="Calibri" w:hAnsi="Calibri"/>
          <w:sz w:val="18"/>
          <w:szCs w:val="18"/>
          <w:color w:val="auto"/>
        </w:rPr>
        <w:t>Title: ___</w:t>
      </w:r>
      <w:r>
        <w:rPr>
          <w:rFonts w:ascii="Calibri" w:cs="Calibri" w:eastAsia="Calibri" w:hAnsi="Calibri"/>
          <w:sz w:val="18"/>
          <w:szCs w:val="18"/>
          <w:u w:val="single" w:color="auto"/>
          <w:color w:val="auto"/>
        </w:rPr>
        <w:t>President and CEO</w:t>
      </w:r>
      <w:r>
        <w:rPr>
          <w:rFonts w:ascii="Calibri" w:cs="Calibri" w:eastAsia="Calibri" w:hAnsi="Calibri"/>
          <w:sz w:val="18"/>
          <w:szCs w:val="18"/>
          <w:color w:val="auto"/>
        </w:rPr>
        <w:t>________</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Acknowledged and Agreed</w:t>
      </w:r>
    </w:p>
    <w:p>
      <w:pPr>
        <w:spacing w:after="0" w:line="15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SUBSIDIARY GUARANTORS</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KERYX BIOPHARMACEUTICALS, INC.</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alibri" w:cs="Calibri" w:eastAsia="Calibri" w:hAnsi="Calibri"/>
          <w:sz w:val="18"/>
          <w:szCs w:val="18"/>
          <w:color w:val="auto"/>
        </w:rPr>
        <w:t>By: _</w:t>
      </w:r>
      <w:r>
        <w:rPr>
          <w:rFonts w:ascii="Calibri" w:cs="Calibri" w:eastAsia="Calibri" w:hAnsi="Calibri"/>
          <w:sz w:val="18"/>
          <w:szCs w:val="18"/>
          <w:u w:val="single" w:color="auto"/>
          <w:color w:val="auto"/>
        </w:rPr>
        <w:t>/s/ John P. Butler</w:t>
      </w:r>
      <w:r>
        <w:rPr>
          <w:rFonts w:ascii="Calibri" w:cs="Calibri" w:eastAsia="Calibri" w:hAnsi="Calibri"/>
          <w:sz w:val="18"/>
          <w:szCs w:val="18"/>
          <w:color w:val="auto"/>
        </w:rPr>
        <w:t>____________</w:t>
      </w:r>
    </w:p>
    <w:p>
      <w:pPr>
        <w:spacing w:after="0" w:line="235" w:lineRule="auto"/>
        <w:rPr>
          <w:sz w:val="20"/>
          <w:szCs w:val="20"/>
          <w:color w:val="auto"/>
        </w:rPr>
      </w:pPr>
      <w:r>
        <w:rPr>
          <w:rFonts w:ascii="Calibri" w:cs="Calibri" w:eastAsia="Calibri" w:hAnsi="Calibri"/>
          <w:sz w:val="18"/>
          <w:szCs w:val="18"/>
          <w:color w:val="auto"/>
        </w:rPr>
        <w:t xml:space="preserve">Name: __ </w:t>
      </w:r>
      <w:r>
        <w:rPr>
          <w:rFonts w:ascii="Calibri" w:cs="Calibri" w:eastAsia="Calibri" w:hAnsi="Calibri"/>
          <w:sz w:val="18"/>
          <w:szCs w:val="18"/>
          <w:u w:val="single" w:color="auto"/>
          <w:color w:val="auto"/>
        </w:rPr>
        <w:t>John P. Butler</w:t>
      </w:r>
      <w:r>
        <w:rPr>
          <w:rFonts w:ascii="Calibri" w:cs="Calibri" w:eastAsia="Calibri" w:hAnsi="Calibri"/>
          <w:sz w:val="18"/>
          <w:szCs w:val="18"/>
          <w:color w:val="auto"/>
        </w:rPr>
        <w:t xml:space="preserve"> __________</w:t>
      </w:r>
    </w:p>
    <w:p>
      <w:pPr>
        <w:spacing w:after="0" w:line="11" w:lineRule="exact"/>
        <w:rPr>
          <w:sz w:val="20"/>
          <w:szCs w:val="20"/>
          <w:color w:val="auto"/>
        </w:rPr>
      </w:pPr>
    </w:p>
    <w:p>
      <w:pPr>
        <w:spacing w:after="0"/>
        <w:rPr>
          <w:sz w:val="20"/>
          <w:szCs w:val="20"/>
          <w:color w:val="auto"/>
        </w:rPr>
      </w:pPr>
      <w:r>
        <w:rPr>
          <w:rFonts w:ascii="Calibri" w:cs="Calibri" w:eastAsia="Calibri" w:hAnsi="Calibri"/>
          <w:sz w:val="18"/>
          <w:szCs w:val="18"/>
          <w:color w:val="auto"/>
        </w:rPr>
        <w:t>Title: ___</w:t>
      </w:r>
      <w:r>
        <w:rPr>
          <w:rFonts w:ascii="Calibri" w:cs="Calibri" w:eastAsia="Calibri" w:hAnsi="Calibri"/>
          <w:sz w:val="18"/>
          <w:szCs w:val="18"/>
          <w:u w:val="single" w:color="auto"/>
          <w:color w:val="auto"/>
        </w:rPr>
        <w:t>President and CEO</w:t>
      </w:r>
      <w:r>
        <w:rPr>
          <w:rFonts w:ascii="Calibri" w:cs="Calibri" w:eastAsia="Calibri" w:hAnsi="Calibri"/>
          <w:sz w:val="18"/>
          <w:szCs w:val="18"/>
          <w:color w:val="auto"/>
        </w:rPr>
        <w:t>________</w:t>
      </w:r>
    </w:p>
    <w:p>
      <w:pPr>
        <w:sectPr>
          <w:pgSz w:w="11900" w:h="16838" w:orient="portrait"/>
          <w:cols w:equalWidth="0" w:num="1">
            <w:col w:w="10560"/>
          </w:cols>
          <w:pgMar w:left="320" w:top="1440" w:right="1019" w:bottom="1440" w:gutter="0" w:footer="0" w:header="0"/>
        </w:sectPr>
      </w:pPr>
    </w:p>
    <w:bookmarkStart w:id="198" w:name="page199"/>
    <w:bookmarkEnd w:id="198"/>
    <w:p>
      <w:pPr>
        <w:spacing w:after="0"/>
        <w:rPr>
          <w:sz w:val="20"/>
          <w:szCs w:val="20"/>
          <w:color w:val="auto"/>
        </w:rPr>
      </w:pPr>
      <w:r>
        <w:rPr>
          <w:rFonts w:ascii="Calibri" w:cs="Calibri" w:eastAsia="Calibri" w:hAnsi="Calibri"/>
          <w:sz w:val="18"/>
          <w:szCs w:val="18"/>
          <w:b w:val="1"/>
          <w:bCs w:val="1"/>
          <w:u w:val="single" w:color="auto"/>
          <w:color w:val="auto"/>
        </w:rPr>
        <w:t>LENDER AND LENDER REPRESENTATIVE</w:t>
      </w:r>
    </w:p>
    <w:p>
      <w:pPr>
        <w:spacing w:after="0" w:line="14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KREOS CAPITAL VII (UK) LIMITED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alibri" w:cs="Calibri" w:eastAsia="Calibri" w:hAnsi="Calibri"/>
          <w:sz w:val="18"/>
          <w:szCs w:val="18"/>
          <w:color w:val="auto"/>
        </w:rPr>
        <w:t>By: __</w:t>
      </w:r>
      <w:r>
        <w:rPr>
          <w:rFonts w:ascii="Calibri" w:cs="Calibri" w:eastAsia="Calibri" w:hAnsi="Calibri"/>
          <w:sz w:val="18"/>
          <w:szCs w:val="18"/>
          <w:u w:val="single" w:color="auto"/>
          <w:color w:val="auto"/>
        </w:rPr>
        <w:t>/s/ Aris Constantnides</w:t>
      </w:r>
      <w:r>
        <w:rPr>
          <w:rFonts w:ascii="Calibri" w:cs="Calibri" w:eastAsia="Calibri" w:hAnsi="Calibri"/>
          <w:sz w:val="18"/>
          <w:szCs w:val="18"/>
          <w:color w:val="auto"/>
        </w:rPr>
        <w:t>_______</w:t>
      </w:r>
    </w:p>
    <w:p>
      <w:pPr>
        <w:spacing w:after="0" w:line="10" w:lineRule="exact"/>
        <w:rPr>
          <w:sz w:val="20"/>
          <w:szCs w:val="20"/>
          <w:color w:val="auto"/>
        </w:rPr>
      </w:pPr>
    </w:p>
    <w:p>
      <w:pPr>
        <w:spacing w:after="0"/>
        <w:rPr>
          <w:sz w:val="20"/>
          <w:szCs w:val="20"/>
          <w:color w:val="auto"/>
        </w:rPr>
      </w:pPr>
      <w:r>
        <w:rPr>
          <w:rFonts w:ascii="Calibri" w:cs="Calibri" w:eastAsia="Calibri" w:hAnsi="Calibri"/>
          <w:sz w:val="18"/>
          <w:szCs w:val="18"/>
          <w:color w:val="auto"/>
        </w:rPr>
        <w:t xml:space="preserve">Name: _ </w:t>
      </w:r>
      <w:r>
        <w:rPr>
          <w:rFonts w:ascii="Calibri" w:cs="Calibri" w:eastAsia="Calibri" w:hAnsi="Calibri"/>
          <w:sz w:val="18"/>
          <w:szCs w:val="18"/>
          <w:u w:val="single" w:color="auto"/>
          <w:color w:val="auto"/>
        </w:rPr>
        <w:t>Aris Constantnides</w:t>
      </w:r>
      <w:r>
        <w:rPr>
          <w:rFonts w:ascii="Calibri" w:cs="Calibri" w:eastAsia="Calibri" w:hAnsi="Calibri"/>
          <w:sz w:val="18"/>
          <w:szCs w:val="18"/>
          <w:color w:val="auto"/>
        </w:rPr>
        <w:t xml:space="preserve"> ______</w:t>
      </w:r>
    </w:p>
    <w:p>
      <w:pPr>
        <w:spacing w:after="0" w:line="10" w:lineRule="exact"/>
        <w:rPr>
          <w:sz w:val="20"/>
          <w:szCs w:val="20"/>
          <w:color w:val="auto"/>
        </w:rPr>
      </w:pPr>
    </w:p>
    <w:p>
      <w:pPr>
        <w:spacing w:after="0"/>
        <w:rPr>
          <w:sz w:val="20"/>
          <w:szCs w:val="20"/>
          <w:color w:val="auto"/>
        </w:rPr>
      </w:pPr>
      <w:r>
        <w:rPr>
          <w:rFonts w:ascii="Calibri" w:cs="Calibri" w:eastAsia="Calibri" w:hAnsi="Calibri"/>
          <w:sz w:val="18"/>
          <w:szCs w:val="18"/>
          <w:color w:val="auto"/>
        </w:rPr>
        <w:t>Title: __</w:t>
      </w:r>
      <w:r>
        <w:rPr>
          <w:rFonts w:ascii="Calibri" w:cs="Calibri" w:eastAsia="Calibri" w:hAnsi="Calibri"/>
          <w:sz w:val="18"/>
          <w:szCs w:val="18"/>
          <w:u w:val="single" w:color="auto"/>
          <w:color w:val="auto"/>
        </w:rPr>
        <w:t>Director</w:t>
      </w:r>
      <w:r>
        <w:rPr>
          <w:rFonts w:ascii="Calibri" w:cs="Calibri" w:eastAsia="Calibri" w:hAnsi="Calibri"/>
          <w:sz w:val="18"/>
          <w:szCs w:val="18"/>
          <w:color w:val="auto"/>
        </w:rPr>
        <w:t>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ind w:right="3099"/>
        <w:spacing w:after="0"/>
        <w:rPr>
          <w:sz w:val="20"/>
          <w:szCs w:val="20"/>
          <w:color w:val="auto"/>
        </w:rPr>
      </w:pPr>
      <w:r>
        <w:rPr>
          <w:rFonts w:ascii="Calibri" w:cs="Calibri" w:eastAsia="Calibri" w:hAnsi="Calibri"/>
          <w:sz w:val="18"/>
          <w:szCs w:val="18"/>
          <w:color w:val="auto"/>
        </w:rPr>
        <w:t>[Signature Page to Second Amendment]</w:t>
      </w:r>
    </w:p>
    <w:p>
      <w:pPr>
        <w:sectPr>
          <w:pgSz w:w="11900" w:h="16838" w:orient="portrait"/>
          <w:cols w:equalWidth="0" w:num="1">
            <w:col w:w="10139"/>
          </w:cols>
          <w:pgMar w:left="320" w:top="1408" w:right="1440" w:bottom="1440" w:gutter="0" w:footer="0" w:header="0"/>
        </w:sectPr>
      </w:pPr>
    </w:p>
    <w:bookmarkStart w:id="199" w:name="page200"/>
    <w:bookmarkEnd w:id="199"/>
    <w:p>
      <w:pPr>
        <w:ind w:left="6320"/>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8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Akebia Therapeutics, Inc.</w:t>
      </w:r>
    </w:p>
    <w:p>
      <w:pPr>
        <w:spacing w:after="0" w:line="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Insider Trading Compliance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602615</wp:posOffset>
            </wp:positionV>
            <wp:extent cx="5477510" cy="1797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30">
                      <a:extLst>
                        <a:ext uri="{28A0092B-C50C-407E-A947-70E740481C1C}"/>
                      </a:extLst>
                    </a:blip>
                    <a:srcRect/>
                    <a:stretch>
                      <a:fillRect/>
                    </a:stretch>
                  </pic:blipFill>
                  <pic:spPr bwMode="auto">
                    <a:xfrm>
                      <a:off x="0" y="0"/>
                      <a:ext cx="54775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0" w:right="780"/>
        <w:spacing w:after="0" w:line="271" w:lineRule="auto"/>
        <w:rPr>
          <w:sz w:val="20"/>
          <w:szCs w:val="20"/>
          <w:color w:val="auto"/>
        </w:rPr>
      </w:pPr>
      <w:r>
        <w:rPr>
          <w:rFonts w:ascii="Times New Roman" w:cs="Times New Roman" w:eastAsia="Times New Roman" w:hAnsi="Times New Roman"/>
          <w:sz w:val="22"/>
          <w:szCs w:val="22"/>
          <w:color w:val="auto"/>
        </w:rPr>
        <w:t>The Board of Directors of Akebia Therapeutics, Inc. (“</w:t>
      </w:r>
      <w:r>
        <w:rPr>
          <w:rFonts w:ascii="Times New Roman" w:cs="Times New Roman" w:eastAsia="Times New Roman" w:hAnsi="Times New Roman"/>
          <w:sz w:val="22"/>
          <w:szCs w:val="22"/>
          <w:u w:val="single" w:color="auto"/>
          <w:color w:val="auto"/>
        </w:rPr>
        <w:t>Akebia</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this Insider Trading Compliance Policy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to:</w:t>
      </w:r>
    </w:p>
    <w:p>
      <w:pPr>
        <w:spacing w:after="0" w:line="158" w:lineRule="exact"/>
        <w:rPr>
          <w:sz w:val="20"/>
          <w:szCs w:val="20"/>
          <w:color w:val="auto"/>
        </w:rPr>
      </w:pPr>
    </w:p>
    <w:p>
      <w:pPr>
        <w:ind w:left="860" w:hanging="330"/>
        <w:spacing w:after="0" w:line="257" w:lineRule="auto"/>
        <w:tabs>
          <w:tab w:leader="none" w:pos="855"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document its policies with respect to (i) transactions in the Company’s securities and the securities of companies with which the Company does business and (ii) the handling of confidential information about the Company and the companies with which the Company does business;</w:t>
      </w:r>
    </w:p>
    <w:p>
      <w:pPr>
        <w:spacing w:after="0" w:line="186" w:lineRule="exact"/>
        <w:rPr>
          <w:rFonts w:ascii="Times New Roman" w:cs="Times New Roman" w:eastAsia="Times New Roman" w:hAnsi="Times New Roman"/>
          <w:sz w:val="22"/>
          <w:szCs w:val="22"/>
          <w:color w:val="auto"/>
        </w:rPr>
      </w:pPr>
    </w:p>
    <w:p>
      <w:pPr>
        <w:ind w:left="840" w:hanging="310"/>
        <w:spacing w:after="0"/>
        <w:tabs>
          <w:tab w:leader="none" w:pos="84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promote compliance with applicable securities laws; and</w:t>
      </w:r>
    </w:p>
    <w:p>
      <w:pPr>
        <w:spacing w:after="0" w:line="219" w:lineRule="exact"/>
        <w:rPr>
          <w:rFonts w:ascii="Times New Roman" w:cs="Times New Roman" w:eastAsia="Times New Roman" w:hAnsi="Times New Roman"/>
          <w:sz w:val="22"/>
          <w:szCs w:val="22"/>
          <w:color w:val="auto"/>
        </w:rPr>
      </w:pPr>
    </w:p>
    <w:p>
      <w:pPr>
        <w:ind w:left="860" w:right="1080" w:hanging="330"/>
        <w:spacing w:after="0" w:line="295" w:lineRule="auto"/>
        <w:tabs>
          <w:tab w:leader="none" w:pos="855"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promote compliance with the Company’s obligation to publicly disclose information related to its insider trading policies and procedures and the use of certain trading arrangements by Company insiders.</w:t>
      </w:r>
    </w:p>
    <w:p>
      <w:pPr>
        <w:spacing w:after="0" w:line="176" w:lineRule="exact"/>
        <w:rPr>
          <w:sz w:val="20"/>
          <w:szCs w:val="20"/>
          <w:color w:val="auto"/>
        </w:rPr>
      </w:pPr>
    </w:p>
    <w:p>
      <w:pPr>
        <w:jc w:val="both"/>
        <w:ind w:left="200" w:right="540"/>
        <w:spacing w:after="0" w:line="257" w:lineRule="auto"/>
        <w:rPr>
          <w:sz w:val="20"/>
          <w:szCs w:val="20"/>
          <w:color w:val="auto"/>
        </w:rPr>
      </w:pPr>
      <w:r>
        <w:rPr>
          <w:rFonts w:ascii="Times New Roman" w:cs="Times New Roman" w:eastAsia="Times New Roman" w:hAnsi="Times New Roman"/>
          <w:sz w:val="22"/>
          <w:szCs w:val="22"/>
          <w:color w:val="auto"/>
        </w:rPr>
        <w:t>While the “Prohibitions” of this Policy do not apply to transactions by the Company itself, transactions by the Company will only be made in accordance with applicable U.S. federal securities laws, including those relating to insider trading.</w:t>
      </w:r>
    </w:p>
    <w:p>
      <w:pPr>
        <w:spacing w:after="0" w:line="2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This policy has been designed to prevent insider trading and the appearance of impropriety on</w:t>
      </w:r>
    </w:p>
    <w:p>
      <w:pPr>
        <w:spacing w:after="0" w:line="28" w:lineRule="exact"/>
        <w:rPr>
          <w:sz w:val="20"/>
          <w:szCs w:val="20"/>
          <w:color w:val="auto"/>
        </w:rPr>
      </w:pPr>
    </w:p>
    <w:p>
      <w:pPr>
        <w:ind w:left="200" w:right="40"/>
        <w:spacing w:after="0" w:line="245" w:lineRule="auto"/>
        <w:rPr>
          <w:sz w:val="20"/>
          <w:szCs w:val="20"/>
          <w:color w:val="auto"/>
        </w:rPr>
      </w:pPr>
      <w:r>
        <w:rPr>
          <w:rFonts w:ascii="Times New Roman" w:cs="Times New Roman" w:eastAsia="Times New Roman" w:hAnsi="Times New Roman"/>
          <w:sz w:val="22"/>
          <w:szCs w:val="22"/>
          <w:color w:val="auto"/>
        </w:rPr>
        <w:t>the part of the Company’s Insiders, to satisfy the Company’s obligation to reasonably supervise the activities of Company personnel, to protect the reputation of the Company and to help Company Insiders avoid the severe consequences associated with violations of insider trading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5477510" cy="1797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31">
                      <a:extLst>
                        <a:ext uri="{28A0092B-C50C-407E-A947-70E740481C1C}"/>
                      </a:extLst>
                    </a:blip>
                    <a:srcRect/>
                    <a:stretch>
                      <a:fillRect/>
                    </a:stretch>
                  </pic:blipFill>
                  <pic:spPr bwMode="auto">
                    <a:xfrm>
                      <a:off x="0" y="0"/>
                      <a:ext cx="54775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This Policy applies to the following individuals and entities (“</w:t>
      </w:r>
      <w:r>
        <w:rPr>
          <w:rFonts w:ascii="Times New Roman" w:cs="Times New Roman" w:eastAsia="Times New Roman" w:hAnsi="Times New Roman"/>
          <w:sz w:val="22"/>
          <w:szCs w:val="22"/>
          <w:u w:val="single" w:color="auto"/>
          <w:color w:val="auto"/>
        </w:rPr>
        <w:t>Covered Persons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840" w:hanging="314"/>
        <w:spacing w:after="0"/>
        <w:tabs>
          <w:tab w:leader="none" w:pos="84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director, employee, consultant or contractor of the Company or its subsidiaries (“</w:t>
      </w:r>
      <w:r>
        <w:rPr>
          <w:rFonts w:ascii="Times New Roman" w:cs="Times New Roman" w:eastAsia="Times New Roman" w:hAnsi="Times New Roman"/>
          <w:sz w:val="22"/>
          <w:szCs w:val="22"/>
          <w:u w:val="single" w:color="auto"/>
          <w:color w:val="auto"/>
        </w:rPr>
        <w:t>Insiders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860" w:right="220" w:hanging="334"/>
        <w:spacing w:after="0" w:line="281" w:lineRule="auto"/>
        <w:tabs>
          <w:tab w:leader="none" w:pos="855"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Individuals who reside with an Insider, regardless of whether those individuals are family members and any family member of an Insider who does not live in the Insider’s household but whose transactions in any Covered Security (as defined below) are directed by the Insider or are subject to the Insider’s influence or control; and</w:t>
      </w:r>
    </w:p>
    <w:p>
      <w:pPr>
        <w:spacing w:after="0" w:line="150" w:lineRule="exact"/>
        <w:rPr>
          <w:rFonts w:ascii="Times New Roman" w:cs="Times New Roman" w:eastAsia="Times New Roman" w:hAnsi="Times New Roman"/>
          <w:sz w:val="21"/>
          <w:szCs w:val="21"/>
          <w:color w:val="auto"/>
        </w:rPr>
      </w:pPr>
    </w:p>
    <w:p>
      <w:pPr>
        <w:ind w:left="860" w:right="40" w:hanging="330"/>
        <w:spacing w:after="0" w:line="257" w:lineRule="auto"/>
        <w:tabs>
          <w:tab w:leader="none" w:pos="855"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corporations, limited liability companies, partnerships, trusts or other entities controlled by any of the above Covered Persons included in the prior two bullets, unless the entity has implemented policies or procedures designed to ensure that such person cannot influence transactions by the entity involving Company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Effective 03.11.2025</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- 1 -</w:t>
            </w:r>
          </w:p>
        </w:tc>
      </w:tr>
    </w:tbl>
    <w:p>
      <w:pPr>
        <w:sectPr>
          <w:pgSz w:w="11900" w:h="16838" w:orient="portrait"/>
          <w:cols w:equalWidth="0" w:num="1">
            <w:col w:w="11000"/>
          </w:cols>
          <w:pgMar w:left="320" w:top="149" w:right="579" w:bottom="1440" w:gutter="0" w:footer="0" w:header="0"/>
        </w:sectPr>
      </w:pPr>
    </w:p>
    <w:bookmarkStart w:id="200" w:name="page201"/>
    <w:bookmarkEnd w:id="200"/>
    <w:p>
      <w:pPr>
        <w:spacing w:after="0" w:line="200" w:lineRule="exact"/>
        <w:rPr>
          <w:sz w:val="20"/>
          <w:szCs w:val="20"/>
          <w:color w:val="auto"/>
        </w:rPr>
      </w:pPr>
    </w:p>
    <w:p>
      <w:pPr>
        <w:spacing w:after="0" w:line="363" w:lineRule="exact"/>
        <w:rPr>
          <w:sz w:val="20"/>
          <w:szCs w:val="20"/>
          <w:color w:val="auto"/>
        </w:rPr>
      </w:pPr>
    </w:p>
    <w:p>
      <w:pPr>
        <w:jc w:val="both"/>
        <w:ind w:left="200"/>
        <w:spacing w:after="0" w:line="263" w:lineRule="auto"/>
        <w:rPr>
          <w:sz w:val="20"/>
          <w:szCs w:val="20"/>
          <w:color w:val="auto"/>
        </w:rPr>
      </w:pPr>
      <w:r>
        <w:rPr>
          <w:rFonts w:ascii="Times New Roman" w:cs="Times New Roman" w:eastAsia="Times New Roman" w:hAnsi="Times New Roman"/>
          <w:sz w:val="22"/>
          <w:szCs w:val="22"/>
          <w:color w:val="auto"/>
        </w:rPr>
        <w:t>An Insider is responsible for ensuring that Covered Transactions (as defined below) comply with this Policy. An Insider is also responsible for ensuring that those subject to this Policy as a result of their relationship with the Insider are informed of, and comply with, this Policy.</w:t>
      </w:r>
    </w:p>
    <w:p>
      <w:pPr>
        <w:spacing w:after="0" w:line="194" w:lineRule="exact"/>
        <w:rPr>
          <w:sz w:val="20"/>
          <w:szCs w:val="20"/>
          <w:color w:val="auto"/>
        </w:rPr>
      </w:pPr>
    </w:p>
    <w:p>
      <w:pPr>
        <w:jc w:val="both"/>
        <w:ind w:left="200"/>
        <w:spacing w:after="0" w:line="257" w:lineRule="auto"/>
        <w:rPr>
          <w:sz w:val="20"/>
          <w:szCs w:val="20"/>
          <w:color w:val="auto"/>
        </w:rPr>
      </w:pPr>
      <w:r>
        <w:rPr>
          <w:rFonts w:ascii="Times New Roman" w:cs="Times New Roman" w:eastAsia="Times New Roman" w:hAnsi="Times New Roman"/>
          <w:sz w:val="22"/>
          <w:szCs w:val="22"/>
          <w:color w:val="auto"/>
        </w:rPr>
        <w:t>The General Counsel, Chief Financial Officer or Board of Directors may also determine that other persons should be subject to this Policy who have access to material nonpublic information of the Company or the companies with which the Company does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5477510" cy="1797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32">
                      <a:extLst>
                        <a:ext uri="{28A0092B-C50C-407E-A947-70E740481C1C}"/>
                      </a:extLst>
                    </a:blip>
                    <a:srcRect/>
                    <a:stretch>
                      <a:fillRect/>
                    </a:stretch>
                  </pic:blipFill>
                  <pic:spPr bwMode="auto">
                    <a:xfrm>
                      <a:off x="0" y="0"/>
                      <a:ext cx="5477510" cy="17970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200" w:right="120"/>
        <w:spacing w:after="0" w:line="257" w:lineRule="auto"/>
        <w:rPr>
          <w:sz w:val="20"/>
          <w:szCs w:val="20"/>
          <w:color w:val="auto"/>
        </w:rPr>
      </w:pPr>
      <w:r>
        <w:rPr>
          <w:rFonts w:ascii="Times New Roman" w:cs="Times New Roman" w:eastAsia="Times New Roman" w:hAnsi="Times New Roman"/>
          <w:sz w:val="22"/>
          <w:szCs w:val="22"/>
          <w:color w:val="auto"/>
        </w:rPr>
        <w:t>The trading prohibitions in this Policy apply to all transactions in the Company’s securities, including common stock, options and other securities the Company may issue from time to time, as well as derivative securities that are not issued by the Company, such as publicly traded options.</w:t>
      </w:r>
    </w:p>
    <w:p>
      <w:pPr>
        <w:spacing w:after="0" w:line="200" w:lineRule="exact"/>
        <w:rPr>
          <w:sz w:val="20"/>
          <w:szCs w:val="20"/>
          <w:color w:val="auto"/>
        </w:rPr>
      </w:pPr>
    </w:p>
    <w:p>
      <w:pPr>
        <w:ind w:left="200" w:right="160"/>
        <w:spacing w:after="0" w:line="265" w:lineRule="auto"/>
        <w:rPr>
          <w:sz w:val="20"/>
          <w:szCs w:val="20"/>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transaction</w:t>
      </w:r>
      <w:r>
        <w:rPr>
          <w:rFonts w:ascii="Times New Roman" w:cs="Times New Roman" w:eastAsia="Times New Roman" w:hAnsi="Times New Roman"/>
          <w:sz w:val="21"/>
          <w:szCs w:val="21"/>
          <w:color w:val="auto"/>
        </w:rPr>
        <w:t>” as used in this Policy includes the purchase, sale or gift (which term, as used in this Policy, includes charitable donations) of securities. The trading prohibitions under this Policy also apply to transactions in the securities of companies with which the Company does business, such as the Company’s collaboration partners, customers or suppliers, and companies with which the Company may be negotiating major transactions, such as an acquisition, investment, joint venture, collaboration, license or sale. The transactions described in this section are referred to in this Policy as “</w:t>
      </w:r>
      <w:r>
        <w:rPr>
          <w:rFonts w:ascii="Times New Roman" w:cs="Times New Roman" w:eastAsia="Times New Roman" w:hAnsi="Times New Roman"/>
          <w:sz w:val="21"/>
          <w:szCs w:val="21"/>
          <w:u w:val="single" w:color="auto"/>
          <w:color w:val="auto"/>
        </w:rPr>
        <w:t>Covered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Transactions</w:t>
      </w:r>
      <w:r>
        <w:rPr>
          <w:rFonts w:ascii="Times New Roman" w:cs="Times New Roman" w:eastAsia="Times New Roman" w:hAnsi="Times New Roman"/>
          <w:sz w:val="21"/>
          <w:szCs w:val="21"/>
          <w:color w:val="auto"/>
        </w:rPr>
        <w:t>,” and the securities described in this section are referred to in this Policy as “</w:t>
      </w:r>
      <w:r>
        <w:rPr>
          <w:rFonts w:ascii="Times New Roman" w:cs="Times New Roman" w:eastAsia="Times New Roman" w:hAnsi="Times New Roman"/>
          <w:sz w:val="21"/>
          <w:szCs w:val="21"/>
          <w:u w:val="single" w:color="auto"/>
          <w:color w:val="auto"/>
        </w:rPr>
        <w:t>Covered Securities</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477510" cy="1803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33">
                      <a:extLst>
                        <a:ext uri="{28A0092B-C50C-407E-A947-70E740481C1C}"/>
                      </a:extLst>
                    </a:blip>
                    <a:srcRect/>
                    <a:stretch>
                      <a:fillRect/>
                    </a:stretch>
                  </pic:blipFill>
                  <pic:spPr bwMode="auto">
                    <a:xfrm>
                      <a:off x="0" y="0"/>
                      <a:ext cx="5477510" cy="18034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200" w:right="160"/>
        <w:spacing w:after="0" w:line="254" w:lineRule="auto"/>
        <w:rPr>
          <w:sz w:val="20"/>
          <w:szCs w:val="20"/>
          <w:color w:val="auto"/>
        </w:rPr>
      </w:pPr>
      <w:r>
        <w:rPr>
          <w:rFonts w:ascii="Times New Roman" w:cs="Times New Roman" w:eastAsia="Times New Roman" w:hAnsi="Times New Roman"/>
          <w:sz w:val="22"/>
          <w:szCs w:val="22"/>
          <w:i w:val="1"/>
          <w:iCs w:val="1"/>
          <w:color w:val="auto"/>
        </w:rPr>
        <w:t xml:space="preserve">No Trading While In Possession of Material Nonpublic Information. </w:t>
      </w:r>
      <w:r>
        <w:rPr>
          <w:rFonts w:ascii="Times New Roman" w:cs="Times New Roman" w:eastAsia="Times New Roman" w:hAnsi="Times New Roman"/>
          <w:sz w:val="22"/>
          <w:szCs w:val="22"/>
          <w:color w:val="auto"/>
        </w:rPr>
        <w:t>Covered Persons may not engage in any transaction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Company’s securities, directly or indirectly, if they are aware of any material nonpublic information (defined below) regarding the Company or recommend doing so to someone else. Please note that transactions that may be necessary or justifiable for independent reasons (such as the need to raise money for an emergency expenditure) are no exception. Even the appearance of an improper transaction must be avoided.</w:t>
      </w:r>
    </w:p>
    <w:p>
      <w:pPr>
        <w:spacing w:after="0" w:line="200" w:lineRule="exact"/>
        <w:rPr>
          <w:sz w:val="20"/>
          <w:szCs w:val="20"/>
          <w:color w:val="auto"/>
        </w:rPr>
      </w:pPr>
    </w:p>
    <w:p>
      <w:pPr>
        <w:ind w:left="200" w:right="340"/>
        <w:spacing w:after="0" w:line="265" w:lineRule="auto"/>
        <w:rPr>
          <w:sz w:val="20"/>
          <w:szCs w:val="20"/>
          <w:color w:val="auto"/>
        </w:rPr>
      </w:pPr>
      <w:r>
        <w:rPr>
          <w:rFonts w:ascii="Times New Roman" w:cs="Times New Roman" w:eastAsia="Times New Roman" w:hAnsi="Times New Roman"/>
          <w:sz w:val="22"/>
          <w:szCs w:val="22"/>
          <w:i w:val="1"/>
          <w:iCs w:val="1"/>
          <w:color w:val="auto"/>
        </w:rPr>
        <w:t xml:space="preserve">No Tipping. </w:t>
      </w:r>
      <w:r>
        <w:rPr>
          <w:rFonts w:ascii="Times New Roman" w:cs="Times New Roman" w:eastAsia="Times New Roman" w:hAnsi="Times New Roman"/>
          <w:sz w:val="22"/>
          <w:szCs w:val="22"/>
          <w:color w:val="auto"/>
        </w:rPr>
        <w:t>Covered Persons may not tip or otherwise communicate to someone else any material nonpublic information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about the Company if the recipient may use that information to purchase, sell or gift Company securities or tip that information to others.</w:t>
      </w:r>
    </w:p>
    <w:p>
      <w:pPr>
        <w:spacing w:after="0" w:line="192" w:lineRule="exact"/>
        <w:rPr>
          <w:sz w:val="20"/>
          <w:szCs w:val="20"/>
          <w:color w:val="auto"/>
        </w:rPr>
      </w:pPr>
    </w:p>
    <w:p>
      <w:pPr>
        <w:ind w:left="200" w:right="20"/>
        <w:spacing w:after="0" w:line="251" w:lineRule="auto"/>
        <w:rPr>
          <w:sz w:val="20"/>
          <w:szCs w:val="20"/>
          <w:color w:val="auto"/>
        </w:rPr>
      </w:pPr>
      <w:r>
        <w:rPr>
          <w:rFonts w:ascii="Times New Roman" w:cs="Times New Roman" w:eastAsia="Times New Roman" w:hAnsi="Times New Roman"/>
          <w:sz w:val="22"/>
          <w:szCs w:val="22"/>
          <w:color w:val="auto"/>
        </w:rPr>
        <w:t>In addition, no Covered Person who, in the course of service to the Company, learns of material nonpublic information about another company (i) with which the Company does business, such as the Company’s collaboration partners, customers or suppliers, or (ii) that is involved in a potential transaction or business relationship with the Company, may purchase, sell or gift that other company’s securities until the information becomes public or is no longer material, or tip or otherwise disclose to someone else such information if the recipient may use that information to purchase, sell or gift that other company’s securities or tip that information to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Effective 03.11.2025</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- 2 -</w:t>
            </w:r>
          </w:p>
        </w:tc>
      </w:tr>
    </w:tbl>
    <w:p>
      <w:pPr>
        <w:sectPr>
          <w:pgSz w:w="11900" w:h="16838" w:orient="portrait"/>
          <w:cols w:equalWidth="0" w:num="1">
            <w:col w:w="11020"/>
          </w:cols>
          <w:pgMar w:left="320" w:top="1440" w:right="559" w:bottom="1440" w:gutter="0" w:footer="0" w:header="0"/>
        </w:sectPr>
      </w:pPr>
    </w:p>
    <w:bookmarkStart w:id="201" w:name="page202"/>
    <w:bookmarkEnd w:id="2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0" w:right="140"/>
        <w:spacing w:after="0" w:line="258" w:lineRule="auto"/>
        <w:rPr>
          <w:sz w:val="20"/>
          <w:szCs w:val="20"/>
          <w:color w:val="auto"/>
        </w:rPr>
      </w:pPr>
      <w:r>
        <w:rPr>
          <w:rFonts w:ascii="Times New Roman" w:cs="Times New Roman" w:eastAsia="Times New Roman" w:hAnsi="Times New Roman"/>
          <w:sz w:val="22"/>
          <w:szCs w:val="22"/>
          <w:i w:val="1"/>
          <w:iCs w:val="1"/>
          <w:color w:val="auto"/>
        </w:rPr>
        <w:t xml:space="preserve">Stock Option Exercises. </w:t>
      </w:r>
      <w:r>
        <w:rPr>
          <w:rFonts w:ascii="Times New Roman" w:cs="Times New Roman" w:eastAsia="Times New Roman" w:hAnsi="Times New Roman"/>
          <w:sz w:val="22"/>
          <w:szCs w:val="22"/>
          <w:color w:val="auto"/>
        </w:rPr>
        <w:t>This Policy’s trading restrictions generally do not apply to the exercise of stock options granted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The trading restrictions do apply, however, to any sale of the underlying stock or to a cashless exercise of the option through a broker, such as Shareworks or Morgan Stanley, as this entails selling a portion of the underlying stock to cover the costs of exercise.</w:t>
      </w:r>
    </w:p>
    <w:p>
      <w:pPr>
        <w:spacing w:after="0" w:line="195" w:lineRule="exact"/>
        <w:rPr>
          <w:sz w:val="20"/>
          <w:szCs w:val="20"/>
          <w:color w:val="auto"/>
        </w:rPr>
      </w:pPr>
    </w:p>
    <w:p>
      <w:pPr>
        <w:ind w:left="200" w:right="20"/>
        <w:spacing w:after="0" w:line="250" w:lineRule="auto"/>
        <w:rPr>
          <w:sz w:val="20"/>
          <w:szCs w:val="20"/>
          <w:color w:val="auto"/>
        </w:rPr>
      </w:pPr>
      <w:r>
        <w:rPr>
          <w:rFonts w:ascii="Times New Roman" w:cs="Times New Roman" w:eastAsia="Times New Roman" w:hAnsi="Times New Roman"/>
          <w:sz w:val="22"/>
          <w:szCs w:val="22"/>
          <w:i w:val="1"/>
          <w:iCs w:val="1"/>
          <w:color w:val="auto"/>
        </w:rPr>
        <w:t xml:space="preserve">Restricted Stock Awards/Units. </w:t>
      </w:r>
      <w:r>
        <w:rPr>
          <w:rFonts w:ascii="Times New Roman" w:cs="Times New Roman" w:eastAsia="Times New Roman" w:hAnsi="Times New Roman"/>
          <w:sz w:val="22"/>
          <w:szCs w:val="22"/>
          <w:color w:val="auto"/>
        </w:rPr>
        <w:t>This Policy’s trading restrictions do not apply to the vesting of restricted stock or restricted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 units, or the surrender of shares to the Company or the sale by the Company, on your behalf, in satisfaction of any tax withholding obligations arising from such vesting of restricted stock or restricted stock units, including within a black-out period, as long as such withholding or sale is permitted by the applicable award agreement or is pursuant to a permitted sell-to-cover instruction (as defined below), as applicable. This Policy’s trading restrictions do apply, however, to market sales of any shares received through the vesting of restricted stock or restricted stock units not in accordance with a previously provided written instruction from the Insider.</w:t>
      </w:r>
    </w:p>
    <w:p>
      <w:pPr>
        <w:spacing w:after="0" w:line="207" w:lineRule="exact"/>
        <w:rPr>
          <w:sz w:val="20"/>
          <w:szCs w:val="20"/>
          <w:color w:val="auto"/>
        </w:rPr>
      </w:pPr>
    </w:p>
    <w:p>
      <w:pPr>
        <w:ind w:left="200"/>
        <w:spacing w:after="0" w:line="265" w:lineRule="auto"/>
        <w:rPr>
          <w:sz w:val="20"/>
          <w:szCs w:val="20"/>
          <w:color w:val="auto"/>
        </w:rPr>
      </w:pPr>
      <w:r>
        <w:rPr>
          <w:rFonts w:ascii="Times New Roman" w:cs="Times New Roman" w:eastAsia="Times New Roman" w:hAnsi="Times New Roman"/>
          <w:sz w:val="21"/>
          <w:szCs w:val="21"/>
          <w:i w:val="1"/>
          <w:iCs w:val="1"/>
          <w:color w:val="auto"/>
        </w:rPr>
        <w:t xml:space="preserve">Employee Stock Purchase Plan. </w:t>
      </w:r>
      <w:r>
        <w:rPr>
          <w:rFonts w:ascii="Times New Roman" w:cs="Times New Roman" w:eastAsia="Times New Roman" w:hAnsi="Times New Roman"/>
          <w:sz w:val="21"/>
          <w:szCs w:val="21"/>
          <w:color w:val="auto"/>
        </w:rPr>
        <w:t>This Policy’s trading restrictions do not apply to (i) periodic purchases under any Company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employee stock purchase plan that are made as the result of standing instructions, in a form approved by the Company, (ii) withdrawal from participation in the plan, or (iii) a decision to decrease the level of contribution in the plan. This Policy’s trading restrictions do apply, however, to (a) an initial decision to participate in any Company employee stock purchase plan,</w:t>
      </w:r>
    </w:p>
    <w:p>
      <w:pPr>
        <w:spacing w:after="0" w:line="1" w:lineRule="exact"/>
        <w:rPr>
          <w:sz w:val="20"/>
          <w:szCs w:val="20"/>
          <w:color w:val="auto"/>
        </w:rPr>
      </w:pPr>
    </w:p>
    <w:p>
      <w:pPr>
        <w:ind w:left="200" w:right="500" w:firstLine="6"/>
        <w:spacing w:after="0" w:line="248" w:lineRule="auto"/>
        <w:tabs>
          <w:tab w:leader="none" w:pos="506"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decision to increase the level of contribution in a subsequent purchase period, and (c) any sales of shares acquired under the plan.</w:t>
      </w:r>
    </w:p>
    <w:p>
      <w:pPr>
        <w:spacing w:after="0" w:line="219" w:lineRule="exact"/>
        <w:rPr>
          <w:sz w:val="20"/>
          <w:szCs w:val="20"/>
          <w:color w:val="auto"/>
        </w:rPr>
      </w:pPr>
    </w:p>
    <w:p>
      <w:pPr>
        <w:ind w:left="200" w:right="140"/>
        <w:spacing w:after="0" w:line="253" w:lineRule="auto"/>
        <w:rPr>
          <w:sz w:val="20"/>
          <w:szCs w:val="20"/>
          <w:color w:val="auto"/>
        </w:rPr>
      </w:pPr>
      <w:r>
        <w:rPr>
          <w:rFonts w:ascii="Times New Roman" w:cs="Times New Roman" w:eastAsia="Times New Roman" w:hAnsi="Times New Roman"/>
          <w:sz w:val="22"/>
          <w:szCs w:val="22"/>
          <w:i w:val="1"/>
          <w:iCs w:val="1"/>
          <w:color w:val="auto"/>
        </w:rPr>
        <w:t>Post-Termination Transactions</w:t>
      </w:r>
      <w:r>
        <w:rPr>
          <w:rFonts w:ascii="Times New Roman" w:cs="Times New Roman" w:eastAsia="Times New Roman" w:hAnsi="Times New Roman"/>
          <w:sz w:val="22"/>
          <w:szCs w:val="22"/>
          <w:color w:val="auto"/>
        </w:rPr>
        <w:t>. If an individual or entity ceases to be a Covered Person at a time when such individual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entity is aware of material nonpublic information concerning the Company, the prohibitions on purchasing, selling and gifting of Company securities in this Policy shall continue to apply until that information has become public or is no longer material.</w:t>
      </w:r>
    </w:p>
    <w:p>
      <w:pPr>
        <w:spacing w:after="0" w:line="202" w:lineRule="exact"/>
        <w:rPr>
          <w:sz w:val="20"/>
          <w:szCs w:val="20"/>
          <w:color w:val="auto"/>
        </w:rPr>
      </w:pPr>
    </w:p>
    <w:p>
      <w:pPr>
        <w:ind w:left="200"/>
        <w:spacing w:after="0" w:line="251" w:lineRule="auto"/>
        <w:rPr>
          <w:sz w:val="20"/>
          <w:szCs w:val="20"/>
          <w:color w:val="auto"/>
        </w:rPr>
      </w:pPr>
      <w:r>
        <w:rPr>
          <w:rFonts w:ascii="Times New Roman" w:cs="Times New Roman" w:eastAsia="Times New Roman" w:hAnsi="Times New Roman"/>
          <w:sz w:val="22"/>
          <w:szCs w:val="22"/>
          <w:i w:val="1"/>
          <w:iCs w:val="1"/>
          <w:color w:val="auto"/>
        </w:rPr>
        <w:t>Standing or Limit Orders</w:t>
      </w:r>
      <w:r>
        <w:rPr>
          <w:rFonts w:ascii="Times New Roman" w:cs="Times New Roman" w:eastAsia="Times New Roman" w:hAnsi="Times New Roman"/>
          <w:sz w:val="22"/>
          <w:szCs w:val="22"/>
          <w:color w:val="auto"/>
        </w:rPr>
        <w:t>. Standing or limit orders, except standing or limit orders under an approved 10b5-1 trading plan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(described below), create heightened risks for insider trading violations because the individual placing the order retains discretion over the orders after they have been placed. As a result, a standing or limit order could execute when an individual is in possession of material nonpublic information. The Company, therefore, discourages placing standing or limit orders on Covered Securities. If a Covered Person determines that he or she must use a standing or limit order, the order must not be entered into or modified while the Covered Person is aware of material nonpublic information, should be limited to short duration and should otherwise comply with this Policy, including any applicable black-out period and the preclearance procedures described in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Effective 03.11.2025</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- 3 -</w:t>
            </w:r>
          </w:p>
        </w:tc>
      </w:tr>
    </w:tbl>
    <w:p>
      <w:pPr>
        <w:sectPr>
          <w:pgSz w:w="11900" w:h="16838" w:orient="portrait"/>
          <w:cols w:equalWidth="0" w:num="1">
            <w:col w:w="11000"/>
          </w:cols>
          <w:pgMar w:left="320" w:top="1440" w:right="579" w:bottom="1440" w:gutter="0" w:footer="0" w:header="0"/>
        </w:sectPr>
      </w:pPr>
    </w:p>
    <w:bookmarkStart w:id="202" w:name="page203"/>
    <w:bookmarkEnd w:id="202"/>
    <w:p>
      <w:pPr>
        <w:spacing w:after="0" w:line="200" w:lineRule="exact"/>
        <w:rPr>
          <w:sz w:val="20"/>
          <w:szCs w:val="20"/>
          <w:color w:val="auto"/>
        </w:rPr>
      </w:pPr>
    </w:p>
    <w:p>
      <w:pPr>
        <w:spacing w:after="0" w:line="359" w:lineRule="exact"/>
        <w:rPr>
          <w:sz w:val="20"/>
          <w:szCs w:val="20"/>
          <w:color w:val="auto"/>
        </w:rPr>
      </w:pPr>
    </w:p>
    <w:p>
      <w:pPr>
        <w:jc w:val="both"/>
        <w:ind w:left="200" w:right="120"/>
        <w:spacing w:after="0" w:line="265" w:lineRule="auto"/>
        <w:rPr>
          <w:sz w:val="20"/>
          <w:szCs w:val="20"/>
          <w:color w:val="auto"/>
        </w:rPr>
      </w:pPr>
      <w:r>
        <w:rPr>
          <w:rFonts w:ascii="Times New Roman" w:cs="Times New Roman" w:eastAsia="Times New Roman" w:hAnsi="Times New Roman"/>
          <w:sz w:val="22"/>
          <w:szCs w:val="22"/>
          <w:i w:val="1"/>
          <w:iCs w:val="1"/>
          <w:color w:val="auto"/>
        </w:rPr>
        <w:t xml:space="preserve">Short Sales and Derivative Transactions. </w:t>
      </w:r>
      <w:r>
        <w:rPr>
          <w:rFonts w:ascii="Times New Roman" w:cs="Times New Roman" w:eastAsia="Times New Roman" w:hAnsi="Times New Roman"/>
          <w:sz w:val="22"/>
          <w:szCs w:val="22"/>
          <w:color w:val="auto"/>
        </w:rPr>
        <w:t>Covered Persons may not engage in short sales (sales of securities that are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then owned) of Covered Securities, including “sales against the box” (a sale with delayed delivery) or purchases or sales of puts, calls or other derivative securities.</w:t>
      </w:r>
    </w:p>
    <w:p>
      <w:pPr>
        <w:spacing w:after="0" w:line="188" w:lineRule="exact"/>
        <w:rPr>
          <w:sz w:val="20"/>
          <w:szCs w:val="20"/>
          <w:color w:val="auto"/>
        </w:rPr>
      </w:pPr>
    </w:p>
    <w:p>
      <w:pPr>
        <w:jc w:val="both"/>
        <w:ind w:left="200" w:right="780"/>
        <w:spacing w:after="0" w:line="259" w:lineRule="auto"/>
        <w:rPr>
          <w:sz w:val="20"/>
          <w:szCs w:val="20"/>
          <w:color w:val="auto"/>
        </w:rPr>
      </w:pPr>
      <w:r>
        <w:rPr>
          <w:rFonts w:ascii="Times New Roman" w:cs="Times New Roman" w:eastAsia="Times New Roman" w:hAnsi="Times New Roman"/>
          <w:sz w:val="22"/>
          <w:szCs w:val="22"/>
          <w:i w:val="1"/>
          <w:iCs w:val="1"/>
          <w:color w:val="auto"/>
        </w:rPr>
        <w:t xml:space="preserve">Hedging Transactions. </w:t>
      </w:r>
      <w:r>
        <w:rPr>
          <w:rFonts w:ascii="Times New Roman" w:cs="Times New Roman" w:eastAsia="Times New Roman" w:hAnsi="Times New Roman"/>
          <w:sz w:val="22"/>
          <w:szCs w:val="22"/>
          <w:color w:val="auto"/>
        </w:rPr>
        <w:t>Covered Persons may not purchase financial instruments (including prepaid variable forward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contracts, equity swaps, collars, and exchange funds) or otherwise engage in transactions that hedge or offset, or are designed to hedge or offset, any decrease in the market value of Covered Securities.</w:t>
      </w:r>
    </w:p>
    <w:p>
      <w:pPr>
        <w:spacing w:after="0" w:line="193" w:lineRule="exact"/>
        <w:rPr>
          <w:sz w:val="20"/>
          <w:szCs w:val="20"/>
          <w:color w:val="auto"/>
        </w:rPr>
      </w:pPr>
    </w:p>
    <w:p>
      <w:pPr>
        <w:ind w:left="200" w:right="580"/>
        <w:spacing w:after="0" w:line="287" w:lineRule="auto"/>
        <w:rPr>
          <w:sz w:val="20"/>
          <w:szCs w:val="20"/>
          <w:color w:val="auto"/>
        </w:rPr>
      </w:pPr>
      <w:r>
        <w:rPr>
          <w:rFonts w:ascii="Times New Roman" w:cs="Times New Roman" w:eastAsia="Times New Roman" w:hAnsi="Times New Roman"/>
          <w:sz w:val="22"/>
          <w:szCs w:val="22"/>
          <w:i w:val="1"/>
          <w:iCs w:val="1"/>
          <w:color w:val="auto"/>
        </w:rPr>
        <w:t>Trading on Margin or Pledging</w:t>
      </w:r>
      <w:r>
        <w:rPr>
          <w:rFonts w:ascii="Times New Roman" w:cs="Times New Roman" w:eastAsia="Times New Roman" w:hAnsi="Times New Roman"/>
          <w:sz w:val="22"/>
          <w:szCs w:val="22"/>
          <w:color w:val="auto"/>
        </w:rPr>
        <w:t>. Covered Persons may not hold Covered Securities in a margin account or pledge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securities as collateral for a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5477510" cy="1797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34">
                      <a:extLst>
                        <a:ext uri="{28A0092B-C50C-407E-A947-70E740481C1C}"/>
                      </a:extLst>
                    </a:blip>
                    <a:srcRect/>
                    <a:stretch>
                      <a:fillRect/>
                    </a:stretch>
                  </pic:blipFill>
                  <pic:spPr bwMode="auto">
                    <a:xfrm>
                      <a:off x="0" y="0"/>
                      <a:ext cx="5477510" cy="17970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i w:val="1"/>
          <w:iCs w:val="1"/>
          <w:color w:val="auto"/>
        </w:rPr>
        <w:t>Company Benefit Plans</w:t>
      </w:r>
      <w:r>
        <w:rPr>
          <w:rFonts w:ascii="Times New Roman" w:cs="Times New Roman" w:eastAsia="Times New Roman" w:hAnsi="Times New Roman"/>
          <w:sz w:val="22"/>
          <w:szCs w:val="22"/>
          <w:color w:val="auto"/>
        </w:rPr>
        <w:t>. This Policy does not apply to transactions under Company benefit plans, except as noted above.</w:t>
      </w:r>
    </w:p>
    <w:p>
      <w:pPr>
        <w:spacing w:after="0" w:line="2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i w:val="1"/>
          <w:iCs w:val="1"/>
          <w:color w:val="auto"/>
        </w:rPr>
        <w:t>Bona Fide Gifts</w:t>
      </w:r>
      <w:r>
        <w:rPr>
          <w:rFonts w:ascii="Times New Roman" w:cs="Times New Roman" w:eastAsia="Times New Roman" w:hAnsi="Times New Roman"/>
          <w:sz w:val="22"/>
          <w:szCs w:val="22"/>
          <w:color w:val="auto"/>
        </w:rPr>
        <w:t>. The prohibitions on transactions described above in the Section entitled</w:t>
      </w:r>
    </w:p>
    <w:p>
      <w:pPr>
        <w:spacing w:after="0" w:line="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“Prohibitions” do not apply to bona fide gifts of Covered Securities that are approved in advance by the Company.</w:t>
      </w:r>
    </w:p>
    <w:p>
      <w:pPr>
        <w:spacing w:after="0" w:line="230" w:lineRule="exact"/>
        <w:rPr>
          <w:sz w:val="20"/>
          <w:szCs w:val="20"/>
          <w:color w:val="auto"/>
        </w:rPr>
      </w:pPr>
    </w:p>
    <w:p>
      <w:pPr>
        <w:ind w:left="200" w:right="140"/>
        <w:spacing w:after="0" w:line="275" w:lineRule="auto"/>
        <w:rPr>
          <w:sz w:val="20"/>
          <w:szCs w:val="20"/>
          <w:color w:val="auto"/>
        </w:rPr>
      </w:pPr>
      <w:r>
        <w:rPr>
          <w:rFonts w:ascii="Times New Roman" w:cs="Times New Roman" w:eastAsia="Times New Roman" w:hAnsi="Times New Roman"/>
          <w:sz w:val="22"/>
          <w:szCs w:val="22"/>
          <w:i w:val="1"/>
          <w:iCs w:val="1"/>
          <w:color w:val="auto"/>
        </w:rPr>
        <w:t>Mutual Funds</w:t>
      </w:r>
      <w:r>
        <w:rPr>
          <w:rFonts w:ascii="Times New Roman" w:cs="Times New Roman" w:eastAsia="Times New Roman" w:hAnsi="Times New Roman"/>
          <w:sz w:val="22"/>
          <w:szCs w:val="22"/>
          <w:color w:val="auto"/>
        </w:rPr>
        <w:t>. If an individual owns shares of a mutual fund that invests in any Covered Securities, there are no restrictions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 trading the shares of the mutual fund at any time.</w:t>
      </w:r>
    </w:p>
    <w:p>
      <w:pPr>
        <w:spacing w:after="0" w:line="176" w:lineRule="exact"/>
        <w:rPr>
          <w:sz w:val="20"/>
          <w:szCs w:val="20"/>
          <w:color w:val="auto"/>
        </w:rPr>
      </w:pPr>
    </w:p>
    <w:p>
      <w:pPr>
        <w:ind w:left="200" w:right="540"/>
        <w:spacing w:after="0" w:line="265" w:lineRule="auto"/>
        <w:rPr>
          <w:sz w:val="20"/>
          <w:szCs w:val="20"/>
          <w:color w:val="auto"/>
        </w:rPr>
      </w:pPr>
      <w:r>
        <w:rPr>
          <w:rFonts w:ascii="Times New Roman" w:cs="Times New Roman" w:eastAsia="Times New Roman" w:hAnsi="Times New Roman"/>
          <w:sz w:val="22"/>
          <w:szCs w:val="22"/>
          <w:i w:val="1"/>
          <w:iCs w:val="1"/>
          <w:color w:val="auto"/>
        </w:rPr>
        <w:t>Change in Form of Ownership</w:t>
      </w:r>
      <w:r>
        <w:rPr>
          <w:rFonts w:ascii="Times New Roman" w:cs="Times New Roman" w:eastAsia="Times New Roman" w:hAnsi="Times New Roman"/>
          <w:sz w:val="22"/>
          <w:szCs w:val="22"/>
          <w:color w:val="auto"/>
        </w:rPr>
        <w:t>. Transactions that involve merely the change in the form in which you own Covered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Securities are permissible under this Policy. For example, you may transfer Covered Securities to an </w:t>
      </w:r>
      <w:r>
        <w:rPr>
          <w:rFonts w:ascii="Times New Roman" w:cs="Times New Roman" w:eastAsia="Times New Roman" w:hAnsi="Times New Roman"/>
          <w:sz w:val="22"/>
          <w:szCs w:val="22"/>
          <w:i w:val="1"/>
          <w:iCs w:val="1"/>
          <w:color w:val="auto"/>
        </w:rPr>
        <w:t>inter vivos</w:t>
      </w:r>
      <w:r>
        <w:rPr>
          <w:rFonts w:ascii="Times New Roman" w:cs="Times New Roman" w:eastAsia="Times New Roman" w:hAnsi="Times New Roman"/>
          <w:sz w:val="22"/>
          <w:szCs w:val="22"/>
          <w:color w:val="auto"/>
        </w:rPr>
        <w:t xml:space="preserve"> trust of which you are the sole beneficiary during your lifetime.</w:t>
      </w:r>
    </w:p>
    <w:p>
      <w:pPr>
        <w:spacing w:after="0" w:line="1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i w:val="1"/>
          <w:iCs w:val="1"/>
          <w:color w:val="auto"/>
        </w:rPr>
        <w:t>Transactions under 10b5-1 Trading Plans</w:t>
      </w:r>
      <w:r>
        <w:rPr>
          <w:rFonts w:ascii="Times New Roman" w:cs="Times New Roman" w:eastAsia="Times New Roman" w:hAnsi="Times New Roman"/>
          <w:sz w:val="22"/>
          <w:szCs w:val="22"/>
          <w:color w:val="auto"/>
        </w:rPr>
        <w:t>. Transactions under 10b5-1 trading plans are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5477510" cy="1797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35">
                      <a:extLst>
                        <a:ext uri="{28A0092B-C50C-407E-A947-70E740481C1C}"/>
                      </a:extLst>
                    </a:blip>
                    <a:srcRect/>
                    <a:stretch>
                      <a:fillRect/>
                    </a:stretch>
                  </pic:blipFill>
                  <pic:spPr bwMode="auto">
                    <a:xfrm>
                      <a:off x="0" y="0"/>
                      <a:ext cx="54775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200"/>
        <w:spacing w:after="0" w:line="249" w:lineRule="auto"/>
        <w:rPr>
          <w:sz w:val="20"/>
          <w:szCs w:val="20"/>
          <w:color w:val="auto"/>
        </w:rPr>
      </w:pPr>
      <w:r>
        <w:rPr>
          <w:rFonts w:ascii="Times New Roman" w:cs="Times New Roman" w:eastAsia="Times New Roman" w:hAnsi="Times New Roman"/>
          <w:sz w:val="22"/>
          <w:szCs w:val="22"/>
          <w:color w:val="auto"/>
        </w:rPr>
        <w:t>A U.S.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rule, Rule 10b5-1(c) (“</w:t>
      </w:r>
      <w:r>
        <w:rPr>
          <w:rFonts w:ascii="Times New Roman" w:cs="Times New Roman" w:eastAsia="Times New Roman" w:hAnsi="Times New Roman"/>
          <w:sz w:val="22"/>
          <w:szCs w:val="22"/>
          <w:u w:val="single" w:color="auto"/>
          <w:color w:val="auto"/>
        </w:rPr>
        <w:t>10b5-1</w:t>
      </w:r>
      <w:r>
        <w:rPr>
          <w:rFonts w:ascii="Times New Roman" w:cs="Times New Roman" w:eastAsia="Times New Roman" w:hAnsi="Times New Roman"/>
          <w:sz w:val="22"/>
          <w:szCs w:val="22"/>
          <w:color w:val="auto"/>
        </w:rPr>
        <w:t>”), provides an affirmative defense to insider trading liability if a transaction occurs in compliance with the rule and is pursuant to a binding contract, written plan or specific instruction which satisfies the applicable affirmative defense conditions of Rule 10b5-1(c) (a “</w:t>
      </w:r>
      <w:r>
        <w:rPr>
          <w:rFonts w:ascii="Times New Roman" w:cs="Times New Roman" w:eastAsia="Times New Roman" w:hAnsi="Times New Roman"/>
          <w:sz w:val="22"/>
          <w:szCs w:val="22"/>
          <w:u w:val="single" w:color="auto"/>
          <w:color w:val="auto"/>
        </w:rPr>
        <w:t>10b5-1 trading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including as applicable the requirements applicable to an eligible sell-to-cover transaction as defined in Rule 10b5-1(c)(1)(ii)(D)(3) (a “</w:t>
      </w:r>
      <w:r>
        <w:rPr>
          <w:rFonts w:ascii="Times New Roman" w:cs="Times New Roman" w:eastAsia="Times New Roman" w:hAnsi="Times New Roman"/>
          <w:sz w:val="22"/>
          <w:szCs w:val="22"/>
          <w:u w:val="single" w:color="auto"/>
          <w:color w:val="auto"/>
        </w:rPr>
        <w:t>permitted sell-to-cover instruction</w:t>
      </w:r>
      <w:r>
        <w:rPr>
          <w:rFonts w:ascii="Times New Roman" w:cs="Times New Roman" w:eastAsia="Times New Roman" w:hAnsi="Times New Roman"/>
          <w:sz w:val="22"/>
          <w:szCs w:val="22"/>
          <w:color w:val="auto"/>
        </w:rPr>
        <w:t>”). In general terms, a valid 10b5-1 trading plan is one that removes any control or discretion that a Covered Person has with respect to a transaction or series of transactions to be executed at some future time. Such 10b5-1 trading plan must be (1) in writing and (2) submitted to the Company for review prior to its adoption. Notwithstanding any other restrictions described in this Policy, transactions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Effective 03.11.2025</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- 4 -</w:t>
            </w:r>
          </w:p>
        </w:tc>
      </w:tr>
    </w:tbl>
    <w:p>
      <w:pPr>
        <w:sectPr>
          <w:pgSz w:w="11900" w:h="16838" w:orient="portrait"/>
          <w:cols w:equalWidth="0" w:num="1">
            <w:col w:w="11040"/>
          </w:cols>
          <w:pgMar w:left="320" w:top="1440" w:right="539" w:bottom="1440" w:gutter="0" w:footer="0" w:header="0"/>
        </w:sectPr>
      </w:pPr>
    </w:p>
    <w:bookmarkStart w:id="203" w:name="page204"/>
    <w:bookmarkEnd w:id="203"/>
    <w:p>
      <w:pPr>
        <w:spacing w:after="0" w:line="200" w:lineRule="exact"/>
        <w:rPr>
          <w:sz w:val="20"/>
          <w:szCs w:val="20"/>
          <w:color w:val="auto"/>
        </w:rPr>
      </w:pPr>
    </w:p>
    <w:p>
      <w:pPr>
        <w:spacing w:after="0" w:line="363" w:lineRule="exact"/>
        <w:rPr>
          <w:sz w:val="20"/>
          <w:szCs w:val="20"/>
          <w:color w:val="auto"/>
        </w:rPr>
      </w:pPr>
    </w:p>
    <w:p>
      <w:pPr>
        <w:ind w:left="200"/>
        <w:spacing w:after="0" w:line="271" w:lineRule="auto"/>
        <w:rPr>
          <w:sz w:val="20"/>
          <w:szCs w:val="20"/>
          <w:color w:val="auto"/>
        </w:rPr>
      </w:pPr>
      <w:r>
        <w:rPr>
          <w:rFonts w:ascii="Times New Roman" w:cs="Times New Roman" w:eastAsia="Times New Roman" w:hAnsi="Times New Roman"/>
          <w:sz w:val="22"/>
          <w:szCs w:val="22"/>
          <w:color w:val="auto"/>
        </w:rPr>
        <w:t>pursuant to a 10b5- 1 trading plan implemented in accordance with this Policy may occur during a black-out period or while a person is in possession of material nonpublic information.</w:t>
      </w:r>
    </w:p>
    <w:p>
      <w:pPr>
        <w:spacing w:after="0" w:line="198" w:lineRule="exact"/>
        <w:rPr>
          <w:sz w:val="20"/>
          <w:szCs w:val="20"/>
          <w:color w:val="auto"/>
        </w:rPr>
      </w:pPr>
    </w:p>
    <w:p>
      <w:pPr>
        <w:ind w:left="200" w:right="20"/>
        <w:spacing w:after="0" w:line="271" w:lineRule="auto"/>
        <w:rPr>
          <w:sz w:val="20"/>
          <w:szCs w:val="20"/>
          <w:color w:val="auto"/>
        </w:rPr>
      </w:pPr>
      <w:r>
        <w:rPr>
          <w:rFonts w:ascii="Times New Roman" w:cs="Times New Roman" w:eastAsia="Times New Roman" w:hAnsi="Times New Roman"/>
          <w:sz w:val="22"/>
          <w:szCs w:val="22"/>
          <w:color w:val="auto"/>
        </w:rPr>
        <w:t>Note that, in addition to the legal requirements to implement a valid 10b5-1 trading plan, directors and employees must also comply with the following Company policies:</w:t>
      </w:r>
    </w:p>
    <w:p>
      <w:pPr>
        <w:spacing w:after="0" w:line="158" w:lineRule="exact"/>
        <w:rPr>
          <w:sz w:val="20"/>
          <w:szCs w:val="20"/>
          <w:color w:val="auto"/>
        </w:rPr>
      </w:pPr>
    </w:p>
    <w:p>
      <w:pPr>
        <w:ind w:left="860" w:right="1040" w:hanging="330"/>
        <w:spacing w:after="0" w:line="271" w:lineRule="auto"/>
        <w:tabs>
          <w:tab w:leader="none" w:pos="8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director or employee may only enter into a 10b5-1 trading plan outside a black-out period and when the individual is not in possession of any material nonpublic information.</w:t>
      </w:r>
    </w:p>
    <w:p>
      <w:pPr>
        <w:spacing w:after="0" w:line="157" w:lineRule="exact"/>
        <w:rPr>
          <w:rFonts w:ascii="Times New Roman" w:cs="Times New Roman" w:eastAsia="Times New Roman" w:hAnsi="Times New Roman"/>
          <w:sz w:val="22"/>
          <w:szCs w:val="22"/>
          <w:color w:val="auto"/>
        </w:rPr>
      </w:pPr>
    </w:p>
    <w:p>
      <w:pPr>
        <w:ind w:left="860" w:right="460" w:hanging="330"/>
        <w:spacing w:after="0" w:line="284" w:lineRule="auto"/>
        <w:tabs>
          <w:tab w:leader="none" w:pos="8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director or employee seeking to implement a 10b5-1 trading plan involving Akebia securities must submit the plan for review by the General Counsel or Chief Financial Officer (or their designees) prior to adoption.</w:t>
      </w:r>
    </w:p>
    <w:p>
      <w:pPr>
        <w:spacing w:after="0" w:line="143" w:lineRule="exact"/>
        <w:rPr>
          <w:rFonts w:ascii="Times New Roman" w:cs="Times New Roman" w:eastAsia="Times New Roman" w:hAnsi="Times New Roman"/>
          <w:sz w:val="22"/>
          <w:szCs w:val="22"/>
          <w:color w:val="auto"/>
        </w:rPr>
      </w:pPr>
    </w:p>
    <w:p>
      <w:pPr>
        <w:ind w:left="860" w:right="260" w:hanging="334"/>
        <w:spacing w:after="0" w:line="271" w:lineRule="auto"/>
        <w:tabs>
          <w:tab w:leader="none" w:pos="8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Transactions of securities subject to a 10b5-1 trading plan must only be made pursuant to that plan (and not outside of that plan).</w:t>
      </w:r>
    </w:p>
    <w:p>
      <w:pPr>
        <w:spacing w:after="0" w:line="157" w:lineRule="exact"/>
        <w:rPr>
          <w:rFonts w:ascii="Times New Roman" w:cs="Times New Roman" w:eastAsia="Times New Roman" w:hAnsi="Times New Roman"/>
          <w:sz w:val="22"/>
          <w:szCs w:val="22"/>
          <w:color w:val="auto"/>
        </w:rPr>
      </w:pPr>
    </w:p>
    <w:p>
      <w:pPr>
        <w:ind w:left="860" w:right="100" w:hanging="330"/>
        <w:spacing w:after="0" w:line="271" w:lineRule="auto"/>
        <w:tabs>
          <w:tab w:leader="none" w:pos="86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or modification of a 10b5-1 trading plan, including its termination, must also be submitted for review by the General Counsel or Chief Financial Officer (or their designees).</w:t>
      </w:r>
    </w:p>
    <w:p>
      <w:pPr>
        <w:spacing w:after="0" w:line="171" w:lineRule="exact"/>
        <w:rPr>
          <w:sz w:val="20"/>
          <w:szCs w:val="20"/>
          <w:color w:val="auto"/>
        </w:rPr>
      </w:pPr>
    </w:p>
    <w:p>
      <w:pPr>
        <w:ind w:left="200" w:right="20"/>
        <w:spacing w:after="0" w:line="250" w:lineRule="auto"/>
        <w:rPr>
          <w:sz w:val="20"/>
          <w:szCs w:val="20"/>
          <w:color w:val="auto"/>
        </w:rPr>
      </w:pPr>
      <w:r>
        <w:rPr>
          <w:rFonts w:ascii="Times New Roman" w:cs="Times New Roman" w:eastAsia="Times New Roman" w:hAnsi="Times New Roman"/>
          <w:sz w:val="22"/>
          <w:szCs w:val="22"/>
          <w:color w:val="auto"/>
        </w:rPr>
        <w:t>Ensuring that a 10b5-1 trading plan complies with the requirements of 10b5-1 and the execution of transactions pursuant to the 10b5-1 trading plan are the sole responsibility of the individual initiating the plan, and not the Company, the General Counsel or Chief Financial Officer (or their designees), or any other Company employee. Any Covered Person who is interested in establishing a 10b5-1 trading plan should reach out to the Company’s equity team member(s) within the Finance department for assistance.</w:t>
      </w:r>
    </w:p>
    <w:p>
      <w:pPr>
        <w:spacing w:after="0" w:line="194" w:lineRule="exact"/>
        <w:rPr>
          <w:sz w:val="20"/>
          <w:szCs w:val="20"/>
          <w:color w:val="auto"/>
        </w:rPr>
      </w:pPr>
    </w:p>
    <w:p>
      <w:pPr>
        <w:ind w:left="200" w:right="260"/>
        <w:spacing w:after="0" w:line="252" w:lineRule="auto"/>
        <w:rPr>
          <w:sz w:val="20"/>
          <w:szCs w:val="20"/>
          <w:color w:val="auto"/>
        </w:rPr>
      </w:pPr>
      <w:r>
        <w:rPr>
          <w:rFonts w:ascii="Times New Roman" w:cs="Times New Roman" w:eastAsia="Times New Roman" w:hAnsi="Times New Roman"/>
          <w:sz w:val="22"/>
          <w:szCs w:val="22"/>
          <w:color w:val="auto"/>
        </w:rPr>
        <w:t>The Company reserves the right to suspend, discontinue or otherwise prohibit any transaction in the Company’s securities, even pursuant to a previously approved 10b5-1 trading plan, if the General Counsel or Chief Financial Officer (or their designees), or the Company’s Board of Directors, in its discretion, determines that such action is in the best interests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5477510" cy="1797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36">
                      <a:extLst>
                        <a:ext uri="{28A0092B-C50C-407E-A947-70E740481C1C}"/>
                      </a:extLst>
                    </a:blip>
                    <a:srcRect/>
                    <a:stretch>
                      <a:fillRect/>
                    </a:stretch>
                  </pic:blipFill>
                  <pic:spPr bwMode="auto">
                    <a:xfrm>
                      <a:off x="0" y="0"/>
                      <a:ext cx="5477510" cy="17970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200" w:right="60"/>
        <w:spacing w:after="0" w:line="253" w:lineRule="auto"/>
        <w:rPr>
          <w:sz w:val="20"/>
          <w:szCs w:val="20"/>
          <w:color w:val="auto"/>
        </w:rPr>
      </w:pPr>
      <w:r>
        <w:rPr>
          <w:rFonts w:ascii="Times New Roman" w:cs="Times New Roman" w:eastAsia="Times New Roman" w:hAnsi="Times New Roman"/>
          <w:sz w:val="22"/>
          <w:szCs w:val="22"/>
          <w:color w:val="auto"/>
        </w:rPr>
        <w:t xml:space="preserve">The Company has regularly scheduled quarterly black-out periods and, from time-to-time, implements event-specific black-out periods. During a black-out period, directors, executive officers and other designated employees listed on </w:t>
      </w:r>
      <w:r>
        <w:rPr>
          <w:rFonts w:ascii="Times New Roman" w:cs="Times New Roman" w:eastAsia="Times New Roman" w:hAnsi="Times New Roman"/>
          <w:sz w:val="22"/>
          <w:szCs w:val="22"/>
          <w:u w:val="single" w:color="auto"/>
          <w:color w:val="auto"/>
        </w:rPr>
        <w:t>Appendix A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this Policy</w:t>
      </w:r>
      <w:r>
        <w:rPr>
          <w:rFonts w:ascii="Times New Roman" w:cs="Times New Roman" w:eastAsia="Times New Roman" w:hAnsi="Times New Roman"/>
          <w:sz w:val="22"/>
          <w:szCs w:val="22"/>
          <w:color w:val="auto"/>
        </w:rPr>
        <w:t xml:space="preserve"> are prohibited from engaging in any transactions involving Company securities or securities of other companies that could be related to the purpose of a particular black-out (other than as specified by the Policy). The Company will notify those individuals, entities, and/or Covered Persons who are subject to a black-out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Effective 03.11.2025</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- 5 -</w:t>
            </w:r>
          </w:p>
        </w:tc>
      </w:tr>
    </w:tbl>
    <w:p>
      <w:pPr>
        <w:sectPr>
          <w:pgSz w:w="11900" w:h="16838" w:orient="portrait"/>
          <w:cols w:equalWidth="0" w:num="1">
            <w:col w:w="11060"/>
          </w:cols>
          <w:pgMar w:left="320" w:top="1440" w:right="519" w:bottom="1440" w:gutter="0" w:footer="0" w:header="0"/>
        </w:sectPr>
      </w:pPr>
    </w:p>
    <w:bookmarkStart w:id="204" w:name="page205"/>
    <w:bookmarkEnd w:id="204"/>
    <w:p>
      <w:pPr>
        <w:spacing w:after="0" w:line="200" w:lineRule="exact"/>
        <w:rPr>
          <w:sz w:val="20"/>
          <w:szCs w:val="20"/>
          <w:color w:val="auto"/>
        </w:rPr>
      </w:pPr>
    </w:p>
    <w:p>
      <w:pPr>
        <w:spacing w:after="0" w:line="359" w:lineRule="exact"/>
        <w:rPr>
          <w:sz w:val="20"/>
          <w:szCs w:val="20"/>
          <w:color w:val="auto"/>
        </w:rPr>
      </w:pPr>
    </w:p>
    <w:p>
      <w:pPr>
        <w:ind w:left="200" w:right="420"/>
        <w:spacing w:after="0" w:line="265" w:lineRule="auto"/>
        <w:rPr>
          <w:sz w:val="20"/>
          <w:szCs w:val="20"/>
          <w:color w:val="auto"/>
        </w:rPr>
      </w:pPr>
      <w:r>
        <w:rPr>
          <w:rFonts w:ascii="Times New Roman" w:cs="Times New Roman" w:eastAsia="Times New Roman" w:hAnsi="Times New Roman"/>
          <w:sz w:val="22"/>
          <w:szCs w:val="22"/>
          <w:i w:val="1"/>
          <w:iCs w:val="1"/>
          <w:color w:val="auto"/>
        </w:rPr>
        <w:t>Quarterly Black-out Periods</w:t>
      </w:r>
      <w:r>
        <w:rPr>
          <w:rFonts w:ascii="Times New Roman" w:cs="Times New Roman" w:eastAsia="Times New Roman" w:hAnsi="Times New Roman"/>
          <w:sz w:val="22"/>
          <w:szCs w:val="22"/>
          <w:color w:val="auto"/>
        </w:rPr>
        <w:t>. Quarterly black-out periods begin at the close of trading of The Nasdaq Capital Market 14</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calendar days prior to the close of each fiscal quarter and end two full trading days following the public release of the Company’s financial results for such quarter.</w:t>
      </w:r>
    </w:p>
    <w:p>
      <w:pPr>
        <w:spacing w:after="0" w:line="188" w:lineRule="exact"/>
        <w:rPr>
          <w:sz w:val="20"/>
          <w:szCs w:val="20"/>
          <w:color w:val="auto"/>
        </w:rPr>
      </w:pPr>
    </w:p>
    <w:p>
      <w:pPr>
        <w:ind w:left="200" w:right="120"/>
        <w:spacing w:after="0" w:line="253" w:lineRule="auto"/>
        <w:rPr>
          <w:sz w:val="20"/>
          <w:szCs w:val="20"/>
          <w:color w:val="auto"/>
        </w:rPr>
      </w:pPr>
      <w:r>
        <w:rPr>
          <w:rFonts w:ascii="Times New Roman" w:cs="Times New Roman" w:eastAsia="Times New Roman" w:hAnsi="Times New Roman"/>
          <w:sz w:val="22"/>
          <w:szCs w:val="22"/>
          <w:i w:val="1"/>
          <w:iCs w:val="1"/>
          <w:color w:val="auto"/>
        </w:rPr>
        <w:t>Event-Specific Black-out Periods</w:t>
      </w:r>
      <w:r>
        <w:rPr>
          <w:rFonts w:ascii="Times New Roman" w:cs="Times New Roman" w:eastAsia="Times New Roman" w:hAnsi="Times New Roman"/>
          <w:sz w:val="22"/>
          <w:szCs w:val="22"/>
          <w:color w:val="auto"/>
        </w:rPr>
        <w:t>. From time to time, the Company may implement an event- specific black-out period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because of significant events or developments at the Company that have not yet been disclosed to the public. The existence of an event-specific black-out period will not be announced to the Company as a whole and should not be communicated to any other person.</w:t>
      </w:r>
    </w:p>
    <w:p>
      <w:pPr>
        <w:spacing w:after="0" w:line="216" w:lineRule="exact"/>
        <w:rPr>
          <w:sz w:val="20"/>
          <w:szCs w:val="20"/>
          <w:color w:val="auto"/>
        </w:rPr>
      </w:pPr>
    </w:p>
    <w:p>
      <w:pPr>
        <w:ind w:left="200" w:right="160"/>
        <w:spacing w:after="0" w:line="299" w:lineRule="auto"/>
        <w:rPr>
          <w:sz w:val="20"/>
          <w:szCs w:val="20"/>
          <w:color w:val="auto"/>
        </w:rPr>
      </w:pPr>
      <w:r>
        <w:rPr>
          <w:rFonts w:ascii="Times New Roman" w:cs="Times New Roman" w:eastAsia="Times New Roman" w:hAnsi="Times New Roman"/>
          <w:sz w:val="21"/>
          <w:szCs w:val="21"/>
          <w:i w:val="1"/>
          <w:iCs w:val="1"/>
          <w:color w:val="auto"/>
        </w:rPr>
        <w:t>Awareness of Material Nonpublic Information when a Black-out Period is Not in Effect</w:t>
      </w:r>
      <w:r>
        <w:rPr>
          <w:rFonts w:ascii="Times New Roman" w:cs="Times New Roman" w:eastAsia="Times New Roman" w:hAnsi="Times New Roman"/>
          <w:sz w:val="21"/>
          <w:szCs w:val="21"/>
          <w:color w:val="auto"/>
        </w:rPr>
        <w:t>. Even if no black-out period is then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 effect, if a Covered Person is aware of material nonpublic information the trading prohibitions in this Policy apply.</w:t>
      </w:r>
    </w:p>
    <w:p>
      <w:pPr>
        <w:spacing w:after="0" w:line="168" w:lineRule="exact"/>
        <w:rPr>
          <w:sz w:val="20"/>
          <w:szCs w:val="20"/>
          <w:color w:val="auto"/>
        </w:rPr>
      </w:pPr>
    </w:p>
    <w:p>
      <w:pPr>
        <w:jc w:val="both"/>
        <w:ind w:left="200" w:right="100"/>
        <w:spacing w:after="0" w:line="259" w:lineRule="auto"/>
        <w:rPr>
          <w:sz w:val="20"/>
          <w:szCs w:val="20"/>
          <w:color w:val="auto"/>
        </w:rPr>
      </w:pPr>
      <w:r>
        <w:rPr>
          <w:rFonts w:ascii="Times New Roman" w:cs="Times New Roman" w:eastAsia="Times New Roman" w:hAnsi="Times New Roman"/>
          <w:sz w:val="22"/>
          <w:szCs w:val="22"/>
          <w:i w:val="1"/>
          <w:iCs w:val="1"/>
          <w:color w:val="auto"/>
        </w:rPr>
        <w:t>Sales to Cover</w:t>
      </w:r>
      <w:r>
        <w:rPr>
          <w:rFonts w:ascii="Times New Roman" w:cs="Times New Roman" w:eastAsia="Times New Roman" w:hAnsi="Times New Roman"/>
          <w:sz w:val="22"/>
          <w:szCs w:val="22"/>
          <w:color w:val="auto"/>
        </w:rPr>
        <w:t>. This Policy shall not prohibit the Company, on your behalf, from instructing an agent to sell that number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shares pursuant to a permitted sell-to-cover instruction to satisfy any resulting tax withholding obligations, including within a black-out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5477510" cy="1797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37">
                      <a:extLst>
                        <a:ext uri="{28A0092B-C50C-407E-A947-70E740481C1C}"/>
                      </a:extLst>
                    </a:blip>
                    <a:srcRect/>
                    <a:stretch>
                      <a:fillRect/>
                    </a:stretch>
                  </pic:blipFill>
                  <pic:spPr bwMode="auto">
                    <a:xfrm>
                      <a:off x="0" y="0"/>
                      <a:ext cx="5477510" cy="17970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200" w:right="160"/>
        <w:spacing w:after="0" w:line="252" w:lineRule="auto"/>
        <w:rPr>
          <w:sz w:val="20"/>
          <w:szCs w:val="20"/>
          <w:color w:val="auto"/>
        </w:rPr>
      </w:pPr>
      <w:r>
        <w:rPr>
          <w:rFonts w:ascii="Times New Roman" w:cs="Times New Roman" w:eastAsia="Times New Roman" w:hAnsi="Times New Roman"/>
          <w:sz w:val="22"/>
          <w:szCs w:val="22"/>
          <w:color w:val="auto"/>
        </w:rPr>
        <w:t xml:space="preserve">Directors and employees may not engage in any transaction in Company securities without first obtaining pre-clearance of the transaction from the General Counsel or Chief Financial Officer (or their designees). This pre-clearance requirement applies to </w:t>
      </w:r>
      <w:r>
        <w:rPr>
          <w:rFonts w:ascii="Times New Roman" w:cs="Times New Roman" w:eastAsia="Times New Roman" w:hAnsi="Times New Roman"/>
          <w:sz w:val="22"/>
          <w:szCs w:val="22"/>
          <w:i w:val="1"/>
          <w:iCs w:val="1"/>
          <w:color w:val="auto"/>
        </w:rPr>
        <w:t>all</w:t>
      </w:r>
      <w:r>
        <w:rPr>
          <w:rFonts w:ascii="Times New Roman" w:cs="Times New Roman" w:eastAsia="Times New Roman" w:hAnsi="Times New Roman"/>
          <w:sz w:val="22"/>
          <w:szCs w:val="22"/>
          <w:color w:val="auto"/>
        </w:rPr>
        <w:t xml:space="preserve"> transactions in Company securities, including a purchase or sale in the open market, the sale of any Company securities received as equity compensation and the transfer of securities of the Company.</w:t>
      </w:r>
    </w:p>
    <w:p>
      <w:pPr>
        <w:spacing w:after="0" w:line="220" w:lineRule="exact"/>
        <w:rPr>
          <w:sz w:val="20"/>
          <w:szCs w:val="20"/>
          <w:color w:val="auto"/>
        </w:rPr>
      </w:pPr>
    </w:p>
    <w:p>
      <w:pPr>
        <w:ind w:left="200"/>
        <w:spacing w:after="0" w:line="251" w:lineRule="auto"/>
        <w:rPr>
          <w:sz w:val="20"/>
          <w:szCs w:val="20"/>
          <w:color w:val="auto"/>
        </w:rPr>
      </w:pPr>
      <w:r>
        <w:rPr>
          <w:rFonts w:ascii="Times New Roman" w:cs="Times New Roman" w:eastAsia="Times New Roman" w:hAnsi="Times New Roman"/>
          <w:sz w:val="22"/>
          <w:szCs w:val="22"/>
          <w:color w:val="auto"/>
        </w:rPr>
        <w:t>A request for pre-clearance must be submitted to the General Counsel or Chief Financial Officer (or their designees) at least two business days in advance of the proposed transaction. The General Counsel or Chief Financial Officer (or their designees) is under no obligation to approve a transaction submitted for pre-clearance and may determine not to permit the transaction in his or her sole discretion. If a person seeks pre-clearance and permission to engage in the transaction is denied, then he or she must refrain from initiating any transaction in Company securities and should not inform any other person of the restriction.</w:t>
      </w:r>
    </w:p>
    <w:p>
      <w:pPr>
        <w:spacing w:after="0" w:line="208" w:lineRule="exact"/>
        <w:rPr>
          <w:sz w:val="20"/>
          <w:szCs w:val="20"/>
          <w:color w:val="auto"/>
        </w:rPr>
      </w:pPr>
    </w:p>
    <w:p>
      <w:pPr>
        <w:ind w:left="200" w:right="100"/>
        <w:spacing w:after="0" w:line="252" w:lineRule="auto"/>
        <w:rPr>
          <w:sz w:val="20"/>
          <w:szCs w:val="20"/>
          <w:color w:val="auto"/>
        </w:rPr>
      </w:pPr>
      <w:r>
        <w:rPr>
          <w:rFonts w:ascii="Times New Roman" w:cs="Times New Roman" w:eastAsia="Times New Roman" w:hAnsi="Times New Roman"/>
          <w:sz w:val="22"/>
          <w:szCs w:val="22"/>
          <w:color w:val="auto"/>
        </w:rPr>
        <w:t>All transactions that are pre-cleared must be effected within three business days of receipt of the pre-clearance unless a specific exemption has been granted by the General Counsel or Chief Financial Officer (or their designees). A pre-cleared transaction (or any portion of a pre-cleared transaction) that has not been effected during the three business day period must be pre-cleared again prior to execution.</w:t>
      </w:r>
    </w:p>
    <w:p>
      <w:pPr>
        <w:spacing w:after="0" w:line="220" w:lineRule="exact"/>
        <w:rPr>
          <w:sz w:val="20"/>
          <w:szCs w:val="20"/>
          <w:color w:val="auto"/>
        </w:rPr>
      </w:pPr>
    </w:p>
    <w:p>
      <w:pPr>
        <w:ind w:left="200" w:right="180"/>
        <w:spacing w:after="0" w:line="275" w:lineRule="auto"/>
        <w:rPr>
          <w:sz w:val="20"/>
          <w:szCs w:val="20"/>
          <w:color w:val="auto"/>
        </w:rPr>
      </w:pPr>
      <w:r>
        <w:rPr>
          <w:rFonts w:ascii="Times New Roman" w:cs="Times New Roman" w:eastAsia="Times New Roman" w:hAnsi="Times New Roman"/>
          <w:sz w:val="21"/>
          <w:szCs w:val="21"/>
          <w:color w:val="auto"/>
        </w:rPr>
        <w:t>When a request for pre-clearance is made, the requestor should carefully consider whether he or she may be aware of any material nonpublic information about the Company, and must describe fully those circumstances to the General Counsel or Chief Financial Officer (or their designees). None of the Company, General Counsel or Chief Financial Officer (or their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Effective 03.11.2025</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- 6 -</w:t>
            </w:r>
          </w:p>
        </w:tc>
      </w:tr>
    </w:tbl>
    <w:p>
      <w:pPr>
        <w:sectPr>
          <w:pgSz w:w="11900" w:h="16838" w:orient="portrait"/>
          <w:cols w:equalWidth="0" w:num="1">
            <w:col w:w="11000"/>
          </w:cols>
          <w:pgMar w:left="320" w:top="1440" w:right="579" w:bottom="1440" w:gutter="0" w:footer="0" w:header="0"/>
        </w:sectPr>
      </w:pPr>
    </w:p>
    <w:bookmarkStart w:id="205" w:name="page206"/>
    <w:bookmarkEnd w:id="205"/>
    <w:p>
      <w:pPr>
        <w:spacing w:after="0" w:line="200" w:lineRule="exact"/>
        <w:rPr>
          <w:sz w:val="20"/>
          <w:szCs w:val="20"/>
          <w:color w:val="auto"/>
        </w:rPr>
      </w:pPr>
    </w:p>
    <w:p>
      <w:pPr>
        <w:spacing w:after="0" w:line="3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designees) or other employees will have any liability for any delay in reviewing or refusal of a request for pre-clearance.</w:t>
      </w:r>
    </w:p>
    <w:p>
      <w:pPr>
        <w:spacing w:after="0" w:line="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Pre-clearance does not relieve an individual of his or her responsibility under applicable securities laws.</w:t>
      </w:r>
    </w:p>
    <w:p>
      <w:pPr>
        <w:spacing w:after="0" w:line="236" w:lineRule="exact"/>
        <w:rPr>
          <w:sz w:val="20"/>
          <w:szCs w:val="20"/>
          <w:color w:val="auto"/>
        </w:rPr>
      </w:pPr>
    </w:p>
    <w:p>
      <w:pPr>
        <w:ind w:left="200" w:right="200"/>
        <w:spacing w:after="0" w:line="271" w:lineRule="auto"/>
        <w:rPr>
          <w:sz w:val="20"/>
          <w:szCs w:val="20"/>
          <w:color w:val="auto"/>
        </w:rPr>
      </w:pPr>
      <w:r>
        <w:rPr>
          <w:rFonts w:ascii="Times New Roman" w:cs="Times New Roman" w:eastAsia="Times New Roman" w:hAnsi="Times New Roman"/>
          <w:sz w:val="22"/>
          <w:szCs w:val="22"/>
          <w:color w:val="auto"/>
        </w:rPr>
        <w:t>The requestor should be prepared, if necessary, to file a Form 4 for the proposed transaction and to comply with SEC Rule 144 and file a Form 144 at the time of any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5477510" cy="1797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38">
                      <a:extLst>
                        <a:ext uri="{28A0092B-C50C-407E-A947-70E740481C1C}"/>
                      </a:extLst>
                    </a:blip>
                    <a:srcRect/>
                    <a:stretch>
                      <a:fillRect/>
                    </a:stretch>
                  </pic:blipFill>
                  <pic:spPr bwMode="auto">
                    <a:xfrm>
                      <a:off x="0" y="0"/>
                      <a:ext cx="5477510" cy="17970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200" w:right="100"/>
        <w:spacing w:after="0" w:line="253" w:lineRule="auto"/>
        <w:rPr>
          <w:sz w:val="20"/>
          <w:szCs w:val="20"/>
          <w:color w:val="auto"/>
        </w:rPr>
      </w:pPr>
      <w:r>
        <w:rPr>
          <w:rFonts w:ascii="Times New Roman" w:cs="Times New Roman" w:eastAsia="Times New Roman" w:hAnsi="Times New Roman"/>
          <w:sz w:val="22"/>
          <w:szCs w:val="22"/>
          <w:i w:val="1"/>
          <w:iCs w:val="1"/>
          <w:color w:val="auto"/>
        </w:rPr>
        <w:t>Material Information</w:t>
      </w:r>
      <w:r>
        <w:rPr>
          <w:rFonts w:ascii="Times New Roman" w:cs="Times New Roman" w:eastAsia="Times New Roman" w:hAnsi="Times New Roman"/>
          <w:sz w:val="22"/>
          <w:szCs w:val="22"/>
          <w:color w:val="auto"/>
        </w:rPr>
        <w:t>. Information is material if there is a substantial likelihood that a reasonable investor would consider 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important in deciding whether to buy, hold or sell a security. Any information that could reasonably be expected to affect the price of the security is material. Both positive and negative information can be material. Common examples of material information are:</w:t>
      </w:r>
    </w:p>
    <w:p>
      <w:pPr>
        <w:spacing w:after="0" w:line="206" w:lineRule="exact"/>
        <w:rPr>
          <w:sz w:val="20"/>
          <w:szCs w:val="20"/>
          <w:color w:val="auto"/>
        </w:rPr>
      </w:pPr>
    </w:p>
    <w:p>
      <w:pPr>
        <w:ind w:left="860" w:hanging="366"/>
        <w:spacing w:after="0"/>
        <w:tabs>
          <w:tab w:leader="none" w:pos="8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Information regarding sales, revenue or earnings, including prescription volumes;</w:t>
      </w:r>
    </w:p>
    <w:p>
      <w:pPr>
        <w:spacing w:after="0" w:line="233" w:lineRule="exact"/>
        <w:rPr>
          <w:rFonts w:ascii="Times New Roman" w:cs="Times New Roman" w:eastAsia="Times New Roman" w:hAnsi="Times New Roman"/>
          <w:sz w:val="18"/>
          <w:szCs w:val="18"/>
          <w:color w:val="auto"/>
        </w:rPr>
      </w:pPr>
    </w:p>
    <w:p>
      <w:pPr>
        <w:ind w:left="860" w:right="420" w:hanging="360"/>
        <w:spacing w:after="0" w:line="271" w:lineRule="auto"/>
        <w:tabs>
          <w:tab w:leader="none" w:pos="85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Projections and financial forecasts of any kind, including future earnings or losses or other financial guidance or changes in estimates;</w:t>
      </w:r>
    </w:p>
    <w:p>
      <w:pPr>
        <w:spacing w:after="0" w:line="157" w:lineRule="exact"/>
        <w:rPr>
          <w:rFonts w:ascii="Times New Roman" w:cs="Times New Roman" w:eastAsia="Times New Roman" w:hAnsi="Times New Roman"/>
          <w:sz w:val="18"/>
          <w:szCs w:val="18"/>
          <w:color w:val="auto"/>
        </w:rPr>
      </w:pPr>
    </w:p>
    <w:p>
      <w:pPr>
        <w:ind w:left="860" w:hanging="360"/>
        <w:spacing w:after="0"/>
        <w:tabs>
          <w:tab w:leader="none" w:pos="8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Significant business trends and metrics,</w:t>
      </w:r>
    </w:p>
    <w:p>
      <w:pPr>
        <w:spacing w:after="0" w:line="219"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Financial results that are inconsistent with the consensus expectations of the investment community;</w:t>
      </w:r>
    </w:p>
    <w:p>
      <w:pPr>
        <w:spacing w:after="0" w:line="219" w:lineRule="exact"/>
        <w:rPr>
          <w:rFonts w:ascii="Times New Roman" w:cs="Times New Roman" w:eastAsia="Times New Roman" w:hAnsi="Times New Roman"/>
          <w:sz w:val="18"/>
          <w:szCs w:val="18"/>
          <w:color w:val="auto"/>
        </w:rPr>
      </w:pPr>
    </w:p>
    <w:p>
      <w:pPr>
        <w:ind w:left="860" w:right="40" w:hanging="366"/>
        <w:spacing w:after="0" w:line="263" w:lineRule="auto"/>
        <w:tabs>
          <w:tab w:leader="none" w:pos="8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Information concerning upcoming U.S. Food and Drug Administration actions, the European Medicines Agency and other comparable foreign regulatory authorities regarding regulatory submissions or other significant regulatory developments, including a significant product recall;</w:t>
      </w:r>
    </w:p>
    <w:p>
      <w:pPr>
        <w:spacing w:after="0" w:line="16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Clinical trial data or developments regarding products;</w:t>
      </w:r>
    </w:p>
    <w:p>
      <w:pPr>
        <w:spacing w:after="0" w:line="219" w:lineRule="exact"/>
        <w:rPr>
          <w:rFonts w:ascii="Times New Roman" w:cs="Times New Roman" w:eastAsia="Times New Roman" w:hAnsi="Times New Roman"/>
          <w:sz w:val="18"/>
          <w:szCs w:val="18"/>
          <w:color w:val="auto"/>
        </w:rPr>
      </w:pPr>
    </w:p>
    <w:p>
      <w:pPr>
        <w:ind w:left="860" w:right="540" w:hanging="366"/>
        <w:spacing w:after="0" w:line="271" w:lineRule="auto"/>
        <w:tabs>
          <w:tab w:leader="none" w:pos="8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pending or proposed merger, acquisition, investment, tender offer, joint venture, licensing arrangement or an acquisition or disposition or divestitures of significant assets;</w:t>
      </w:r>
    </w:p>
    <w:p>
      <w:pPr>
        <w:spacing w:after="0" w:line="157"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change in management;</w:t>
      </w:r>
    </w:p>
    <w:p>
      <w:pPr>
        <w:spacing w:after="0" w:line="233" w:lineRule="exact"/>
        <w:rPr>
          <w:rFonts w:ascii="Times New Roman" w:cs="Times New Roman" w:eastAsia="Times New Roman" w:hAnsi="Times New Roman"/>
          <w:sz w:val="18"/>
          <w:szCs w:val="18"/>
          <w:color w:val="auto"/>
        </w:rPr>
      </w:pPr>
    </w:p>
    <w:p>
      <w:pPr>
        <w:ind w:left="860" w:hanging="366"/>
        <w:spacing w:after="0" w:line="295" w:lineRule="auto"/>
        <w:tabs>
          <w:tab w:leader="none" w:pos="86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21"/>
          <w:szCs w:val="21"/>
          <w:color w:val="auto"/>
        </w:rPr>
        <w:t>Major events regarding the Company’s securities, including financings, restructurings, the declaration of a stock split or the offering of additional securities or the establishment of a program to repurchase securities of the Company;</w:t>
      </w:r>
    </w:p>
    <w:p>
      <w:pPr>
        <w:spacing w:after="0" w:line="135" w:lineRule="exact"/>
        <w:rPr>
          <w:rFonts w:ascii="Times New Roman" w:cs="Times New Roman" w:eastAsia="Times New Roman" w:hAnsi="Times New Roman"/>
          <w:sz w:val="17"/>
          <w:szCs w:val="17"/>
          <w:color w:val="auto"/>
        </w:rPr>
      </w:pPr>
    </w:p>
    <w:p>
      <w:pPr>
        <w:ind w:left="860" w:hanging="366"/>
        <w:spacing w:after="0"/>
        <w:tabs>
          <w:tab w:leader="none" w:pos="8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Severe financial liquidity problems;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Effective 03.11.2025</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- 7 -</w:t>
            </w:r>
          </w:p>
        </w:tc>
      </w:tr>
    </w:tbl>
    <w:p>
      <w:pPr>
        <w:sectPr>
          <w:pgSz w:w="11900" w:h="16838" w:orient="portrait"/>
          <w:cols w:equalWidth="0" w:num="1">
            <w:col w:w="10980"/>
          </w:cols>
          <w:pgMar w:left="320" w:top="1440" w:right="599" w:bottom="1440" w:gutter="0" w:footer="0" w:header="0"/>
        </w:sectPr>
      </w:pPr>
    </w:p>
    <w:bookmarkStart w:id="206" w:name="page207"/>
    <w:bookmarkEnd w:id="206"/>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60" w:right="660" w:hanging="366"/>
        <w:spacing w:after="0" w:line="271" w:lineRule="auto"/>
        <w:tabs>
          <w:tab w:leader="none" w:pos="8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Actual or threatened major litigation or government investigations or the resolution or major developments of such litigation or government investigations; or</w:t>
      </w:r>
    </w:p>
    <w:p>
      <w:pPr>
        <w:spacing w:after="0" w:line="171" w:lineRule="exact"/>
        <w:rPr>
          <w:rFonts w:ascii="Times New Roman" w:cs="Times New Roman" w:eastAsia="Times New Roman" w:hAnsi="Times New Roman"/>
          <w:sz w:val="18"/>
          <w:szCs w:val="18"/>
          <w:color w:val="auto"/>
        </w:rPr>
      </w:pPr>
    </w:p>
    <w:p>
      <w:pPr>
        <w:ind w:left="860" w:hanging="366"/>
        <w:spacing w:after="0"/>
        <w:tabs>
          <w:tab w:leader="none" w:pos="8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New significant contracts, orders, suppliers, customer or financing sources, or the loss of any of them.</w:t>
      </w:r>
    </w:p>
    <w:p>
      <w:pPr>
        <w:spacing w:after="0" w:line="247" w:lineRule="exact"/>
        <w:rPr>
          <w:sz w:val="20"/>
          <w:szCs w:val="20"/>
          <w:color w:val="auto"/>
        </w:rPr>
      </w:pPr>
    </w:p>
    <w:p>
      <w:pPr>
        <w:ind w:left="200" w:right="280"/>
        <w:spacing w:after="0" w:line="252" w:lineRule="auto"/>
        <w:rPr>
          <w:sz w:val="20"/>
          <w:szCs w:val="20"/>
          <w:color w:val="auto"/>
        </w:rPr>
      </w:pPr>
      <w:r>
        <w:rPr>
          <w:rFonts w:ascii="Times New Roman" w:cs="Times New Roman" w:eastAsia="Times New Roman" w:hAnsi="Times New Roman"/>
          <w:sz w:val="22"/>
          <w:szCs w:val="22"/>
          <w:color w:val="auto"/>
        </w:rPr>
        <w:t>This list is illustrative only and is not intended to provide a comprehensive list of circumstances that could give rise to material information, and trading that receives scrutiny will be evaluated after the fact with the benefit of hindsight. Therefore, it is important to err on the safe side and if you have any questions, please reach out to the Company’s General Counsel (or his or her designee) before you transact.</w:t>
      </w:r>
    </w:p>
    <w:p>
      <w:pPr>
        <w:spacing w:after="0" w:line="216" w:lineRule="exact"/>
        <w:rPr>
          <w:sz w:val="20"/>
          <w:szCs w:val="20"/>
          <w:color w:val="auto"/>
        </w:rPr>
      </w:pPr>
    </w:p>
    <w:p>
      <w:pPr>
        <w:ind w:left="200" w:right="20"/>
        <w:spacing w:after="0" w:line="251" w:lineRule="auto"/>
        <w:rPr>
          <w:sz w:val="20"/>
          <w:szCs w:val="20"/>
          <w:color w:val="auto"/>
        </w:rPr>
      </w:pPr>
      <w:r>
        <w:rPr>
          <w:rFonts w:ascii="Times New Roman" w:cs="Times New Roman" w:eastAsia="Times New Roman" w:hAnsi="Times New Roman"/>
          <w:sz w:val="22"/>
          <w:szCs w:val="22"/>
          <w:i w:val="1"/>
          <w:iCs w:val="1"/>
          <w:color w:val="auto"/>
        </w:rPr>
        <w:t xml:space="preserve">Nonpublic Information. </w:t>
      </w:r>
      <w:r>
        <w:rPr>
          <w:rFonts w:ascii="Times New Roman" w:cs="Times New Roman" w:eastAsia="Times New Roman" w:hAnsi="Times New Roman"/>
          <w:sz w:val="22"/>
          <w:szCs w:val="22"/>
          <w:color w:val="auto"/>
        </w:rPr>
        <w:t>Nonpublic information is information that is not generally known or available to the public.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Information is considered to be available to the public only when it has been released broadly to the marketplace (such as by a press release or an SEC filing) and the investing public has had time to absorb the information fully. As with questions of materiality, if you are not sure whether information is considered public, please reach out to the Company’s General Counsel (or his or her designees) before you transact.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477510" cy="1797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39">
                      <a:extLst>
                        <a:ext uri="{28A0092B-C50C-407E-A947-70E740481C1C}"/>
                      </a:extLst>
                    </a:blip>
                    <a:srcRect/>
                    <a:stretch>
                      <a:fillRect/>
                    </a:stretch>
                  </pic:blipFill>
                  <pic:spPr bwMode="auto">
                    <a:xfrm>
                      <a:off x="0" y="0"/>
                      <a:ext cx="54775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0" w:right="80"/>
        <w:spacing w:after="0" w:line="252" w:lineRule="auto"/>
        <w:rPr>
          <w:sz w:val="20"/>
          <w:szCs w:val="20"/>
          <w:color w:val="auto"/>
        </w:rPr>
      </w:pPr>
      <w:r>
        <w:rPr>
          <w:rFonts w:ascii="Times New Roman" w:cs="Times New Roman" w:eastAsia="Times New Roman" w:hAnsi="Times New Roman"/>
          <w:sz w:val="22"/>
          <w:szCs w:val="22"/>
          <w:color w:val="auto"/>
        </w:rPr>
        <w:t>Maintaining the confidentiality of Company information is essential for competitive, security and other business reasons, as well as to comply with applicable securities laws. Covered Persons must treat all information they learn about the Company or the companies with which the Company does business as a result of an Insider’s service to or employment by the Company as confidential and proprietary.</w:t>
      </w:r>
    </w:p>
    <w:p>
      <w:pPr>
        <w:spacing w:after="0" w:line="206" w:lineRule="exact"/>
        <w:rPr>
          <w:sz w:val="20"/>
          <w:szCs w:val="20"/>
          <w:color w:val="auto"/>
        </w:rPr>
      </w:pPr>
    </w:p>
    <w:p>
      <w:pPr>
        <w:ind w:left="200"/>
        <w:spacing w:after="0" w:line="253" w:lineRule="auto"/>
        <w:rPr>
          <w:sz w:val="20"/>
          <w:szCs w:val="20"/>
          <w:color w:val="auto"/>
        </w:rPr>
      </w:pPr>
      <w:r>
        <w:rPr>
          <w:rFonts w:ascii="Times New Roman" w:cs="Times New Roman" w:eastAsia="Times New Roman" w:hAnsi="Times New Roman"/>
          <w:sz w:val="22"/>
          <w:szCs w:val="22"/>
          <w:color w:val="auto"/>
        </w:rPr>
        <w:t>The timing and nature of the Company’s disclosure of material information to outsiders is subject to legal rules, the breach of which could result in substantial liability to individual directors or employees, the Company and its management. Accordingly, it is important that responses to inquiries regarding the Company from the press, investment analysts or others in the financial community be made on the Company’s behalf only through authorized individuals, as expressly identified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477510" cy="1797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40">
                      <a:extLst>
                        <a:ext uri="{28A0092B-C50C-407E-A947-70E740481C1C}"/>
                      </a:extLst>
                    </a:blip>
                    <a:srcRect/>
                    <a:stretch>
                      <a:fillRect/>
                    </a:stretch>
                  </pic:blipFill>
                  <pic:spPr bwMode="auto">
                    <a:xfrm>
                      <a:off x="0" y="0"/>
                      <a:ext cx="5477510" cy="17970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200" w:right="120"/>
        <w:spacing w:after="0" w:line="257" w:lineRule="auto"/>
        <w:rPr>
          <w:sz w:val="20"/>
          <w:szCs w:val="20"/>
          <w:color w:val="auto"/>
        </w:rPr>
      </w:pPr>
      <w:r>
        <w:rPr>
          <w:rFonts w:ascii="Times New Roman" w:cs="Times New Roman" w:eastAsia="Times New Roman" w:hAnsi="Times New Roman"/>
          <w:sz w:val="22"/>
          <w:szCs w:val="22"/>
          <w:color w:val="auto"/>
        </w:rPr>
        <w:t>Pursuant to applicable securities laws, individuals may be subject to a variety of penalties, including disgorgement of any profits, substantial fines and imprisonment, for engaging in insider trading and/or tipping material nonpublic information to an individual who engages in insider trading.</w:t>
      </w:r>
    </w:p>
    <w:p>
      <w:pPr>
        <w:spacing w:after="0" w:line="186" w:lineRule="exact"/>
        <w:rPr>
          <w:sz w:val="20"/>
          <w:szCs w:val="20"/>
          <w:color w:val="auto"/>
        </w:rPr>
      </w:pPr>
    </w:p>
    <w:p>
      <w:pPr>
        <w:ind w:left="200" w:right="260"/>
        <w:spacing w:after="0" w:line="257" w:lineRule="auto"/>
        <w:rPr>
          <w:sz w:val="20"/>
          <w:szCs w:val="20"/>
          <w:color w:val="auto"/>
        </w:rPr>
      </w:pPr>
      <w:r>
        <w:rPr>
          <w:rFonts w:ascii="Times New Roman" w:cs="Times New Roman" w:eastAsia="Times New Roman" w:hAnsi="Times New Roman"/>
          <w:sz w:val="22"/>
          <w:szCs w:val="22"/>
          <w:color w:val="auto"/>
        </w:rPr>
        <w:t>The Company’s General Counsel (or his or her designee) is responsible for monitoring compliance and will work with Human Resources to address violations of this Policy. Employees in violation of this Policy will be subject to disciplinary action, which may include ineligibility for future equity awards, suspension or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Effective 03.11.2025</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- 8 -</w:t>
            </w:r>
          </w:p>
        </w:tc>
      </w:tr>
    </w:tbl>
    <w:p>
      <w:pPr>
        <w:sectPr>
          <w:pgSz w:w="11900" w:h="16838" w:orient="portrait"/>
          <w:cols w:equalWidth="0" w:num="1">
            <w:col w:w="11000"/>
          </w:cols>
          <w:pgMar w:left="320" w:top="1440" w:right="579" w:bottom="1440" w:gutter="0" w:footer="0" w:header="0"/>
        </w:sectPr>
      </w:pPr>
    </w:p>
    <w:bookmarkStart w:id="207" w:name="page208"/>
    <w:bookmarkEnd w:id="2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1306195</wp:posOffset>
            </wp:positionV>
            <wp:extent cx="5477510" cy="1797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41">
                      <a:clrChange>
                        <a:clrFrom>
                          <a:srgbClr val="FFFFFF"/>
                        </a:clrFrom>
                        <a:clrTo>
                          <a:srgbClr val="FFFFFF">
                            <a:alpha val="0"/>
                          </a:srgbClr>
                        </a:clrTo>
                      </a:clrChange>
                      <a:extLst>
                        <a:ext uri="{28A0092B-C50C-407E-A947-70E740481C1C}"/>
                      </a:extLst>
                    </a:blip>
                    <a:srcRect/>
                    <a:stretch>
                      <a:fillRect/>
                    </a:stretch>
                  </pic:blipFill>
                  <pic:spPr bwMode="auto">
                    <a:xfrm>
                      <a:off x="0" y="0"/>
                      <a:ext cx="547751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0" w:right="40"/>
        <w:spacing w:after="0" w:line="256" w:lineRule="auto"/>
        <w:rPr>
          <w:sz w:val="20"/>
          <w:szCs w:val="20"/>
          <w:color w:val="auto"/>
        </w:rPr>
      </w:pPr>
      <w:r>
        <w:rPr>
          <w:rFonts w:ascii="Times New Roman" w:cs="Times New Roman" w:eastAsia="Times New Roman" w:hAnsi="Times New Roman"/>
          <w:sz w:val="22"/>
          <w:szCs w:val="22"/>
          <w:color w:val="auto"/>
        </w:rPr>
        <w:t>Compliance with this Policy is of the utmost importance. Covered Persons are responsible for knowing and understanding this Policy, complying with this Policy, and requesting clarification when questions arise. You are prohibited from engaging in any transaction in Akebia securities while aware of material nonpublic information about Akebia whether or not you rely upon or use material nonpublic information in deciding to trade.</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If an individual or entity has any questions about this Policy or its application to any proposed</w:t>
      </w:r>
    </w:p>
    <w:p>
      <w:pPr>
        <w:spacing w:after="0" w:line="28" w:lineRule="exact"/>
        <w:rPr>
          <w:sz w:val="20"/>
          <w:szCs w:val="20"/>
          <w:color w:val="auto"/>
        </w:rPr>
      </w:pPr>
    </w:p>
    <w:p>
      <w:pPr>
        <w:ind w:left="200"/>
        <w:spacing w:after="0" w:line="252" w:lineRule="auto"/>
        <w:rPr>
          <w:sz w:val="20"/>
          <w:szCs w:val="20"/>
          <w:color w:val="auto"/>
        </w:rPr>
      </w:pPr>
      <w:r>
        <w:rPr>
          <w:rFonts w:ascii="Times New Roman" w:cs="Times New Roman" w:eastAsia="Times New Roman" w:hAnsi="Times New Roman"/>
          <w:sz w:val="22"/>
          <w:szCs w:val="22"/>
          <w:color w:val="auto"/>
        </w:rPr>
        <w:t>transaction, he or she may obtain additional guidance from the Company’s General Counsel (or his or her designee). Individuals should not try to resolve uncertainties on their own, as the rules relating to insider trading are often complex and violations carry severe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5477510" cy="1797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42">
                      <a:extLst>
                        <a:ext uri="{28A0092B-C50C-407E-A947-70E740481C1C}"/>
                      </a:extLst>
                    </a:blip>
                    <a:srcRect/>
                    <a:stretch>
                      <a:fillRect/>
                    </a:stretch>
                  </pic:blipFill>
                  <pic:spPr bwMode="auto">
                    <a:xfrm>
                      <a:off x="0" y="0"/>
                      <a:ext cx="5477510" cy="17970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200" w:right="40"/>
        <w:spacing w:after="0" w:line="284" w:lineRule="auto"/>
        <w:rPr>
          <w:sz w:val="20"/>
          <w:szCs w:val="20"/>
          <w:color w:val="auto"/>
        </w:rPr>
      </w:pPr>
      <w:r>
        <w:rPr>
          <w:rFonts w:ascii="Times New Roman" w:cs="Times New Roman" w:eastAsia="Times New Roman" w:hAnsi="Times New Roman"/>
          <w:sz w:val="22"/>
          <w:szCs w:val="22"/>
          <w:color w:val="auto"/>
        </w:rPr>
        <w:t>All directors, employees and consultants must certify their understanding of, and compliance with, this Policy. The required certification is attached to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Effective 03.11.2025</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- 9 -</w:t>
            </w:r>
          </w:p>
        </w:tc>
      </w:tr>
    </w:tbl>
    <w:p>
      <w:pPr>
        <w:sectPr>
          <w:pgSz w:w="11900" w:h="16838" w:orient="portrait"/>
          <w:cols w:equalWidth="0" w:num="1">
            <w:col w:w="10940"/>
          </w:cols>
          <w:pgMar w:left="320" w:top="1440" w:right="639" w:bottom="1440" w:gutter="0" w:footer="0" w:header="0"/>
        </w:sectPr>
      </w:pPr>
    </w:p>
    <w:bookmarkStart w:id="208" w:name="page209"/>
    <w:bookmarkEnd w:id="208"/>
    <w:p>
      <w:pPr>
        <w:spacing w:after="0" w:line="200" w:lineRule="exact"/>
        <w:rPr>
          <w:sz w:val="20"/>
          <w:szCs w:val="20"/>
          <w:color w:val="auto"/>
        </w:rPr>
      </w:pPr>
    </w:p>
    <w:p>
      <w:pPr>
        <w:spacing w:after="0" w:line="35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During a black-out period, the following designated employees are prohibited from engaging in any transactions involving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securities or securities of other companies that could be related to the purpose of such black-out period:</w:t>
      </w:r>
    </w:p>
    <w:p>
      <w:pPr>
        <w:spacing w:after="0" w:line="236" w:lineRule="exact"/>
        <w:rPr>
          <w:sz w:val="20"/>
          <w:szCs w:val="20"/>
          <w:color w:val="auto"/>
        </w:rPr>
      </w:pPr>
    </w:p>
    <w:p>
      <w:pPr>
        <w:ind w:left="1500" w:hanging="322"/>
        <w:spacing w:after="0"/>
        <w:tabs>
          <w:tab w:leader="none" w:pos="15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Legal</w:t>
      </w:r>
    </w:p>
    <w:p>
      <w:pPr>
        <w:spacing w:after="0" w:line="27" w:lineRule="exact"/>
        <w:rPr>
          <w:rFonts w:ascii="Times New Roman" w:cs="Times New Roman" w:eastAsia="Times New Roman" w:hAnsi="Times New Roman"/>
          <w:sz w:val="18"/>
          <w:szCs w:val="18"/>
          <w:color w:val="auto"/>
        </w:rPr>
      </w:pPr>
    </w:p>
    <w:p>
      <w:pPr>
        <w:ind w:left="1500" w:hanging="322"/>
        <w:spacing w:after="0"/>
        <w:tabs>
          <w:tab w:leader="none" w:pos="15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Finance</w:t>
      </w:r>
    </w:p>
    <w:p>
      <w:pPr>
        <w:spacing w:after="0" w:line="3" w:lineRule="exact"/>
        <w:rPr>
          <w:rFonts w:ascii="Times New Roman" w:cs="Times New Roman" w:eastAsia="Times New Roman" w:hAnsi="Times New Roman"/>
          <w:sz w:val="18"/>
          <w:szCs w:val="18"/>
          <w:color w:val="auto"/>
        </w:rPr>
      </w:pPr>
    </w:p>
    <w:p>
      <w:pPr>
        <w:ind w:left="1500" w:hanging="322"/>
        <w:spacing w:after="0"/>
        <w:tabs>
          <w:tab w:leader="none" w:pos="15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Sales &amp; Market Access</w:t>
      </w:r>
    </w:p>
    <w:p>
      <w:pPr>
        <w:spacing w:after="0" w:line="3" w:lineRule="exact"/>
        <w:rPr>
          <w:rFonts w:ascii="Times New Roman" w:cs="Times New Roman" w:eastAsia="Times New Roman" w:hAnsi="Times New Roman"/>
          <w:sz w:val="18"/>
          <w:szCs w:val="18"/>
          <w:color w:val="auto"/>
        </w:rPr>
      </w:pPr>
    </w:p>
    <w:p>
      <w:pPr>
        <w:ind w:left="1500" w:hanging="322"/>
        <w:spacing w:after="0"/>
        <w:tabs>
          <w:tab w:leader="none" w:pos="15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Executive Team</w:t>
      </w:r>
    </w:p>
    <w:p>
      <w:pPr>
        <w:spacing w:after="0" w:line="3" w:lineRule="exact"/>
        <w:rPr>
          <w:rFonts w:ascii="Times New Roman" w:cs="Times New Roman" w:eastAsia="Times New Roman" w:hAnsi="Times New Roman"/>
          <w:sz w:val="18"/>
          <w:szCs w:val="18"/>
          <w:color w:val="auto"/>
        </w:rPr>
      </w:pPr>
    </w:p>
    <w:p>
      <w:pPr>
        <w:ind w:left="1500" w:hanging="322"/>
        <w:spacing w:after="0"/>
        <w:tabs>
          <w:tab w:leader="none" w:pos="15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Leadership Team</w:t>
      </w:r>
    </w:p>
    <w:p>
      <w:pPr>
        <w:spacing w:after="0" w:line="5" w:lineRule="exact"/>
        <w:rPr>
          <w:rFonts w:ascii="Times New Roman" w:cs="Times New Roman" w:eastAsia="Times New Roman" w:hAnsi="Times New Roman"/>
          <w:sz w:val="18"/>
          <w:szCs w:val="18"/>
          <w:color w:val="auto"/>
        </w:rPr>
      </w:pPr>
    </w:p>
    <w:p>
      <w:pPr>
        <w:ind w:left="1500" w:hanging="322"/>
        <w:spacing w:after="0"/>
        <w:tabs>
          <w:tab w:leader="none" w:pos="15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Management Team</w:t>
      </w:r>
    </w:p>
    <w:p>
      <w:pPr>
        <w:spacing w:after="0" w:line="15" w:lineRule="exact"/>
        <w:rPr>
          <w:rFonts w:ascii="Times New Roman" w:cs="Times New Roman" w:eastAsia="Times New Roman" w:hAnsi="Times New Roman"/>
          <w:sz w:val="18"/>
          <w:szCs w:val="18"/>
          <w:color w:val="auto"/>
        </w:rPr>
      </w:pPr>
    </w:p>
    <w:p>
      <w:pPr>
        <w:ind w:left="1500" w:hanging="322"/>
        <w:spacing w:after="0"/>
        <w:tabs>
          <w:tab w:leader="none" w:pos="15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Company Administrative Assistants</w:t>
      </w:r>
    </w:p>
    <w:p>
      <w:pPr>
        <w:spacing w:after="0" w:line="3" w:lineRule="exact"/>
        <w:rPr>
          <w:rFonts w:ascii="Times New Roman" w:cs="Times New Roman" w:eastAsia="Times New Roman" w:hAnsi="Times New Roman"/>
          <w:sz w:val="18"/>
          <w:szCs w:val="18"/>
          <w:color w:val="auto"/>
        </w:rPr>
      </w:pPr>
    </w:p>
    <w:p>
      <w:pPr>
        <w:ind w:left="1500" w:hanging="322"/>
        <w:spacing w:after="0"/>
        <w:tabs>
          <w:tab w:leader="none" w:pos="15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Investor Relations</w:t>
      </w:r>
    </w:p>
    <w:p>
      <w:pPr>
        <w:spacing w:after="0" w:line="3" w:lineRule="exact"/>
        <w:rPr>
          <w:rFonts w:ascii="Times New Roman" w:cs="Times New Roman" w:eastAsia="Times New Roman" w:hAnsi="Times New Roman"/>
          <w:sz w:val="18"/>
          <w:szCs w:val="18"/>
          <w:color w:val="auto"/>
        </w:rPr>
      </w:pPr>
    </w:p>
    <w:p>
      <w:pPr>
        <w:ind w:left="1500" w:hanging="322"/>
        <w:spacing w:after="0"/>
        <w:tabs>
          <w:tab w:leader="none" w:pos="15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Business Development</w:t>
      </w:r>
    </w:p>
    <w:p>
      <w:pPr>
        <w:spacing w:after="0" w:line="3" w:lineRule="exact"/>
        <w:rPr>
          <w:rFonts w:ascii="Times New Roman" w:cs="Times New Roman" w:eastAsia="Times New Roman" w:hAnsi="Times New Roman"/>
          <w:sz w:val="18"/>
          <w:szCs w:val="18"/>
          <w:color w:val="auto"/>
        </w:rPr>
      </w:pPr>
    </w:p>
    <w:p>
      <w:pPr>
        <w:ind w:left="1500" w:hanging="322"/>
        <w:spacing w:after="0"/>
        <w:tabs>
          <w:tab w:leader="none" w:pos="15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4"/>
          <w:szCs w:val="14"/>
          <w:color w:val="auto"/>
        </w:rPr>
        <w:t>Effective 03.11.2025</w:t>
      </w:r>
      <w:r>
        <w:rPr>
          <w:sz w:val="20"/>
          <w:szCs w:val="20"/>
          <w:color w:val="auto"/>
        </w:rPr>
        <w:tab/>
      </w:r>
      <w:r>
        <w:rPr>
          <w:rFonts w:ascii="Times New Roman" w:cs="Times New Roman" w:eastAsia="Times New Roman" w:hAnsi="Times New Roman"/>
          <w:sz w:val="20"/>
          <w:szCs w:val="20"/>
          <w:color w:val="auto"/>
        </w:rPr>
        <w:t>- 10 -</w:t>
      </w:r>
    </w:p>
    <w:p>
      <w:pPr>
        <w:sectPr>
          <w:pgSz w:w="11900" w:h="16838" w:orient="portrait"/>
          <w:cols w:equalWidth="0" w:num="1">
            <w:col w:w="10600"/>
          </w:cols>
          <w:pgMar w:left="320" w:top="1440" w:right="979" w:bottom="1440" w:gutter="0" w:footer="0" w:header="0"/>
        </w:sectPr>
      </w:pPr>
    </w:p>
    <w:bookmarkStart w:id="209" w:name="page210"/>
    <w:bookmarkEnd w:id="209"/>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2"/>
          <w:szCs w:val="22"/>
          <w:b w:val="1"/>
          <w:bCs w:val="1"/>
          <w:u w:val="single" w:color="auto"/>
          <w:color w:val="auto"/>
        </w:rPr>
        <w:t>Certification</w:t>
      </w:r>
    </w:p>
    <w:p>
      <w:pPr>
        <w:spacing w:after="0" w:line="224" w:lineRule="exact"/>
        <w:rPr>
          <w:sz w:val="20"/>
          <w:szCs w:val="20"/>
          <w:color w:val="auto"/>
        </w:rPr>
      </w:pPr>
    </w:p>
    <w:p>
      <w:pPr>
        <w:ind w:left="200"/>
        <w:spacing w:after="0" w:line="275" w:lineRule="auto"/>
        <w:rPr>
          <w:sz w:val="20"/>
          <w:szCs w:val="20"/>
          <w:color w:val="auto"/>
        </w:rPr>
      </w:pPr>
      <w:r>
        <w:rPr>
          <w:rFonts w:ascii="Times New Roman" w:cs="Times New Roman" w:eastAsia="Times New Roman" w:hAnsi="Times New Roman"/>
          <w:sz w:val="21"/>
          <w:szCs w:val="21"/>
          <w:color w:val="auto"/>
        </w:rPr>
        <w:t>I certify that I have received, reviewed and understand Akebia Therapeutics, Inc.’s Insider Trading Compliance Policy and undertake, as a condition to my present and continued employment (or, if I am not an employee, affiliation with) Akebia Therapeutics, Inc. and/or any of its subsidiaries, to comply fully with the policies and procedures contained therein.</w:t>
      </w:r>
    </w:p>
    <w:p>
      <w:pPr>
        <w:spacing w:after="0" w:line="169" w:lineRule="exact"/>
        <w:rPr>
          <w:sz w:val="20"/>
          <w:szCs w:val="20"/>
          <w:color w:val="auto"/>
        </w:rPr>
      </w:pPr>
    </w:p>
    <w:p>
      <w:pPr>
        <w:ind w:left="200" w:right="60"/>
        <w:spacing w:after="0" w:line="271" w:lineRule="auto"/>
        <w:rPr>
          <w:sz w:val="20"/>
          <w:szCs w:val="20"/>
          <w:color w:val="auto"/>
        </w:rPr>
      </w:pPr>
      <w:r>
        <w:rPr>
          <w:rFonts w:ascii="Times New Roman" w:cs="Times New Roman" w:eastAsia="Times New Roman" w:hAnsi="Times New Roman"/>
          <w:sz w:val="22"/>
          <w:szCs w:val="22"/>
          <w:color w:val="auto"/>
        </w:rPr>
        <w:t>I understand that the Legal and Compliance Department is available to answer any questions I have regarding the Insider Trading Compliance Policy.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27940</wp:posOffset>
            </wp:positionV>
            <wp:extent cx="271716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43">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3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27940</wp:posOffset>
            </wp:positionV>
            <wp:extent cx="271716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44">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36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27940</wp:posOffset>
            </wp:positionV>
            <wp:extent cx="271716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45">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4"/>
          <w:szCs w:val="14"/>
          <w:color w:val="auto"/>
        </w:rPr>
        <w:t>Effective 03.11.2025</w:t>
      </w:r>
      <w:r>
        <w:rPr>
          <w:sz w:val="20"/>
          <w:szCs w:val="20"/>
          <w:color w:val="auto"/>
        </w:rPr>
        <w:tab/>
      </w:r>
      <w:r>
        <w:rPr>
          <w:rFonts w:ascii="Times New Roman" w:cs="Times New Roman" w:eastAsia="Times New Roman" w:hAnsi="Times New Roman"/>
          <w:sz w:val="19"/>
          <w:szCs w:val="19"/>
          <w:color w:val="auto"/>
        </w:rPr>
        <w:t>- 11 -</w:t>
      </w:r>
    </w:p>
    <w:p>
      <w:pPr>
        <w:sectPr>
          <w:pgSz w:w="11900" w:h="16838" w:orient="portrait"/>
          <w:cols w:equalWidth="0" w:num="1">
            <w:col w:w="10800"/>
          </w:cols>
          <w:pgMar w:left="320" w:top="1440" w:right="779" w:bottom="1440" w:gutter="0" w:footer="0" w:header="0"/>
        </w:sectPr>
      </w:pPr>
    </w:p>
    <w:bookmarkStart w:id="210" w:name="page211"/>
    <w:bookmarkEnd w:id="210"/>
    <w:p>
      <w:pPr>
        <w:ind w:left="380"/>
        <w:spacing w:after="0"/>
        <w:rPr>
          <w:sz w:val="20"/>
          <w:szCs w:val="20"/>
          <w:color w:val="auto"/>
        </w:rPr>
      </w:pPr>
      <w:r>
        <w:rPr>
          <w:rFonts w:ascii="Calibri" w:cs="Calibri" w:eastAsia="Calibri" w:hAnsi="Calibri"/>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3300" w:firstLine="3318"/>
        <w:spacing w:after="0" w:line="346"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spacing w:after="0" w:line="1" w:lineRule="exact"/>
        <w:rPr>
          <w:sz w:val="20"/>
          <w:szCs w:val="20"/>
          <w:color w:val="auto"/>
        </w:rPr>
      </w:pPr>
    </w:p>
    <w:p>
      <w:pPr>
        <w:ind w:left="660" w:right="60" w:hanging="328"/>
        <w:spacing w:after="0" w:line="250" w:lineRule="auto"/>
        <w:tabs>
          <w:tab w:leader="none" w:pos="65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333-196748) pertaining to the Amended and Restated 2008 Equity Incentive Plan, the 2014 Incentive Plan, and the 2014 Employee Stock Purchase Plan of Akebia Therapeutics, Inc.,</w:t>
      </w:r>
    </w:p>
    <w:p>
      <w:pPr>
        <w:spacing w:after="0" w:line="41" w:lineRule="exact"/>
        <w:rPr>
          <w:rFonts w:ascii="Times New Roman" w:cs="Times New Roman" w:eastAsia="Times New Roman" w:hAnsi="Times New Roman"/>
          <w:sz w:val="18"/>
          <w:szCs w:val="18"/>
          <w:color w:val="auto"/>
        </w:rPr>
      </w:pPr>
    </w:p>
    <w:p>
      <w:pPr>
        <w:ind w:left="660" w:right="120" w:hanging="328"/>
        <w:spacing w:after="0" w:line="237" w:lineRule="auto"/>
        <w:tabs>
          <w:tab w:leader="none" w:pos="65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333-209469) pertaining to the 2014 Incentive Plan and the 2014 Employee Stock Purchase Plan of Akebia Therapeutics, Inc.,</w:t>
      </w:r>
    </w:p>
    <w:p>
      <w:pPr>
        <w:spacing w:after="0" w:line="63" w:lineRule="exact"/>
        <w:rPr>
          <w:rFonts w:ascii="Times New Roman" w:cs="Times New Roman" w:eastAsia="Times New Roman" w:hAnsi="Times New Roman"/>
          <w:sz w:val="18"/>
          <w:szCs w:val="18"/>
          <w:color w:val="auto"/>
        </w:rPr>
      </w:pPr>
    </w:p>
    <w:p>
      <w:pPr>
        <w:ind w:left="660" w:right="400" w:hanging="328"/>
        <w:spacing w:after="0" w:line="237" w:lineRule="auto"/>
        <w:tabs>
          <w:tab w:leader="none" w:pos="65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333-216475 and 333-222728) pertaining to the 2014 Incentive Plan and the 2016 Inducement Award Program of Akebia Therapeutics, Inc.,</w:t>
      </w:r>
    </w:p>
    <w:p>
      <w:pPr>
        <w:spacing w:after="0" w:line="50" w:lineRule="exact"/>
        <w:rPr>
          <w:rFonts w:ascii="Times New Roman" w:cs="Times New Roman" w:eastAsia="Times New Roman" w:hAnsi="Times New Roman"/>
          <w:sz w:val="18"/>
          <w:szCs w:val="18"/>
          <w:color w:val="auto"/>
        </w:rPr>
      </w:pPr>
    </w:p>
    <w:p>
      <w:pPr>
        <w:jc w:val="both"/>
        <w:ind w:left="660" w:right="40" w:hanging="328"/>
        <w:spacing w:after="0" w:line="231" w:lineRule="auto"/>
        <w:tabs>
          <w:tab w:leader="none" w:pos="65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333-228772) pertaining to the 2014 Incentive Plan of Akebia Therapeutics, Inc. and the 1999 Share Option Plan, 2004 Long-Term Incentive Plan, 2007 Incentive Plan, Amended and Restated 2013 Incentive Plan, and 2018 Equity Incentive Plan of Keryx Biopharmaceuticals, Inc.,</w:t>
      </w:r>
    </w:p>
    <w:p>
      <w:pPr>
        <w:spacing w:after="0" w:line="50" w:lineRule="exact"/>
        <w:rPr>
          <w:rFonts w:ascii="Times New Roman" w:cs="Times New Roman" w:eastAsia="Times New Roman" w:hAnsi="Times New Roman"/>
          <w:sz w:val="18"/>
          <w:szCs w:val="18"/>
          <w:color w:val="auto"/>
        </w:rPr>
      </w:pPr>
    </w:p>
    <w:p>
      <w:pPr>
        <w:ind w:left="660" w:right="520" w:hanging="328"/>
        <w:spacing w:after="0" w:line="250" w:lineRule="auto"/>
        <w:tabs>
          <w:tab w:leader="none" w:pos="65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333-229366) pertaining to the 2014 Incentive Plan, the 2014 Employee Stock Purchase Plan, and the Inducement Grant Awards (January 2018 – December 2018) of Akebia Therapeutics, Inc.,</w:t>
      </w:r>
    </w:p>
    <w:p>
      <w:pPr>
        <w:spacing w:after="0" w:line="41" w:lineRule="exact"/>
        <w:rPr>
          <w:rFonts w:ascii="Times New Roman" w:cs="Times New Roman" w:eastAsia="Times New Roman" w:hAnsi="Times New Roman"/>
          <w:sz w:val="18"/>
          <w:szCs w:val="18"/>
          <w:color w:val="auto"/>
        </w:rPr>
      </w:pPr>
    </w:p>
    <w:p>
      <w:pPr>
        <w:ind w:left="660" w:right="460" w:hanging="328"/>
        <w:spacing w:after="0" w:line="237" w:lineRule="auto"/>
        <w:tabs>
          <w:tab w:leader="none" w:pos="65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333-233140) pertaining to the Amended and Restated 2014 Employee Stock Purchase Plan of Akebia Therapeutics, Inc.,</w:t>
      </w:r>
    </w:p>
    <w:p>
      <w:pPr>
        <w:spacing w:after="0" w:line="63" w:lineRule="exact"/>
        <w:rPr>
          <w:rFonts w:ascii="Times New Roman" w:cs="Times New Roman" w:eastAsia="Times New Roman" w:hAnsi="Times New Roman"/>
          <w:sz w:val="18"/>
          <w:szCs w:val="18"/>
          <w:color w:val="auto"/>
        </w:rPr>
      </w:pPr>
    </w:p>
    <w:p>
      <w:pPr>
        <w:ind w:left="660" w:right="440" w:hanging="328"/>
        <w:spacing w:after="0" w:line="237" w:lineRule="auto"/>
        <w:tabs>
          <w:tab w:leader="none" w:pos="65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333-236060) pertaining to the 2014 Incentive Plan and the Inducement Grant Awards (January 2019 – December 2019) of Akebia Therapeutics, Inc.,</w:t>
      </w:r>
    </w:p>
    <w:p>
      <w:pPr>
        <w:spacing w:after="0" w:line="50" w:lineRule="exact"/>
        <w:rPr>
          <w:rFonts w:ascii="Times New Roman" w:cs="Times New Roman" w:eastAsia="Times New Roman" w:hAnsi="Times New Roman"/>
          <w:sz w:val="18"/>
          <w:szCs w:val="18"/>
          <w:color w:val="auto"/>
        </w:rPr>
      </w:pPr>
    </w:p>
    <w:p>
      <w:pPr>
        <w:ind w:left="660" w:right="440" w:hanging="328"/>
        <w:spacing w:after="0" w:line="250" w:lineRule="auto"/>
        <w:tabs>
          <w:tab w:leader="none" w:pos="65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333-252336) pertaining to the 2014 Incentive Plan and the Inducement Grant Awards (January 2020 – December 2020) of Akebia Therapeutics, Inc.,</w:t>
      </w:r>
    </w:p>
    <w:p>
      <w:pPr>
        <w:spacing w:after="0" w:line="41" w:lineRule="exact"/>
        <w:rPr>
          <w:rFonts w:ascii="Times New Roman" w:cs="Times New Roman" w:eastAsia="Times New Roman" w:hAnsi="Times New Roman"/>
          <w:sz w:val="18"/>
          <w:szCs w:val="18"/>
          <w:color w:val="auto"/>
        </w:rPr>
      </w:pPr>
    </w:p>
    <w:p>
      <w:pPr>
        <w:ind w:left="660" w:hanging="328"/>
        <w:spacing w:after="0" w:line="237" w:lineRule="auto"/>
        <w:tabs>
          <w:tab w:leader="none" w:pos="65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333-262392) pertaining to the 2014 Incentive Plan, as amended, and the Inducement Grant Awards (January 2021 – December 2021) of Akebia Therapeutics, Inc.,</w:t>
      </w:r>
    </w:p>
    <w:p>
      <w:pPr>
        <w:spacing w:after="0" w:line="63" w:lineRule="exact"/>
        <w:rPr>
          <w:rFonts w:ascii="Times New Roman" w:cs="Times New Roman" w:eastAsia="Times New Roman" w:hAnsi="Times New Roman"/>
          <w:sz w:val="18"/>
          <w:szCs w:val="18"/>
          <w:color w:val="auto"/>
        </w:rPr>
      </w:pPr>
    </w:p>
    <w:p>
      <w:pPr>
        <w:ind w:left="660" w:right="120" w:hanging="328"/>
        <w:spacing w:after="0" w:line="237" w:lineRule="auto"/>
        <w:tabs>
          <w:tab w:leader="none" w:pos="64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333-269457) pertaining to the 2014 Incentive Plan, as amended, and the Inducement Stock Option Awards (January 2022 – December 2022) of Akebia Therapeutics, Inc.,</w:t>
      </w:r>
    </w:p>
    <w:p>
      <w:pPr>
        <w:spacing w:after="0" w:line="5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333-272453) pertaining to the 2023 Stock Incentive Plan of Akebia Therapeutics, Inc.,</w:t>
      </w:r>
    </w:p>
    <w:p>
      <w:pPr>
        <w:spacing w:after="0" w:line="90" w:lineRule="exact"/>
        <w:rPr>
          <w:rFonts w:ascii="Times New Roman" w:cs="Times New Roman" w:eastAsia="Times New Roman" w:hAnsi="Times New Roman"/>
          <w:sz w:val="18"/>
          <w:szCs w:val="18"/>
          <w:color w:val="auto"/>
        </w:rPr>
      </w:pPr>
    </w:p>
    <w:p>
      <w:pPr>
        <w:ind w:left="660" w:right="500" w:hanging="328"/>
        <w:spacing w:after="0" w:line="237" w:lineRule="auto"/>
        <w:tabs>
          <w:tab w:leader="none" w:pos="64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333-276770) pertaining to the Inducement Stock Option Awards (January 2023 – December 2023) of Akebia Therapeutics, Inc.,</w:t>
      </w:r>
    </w:p>
    <w:p>
      <w:pPr>
        <w:spacing w:after="0" w:line="5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333-281903) of Akebia Therapeutics, Inc., and</w:t>
      </w:r>
    </w:p>
    <w:p>
      <w:pPr>
        <w:spacing w:after="0" w:line="90" w:lineRule="exact"/>
        <w:rPr>
          <w:rFonts w:ascii="Times New Roman" w:cs="Times New Roman" w:eastAsia="Times New Roman" w:hAnsi="Times New Roman"/>
          <w:sz w:val="18"/>
          <w:szCs w:val="18"/>
          <w:color w:val="auto"/>
        </w:rPr>
      </w:pPr>
    </w:p>
    <w:p>
      <w:pPr>
        <w:ind w:left="660" w:right="500" w:hanging="328"/>
        <w:spacing w:after="0" w:line="237" w:lineRule="auto"/>
        <w:tabs>
          <w:tab w:leader="none" w:pos="64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333-284590) pertaining to the Inducement Stock Option Awards (January 2024 – December 2024) of Akebia Therapeutics, Inc.;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reports dated March 13, 2025, with respect to the consolidated financial statements of Akebia Therapeutics, Inc. and the effectiveness of internal</w:t>
      </w:r>
    </w:p>
    <w:p>
      <w:pPr>
        <w:spacing w:after="0" w:line="2"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8"/>
          <w:szCs w:val="18"/>
          <w:color w:val="auto"/>
        </w:rPr>
        <w:t>control over financial reporting of Akebia Therapeutics, Inc. included in this Annual Report (Form 10-K) of Akebia Therapeutics, Inc. for the year ended December 31, 2024.</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13, 2025</w:t>
      </w:r>
    </w:p>
    <w:p>
      <w:pPr>
        <w:sectPr>
          <w:pgSz w:w="11900" w:h="16838" w:orient="portrait"/>
          <w:cols w:equalWidth="0" w:num="1">
            <w:col w:w="11220"/>
          </w:cols>
          <w:pgMar w:left="320" w:top="106" w:right="359"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P. Butler, certify that:</w:t>
      </w:r>
    </w:p>
    <w:p>
      <w:pPr>
        <w:spacing w:after="0" w:line="171" w:lineRule="exact"/>
        <w:rPr>
          <w:sz w:val="20"/>
          <w:szCs w:val="20"/>
          <w:color w:val="auto"/>
        </w:rPr>
      </w:pPr>
    </w:p>
    <w:p>
      <w:pPr>
        <w:ind w:left="660" w:hanging="652"/>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Akebia Therapeutics, Inc.;</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March 13, 2025</w:t>
            </w:r>
          </w:p>
        </w:tc>
        <w:tc>
          <w:tcPr>
            <w:tcW w:w="16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By:</w:t>
            </w:r>
          </w:p>
        </w:tc>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P. Butler</w:t>
            </w:r>
          </w:p>
        </w:tc>
      </w:tr>
      <w:tr>
        <w:trPr>
          <w:trHeight w:val="218"/>
        </w:trPr>
        <w:tc>
          <w:tcPr>
            <w:tcW w:w="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P. Butler</w:t>
            </w:r>
          </w:p>
        </w:tc>
      </w:tr>
      <w:tr>
        <w:trPr>
          <w:trHeight w:val="230"/>
        </w:trPr>
        <w:tc>
          <w:tcPr>
            <w:tcW w:w="8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8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765" w:right="339" w:bottom="1440" w:gutter="0" w:footer="0" w:header="0"/>
        </w:sectPr>
      </w:pPr>
    </w:p>
    <w:bookmarkStart w:id="212" w:name="page213"/>
    <w:bookmarkEnd w:id="21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Erik J. Ostrowski, certify that:</w:t>
      </w:r>
    </w:p>
    <w:p>
      <w:pPr>
        <w:spacing w:after="0" w:line="171"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Akebia Therapeutics, Inc.;</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5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13, 2025</w:t>
            </w:r>
          </w:p>
        </w:tc>
        <w:tc>
          <w:tcPr>
            <w:tcW w:w="15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By:</w:t>
            </w:r>
          </w:p>
        </w:tc>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Erik J. Ostrowski</w:t>
            </w:r>
          </w:p>
        </w:tc>
      </w:tr>
      <w:tr>
        <w:trPr>
          <w:trHeight w:val="218"/>
        </w:trPr>
        <w:tc>
          <w:tcPr>
            <w:tcW w:w="9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Erik J. Ostrowski</w:t>
            </w:r>
          </w:p>
        </w:tc>
      </w:tr>
      <w:tr>
        <w:trPr>
          <w:trHeight w:val="180"/>
        </w:trPr>
        <w:tc>
          <w:tcPr>
            <w:tcW w:w="9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2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Senior Vice President, Chief Financial Officer, Chief Business Officer</w:t>
            </w:r>
          </w:p>
        </w:tc>
      </w:tr>
      <w:tr>
        <w:trPr>
          <w:trHeight w:val="234"/>
        </w:trPr>
        <w:tc>
          <w:tcPr>
            <w:tcW w:w="9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Treasurer</w:t>
            </w:r>
          </w:p>
        </w:tc>
      </w:tr>
      <w:tr>
        <w:trPr>
          <w:trHeight w:val="238"/>
        </w:trPr>
        <w:tc>
          <w:tcPr>
            <w:tcW w:w="9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765" w:right="33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 (18 U.S.C. Section 1350)</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accompanying Annual Report of Akebia Therapeutics, Inc.,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on Form 10-K for the fiscal year ended December 31, 2024, or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John P. Butler, as Chief Executive Officer and President of the Company, and I, Erik J. Ostrowski, as Senior Vice President, Chief Financial Officer, Chief Business Officer and Treasurer of the Company, certify, pursuant to 18 U.S.C. Section 1350, as adopted pursuant to Section 906 of the Sarbanes-Oxley Act of 2002, that:</w:t>
      </w:r>
    </w:p>
    <w:p>
      <w:pPr>
        <w:spacing w:after="0" w:line="72" w:lineRule="exact"/>
        <w:rPr>
          <w:sz w:val="20"/>
          <w:szCs w:val="20"/>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March 13, 2025</w:t>
            </w:r>
          </w:p>
        </w:tc>
        <w:tc>
          <w:tcPr>
            <w:tcW w:w="15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By:</w:t>
            </w:r>
          </w:p>
        </w:tc>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P. Butler</w:t>
            </w:r>
          </w:p>
        </w:tc>
      </w:tr>
      <w:tr>
        <w:trPr>
          <w:trHeight w:val="218"/>
        </w:trPr>
        <w:tc>
          <w:tcPr>
            <w:tcW w:w="9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P. Butler</w:t>
            </w:r>
          </w:p>
        </w:tc>
      </w:tr>
      <w:tr>
        <w:trPr>
          <w:trHeight w:val="230"/>
        </w:trPr>
        <w:tc>
          <w:tcPr>
            <w:tcW w:w="9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9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6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5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March 13, 2025</w:t>
            </w:r>
          </w:p>
        </w:tc>
        <w:tc>
          <w:tcPr>
            <w:tcW w:w="15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By:</w:t>
            </w:r>
          </w:p>
        </w:tc>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Erik J. Ostrowski</w:t>
            </w:r>
          </w:p>
        </w:tc>
      </w:tr>
      <w:tr>
        <w:trPr>
          <w:trHeight w:val="218"/>
        </w:trPr>
        <w:tc>
          <w:tcPr>
            <w:tcW w:w="9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Erik J. Ostrowski</w:t>
            </w:r>
          </w:p>
        </w:tc>
      </w:tr>
      <w:tr>
        <w:trPr>
          <w:trHeight w:val="180"/>
        </w:trPr>
        <w:tc>
          <w:tcPr>
            <w:tcW w:w="9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2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Senior Vice President, Chief Financial Officer, Chief Business Officer</w:t>
            </w:r>
          </w:p>
        </w:tc>
      </w:tr>
      <w:tr>
        <w:trPr>
          <w:trHeight w:val="234"/>
        </w:trPr>
        <w:tc>
          <w:tcPr>
            <w:tcW w:w="9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Treasurer</w:t>
            </w:r>
          </w:p>
        </w:tc>
      </w:tr>
      <w:tr>
        <w:trPr>
          <w:trHeight w:val="238"/>
        </w:trPr>
        <w:tc>
          <w:tcPr>
            <w:tcW w:w="9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1."/>
      <w:numFmt w:val="decimal"/>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1)"/>
      <w:numFmt w:val="lowerRoman"/>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
      <w:numFmt w:val="bullet"/>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
      <w:numFmt w:val="bullet"/>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
      <w:numFmt w:val="bullet"/>
      <w:start w:val="1"/>
    </w:lvl>
  </w:abstractNum>
  <w:abstractNum w:abstractNumId="26">
    <w:nsid w:val="1DBABF00"/>
    <w:multiLevelType w:val="hybridMultilevel"/>
    <w:lvl w:ilvl="0">
      <w:lvlJc w:val="left"/>
      <w:lvlText w:val="•"/>
      <w:numFmt w:val="bullet"/>
      <w:start w:val="1"/>
    </w:lvl>
  </w:abstractNum>
  <w:abstractNum w:abstractNumId="27">
    <w:nsid w:val="4AD084E9"/>
    <w:multiLevelType w:val="hybridMultilevel"/>
    <w:lvl w:ilvl="0">
      <w:lvlJc w:val="left"/>
      <w:lvlText w:val="•"/>
      <w:numFmt w:val="bullet"/>
      <w:start w:val="1"/>
    </w:lvl>
  </w:abstractNum>
  <w:abstractNum w:abstractNumId="28">
    <w:nsid w:val="1F48EAA1"/>
    <w:multiLevelType w:val="hybridMultilevel"/>
    <w:lvl w:ilvl="0">
      <w:lvlJc w:val="left"/>
      <w:lvlText w:val="•"/>
      <w:numFmt w:val="bullet"/>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
      <w:numFmt w:val="bullet"/>
      <w:start w:val="1"/>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 "/>
      <w:numFmt w:val="bullet"/>
      <w:start w:val="1"/>
    </w:lvl>
  </w:abstractNum>
  <w:abstractNum w:abstractNumId="38">
    <w:nsid w:val="42C296BD"/>
    <w:multiLevelType w:val="hybridMultilevel"/>
    <w:lvl w:ilvl="0">
      <w:lvlJc w:val="left"/>
      <w:lvlText w:val=" "/>
      <w:numFmt w:val="bullet"/>
      <w:start w:val="1"/>
    </w:lvl>
  </w:abstractNum>
  <w:abstractNum w:abstractNumId="39">
    <w:nsid w:val="168E121F"/>
    <w:multiLevelType w:val="hybridMultilevel"/>
    <w:lvl w:ilvl="0">
      <w:lvlJc w:val="left"/>
      <w:lvlText w:val="•"/>
      <w:numFmt w:val="bullet"/>
      <w:start w:val="1"/>
    </w:lvl>
  </w:abstractNum>
  <w:abstractNum w:abstractNumId="40">
    <w:nsid w:val="1EBA5D23"/>
    <w:multiLevelType w:val="hybridMultilevel"/>
    <w:lvl w:ilvl="0">
      <w:lvlJc w:val="left"/>
      <w:lvlText w:val="•"/>
      <w:numFmt w:val="bullet"/>
      <w:start w:val="1"/>
    </w:lvl>
  </w:abstractNum>
  <w:abstractNum w:abstractNumId="41">
    <w:nsid w:val="661E3F1E"/>
    <w:multiLevelType w:val="hybridMultilevel"/>
    <w:lvl w:ilvl="0">
      <w:lvlJc w:val="left"/>
      <w:lvlText w:val="•"/>
      <w:numFmt w:val="bullet"/>
      <w:start w:val="1"/>
    </w:lvl>
  </w:abstractNum>
  <w:abstractNum w:abstractNumId="42">
    <w:nsid w:val="5DC79EA8"/>
    <w:multiLevelType w:val="hybridMultilevel"/>
    <w:lvl w:ilvl="0">
      <w:lvlJc w:val="left"/>
      <w:lvlText w:val="•"/>
      <w:numFmt w:val="bullet"/>
      <w:start w:val="1"/>
    </w:lvl>
  </w:abstractNum>
  <w:abstractNum w:abstractNumId="43">
    <w:nsid w:val="540A471C"/>
    <w:multiLevelType w:val="hybridMultilevel"/>
    <w:lvl w:ilvl="0">
      <w:lvlJc w:val="left"/>
      <w:lvlText w:val="•"/>
      <w:numFmt w:val="bullet"/>
      <w:start w:val="1"/>
    </w:lvl>
  </w:abstractNum>
  <w:abstractNum w:abstractNumId="44">
    <w:nsid w:val="7BD3EE7B"/>
    <w:multiLevelType w:val="hybridMultilevel"/>
    <w:lvl w:ilvl="0">
      <w:lvlJc w:val="left"/>
      <w:lvlText w:val="•"/>
      <w:numFmt w:val="bullet"/>
      <w:start w:val="1"/>
    </w:lvl>
  </w:abstractNum>
  <w:abstractNum w:abstractNumId="45">
    <w:nsid w:val="51D9C564"/>
    <w:multiLevelType w:val="hybridMultilevel"/>
    <w:lvl w:ilvl="0">
      <w:lvlJc w:val="left"/>
      <w:lvlText w:val="•"/>
      <w:numFmt w:val="bullet"/>
      <w:start w:val="1"/>
    </w:lvl>
  </w:abstractNum>
  <w:abstractNum w:abstractNumId="46">
    <w:nsid w:val="613EFDC5"/>
    <w:multiLevelType w:val="hybridMultilevel"/>
    <w:lvl w:ilvl="0">
      <w:lvlJc w:val="left"/>
      <w:lvlText w:val="•"/>
      <w:numFmt w:val="bullet"/>
      <w:start w:val="1"/>
    </w:lvl>
  </w:abstractNum>
  <w:abstractNum w:abstractNumId="47">
    <w:nsid w:val="BF72B14"/>
    <w:multiLevelType w:val="hybridMultilevel"/>
    <w:lvl w:ilvl="0">
      <w:lvlJc w:val="left"/>
      <w:lvlText w:val="•"/>
      <w:numFmt w:val="bullet"/>
      <w:start w:val="1"/>
    </w:lvl>
  </w:abstractNum>
  <w:abstractNum w:abstractNumId="48">
    <w:nsid w:val="11447B73"/>
    <w:multiLevelType w:val="hybridMultilevel"/>
    <w:lvl w:ilvl="0">
      <w:lvlJc w:val="left"/>
      <w:lvlText w:val="•"/>
      <w:numFmt w:val="bullet"/>
      <w:start w:val="1"/>
    </w:lvl>
  </w:abstractNum>
  <w:abstractNum w:abstractNumId="49">
    <w:nsid w:val="42963E5A"/>
    <w:multiLevelType w:val="hybridMultilevel"/>
    <w:lvl w:ilvl="0">
      <w:lvlJc w:val="left"/>
      <w:lvlText w:val="•"/>
      <w:numFmt w:val="bullet"/>
      <w:start w:val="1"/>
    </w:lvl>
  </w:abstractNum>
  <w:abstractNum w:abstractNumId="50">
    <w:nsid w:val="A0382C5"/>
    <w:multiLevelType w:val="hybridMultilevel"/>
    <w:lvl w:ilvl="0">
      <w:lvlJc w:val="left"/>
      <w:lvlText w:val="•"/>
      <w:numFmt w:val="bullet"/>
      <w:start w:val="1"/>
    </w:lvl>
  </w:abstractNum>
  <w:abstractNum w:abstractNumId="51">
    <w:nsid w:val="8F2B15E"/>
    <w:multiLevelType w:val="hybridMultilevel"/>
    <w:lvl w:ilvl="0">
      <w:lvlJc w:val="left"/>
      <w:lvlText w:val="•"/>
      <w:numFmt w:val="bullet"/>
      <w:start w:val="1"/>
    </w:lvl>
  </w:abstractNum>
  <w:abstractNum w:abstractNumId="52">
    <w:nsid w:val="1A32234B"/>
    <w:multiLevelType w:val="hybridMultilevel"/>
    <w:lvl w:ilvl="0">
      <w:lvlJc w:val="left"/>
      <w:lvlText w:val="•"/>
      <w:numFmt w:val="bullet"/>
      <w:start w:val="1"/>
    </w:lvl>
  </w:abstractNum>
  <w:abstractNum w:abstractNumId="53">
    <w:nsid w:val="3B0FD379"/>
    <w:multiLevelType w:val="hybridMultilevel"/>
    <w:lvl w:ilvl="0">
      <w:lvlJc w:val="left"/>
      <w:lvlText w:val="•"/>
      <w:numFmt w:val="bullet"/>
      <w:start w:val="1"/>
    </w:lvl>
  </w:abstractNum>
  <w:abstractNum w:abstractNumId="54">
    <w:nsid w:val="68EB2F63"/>
    <w:multiLevelType w:val="hybridMultilevel"/>
    <w:lvl w:ilvl="0">
      <w:lvlJc w:val="left"/>
      <w:lvlText w:val="•"/>
      <w:numFmt w:val="bullet"/>
      <w:start w:val="1"/>
    </w:lvl>
  </w:abstractNum>
  <w:abstractNum w:abstractNumId="55">
    <w:nsid w:val="4962813B"/>
    <w:multiLevelType w:val="hybridMultilevel"/>
    <w:lvl w:ilvl="0">
      <w:lvlJc w:val="left"/>
      <w:lvlText w:val="•"/>
      <w:numFmt w:val="bullet"/>
      <w:start w:val="1"/>
    </w:lvl>
  </w:abstractNum>
  <w:abstractNum w:abstractNumId="56">
    <w:nsid w:val="60B6DF70"/>
    <w:multiLevelType w:val="hybridMultilevel"/>
    <w:lvl w:ilvl="0">
      <w:lvlJc w:val="left"/>
      <w:lvlText w:val="•"/>
      <w:numFmt w:val="bullet"/>
      <w:start w:val="1"/>
    </w:lvl>
  </w:abstractNum>
  <w:abstractNum w:abstractNumId="57">
    <w:nsid w:val="6A5EE64"/>
    <w:multiLevelType w:val="hybridMultilevel"/>
    <w:lvl w:ilvl="0">
      <w:lvlJc w:val="left"/>
      <w:lvlText w:val="(%1)"/>
      <w:numFmt w:val="decimal"/>
      <w:start w:val="2"/>
    </w:lvl>
  </w:abstractNum>
  <w:abstractNum w:abstractNumId="58">
    <w:nsid w:val="14330624"/>
    <w:multiLevelType w:val="hybridMultilevel"/>
    <w:lvl w:ilvl="0">
      <w:lvlJc w:val="left"/>
      <w:lvlText w:val="•"/>
      <w:numFmt w:val="bullet"/>
      <w:start w:val="1"/>
    </w:lvl>
  </w:abstractNum>
  <w:abstractNum w:abstractNumId="59">
    <w:nsid w:val="7FFFCA11"/>
    <w:multiLevelType w:val="hybridMultilevel"/>
    <w:lvl w:ilvl="0">
      <w:lvlJc w:val="left"/>
      <w:lvlText w:val="•"/>
      <w:numFmt w:val="bullet"/>
      <w:start w:val="1"/>
    </w:lvl>
  </w:abstractNum>
  <w:abstractNum w:abstractNumId="60">
    <w:nsid w:val="1A27709E"/>
    <w:multiLevelType w:val="hybridMultilevel"/>
    <w:lvl w:ilvl="0">
      <w:lvlJc w:val="left"/>
      <w:lvlText w:val="•"/>
      <w:numFmt w:val="bullet"/>
      <w:start w:val="1"/>
    </w:lvl>
  </w:abstractNum>
  <w:abstractNum w:abstractNumId="61">
    <w:nsid w:val="71EA1109"/>
    <w:multiLevelType w:val="hybridMultilevel"/>
    <w:lvl w:ilvl="0">
      <w:lvlJc w:val="left"/>
      <w:lvlText w:val="(%1)"/>
      <w:numFmt w:val="lowerRoman"/>
      <w:start w:val="2"/>
    </w:lvl>
  </w:abstractNum>
  <w:abstractNum w:abstractNumId="62">
    <w:nsid w:val="100F59DC"/>
    <w:multiLevelType w:val="hybridMultilevel"/>
    <w:lvl w:ilvl="0">
      <w:lvlJc w:val="left"/>
      <w:lvlText w:val="•"/>
      <w:numFmt w:val="bullet"/>
      <w:start w:val="1"/>
    </w:lvl>
  </w:abstractNum>
  <w:abstractNum w:abstractNumId="63">
    <w:nsid w:val="7FB7E0AA"/>
    <w:multiLevelType w:val="hybridMultilevel"/>
    <w:lvl w:ilvl="0">
      <w:lvlJc w:val="left"/>
      <w:lvlText w:val="•"/>
      <w:numFmt w:val="bullet"/>
      <w:start w:val="1"/>
    </w:lvl>
  </w:abstractNum>
  <w:abstractNum w:abstractNumId="64">
    <w:nsid w:val="6EB5BD4"/>
    <w:multiLevelType w:val="hybridMultilevel"/>
    <w:lvl w:ilvl="0">
      <w:lvlJc w:val="left"/>
      <w:lvlText w:val="•"/>
      <w:numFmt w:val="bullet"/>
      <w:start w:val="1"/>
    </w:lvl>
  </w:abstractNum>
  <w:abstractNum w:abstractNumId="65">
    <w:nsid w:val="6F6DD9AC"/>
    <w:multiLevelType w:val="hybridMultilevel"/>
    <w:lvl w:ilvl="0">
      <w:lvlJc w:val="left"/>
      <w:lvlText w:val="•"/>
      <w:numFmt w:val="bullet"/>
      <w:start w:val="1"/>
    </w:lvl>
  </w:abstractNum>
  <w:abstractNum w:abstractNumId="66">
    <w:nsid w:val="94211F2"/>
    <w:multiLevelType w:val="hybridMultilevel"/>
    <w:lvl w:ilvl="0">
      <w:lvlJc w:val="left"/>
      <w:lvlText w:val="(%1)"/>
      <w:numFmt w:val="lowerRoman"/>
      <w:start w:val="1"/>
    </w:lvl>
  </w:abstractNum>
  <w:abstractNum w:abstractNumId="67">
    <w:nsid w:val="885E1B"/>
    <w:multiLevelType w:val="hybridMultilevel"/>
    <w:lvl w:ilvl="0">
      <w:lvlJc w:val="left"/>
      <w:lvlText w:val="(%1)"/>
      <w:numFmt w:val="lowerRoman"/>
      <w:start w:val="4"/>
    </w:lvl>
  </w:abstractNum>
  <w:abstractNum w:abstractNumId="68">
    <w:nsid w:val="76272110"/>
    <w:multiLevelType w:val="hybridMultilevel"/>
    <w:lvl w:ilvl="0">
      <w:lvlJc w:val="left"/>
      <w:lvlText w:val="(%1)"/>
      <w:numFmt w:val="lowerRoman"/>
      <w:start w:val="2"/>
    </w:lvl>
  </w:abstractNum>
  <w:abstractNum w:abstractNumId="69">
    <w:nsid w:val="4C04A8AF"/>
    <w:multiLevelType w:val="hybridMultilevel"/>
    <w:lvl w:ilvl="0">
      <w:lvlJc w:val="left"/>
      <w:lvlText w:val="%1."/>
      <w:numFmt w:val="decimal"/>
      <w:start w:val="9"/>
    </w:lvl>
  </w:abstractNum>
  <w:abstractNum w:abstractNumId="70">
    <w:nsid w:val="1716703B"/>
    <w:multiLevelType w:val="hybridMultilevel"/>
    <w:lvl w:ilvl="0">
      <w:lvlJc w:val="left"/>
      <w:lvlText w:val="(%1)"/>
      <w:numFmt w:val="decimal"/>
      <w:start w:val="1"/>
    </w:lvl>
  </w:abstractNum>
  <w:abstractNum w:abstractNumId="71">
    <w:nsid w:val="14E17E33"/>
    <w:multiLevelType w:val="hybridMultilevel"/>
    <w:lvl w:ilvl="0">
      <w:lvlJc w:val="left"/>
      <w:lvlText w:val="(%1)"/>
      <w:numFmt w:val="lowerRoman"/>
      <w:start w:val="1"/>
    </w:lvl>
  </w:abstractNum>
  <w:abstractNum w:abstractNumId="72">
    <w:nsid w:val="3222E7CD"/>
    <w:multiLevelType w:val="hybridMultilevel"/>
    <w:lvl w:ilvl="0">
      <w:lvlJc w:val="left"/>
      <w:lvlText w:val="(%1)"/>
      <w:numFmt w:val="decimal"/>
      <w:start w:val="1"/>
    </w:lvl>
  </w:abstractNum>
  <w:abstractNum w:abstractNumId="73">
    <w:nsid w:val="74DE0EE3"/>
    <w:multiLevelType w:val="hybridMultilevel"/>
    <w:lvl w:ilvl="0">
      <w:lvlJc w:val="left"/>
      <w:lvlText w:val="(%1)"/>
      <w:numFmt w:val="decimal"/>
      <w:start w:val="1"/>
    </w:lvl>
  </w:abstractNum>
  <w:abstractNum w:abstractNumId="74">
    <w:nsid w:val="68EBC550"/>
    <w:multiLevelType w:val="hybridMultilevel"/>
    <w:lvl w:ilvl="0">
      <w:lvlJc w:val="left"/>
      <w:lvlText w:val="%1)"/>
      <w:numFmt w:val="lowerRoman"/>
      <w:start w:val="1"/>
    </w:lvl>
  </w:abstractNum>
  <w:abstractNum w:abstractNumId="75">
    <w:nsid w:val="2DF6D648"/>
    <w:multiLevelType w:val="hybridMultilevel"/>
    <w:lvl w:ilvl="0">
      <w:lvlJc w:val="left"/>
      <w:lvlText w:val="(%1)"/>
      <w:numFmt w:val="lowerLetter"/>
      <w:start w:val="1"/>
    </w:lvl>
  </w:abstractNum>
  <w:abstractNum w:abstractNumId="76">
    <w:nsid w:val="46B7D447"/>
    <w:multiLevelType w:val="hybridMultilevel"/>
    <w:lvl w:ilvl="0">
      <w:lvlJc w:val="left"/>
      <w:lvlText w:val="*"/>
      <w:numFmt w:val="bullet"/>
      <w:start w:val="1"/>
    </w:lvl>
    <w:lvl w:ilvl="1">
      <w:lvlJc w:val="left"/>
      <w:lvlText w:val="%2"/>
      <w:numFmt w:val="decimal"/>
      <w:start w:val="104"/>
    </w:lvl>
  </w:abstractNum>
  <w:abstractNum w:abstractNumId="77">
    <w:nsid w:val="4A2AC315"/>
    <w:multiLevelType w:val="hybridMultilevel"/>
    <w:lvl w:ilvl="0">
      <w:lvlJc w:val="left"/>
      <w:lvlText w:val="#"/>
      <w:numFmt w:val="bullet"/>
      <w:start w:val="1"/>
    </w:lvl>
  </w:abstractNum>
  <w:abstractNum w:abstractNumId="78">
    <w:nsid w:val="39EE015C"/>
    <w:multiLevelType w:val="hybridMultilevel"/>
    <w:lvl w:ilvl="0">
      <w:lvlJc w:val="left"/>
      <w:lvlText w:val="**"/>
      <w:numFmt w:val="bullet"/>
      <w:start w:val="1"/>
    </w:lvl>
  </w:abstractNum>
  <w:abstractNum w:abstractNumId="79">
    <w:nsid w:val="57FC4FB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0">
    <w:nsid w:val="CC1016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81">
    <w:nsid w:val="43F1842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2">
    <w:nsid w:val="60EF011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83">
    <w:nsid w:val="26F324BA"/>
    <w:multiLevelType w:val="hybridMultilevel"/>
    <w:lvl w:ilvl="0">
      <w:lvlJc w:val="left"/>
      <w:lvlText w:val="(%1)"/>
      <w:numFmt w:val="lowerLetter"/>
      <w:start w:val="1"/>
    </w:lvl>
    <w:lvl w:ilvl="1">
      <w:lvlJc w:val="left"/>
      <w:lvlText w:val="(%2)"/>
      <w:numFmt w:val="lowerRoman"/>
      <w:start w:val="1"/>
    </w:lvl>
  </w:abstractNum>
  <w:abstractNum w:abstractNumId="84">
    <w:nsid w:val="7F01579B"/>
    <w:multiLevelType w:val="hybridMultilevel"/>
    <w:lvl w:ilvl="0">
      <w:lvlJc w:val="left"/>
      <w:lvlText w:val="%1"/>
      <w:numFmt w:val="decimal"/>
      <w:start w:val="1"/>
    </w:lvl>
    <w:lvl w:ilvl="1">
      <w:lvlJc w:val="left"/>
      <w:lvlText w:val="(%2)"/>
      <w:numFmt w:val="lowerRoman"/>
      <w:start w:val="3"/>
    </w:lvl>
  </w:abstractNum>
  <w:abstractNum w:abstractNumId="85">
    <w:nsid w:val="49DA307D"/>
    <w:multiLevelType w:val="hybridMultilevel"/>
    <w:lvl w:ilvl="0">
      <w:lvlJc w:val="left"/>
      <w:lvlText w:val="%1."/>
      <w:numFmt w:val="decimal"/>
      <w:start w:val="3"/>
    </w:lvl>
    <w:lvl w:ilvl="1">
      <w:lvlJc w:val="left"/>
      <w:lvlText w:val="%2"/>
      <w:numFmt w:val="lowerRoman"/>
      <w:start w:val="1"/>
    </w:lvl>
  </w:abstractNum>
  <w:abstractNum w:abstractNumId="86">
    <w:nsid w:val="7055A5F5"/>
    <w:multiLevelType w:val="hybridMultilevel"/>
    <w:lvl w:ilvl="0">
      <w:lvlJc w:val="left"/>
      <w:lvlText w:val="%1."/>
      <w:numFmt w:val="decimal"/>
      <w:start w:val="1"/>
    </w:lvl>
  </w:abstractNum>
  <w:abstractNum w:abstractNumId="87">
    <w:nsid w:val="5FB8370B"/>
    <w:multiLevelType w:val="hybridMultilevel"/>
    <w:lvl w:ilvl="0">
      <w:lvlJc w:val="left"/>
      <w:lvlText w:val="%1."/>
      <w:numFmt w:val="decimal"/>
      <w:start w:val="14"/>
    </w:lvl>
  </w:abstractNum>
  <w:abstractNum w:abstractNumId="88">
    <w:nsid w:val="50801EE1"/>
    <w:multiLevelType w:val="hybridMultilevel"/>
    <w:lvl w:ilvl="0">
      <w:lvlJc w:val="left"/>
      <w:lvlText w:val="%1."/>
      <w:numFmt w:val="decimal"/>
      <w:start w:val="1"/>
    </w:lvl>
    <w:lvl w:ilvl="1">
      <w:lvlJc w:val="left"/>
      <w:lvlText w:val="%2."/>
      <w:numFmt w:val="lowerLetter"/>
      <w:start w:val="1"/>
    </w:lvl>
  </w:abstractNum>
  <w:abstractNum w:abstractNumId="89">
    <w:nsid w:val="488AC1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0">
    <w:nsid w:val="5FB8011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91">
    <w:nsid w:val="6AA78F7F"/>
    <w:multiLevelType w:val="hybridMultilevel"/>
    <w:lvl w:ilvl="0">
      <w:lvlJc w:val="left"/>
      <w:lvlText w:val="%1"/>
      <w:numFmt w:val="decimal"/>
      <w:start w:val="1"/>
    </w:lvl>
    <w:lvl w:ilvl="1">
      <w:lvlJc w:val="left"/>
      <w:lvlText w:val="%2."/>
      <w:numFmt w:val="lowerLetter"/>
      <w:start w:val="4"/>
    </w:lvl>
  </w:abstractNum>
  <w:abstractNum w:abstractNumId="92">
    <w:nsid w:val="7672BD23"/>
    <w:multiLevelType w:val="hybridMultilevel"/>
    <w:lvl w:ilvl="0">
      <w:lvlJc w:val="left"/>
      <w:lvlText w:val="%1."/>
      <w:numFmt w:val="decimal"/>
      <w:start w:val="3"/>
    </w:lvl>
    <w:lvl w:ilvl="1">
      <w:lvlJc w:val="left"/>
      <w:lvlText w:val="%2."/>
      <w:numFmt w:val="lowerLetter"/>
      <w:start w:val="1"/>
    </w:lvl>
  </w:abstractNum>
  <w:abstractNum w:abstractNumId="93">
    <w:nsid w:val="6FC75AF8"/>
    <w:multiLevelType w:val="hybridMultilevel"/>
    <w:lvl w:ilvl="0">
      <w:lvlJc w:val="left"/>
      <w:lvlText w:val="%1."/>
      <w:numFmt w:val="decimal"/>
      <w:start w:val="5"/>
    </w:lvl>
    <w:lvl w:ilvl="1">
      <w:lvlJc w:val="left"/>
      <w:lvlText w:val="%2."/>
      <w:numFmt w:val="lowerLetter"/>
      <w:start w:val="1"/>
    </w:lvl>
  </w:abstractNum>
  <w:abstractNum w:abstractNumId="94">
    <w:nsid w:val="6A5F7029"/>
    <w:multiLevelType w:val="hybridMultilevel"/>
    <w:lvl w:ilvl="0">
      <w:lvlJc w:val="left"/>
      <w:lvlText w:val="•"/>
      <w:numFmt w:val="bullet"/>
      <w:start w:val="1"/>
    </w:lvl>
  </w:abstractNum>
  <w:abstractNum w:abstractNumId="95">
    <w:nsid w:val="7D5E18F8"/>
    <w:multiLevelType w:val="hybridMultilevel"/>
    <w:lvl w:ilvl="0">
      <w:lvlJc w:val="left"/>
      <w:lvlText w:val="•"/>
      <w:numFmt w:val="bullet"/>
      <w:start w:val="1"/>
    </w:lvl>
  </w:abstractNum>
  <w:abstractNum w:abstractNumId="96">
    <w:nsid w:val="5F3534A4"/>
    <w:multiLevelType w:val="hybridMultilevel"/>
    <w:lvl w:ilvl="0">
      <w:lvlJc w:val="left"/>
      <w:lvlText w:val="(%1)"/>
      <w:numFmt w:val="lowerLetter"/>
      <w:start w:val="2"/>
    </w:lvl>
  </w:abstractNum>
  <w:abstractNum w:abstractNumId="97">
    <w:nsid w:val="73A1821B"/>
    <w:multiLevelType w:val="hybridMultilevel"/>
    <w:lvl w:ilvl="0">
      <w:lvlJc w:val="left"/>
      <w:lvlText w:val="%1."/>
      <w:numFmt w:val="decimal"/>
      <w:start w:val="1"/>
    </w:lvl>
  </w:abstractNum>
  <w:abstractNum w:abstractNumId="98">
    <w:nsid w:val="7DE67713"/>
    <w:multiLevelType w:val="hybridMultilevel"/>
    <w:lvl w:ilvl="0">
      <w:lvlJc w:val="left"/>
      <w:lvlText w:val="•"/>
      <w:numFmt w:val="bullet"/>
      <w:start w:val="1"/>
    </w:lvl>
  </w:abstractNum>
  <w:abstractNum w:abstractNumId="99">
    <w:nsid w:val="555C55B5"/>
    <w:multiLevelType w:val="hybridMultilevel"/>
    <w:lvl w:ilvl="0">
      <w:lvlJc w:val="left"/>
      <w:lvlText w:val="•"/>
      <w:numFmt w:val="bullet"/>
      <w:start w:val="1"/>
    </w:lvl>
  </w:abstractNum>
  <w:abstractNum w:abstractNumId="100">
    <w:nsid w:val="3FA62ACA"/>
    <w:multiLevelType w:val="hybridMultilevel"/>
    <w:lvl w:ilvl="0">
      <w:lvlJc w:val="left"/>
      <w:lvlText w:val="•"/>
      <w:numFmt w:val="bullet"/>
      <w:start w:val="1"/>
    </w:lvl>
  </w:abstractNum>
  <w:abstractNum w:abstractNumId="101">
    <w:nsid w:val="14FCE74E"/>
    <w:multiLevelType w:val="hybridMultilevel"/>
    <w:lvl w:ilvl="0">
      <w:lvlJc w:val="left"/>
      <w:lvlText w:val="(%1)"/>
      <w:numFmt w:val="decimal"/>
      <w:start w:val="1"/>
    </w:lvl>
  </w:abstractNum>
  <w:abstractNum w:abstractNumId="102">
    <w:nsid w:val="6A3DD3E8"/>
    <w:multiLevelType w:val="hybridMultilevel"/>
    <w:lvl w:ilvl="0">
      <w:lvlJc w:val="left"/>
      <w:lvlText w:val="%1."/>
      <w:numFmt w:val="decimal"/>
      <w:start w:val="1"/>
    </w:lvl>
    <w:lvl w:ilvl="1">
      <w:lvlJc w:val="left"/>
      <w:lvlText w:val="(%2)"/>
      <w:numFmt w:val="lowerLetter"/>
      <w:start w:val="1"/>
    </w:lvl>
  </w:abstractNum>
  <w:abstractNum w:abstractNumId="103">
    <w:nsid w:val="71C91298"/>
    <w:multiLevelType w:val="hybridMultilevel"/>
    <w:lvl w:ilvl="0">
      <w:lvlJc w:val="left"/>
      <w:lvlText w:val="%1."/>
      <w:numFmt w:val="decimal"/>
      <w:start w:val="1"/>
    </w:lvl>
    <w:lvl w:ilvl="1">
      <w:lvlJc w:val="left"/>
      <w:lvlText w:val="(%2)"/>
      <w:numFmt w:val="lowerLetter"/>
      <w:start w:val="1"/>
    </w:lvl>
  </w:abstractNum>
  <w:abstractNum w:abstractNumId="104">
    <w:nsid w:val="9DAF6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211" Type="http://schemas.openxmlformats.org/officeDocument/2006/relationships/image" Target="media/image188.png"/><Relationship Id="rId212" Type="http://schemas.openxmlformats.org/officeDocument/2006/relationships/image" Target="media/image189.png"/><Relationship Id="rId229" Type="http://schemas.openxmlformats.org/officeDocument/2006/relationships/image" Target="media/image190.png"/><Relationship Id="rId247" Type="http://schemas.openxmlformats.org/officeDocument/2006/relationships/image" Target="media/image191.png"/><Relationship Id="rId266" Type="http://schemas.openxmlformats.org/officeDocument/2006/relationships/image" Target="media/image192.png"/><Relationship Id="rId282" Type="http://schemas.openxmlformats.org/officeDocument/2006/relationships/image" Target="media/image193.png"/><Relationship Id="rId293" Type="http://schemas.openxmlformats.org/officeDocument/2006/relationships/image" Target="media/image194.png"/><Relationship Id="rId306" Type="http://schemas.openxmlformats.org/officeDocument/2006/relationships/image" Target="media/image195.png"/><Relationship Id="rId319" Type="http://schemas.openxmlformats.org/officeDocument/2006/relationships/image" Target="media/image196.png"/><Relationship Id="rId321" Type="http://schemas.openxmlformats.org/officeDocument/2006/relationships/image" Target="media/image197.png"/><Relationship Id="rId322" Type="http://schemas.openxmlformats.org/officeDocument/2006/relationships/image" Target="media/image198.png"/><Relationship Id="rId323" Type="http://schemas.openxmlformats.org/officeDocument/2006/relationships/image" Target="media/image199.png"/><Relationship Id="rId324" Type="http://schemas.openxmlformats.org/officeDocument/2006/relationships/image" Target="media/image200.png"/><Relationship Id="rId325" Type="http://schemas.openxmlformats.org/officeDocument/2006/relationships/image" Target="media/image201.png"/><Relationship Id="rId326" Type="http://schemas.openxmlformats.org/officeDocument/2006/relationships/image" Target="media/image202.png"/><Relationship Id="rId327" Type="http://schemas.openxmlformats.org/officeDocument/2006/relationships/image" Target="media/image203.png"/><Relationship Id="rId328" Type="http://schemas.openxmlformats.org/officeDocument/2006/relationships/image" Target="media/image204.png"/><Relationship Id="rId329" Type="http://schemas.openxmlformats.org/officeDocument/2006/relationships/image" Target="media/image205.png"/><Relationship Id="rId330" Type="http://schemas.openxmlformats.org/officeDocument/2006/relationships/image" Target="media/image206.jpeg"/><Relationship Id="rId331" Type="http://schemas.openxmlformats.org/officeDocument/2006/relationships/image" Target="media/image207.jpeg"/><Relationship Id="rId332" Type="http://schemas.openxmlformats.org/officeDocument/2006/relationships/image" Target="media/image208.jpeg"/><Relationship Id="rId333" Type="http://schemas.openxmlformats.org/officeDocument/2006/relationships/image" Target="media/image209.jpeg"/><Relationship Id="rId334" Type="http://schemas.openxmlformats.org/officeDocument/2006/relationships/image" Target="media/image210.jpeg"/><Relationship Id="rId335" Type="http://schemas.openxmlformats.org/officeDocument/2006/relationships/image" Target="media/image211.jpeg"/><Relationship Id="rId336" Type="http://schemas.openxmlformats.org/officeDocument/2006/relationships/image" Target="media/image212.jpeg"/><Relationship Id="rId337" Type="http://schemas.openxmlformats.org/officeDocument/2006/relationships/image" Target="media/image213.jpeg"/><Relationship Id="rId338" Type="http://schemas.openxmlformats.org/officeDocument/2006/relationships/image" Target="media/image214.jpeg"/><Relationship Id="rId339" Type="http://schemas.openxmlformats.org/officeDocument/2006/relationships/image" Target="media/image215.jpeg"/><Relationship Id="rId340" Type="http://schemas.openxmlformats.org/officeDocument/2006/relationships/image" Target="media/image216.jpeg"/><Relationship Id="rId341" Type="http://schemas.openxmlformats.org/officeDocument/2006/relationships/image" Target="media/image217.jpeg"/><Relationship Id="rId342" Type="http://schemas.openxmlformats.org/officeDocument/2006/relationships/image" Target="media/image218.jpeg"/><Relationship Id="rId343" Type="http://schemas.openxmlformats.org/officeDocument/2006/relationships/image" Target="media/image219.png"/><Relationship Id="rId344" Type="http://schemas.openxmlformats.org/officeDocument/2006/relationships/image" Target="media/image220.png"/><Relationship Id="rId345" Type="http://schemas.openxmlformats.org/officeDocument/2006/relationships/image" Target="media/image221.png"/><Relationship Id="rId195" Type="http://schemas.openxmlformats.org/officeDocument/2006/relationships/hyperlink" Target="https://www.sec.gov/Archives/edgar/data/1517022/000119312518206609/d819026dex21.htm" TargetMode="External"/><Relationship Id="rId196" Type="http://schemas.openxmlformats.org/officeDocument/2006/relationships/hyperlink" Target="https://www.sec.gov/Archives/edgar/data/0001114220/000119312518288505/d627701dex21.htm" TargetMode="External"/><Relationship Id="rId197" Type="http://schemas.openxmlformats.org/officeDocument/2006/relationships/hyperlink" Target="https://www.sec.gov/Archives/edgar/data/1517022/000119312514121774/d700849dex31.htm" TargetMode="External"/><Relationship Id="rId198" Type="http://schemas.openxmlformats.org/officeDocument/2006/relationships/hyperlink" Target="https://www.sec.gov/Archives/edgar/data/1517022/000119312520164639/d934672dex31.htm" TargetMode="External"/><Relationship Id="rId199" Type="http://schemas.openxmlformats.org/officeDocument/2006/relationships/hyperlink" Target="https://www.sec.gov/Archives/edgar/data/1517022/000119312523124259/d455889dex31.htm" TargetMode="External"/><Relationship Id="rId200" Type="http://schemas.openxmlformats.org/officeDocument/2006/relationships/hyperlink" Target="https://www.sec.gov/Archives/edgar/data/1517022/000119312514081000/d629509dex41.htm" TargetMode="External"/><Relationship Id="rId201" Type="http://schemas.openxmlformats.org/officeDocument/2006/relationships/hyperlink" Target="https://www.sec.gov/Archives/edgar/data/1517022/000156459015001260/akba-ex44_20141231617.htm" TargetMode="External"/><Relationship Id="rId202" Type="http://schemas.openxmlformats.org/officeDocument/2006/relationships/hyperlink" Target="https://www.sec.gov/Archives/edgar/data/1517022/000156459018005286/akba-ex45_1095.htm" TargetMode="External"/><Relationship Id="rId203" Type="http://schemas.openxmlformats.org/officeDocument/2006/relationships/hyperlink" Target="https://www.sec.gov/Archives/edgar/data/1517022/000156459017016542/akba-ex41_317.htm" TargetMode="External"/><Relationship Id="rId204" Type="http://schemas.openxmlformats.org/officeDocument/2006/relationships/hyperlink" Target="https://www.sec.gov/Archives/edgar/data/1517022/000162828022004522/exhibit45-akebiaequitypurc.htm" TargetMode="External"/><Relationship Id="rId205" Type="http://schemas.openxmlformats.org/officeDocument/2006/relationships/hyperlink" Target="https://www.sec.gov/Archives/edgar/data/1517022/000162828021003283/exhibit46b-descriptionofth.htm" TargetMode="External"/><Relationship Id="rId206" Type="http://schemas.openxmlformats.org/officeDocument/2006/relationships/hyperlink" Target="https://www.sec.gov/Archives/edgar/data/1517022/000162828024011270/akbaex47formofwarrant.htm" TargetMode="External"/><Relationship Id="rId207" Type="http://schemas.openxmlformats.org/officeDocument/2006/relationships/hyperlink" Target="https://www.sec.gov/Archives/edgar/data/1517022/000156459018005286/akba-ex101_385.htm" TargetMode="External"/><Relationship Id="rId208" Type="http://schemas.openxmlformats.org/officeDocument/2006/relationships/hyperlink" Target="https://www.sec.gov/Archives/edgar/data/1517022/000119312514055104/d629509dex102.htm" TargetMode="External"/><Relationship Id="rId209" Type="http://schemas.openxmlformats.org/officeDocument/2006/relationships/hyperlink" Target="https://www.sec.gov/Archives/edgar/data/1517022/000156459015001260/akba-ex103_20141231243.htm" TargetMode="External"/><Relationship Id="rId210" Type="http://schemas.openxmlformats.org/officeDocument/2006/relationships/hyperlink" Target="https://www.sec.gov/Archives/edgar/data/1517022/000156459016014700/akba-ex104_737.htm" TargetMode="External"/><Relationship Id="rId213" Type="http://schemas.openxmlformats.org/officeDocument/2006/relationships/hyperlink" Target="https://www.sec.gov/Archives/edgar/data/1517022/000156459016028609/akba-ex101_14.htm" TargetMode="External"/><Relationship Id="rId214" Type="http://schemas.openxmlformats.org/officeDocument/2006/relationships/hyperlink" Target="https://www.sec.gov/Archives/edgar/data/1517022/000156459018005286/akba-ex106_314.htm" TargetMode="External"/><Relationship Id="rId215" Type="http://schemas.openxmlformats.org/officeDocument/2006/relationships/hyperlink" Target="https://www.sec.gov/Archives/edgar/data/1517022/000156459018020459/akba-ex101_13.htm" TargetMode="External"/><Relationship Id="rId216" Type="http://schemas.openxmlformats.org/officeDocument/2006/relationships/hyperlink" Target="https://www.sec.gov/Archives/edgar/data/1517022/000162828021003283/exhibit108-sixthamendmentt.htm" TargetMode="External"/><Relationship Id="rId217" Type="http://schemas.openxmlformats.org/officeDocument/2006/relationships/hyperlink" Target="https://www.sec.gov/Archives/edgar/data/1517022/000162828024035879/exhibit101seventhamendment.htm" TargetMode="External"/><Relationship Id="rId218" Type="http://schemas.openxmlformats.org/officeDocument/2006/relationships/hyperlink" Target="https://www.sec.gov/Archives/edgar/data/1517022/000119312514055104/d629509dex105.htm" TargetMode="External"/><Relationship Id="rId219" Type="http://schemas.openxmlformats.org/officeDocument/2006/relationships/hyperlink" Target="https://www.sec.gov/Archives/edgar/data/1517022/000119312514055104/d629509dex106.htm" TargetMode="External"/><Relationship Id="rId220" Type="http://schemas.openxmlformats.org/officeDocument/2006/relationships/hyperlink" Target="https://www.sec.gov/Archives/edgar/data/1517022/000119312514055104/d629509dex107.htm" TargetMode="External"/><Relationship Id="rId221" Type="http://schemas.openxmlformats.org/officeDocument/2006/relationships/hyperlink" Target="https://www.sec.gov/Archives/edgar/data/1517022/000119312514081000/d629509dex1024.htm" TargetMode="External"/><Relationship Id="rId222" Type="http://schemas.openxmlformats.org/officeDocument/2006/relationships/hyperlink" Target="https://www.sec.gov/Archives/edgar/data/1517022/000119312514081000/d629509dex1025.htm" TargetMode="External"/><Relationship Id="rId223" Type="http://schemas.openxmlformats.org/officeDocument/2006/relationships/hyperlink" Target="https://www.sec.gov/Archives/edgar/data/0001517022/000162828023016258/exhibit101-amendedandresta.htm" TargetMode="External"/><Relationship Id="rId224" Type="http://schemas.openxmlformats.org/officeDocument/2006/relationships/hyperlink" Target="https://www.sec.gov/Archives/edgar/data/0001517022/000162828023030698/exhibit108-secondamendedan.htm" TargetMode="External"/><Relationship Id="rId225" Type="http://schemas.openxmlformats.org/officeDocument/2006/relationships/hyperlink" Target="https://www.sec.gov/Archives/edgar/data/1517022/000162828024011270/akbaex1021thirdamendedandr.htm" TargetMode="External"/><Relationship Id="rId226" Type="http://schemas.openxmlformats.org/officeDocument/2006/relationships/hyperlink" Target="https://www.sec.gov/Archives/edgar/data/1517022/000119312514081000/d629509dex1027.htm" TargetMode="External"/><Relationship Id="rId227" Type="http://schemas.openxmlformats.org/officeDocument/2006/relationships/hyperlink" Target="https://www.sec.gov/Archives/edgar/data/1517022/000119312514081000/d629509dex1029.htm" TargetMode="External"/><Relationship Id="rId228" Type="http://schemas.openxmlformats.org/officeDocument/2006/relationships/hyperlink" Target="https://www.sec.gov/Archives/edgar/data/1517022/000119312519017081/d694885dex44.htm" TargetMode="External"/><Relationship Id="rId230" Type="http://schemas.openxmlformats.org/officeDocument/2006/relationships/hyperlink" Target="https://www.sec.gov/Archives/edgar/data/0001517022/000119312519122303/d641158ddef14a.htm#rom641158_17" TargetMode="External"/><Relationship Id="rId231" Type="http://schemas.openxmlformats.org/officeDocument/2006/relationships/hyperlink" Target="https://www.sec.gov/Archives/edgar/data/1517022/000162828022004522/exhibit1028-akebiacashince.htm" TargetMode="External"/><Relationship Id="rId232" Type="http://schemas.openxmlformats.org/officeDocument/2006/relationships/hyperlink" Target="https://www.sec.gov/Archives/edgar/data/1517022/000156459018005286/akba-ex1018_316.htm" TargetMode="External"/><Relationship Id="rId233" Type="http://schemas.openxmlformats.org/officeDocument/2006/relationships/hyperlink" Target="https://www.sec.gov/Archives/edgar/data/0001517022/000156459019009340/akba-ex1029_1206.htm" TargetMode="External"/><Relationship Id="rId234" Type="http://schemas.openxmlformats.org/officeDocument/2006/relationships/hyperlink" Target="https://www.sec.gov/Archives/edgar/data/1517022/000119312518021657/d525382dex44.htm" TargetMode="External"/><Relationship Id="rId235" Type="http://schemas.openxmlformats.org/officeDocument/2006/relationships/hyperlink" Target="https://www.sec.gov/Archives/edgar/data/1517022/000119312518021657/d525382dex45.htm" TargetMode="External"/><Relationship Id="rId236" Type="http://schemas.openxmlformats.org/officeDocument/2006/relationships/hyperlink" Target="https://www.sec.gov/Archives/edgar/data/1517022/000162828021021760/exhibit101-formofperforman.htm" TargetMode="External"/><Relationship Id="rId237" Type="http://schemas.openxmlformats.org/officeDocument/2006/relationships/hyperlink" Target="https://www.sec.gov/Archives/edgar/data/1517022/000162828021021760/exhibit102-formofpsuagreem.htm" TargetMode="External"/><Relationship Id="rId238" Type="http://schemas.openxmlformats.org/officeDocument/2006/relationships/hyperlink" Target="https://www.sec.gov/Archives/edgar/data/1517022/000162828022021096/exhibit106-formofofficerre.htm" TargetMode="External"/><Relationship Id="rId239" Type="http://schemas.openxmlformats.org/officeDocument/2006/relationships/hyperlink" Target="https://www.sec.gov/Archives/edgar/data/1517022/000162828022021096/exhibit107-formofofficerno.htm" TargetMode="External"/><Relationship Id="rId240" Type="http://schemas.openxmlformats.org/officeDocument/2006/relationships/hyperlink" Target="https://www.sec.gov/Archives/edgar/data/1517022/000162828021021760/exhibit103-akebiaxformofca.htm" TargetMode="External"/><Relationship Id="rId241" Type="http://schemas.openxmlformats.org/officeDocument/2006/relationships/hyperlink" Target="https://www.sec.gov/Archives/edgar/data/1517022/000162828023016258/exhibit103-formofakebia201.htm" TargetMode="External"/><Relationship Id="rId242" Type="http://schemas.openxmlformats.org/officeDocument/2006/relationships/hyperlink" Target="https://www.sec.gov/Archives/edgar/data/1517022/000119312523161630/d492716dex991.htm" TargetMode="External"/><Relationship Id="rId243" Type="http://schemas.openxmlformats.org/officeDocument/2006/relationships/hyperlink" Target="https://www.sec.gov/Archives/edgar/data/0001517022/000162828023030698/exhibit1010-formofnonxempl.htm" TargetMode="External"/><Relationship Id="rId244" Type="http://schemas.openxmlformats.org/officeDocument/2006/relationships/hyperlink" Target="https://www.sec.gov/Archives/edgar/data/1517022/000162828023030698/exhibit1012-formofnonxempl.htm" TargetMode="External"/><Relationship Id="rId245" Type="http://schemas.openxmlformats.org/officeDocument/2006/relationships/hyperlink" Target="https://www.sec.gov/Archives/edgar/data/1517022/000162828023030698/exhibit1011-formofofficers.htm" TargetMode="External"/><Relationship Id="rId246" Type="http://schemas.openxmlformats.org/officeDocument/2006/relationships/hyperlink" Target="https://www.sec.gov/Archives/edgar/data/1517022/000162828023030698/exhibit1013-formofofficerr.htm" TargetMode="External"/><Relationship Id="rId248" Type="http://schemas.openxmlformats.org/officeDocument/2006/relationships/hyperlink" Target="https://www.sec.gov/Archives/edgar/data/1517022/000162828023030698/exhibit1014-formofofficeri.htm" TargetMode="External"/><Relationship Id="rId249" Type="http://schemas.openxmlformats.org/officeDocument/2006/relationships/hyperlink" Target="https://www.sec.gov/Archives/edgar/data/1517022/000162828024011270/akbaex1043akbaesa-elt52019.htm" TargetMode="External"/><Relationship Id="rId250" Type="http://schemas.openxmlformats.org/officeDocument/2006/relationships/hyperlink" Target="https://www.sec.gov/Archives/edgar/data/1517022/000162828024011270/akbaex1044akebia-formofcas.htm" TargetMode="External"/><Relationship Id="rId251" Type="http://schemas.openxmlformats.org/officeDocument/2006/relationships/hyperlink" Target="https://www.sec.gov/Archives/edgar/data/1517022/000162828024011270/akbaex10452023planformofof.htm" TargetMode="External"/><Relationship Id="rId252" Type="http://schemas.openxmlformats.org/officeDocument/2006/relationships/hyperlink" Target="https://www.sec.gov/Archives/edgar/data/1517022/000162828024011270/akbaex1046akebia-2023planf.htm" TargetMode="External"/><Relationship Id="rId253" Type="http://schemas.openxmlformats.org/officeDocument/2006/relationships/hyperlink" Target="https://www.sec.gov/Archives/edgar/data/1517022/000162828024011270/akbaex1047formofofficerind.htm" TargetMode="External"/><Relationship Id="rId254" Type="http://schemas.openxmlformats.org/officeDocument/2006/relationships/hyperlink" Target="https://www.sec.gov/Archives/edgar/data/1517022/000119312525016257/d775128dex992.htm" TargetMode="External"/><Relationship Id="rId255" Type="http://schemas.openxmlformats.org/officeDocument/2006/relationships/hyperlink" Target="https://www.sec.gov/Archives/edgar/data/1114220/000116923203003799/d55674_ex10-2.txt" TargetMode="External"/><Relationship Id="rId256" Type="http://schemas.openxmlformats.org/officeDocument/2006/relationships/hyperlink" Target="https://www.sec.gov/Archives/edgar/data/1114220/000095012304005423/y96277adef14a.txt" TargetMode="External"/><Relationship Id="rId257" Type="http://schemas.openxmlformats.org/officeDocument/2006/relationships/hyperlink" Target="https://www.sec.gov/Archives/edgar/data/1114220/000114420406031633/v049311_ex10-1.htm" TargetMode="External"/><Relationship Id="rId258" Type="http://schemas.openxmlformats.org/officeDocument/2006/relationships/hyperlink" Target="https://www.sec.gov/Archives/edgar/data/1114220/000114420407021569/v072240def14a.htm" TargetMode="External"/><Relationship Id="rId259" Type="http://schemas.openxmlformats.org/officeDocument/2006/relationships/hyperlink" Target="https://www.sec.gov/Archives/edgar/data/1114220/000119312516606473/d199697dex101.htm" TargetMode="External"/><Relationship Id="rId260" Type="http://schemas.openxmlformats.org/officeDocument/2006/relationships/hyperlink" Target="https://www.sec.gov/Archives/edgar/data/1114220/000119312518209734/d809910dex991.htm" TargetMode="External"/><Relationship Id="rId261" Type="http://schemas.openxmlformats.org/officeDocument/2006/relationships/hyperlink" Target="https://www.sec.gov/Archives/edgar/data/1114220/000119312516763698/d268086dex101.htm" TargetMode="External"/><Relationship Id="rId262" Type="http://schemas.openxmlformats.org/officeDocument/2006/relationships/hyperlink" Target="https://www.sec.gov/Archives/edgar/data/0001517022/000156459019009340/akba-ex1056_1208.htm" TargetMode="External"/><Relationship Id="rId263" Type="http://schemas.openxmlformats.org/officeDocument/2006/relationships/hyperlink" Target="https://www.sec.gov/Archives/edgar/data/1114220/000119312516606473/d199697dex102.htm" TargetMode="External"/><Relationship Id="rId264" Type="http://schemas.openxmlformats.org/officeDocument/2006/relationships/hyperlink" Target="https://www.sec.gov/Archives/edgar/data/1114220/000119312514300926/d748370dex101.htm" TargetMode="External"/><Relationship Id="rId265" Type="http://schemas.openxmlformats.org/officeDocument/2006/relationships/hyperlink" Target="https://www.sec.gov/Archives/edgar/data/0001517022/000156459019009340/akba-ex1059_1209.htm" TargetMode="External"/><Relationship Id="rId267" Type="http://schemas.openxmlformats.org/officeDocument/2006/relationships/hyperlink" Target="https://www.sec.gov/Archives/edgar/data/1517022/000162828022013318/exhibit106-formofofficerre.htm" TargetMode="External"/><Relationship Id="rId268" Type="http://schemas.openxmlformats.org/officeDocument/2006/relationships/hyperlink" Target="https://www.sec.gov/Archives/edgar/data/1517022/000162828022013318/exhibit107-formoflettermic.htm" TargetMode="External"/><Relationship Id="rId269" Type="http://schemas.openxmlformats.org/officeDocument/2006/relationships/hyperlink" Target="https://www.sec.gov/Archives/edgar/data/1517022/000162828022028242/exhibit102-formofformofame.htm" TargetMode="External"/><Relationship Id="rId270" Type="http://schemas.openxmlformats.org/officeDocument/2006/relationships/hyperlink" Target="https://www.sec.gov/Archives/edgar/data/1517022/000162828023030698/exhibit104-formofmay2023am.htm" TargetMode="External"/><Relationship Id="rId271" Type="http://schemas.openxmlformats.org/officeDocument/2006/relationships/hyperlink" Target="https://www.sec.gov/Archives/edgar/data/1517022/000162828023030698/exhibit105-july2023amendme.htm" TargetMode="External"/><Relationship Id="rId272" Type="http://schemas.openxmlformats.org/officeDocument/2006/relationships/hyperlink" Target="https://www.sec.gov/Archives/edgar/data/1517022/000162828023030698/exhibit106-july2023amendme.htm" TargetMode="External"/><Relationship Id="rId273" Type="http://schemas.openxmlformats.org/officeDocument/2006/relationships/hyperlink" Target="https://www.sec.gov/Archives/edgar/data/1517022/000162828023037557/exhibit103-october2023amen.htm" TargetMode="External"/><Relationship Id="rId274" Type="http://schemas.openxmlformats.org/officeDocument/2006/relationships/hyperlink" Target="https://www.sec.gov/Archives/edgar/data/1517022/000162828024011270/akbaex1066hadas_nicolexame.htm" TargetMode="External"/><Relationship Id="rId275" Type="http://schemas.openxmlformats.org/officeDocument/2006/relationships/hyperlink" Target="https://www.sec.gov/Archives/edgar/data/1517022/000162828024011270/akbaex1067dahan_michelxame.htm" TargetMode="External"/><Relationship Id="rId276" Type="http://schemas.openxmlformats.org/officeDocument/2006/relationships/hyperlink" Target="https://www.sec.gov/Archives/edgar/data/1517022/000162828023030698/exhibit107-separationagree.htm" TargetMode="External"/><Relationship Id="rId277" Type="http://schemas.openxmlformats.org/officeDocument/2006/relationships/hyperlink" Target="https://www.sec.gov/Archives/edgar/data/1517022/000162828024021945/exhibit1011akebia_separati.htm" TargetMode="External"/><Relationship Id="rId278" Type="http://schemas.openxmlformats.org/officeDocument/2006/relationships/hyperlink" Target="https://www.sec.gov/Archives/edgar/data/1517022/000162828022004522/exhibit1049-mtpcagreementr.htm" TargetMode="External"/><Relationship Id="rId279" Type="http://schemas.openxmlformats.org/officeDocument/2006/relationships/hyperlink" Target="https://www.sec.gov/Archives/edgar/data/1517022/000156459017022727/akba-ex101_154.htm" TargetMode="External"/><Relationship Id="rId280" Type="http://schemas.openxmlformats.org/officeDocument/2006/relationships/hyperlink" Target="https://www.sec.gov/Archives/edgar/data/1517022/000162828023007539/exhibit1053revised-akebiam.htm" TargetMode="External"/><Relationship Id="rId281" Type="http://schemas.openxmlformats.org/officeDocument/2006/relationships/hyperlink" Target="https://www.sec.gov/Archives/edgar/data/1517022/000162828022004522/exhibit1054-akebiaviforsec.htm" TargetMode="External"/><Relationship Id="rId283" Type="http://schemas.openxmlformats.org/officeDocument/2006/relationships/hyperlink" Target="https://www.sec.gov/Archives/edgar/data/1517022/000162828024035879/exhibit103akebiaviforamend.htm" TargetMode="External"/><Relationship Id="rId284" Type="http://schemas.openxmlformats.org/officeDocument/2006/relationships/hyperlink" Target="https://www.sec.gov/Archives/edgar/data/1517022/000162828024035879/exhibit104akebiavifortermi.htm" TargetMode="External"/><Relationship Id="rId285" Type="http://schemas.openxmlformats.org/officeDocument/2006/relationships/hyperlink" Target="https://www.sec.gov/Archives/edgar/data/1517022/000162828024039115/exhibit12-sx3.htm" TargetMode="External"/><Relationship Id="rId286" Type="http://schemas.openxmlformats.org/officeDocument/2006/relationships/hyperlink" Target="https://www.sec.gov/Archives/edgar/data/0001517022/000156459019030771/akba-ex101_250.htm" TargetMode="External"/><Relationship Id="rId287" Type="http://schemas.openxmlformats.org/officeDocument/2006/relationships/hyperlink" Target="https://www.sec.gov/Archives/edgar/data/1114220/000111422017000046/kerx-9302017x10qex101.htm" TargetMode="External"/><Relationship Id="rId288" Type="http://schemas.openxmlformats.org/officeDocument/2006/relationships/hyperlink" Target="https://www.sec.gov/Archives/edgar/data/1517022/000162828022004522/exhibit1058-patheonmasterm.htm" TargetMode="External"/><Relationship Id="rId289" Type="http://schemas.openxmlformats.org/officeDocument/2006/relationships/hyperlink" Target="https://www.sec.gov/Archives/edgar/data/1114220/000111422018000029/kerx12312017-10kex1013.htm" TargetMode="External"/><Relationship Id="rId290" Type="http://schemas.openxmlformats.org/officeDocument/2006/relationships/hyperlink" Target="https://www.sec.gov/Archives/edgar/data/1517022/000162828021003283/exhibit1057-keryxxsiegfrie.htm" TargetMode="External"/><Relationship Id="rId291" Type="http://schemas.openxmlformats.org/officeDocument/2006/relationships/hyperlink" Target="https://www.sec.gov/Archives/edgar/data/1517022/000162828021003283/exhibit105eryxxsiegfriedms.htm" TargetMode="External"/><Relationship Id="rId292" Type="http://schemas.openxmlformats.org/officeDocument/2006/relationships/hyperlink" Target="https://www.sec.gov/Archives/edgar/data/1517022/000162828021003283/exhibit1059d-finalredacted.htm" TargetMode="External"/><Relationship Id="rId294" Type="http://schemas.openxmlformats.org/officeDocument/2006/relationships/hyperlink" Target="https://www.sec.gov/Archives/edgar/data/1517022/000162828022004522/exhibit1064-amendment4toke.htm" TargetMode="External"/><Relationship Id="rId295" Type="http://schemas.openxmlformats.org/officeDocument/2006/relationships/hyperlink" Target="https://www.sec.gov/Archives/edgar/data/1517022/000162828023016258/exhibit102-akebiasiegfried.htm" TargetMode="External"/><Relationship Id="rId296" Type="http://schemas.openxmlformats.org/officeDocument/2006/relationships/hyperlink" Target="https://www.sec.gov/Archives/edgar/data/0001517022/000156459019009340/akba-ex1060_1473.htm" TargetMode="External"/><Relationship Id="rId297" Type="http://schemas.openxmlformats.org/officeDocument/2006/relationships/hyperlink" Target="https://www.sec.gov/Archives/edgar/data/1517022/000162828023007539/exhibit1070-akebiabiovectr.htm" TargetMode="External"/><Relationship Id="rId298" Type="http://schemas.openxmlformats.org/officeDocument/2006/relationships/hyperlink" Target="https://www.sec.gov/Archives/edgar/data/1517022/000156459020010491/akba-ex1062_588.htm" TargetMode="External"/><Relationship Id="rId299" Type="http://schemas.openxmlformats.org/officeDocument/2006/relationships/hyperlink" Target="https://www.sec.gov/Archives/edgar/data/1517022/000162828022004522/exhibit1069-amendmentandwa.htm" TargetMode="External"/><Relationship Id="rId300" Type="http://schemas.openxmlformats.org/officeDocument/2006/relationships/hyperlink" Target="https://www.sec.gov/Archives/edgar/data/1517022/000162828022021096/exhibit109-secondamendment.htm" TargetMode="External"/><Relationship Id="rId301" Type="http://schemas.openxmlformats.org/officeDocument/2006/relationships/hyperlink" Target="https://www.sec.gov/Archives/edgar/data/1517022/000162828023030698/exhibit102-akebiapharmakon.htm" TargetMode="External"/><Relationship Id="rId302" Type="http://schemas.openxmlformats.org/officeDocument/2006/relationships/hyperlink" Target="https://www.sec.gov/Archives/edgar/data/1517022/000162828024011270/akbaex1093akebiapharmakonf.htm" TargetMode="External"/><Relationship Id="rId303" Type="http://schemas.openxmlformats.org/officeDocument/2006/relationships/hyperlink" Target="https://www.sec.gov/Archives/edgar/data/1517022/000156459020010491/akba-ex1063_589.htm" TargetMode="External"/><Relationship Id="rId304" Type="http://schemas.openxmlformats.org/officeDocument/2006/relationships/hyperlink" Target="https://www.sec.gov/Archives/edgar/data/1517022/000156459020021255/akba-ex101_298.htm" TargetMode="External"/><Relationship Id="rId305" Type="http://schemas.openxmlformats.org/officeDocument/2006/relationships/hyperlink" Target="https://www.sec.gov/Archives/edgar/data/1517022/000162828020012337/exhibit102.htm" TargetMode="External"/><Relationship Id="rId307" Type="http://schemas.openxmlformats.org/officeDocument/2006/relationships/hyperlink" Target="https://www.sec.gov/Archives/edgar/data/1517022/000162828021015865/exhibit101-amendment1tosup.htm" TargetMode="External"/><Relationship Id="rId308" Type="http://schemas.openxmlformats.org/officeDocument/2006/relationships/hyperlink" Target="https://www.sec.gov/Archives/edgar/data/1517022/000162828024035879/exhibit102akebiaamendment2.htm" TargetMode="External"/><Relationship Id="rId309" Type="http://schemas.openxmlformats.org/officeDocument/2006/relationships/hyperlink" Target="https://www.sec.gov/Archives/edgar/data/1517022/000162828021009696/exhibit104-q12021.htm" TargetMode="External"/><Relationship Id="rId310" Type="http://schemas.openxmlformats.org/officeDocument/2006/relationships/hyperlink" Target="https://www.sec.gov/Archives/edgar/data/1517022/000162828024045979/exhibit105akebiastaamendme.htm" TargetMode="External"/><Relationship Id="rId311" Type="http://schemas.openxmlformats.org/officeDocument/2006/relationships/hyperlink" Target="https://www.sec.gov/Archives/edgar/data/1517022/000162828021009696/exhibit105-q12021.htm" TargetMode="External"/><Relationship Id="rId312" Type="http://schemas.openxmlformats.org/officeDocument/2006/relationships/hyperlink" Target="https://www.sec.gov/Archives/edgar/data/0001517022/000162828023007539/exhibit1081furtherrevised-.htm" TargetMode="External"/><Relationship Id="rId313" Type="http://schemas.openxmlformats.org/officeDocument/2006/relationships/hyperlink" Target="https://www.sec.gov/Archives/edgar/data/1517022/000162828024045979/exhibit104amendment1-avero.htm" TargetMode="External"/><Relationship Id="rId314" Type="http://schemas.openxmlformats.org/officeDocument/2006/relationships/hyperlink" Target="https://www.sec.gov/Archives/edgar/data/1517022/000162828023030698/exhibit101-akebiamediceeul.htm" TargetMode="External"/><Relationship Id="rId315" Type="http://schemas.openxmlformats.org/officeDocument/2006/relationships/hyperlink" Target="https://www.sec.gov/Archives/edgar/data/1517022/000162828024011270/akbaex10102akebia_kreosxcr.htm" TargetMode="External"/><Relationship Id="rId316" Type="http://schemas.openxmlformats.org/officeDocument/2006/relationships/hyperlink" Target="https://www.sec.gov/Archives/edgar/data/1517022/000162828024035879/exhibit105akebiakreosfirst.htm" TargetMode="External"/><Relationship Id="rId317" Type="http://schemas.openxmlformats.org/officeDocument/2006/relationships/hyperlink" Target="https://www.sec.gov/Archives/edgar/data/1517022/000162828024011270/akbaex10103kreos-akebiaxwa.htm" TargetMode="External"/><Relationship Id="rId318" Type="http://schemas.openxmlformats.org/officeDocument/2006/relationships/hyperlink" Target="https://www.sec.gov/Archives/edgar/data/1517022/000162828021003283/exhibit211-subsidiaries.htm" TargetMode="External"/><Relationship Id="rId320" Type="http://schemas.openxmlformats.org/officeDocument/2006/relationships/hyperlink" Target="https://www.sec.gov/Archives/edgar/data/1517022/000162828024011270/akbaex971-akbanasdaqcompl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2025-03-13T06:35:30Z</dcterms:created>
  <dcterms:modified xsi:type="dcterms:W3CDTF">2025-03-13T06:35:30Z</dcterms:modified>
</cp:coreProperties>
</file>