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74423ds8.htm"/>
      <w:bookmarkStart w:id="1" w:name="ksd74423ds8"/>
      <w:bookmarkEnd w:id="0"/>
      <w:bookmarkEnd w:id="1"/>
      <w:r>
        <w:rPr>
          <w:rFonts w:ascii="Times New Roman" w:hAnsi="Times New Roman"/>
          <w:b/>
          <w:sz w:val="20"/>
        </w:rPr>
        <w:t xml:space="preserve">As filed with the Securities and Exchange Commission on August 5, 2026 </w:t>
      </w:r>
    </w:p>
    <w:p>
      <w:pPr>
        <w:pStyle w:val="TextBody"/>
        <w:bidi w:val="0"/>
        <w:spacing w:before="240" w:after="0"/>
        <w:jc w:val="right"/>
        <w:rPr>
          <w:rFonts w:ascii="Times New Roman" w:hAnsi="Times New Roman"/>
          <w:b/>
          <w:sz w:val="20"/>
        </w:rPr>
      </w:pPr>
      <w:r>
        <w:rPr>
          <w:rFonts w:ascii="Times New Roman" w:hAnsi="Times New Roman"/>
          <w:b/>
          <w:sz w:val="20"/>
        </w:rPr>
        <w:t>Registration No. 333-   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S-8</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AKEBIA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20-8756903</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12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245 First Street, Cambridge, MA</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02142</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Inducement Stock Option Awards (August 2025 – July 2026)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Carolyn M. Rucci </w:t>
      </w:r>
    </w:p>
    <w:p>
      <w:pPr>
        <w:pStyle w:val="TextBody"/>
        <w:bidi w:val="0"/>
        <w:spacing w:before="0" w:after="0"/>
        <w:jc w:val="center"/>
        <w:rPr>
          <w:rFonts w:ascii="Times New Roman" w:hAnsi="Times New Roman"/>
          <w:b/>
          <w:sz w:val="20"/>
        </w:rPr>
      </w:pPr>
      <w:r>
        <w:rPr>
          <w:rFonts w:ascii="Times New Roman" w:hAnsi="Times New Roman"/>
          <w:b/>
          <w:sz w:val="20"/>
        </w:rPr>
        <w:t xml:space="preserve">Senior Vice President, Chief Legal Officer and Secretary </w:t>
      </w:r>
    </w:p>
    <w:p>
      <w:pPr>
        <w:pStyle w:val="TextBody"/>
        <w:bidi w:val="0"/>
        <w:spacing w:before="0" w:after="0"/>
        <w:jc w:val="center"/>
        <w:rPr>
          <w:rFonts w:ascii="Times New Roman" w:hAnsi="Times New Roman"/>
          <w:b/>
          <w:sz w:val="20"/>
        </w:rPr>
      </w:pPr>
      <w:r>
        <w:rPr>
          <w:rFonts w:ascii="Times New Roman" w:hAnsi="Times New Roman"/>
          <w:b/>
          <w:sz w:val="20"/>
        </w:rPr>
        <w:t xml:space="preserve">Akebia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245 First Street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 02142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240" w:after="0"/>
        <w:jc w:val="center"/>
        <w:rPr>
          <w:rFonts w:ascii="Times New Roman" w:hAnsi="Times New Roman"/>
          <w:b/>
          <w:sz w:val="20"/>
        </w:rPr>
      </w:pPr>
      <w:r>
        <w:rPr>
          <w:rFonts w:ascii="Times New Roman" w:hAnsi="Times New Roman"/>
          <w:b/>
          <w:sz w:val="20"/>
        </w:rPr>
        <w:t>(617) 871-2098</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Please send copies of all communications to: </w:t>
      </w:r>
    </w:p>
    <w:p>
      <w:pPr>
        <w:pStyle w:val="TextBody"/>
        <w:bidi w:val="0"/>
        <w:spacing w:before="120" w:after="0"/>
        <w:jc w:val="center"/>
        <w:rPr>
          <w:rFonts w:ascii="Times New Roman" w:hAnsi="Times New Roman"/>
          <w:b/>
          <w:sz w:val="20"/>
        </w:rPr>
      </w:pPr>
      <w:r>
        <w:rPr>
          <w:rFonts w:ascii="Times New Roman" w:hAnsi="Times New Roman"/>
          <w:b/>
          <w:sz w:val="20"/>
        </w:rPr>
        <w:t xml:space="preserve">Caroline Dotolo </w:t>
      </w:r>
    </w:p>
    <w:p>
      <w:pPr>
        <w:pStyle w:val="TextBody"/>
        <w:bidi w:val="0"/>
        <w:spacing w:before="0" w:after="0"/>
        <w:jc w:val="center"/>
        <w:rPr>
          <w:rFonts w:ascii="Times New Roman" w:hAnsi="Times New Roman"/>
          <w:b/>
          <w:sz w:val="20"/>
        </w:rPr>
      </w:pPr>
      <w:r>
        <w:rPr>
          <w:rFonts w:ascii="Times New Roman" w:hAnsi="Times New Roman"/>
          <w:b/>
          <w:sz w:val="20"/>
        </w:rPr>
        <w:t xml:space="preserve">Wilmer Cutler Pickering Hale and Dorr LLP </w:t>
      </w:r>
    </w:p>
    <w:p>
      <w:pPr>
        <w:pStyle w:val="TextBody"/>
        <w:bidi w:val="0"/>
        <w:spacing w:before="0" w:after="0"/>
        <w:jc w:val="center"/>
        <w:rPr>
          <w:rFonts w:ascii="Times New Roman" w:hAnsi="Times New Roman"/>
          <w:b/>
          <w:sz w:val="20"/>
        </w:rPr>
      </w:pPr>
      <w:r>
        <w:rPr>
          <w:rFonts w:ascii="Times New Roman" w:hAnsi="Times New Roman"/>
          <w:b/>
          <w:sz w:val="20"/>
        </w:rPr>
        <w:t xml:space="preserve">60 State Street </w:t>
      </w:r>
    </w:p>
    <w:p>
      <w:pPr>
        <w:pStyle w:val="TextBody"/>
        <w:bidi w:val="0"/>
        <w:spacing w:before="0" w:after="0"/>
        <w:jc w:val="center"/>
        <w:rPr>
          <w:rFonts w:ascii="Times New Roman" w:hAnsi="Times New Roman"/>
          <w:b/>
          <w:sz w:val="20"/>
        </w:rPr>
      </w:pPr>
      <w:r>
        <w:rPr>
          <w:rFonts w:ascii="Times New Roman" w:hAnsi="Times New Roman"/>
          <w:b/>
          <w:sz w:val="20"/>
        </w:rPr>
        <w:t xml:space="preserve">Boston, MA 02109 </w:t>
      </w:r>
    </w:p>
    <w:p>
      <w:pPr>
        <w:pStyle w:val="TextBody"/>
        <w:bidi w:val="0"/>
        <w:spacing w:before="0" w:after="0"/>
        <w:jc w:val="center"/>
        <w:rPr>
          <w:rFonts w:ascii="Times New Roman" w:hAnsi="Times New Roman"/>
          <w:b/>
          <w:sz w:val="20"/>
        </w:rPr>
      </w:pPr>
      <w:r>
        <w:rPr>
          <w:rFonts w:ascii="Times New Roman" w:hAnsi="Times New Roman"/>
          <w:b/>
          <w:sz w:val="20"/>
        </w:rPr>
        <w:t xml:space="preserve">617-526-6000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Item 1 is omitted from this Registration Statement and included in documents sent or given to participants in the plan covered by this Registration Statement pursuant to Rule 428(b)(1) of the Securities Act of 1933, as amended (the “Securities Act”) and the Note to Part I of Form S-8. </w:t>
      </w:r>
    </w:p>
    <w:p>
      <w:pPr>
        <w:pStyle w:val="TextBody"/>
        <w:bidi w:val="0"/>
        <w:spacing w:before="360" w:after="0"/>
        <w:jc w:val="left"/>
        <w:rPr>
          <w:rFonts w:ascii="Times New Roman" w:hAnsi="Times New Roman"/>
          <w:b/>
          <w:sz w:val="20"/>
        </w:rPr>
      </w:pPr>
      <w:r>
        <w:rPr>
          <w:rFonts w:ascii="Times New Roman" w:hAnsi="Times New Roman"/>
          <w:b/>
          <w:sz w:val="20"/>
        </w:rPr>
        <w:t xml:space="preserve">Item 2. Registrant Information and Employee Plan Annual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written statement required by Item 2 is omitted from this Registration Statement and included in documents sent or given to participants in the plan covered by this Registration Statement pursuant to Rule 428(b)(1) of the Securities Act and the Note to Part I of Form S-8.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 </w:t>
      </w:r>
    </w:p>
    <w:p>
      <w:pPr>
        <w:pStyle w:val="TextBody"/>
        <w:bidi w:val="0"/>
        <w:spacing w:before="120" w:after="0"/>
        <w:jc w:val="left"/>
        <w:rPr/>
      </w:pPr>
      <w:r>
        <w:rPr>
          <w:rFonts w:ascii="Times New Roman" w:hAnsi="Times New Roman"/>
          <w:sz w:val="20"/>
        </w:rPr>
        <w:t xml:space="preserve">(a) The Registrant’s Annual Report on Form 10-K for the fiscal year ended December  31, 2025, as filed with the Commission on </w:t>
      </w:r>
      <w:hyperlink r:id="rId2">
        <w:r>
          <w:rPr>
            <w:rStyle w:val="InternetLink"/>
            <w:rFonts w:ascii="Times New Roman" w:hAnsi="Times New Roman"/>
            <w:sz w:val="20"/>
          </w:rPr>
          <w:t>February 26, 2026</w:t>
        </w:r>
      </w:hyperlink>
      <w:r>
        <w:rPr>
          <w:rFonts w:ascii="Times New Roman" w:hAnsi="Times New Roman"/>
          <w:sz w:val="20"/>
        </w:rPr>
        <w:t>, including the information specifically incorporated by reference into the Registrant’s Annual Report on Form 10-K from the Registrant’s definitive proxy statement for the 2026 Annual Meeting of Stockholders, filed with the Commission on </w:t>
      </w:r>
      <w:hyperlink r:id="rId3">
        <w:r>
          <w:rPr>
            <w:rStyle w:val="InternetLink"/>
            <w:rFonts w:ascii="Times New Roman" w:hAnsi="Times New Roman"/>
            <w:sz w:val="20"/>
          </w:rPr>
          <w:t>April 28, 2026</w:t>
        </w:r>
      </w:hyperlink>
      <w:r>
        <w:rPr>
          <w:rFonts w:ascii="Times New Roman" w:hAnsi="Times New Roman"/>
          <w:sz w:val="20"/>
        </w:rPr>
        <w:t xml:space="preserve">; </w:t>
      </w:r>
    </w:p>
    <w:p>
      <w:pPr>
        <w:pStyle w:val="TextBody"/>
        <w:bidi w:val="0"/>
        <w:spacing w:before="240" w:after="0"/>
        <w:jc w:val="left"/>
        <w:rPr/>
      </w:pPr>
      <w:r>
        <w:rPr>
          <w:rFonts w:ascii="Times New Roman" w:hAnsi="Times New Roman"/>
          <w:sz w:val="20"/>
        </w:rPr>
        <w:t xml:space="preserve">(b) The Registrant’s Quarterly Reports on Form 10-Q for the fiscal quarters ended March 31, 2026 and June 30, 2026, as filed with the Commission on </w:t>
      </w:r>
      <w:hyperlink r:id="rId4">
        <w:r>
          <w:rPr>
            <w:rStyle w:val="InternetLink"/>
            <w:rFonts w:ascii="Times New Roman" w:hAnsi="Times New Roman"/>
            <w:sz w:val="20"/>
          </w:rPr>
          <w:t>May  7, 2026</w:t>
        </w:r>
      </w:hyperlink>
      <w:r>
        <w:rPr>
          <w:rFonts w:ascii="Times New Roman" w:hAnsi="Times New Roman"/>
          <w:sz w:val="20"/>
        </w:rPr>
        <w:t xml:space="preserve"> and </w:t>
      </w:r>
      <w:hyperlink r:id="rId5">
        <w:r>
          <w:rPr>
            <w:rStyle w:val="InternetLink"/>
            <w:rFonts w:ascii="Times New Roman" w:hAnsi="Times New Roman"/>
            <w:sz w:val="20"/>
          </w:rPr>
          <w:t>August 5, 2026</w:t>
        </w:r>
      </w:hyperlink>
      <w:r>
        <w:rPr>
          <w:rFonts w:ascii="Times New Roman" w:hAnsi="Times New Roman"/>
          <w:sz w:val="20"/>
        </w:rPr>
        <w:t xml:space="preserve">, respectively; </w:t>
      </w:r>
    </w:p>
    <w:p>
      <w:pPr>
        <w:pStyle w:val="TextBody"/>
        <w:bidi w:val="0"/>
        <w:spacing w:before="240" w:after="0"/>
        <w:jc w:val="left"/>
        <w:rPr/>
      </w:pPr>
      <w:r>
        <w:rPr>
          <w:rFonts w:ascii="Times New Roman" w:hAnsi="Times New Roman"/>
          <w:sz w:val="20"/>
        </w:rPr>
        <w:t xml:space="preserve">(c) The Registrant’s Current Reports on Form 8-K as filed with the Commission on  </w:t>
      </w:r>
      <w:hyperlink r:id="rId6">
        <w:r>
          <w:rPr>
            <w:rStyle w:val="InternetLink"/>
            <w:rFonts w:ascii="Times New Roman" w:hAnsi="Times New Roman"/>
            <w:sz w:val="20"/>
          </w:rPr>
          <w:t>January  30, 2026</w:t>
        </w:r>
      </w:hyperlink>
      <w:r>
        <w:rPr>
          <w:rFonts w:ascii="Times New Roman" w:hAnsi="Times New Roman"/>
          <w:sz w:val="20"/>
        </w:rPr>
        <w:t xml:space="preserve">, </w:t>
      </w:r>
      <w:hyperlink r:id="rId7">
        <w:r>
          <w:rPr>
            <w:rStyle w:val="InternetLink"/>
            <w:rFonts w:ascii="Times New Roman" w:hAnsi="Times New Roman"/>
            <w:sz w:val="20"/>
          </w:rPr>
          <w:t>April  1, 2026</w:t>
        </w:r>
      </w:hyperlink>
      <w:r>
        <w:rPr>
          <w:rFonts w:ascii="Times New Roman" w:hAnsi="Times New Roman"/>
          <w:sz w:val="20"/>
        </w:rPr>
        <w:t xml:space="preserve">, </w:t>
      </w:r>
      <w:hyperlink r:id="rId8">
        <w:r>
          <w:rPr>
            <w:rStyle w:val="InternetLink"/>
            <w:rFonts w:ascii="Times New Roman" w:hAnsi="Times New Roman"/>
            <w:sz w:val="20"/>
          </w:rPr>
          <w:t>June  22, 2026</w:t>
        </w:r>
      </w:hyperlink>
      <w:r>
        <w:rPr>
          <w:rFonts w:ascii="Times New Roman" w:hAnsi="Times New Roman"/>
          <w:sz w:val="20"/>
        </w:rPr>
        <w:t xml:space="preserve">, and </w:t>
      </w:r>
      <w:hyperlink r:id="rId9">
        <w:r>
          <w:rPr>
            <w:rStyle w:val="InternetLink"/>
            <w:rFonts w:ascii="Times New Roman" w:hAnsi="Times New Roman"/>
            <w:sz w:val="20"/>
          </w:rPr>
          <w:t>June 30, 2026</w:t>
        </w:r>
      </w:hyperlink>
      <w:r>
        <w:rPr>
          <w:rFonts w:ascii="Times New Roman" w:hAnsi="Times New Roman"/>
          <w:sz w:val="20"/>
        </w:rPr>
        <w:t xml:space="preserve">. Any report or portion thereof “furnished” on Form 8-K shall not be incorporated by reference; and </w:t>
      </w:r>
    </w:p>
    <w:p>
      <w:pPr>
        <w:pStyle w:val="TextBody"/>
        <w:bidi w:val="0"/>
        <w:spacing w:before="240" w:after="0"/>
        <w:jc w:val="left"/>
        <w:rPr/>
      </w:pPr>
      <w:r>
        <w:rPr>
          <w:rFonts w:ascii="Times New Roman" w:hAnsi="Times New Roman"/>
          <w:sz w:val="20"/>
        </w:rPr>
        <w:t xml:space="preserve">(d) The description of the Registrant’s securities contained in the Registrant’s Registration Statement on Form  8-A, as filed with the Commission on </w:t>
      </w:r>
      <w:hyperlink r:id="rId10">
        <w:r>
          <w:rPr>
            <w:rStyle w:val="InternetLink"/>
            <w:rFonts w:ascii="Times New Roman" w:hAnsi="Times New Roman"/>
            <w:sz w:val="20"/>
          </w:rPr>
          <w:t>March 12, 2014</w:t>
        </w:r>
      </w:hyperlink>
      <w:r>
        <w:rPr>
          <w:rFonts w:ascii="Times New Roman" w:hAnsi="Times New Roman"/>
          <w:sz w:val="20"/>
        </w:rPr>
        <w:t xml:space="preserve"> under the Exchange Act, as the description therein has been updated and superseded by the description of the Registrant’s capital stock contained in </w:t>
      </w:r>
      <w:hyperlink r:id="rId11">
        <w:r>
          <w:rPr>
            <w:rStyle w:val="InternetLink"/>
            <w:rFonts w:ascii="Times New Roman" w:hAnsi="Times New Roman"/>
            <w:sz w:val="20"/>
          </w:rPr>
          <w:t>Exhibit 4.6</w:t>
        </w:r>
      </w:hyperlink>
      <w:r>
        <w:rPr>
          <w:rFonts w:ascii="Times New Roman" w:hAnsi="Times New Roman"/>
          <w:sz w:val="20"/>
        </w:rPr>
        <w:t xml:space="preserve"> to the Registrant’s Annual Report on Form 10-K for the fiscal year ended December 31, 2020, as filed with the Commission on February 25, 2021, including any amendments or reports filed for the purpose of updating such description. </w:t>
      </w:r>
    </w:p>
    <w:p>
      <w:pPr>
        <w:pStyle w:val="TextBody"/>
        <w:bidi w:val="0"/>
        <w:spacing w:before="240" w:after="0"/>
        <w:jc w:val="left"/>
        <w:rPr>
          <w:rFonts w:ascii="Times New Roman" w:hAnsi="Times New Roman"/>
          <w:sz w:val="20"/>
        </w:rPr>
      </w:pPr>
      <w:r>
        <w:rPr>
          <w:rFonts w:ascii="Times New Roman" w:hAnsi="Times New Roman"/>
          <w:sz w:val="20"/>
        </w:rPr>
        <w:t xml:space="preserve">All documents subsequently filed by the Registrant pursuant to Sections 13(a), 13(c), 14 and 15(d) of the Exchange Act, prior to the filing of a post-effective amendment that indicates that all securities offered hereby have been sold or that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that also is or is deemed to be incorporated by reference herein modifies or supersedes such statement. Any statement so modified or superseded shall not be deemed, except as so modified or superseded, to constitute a part of this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Registrant’s Ninth Amended and Restated Certificate of Incorporation (as amended to date, the “Amended and Restated Certificate of Incorporation”), contains provisions that eliminate, to the maximum extent permitted by the General Corporation Law of the State of Delaware (the “DGCL”), the personal liability of directors for monetary damages for breach of their fiduciary duties as a director. The Registrant’s Amended and Restated Certificate of Incorporation and Second Amended and Restated Bylaws (“Amended and Restated Bylaws”) provide that the Registrant shall indemnify its directors and executive officers and may indemnify its employees and other agents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empowers a Delaware corporation to indemnify any person who was or is a party or is threatened to be made a party to any threatened, pending or completed action, suit or proceeding, whether civil, criminal, administrative or investigative (other than an action by or in the rights of the corporation) by reason of the fact that such person is or was a director, officer, employee or agent of another corporation, partnership, joint venture, trust or other enterprise. The indemnity may include expenses (including attorneys’ fees), judgments, fines and amounts paid in settlement actually and reasonably incurred by such person. The statute provides that it is not exclusive of other rights to which those seeking indemnification may be entitled under any bylaw,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permits a corporation to provide in its charter that a director or officer of the corporation will not be personally liable to the corporation or its stockholders for monetary damages for breach of fiduciary duty as a director or officer, except for liability (1) for any breach of the director’s or officer’s duty of loyalty to the corporation or its stockholders, (2) for a director’s or officer’s acts or omissions not in good faith or which involve intentional misconduct or a knowing violation of law, (3) for a director, for payments of unlawful dividends or unlawful stock purchases or redemptions, (4) for any transaction from which the director or officer derived an improper personal benefit or (5) for an officer, in any action by or in the right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entered into indemnification agreements with each of its directors and officers, in addition to the indemnification provided for in the Registrant’s Amended and Restated Certificate of Incorporation and Amended and Restated Bylaws.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maintains insurance on behalf of any person who is or was a director or officer of the Registrant against any loss arising from any claim asserted against him or her and incurred by him or her in any such capacity, subject to certain exclusions.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incorporated herein by reference: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0"/>
        <w:gridCol w:w="595"/>
        <w:gridCol w:w="8750"/>
      </w:tblGrid>
      <w:tr>
        <w:trPr/>
        <w:tc>
          <w:tcPr>
            <w:tcW w:w="860" w:type="dxa"/>
            <w:tcBorders/>
            <w:vAlign w:val="center"/>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875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595" w:type="dxa"/>
            <w:tcBorders/>
            <w:vAlign w:val="bottom"/>
          </w:tcPr>
          <w:p>
            <w:pPr>
              <w:pStyle w:val="TableContents"/>
              <w:bidi w:val="0"/>
              <w:spacing w:before="0" w:after="283"/>
              <w:jc w:val="left"/>
              <w:rPr/>
            </w:pPr>
            <w:r>
              <w:rPr/>
              <w:t>  </w:t>
            </w:r>
          </w:p>
        </w:tc>
        <w:tc>
          <w:tcPr>
            <w:tcW w:w="87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center"/>
              <w:rPr/>
            </w:pPr>
            <w:r>
              <w:rPr/>
              <w:t>  </w:t>
            </w:r>
            <w:r>
              <w:rPr/>
              <w:t>4.1</w:t>
            </w:r>
          </w:p>
        </w:tc>
        <w:tc>
          <w:tcPr>
            <w:tcW w:w="595" w:type="dxa"/>
            <w:tcBorders/>
            <w:vAlign w:val="bottom"/>
          </w:tcPr>
          <w:p>
            <w:pPr>
              <w:pStyle w:val="TableContents"/>
              <w:bidi w:val="0"/>
              <w:spacing w:before="0" w:after="283"/>
              <w:jc w:val="left"/>
              <w:rPr/>
            </w:pPr>
            <w:r>
              <w:rPr/>
              <w:t>  </w:t>
            </w:r>
          </w:p>
        </w:tc>
        <w:tc>
          <w:tcPr>
            <w:tcW w:w="8750" w:type="dxa"/>
            <w:tcBorders/>
          </w:tcPr>
          <w:p>
            <w:pPr>
              <w:pStyle w:val="TableContents"/>
              <w:bidi w:val="0"/>
              <w:spacing w:before="0" w:after="283"/>
              <w:jc w:val="left"/>
              <w:rPr/>
            </w:pPr>
            <w:hyperlink r:id="rId12">
              <w:r>
                <w:rPr>
                  <w:rStyle w:val="InternetLink"/>
                </w:rPr>
                <w:t>Ninth Amended and Restated Certificate of Incorporation (previously filed as Exhibit 3.1 to the Company’s Current Report on Form 8-K filed on March 28, 2014 (File No. 001-36352) and incorporated herein by reference).</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center"/>
              <w:rPr/>
            </w:pPr>
            <w:r>
              <w:rPr/>
              <w:t>  </w:t>
            </w:r>
            <w:r>
              <w:rPr/>
              <w:t>4.2</w:t>
            </w:r>
          </w:p>
        </w:tc>
        <w:tc>
          <w:tcPr>
            <w:tcW w:w="595" w:type="dxa"/>
            <w:tcBorders/>
            <w:vAlign w:val="bottom"/>
          </w:tcPr>
          <w:p>
            <w:pPr>
              <w:pStyle w:val="TableContents"/>
              <w:bidi w:val="0"/>
              <w:spacing w:before="0" w:after="283"/>
              <w:jc w:val="left"/>
              <w:rPr/>
            </w:pPr>
            <w:r>
              <w:rPr/>
              <w:t>  </w:t>
            </w:r>
          </w:p>
        </w:tc>
        <w:tc>
          <w:tcPr>
            <w:tcW w:w="8750" w:type="dxa"/>
            <w:tcBorders/>
          </w:tcPr>
          <w:p>
            <w:pPr>
              <w:pStyle w:val="TableContents"/>
              <w:bidi w:val="0"/>
              <w:spacing w:before="0" w:after="283"/>
              <w:jc w:val="left"/>
              <w:rPr/>
            </w:pPr>
            <w:hyperlink r:id="rId13">
              <w:r>
                <w:rPr>
                  <w:rStyle w:val="InternetLink"/>
                </w:rPr>
                <w:t>Certificate of Amendment of Ninth Amended and Restated Certificate of Incorporation (previously filed as Exhibit 3.1 to the Company’s Current Report on Form 8-K filed on June 9, 2020 (File No. 001-36352) and incorporated herein by reference).</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center"/>
              <w:rPr/>
            </w:pPr>
            <w:r>
              <w:rPr/>
              <w:t>  </w:t>
            </w:r>
            <w:r>
              <w:rPr/>
              <w:t>4.3</w:t>
            </w:r>
          </w:p>
        </w:tc>
        <w:tc>
          <w:tcPr>
            <w:tcW w:w="595" w:type="dxa"/>
            <w:tcBorders/>
            <w:vAlign w:val="bottom"/>
          </w:tcPr>
          <w:p>
            <w:pPr>
              <w:pStyle w:val="TableContents"/>
              <w:bidi w:val="0"/>
              <w:spacing w:before="0" w:after="283"/>
              <w:jc w:val="left"/>
              <w:rPr/>
            </w:pPr>
            <w:r>
              <w:rPr/>
              <w:t>  </w:t>
            </w:r>
          </w:p>
        </w:tc>
        <w:tc>
          <w:tcPr>
            <w:tcW w:w="8750" w:type="dxa"/>
            <w:tcBorders/>
          </w:tcPr>
          <w:p>
            <w:pPr>
              <w:pStyle w:val="TableContents"/>
              <w:bidi w:val="0"/>
              <w:spacing w:before="0" w:after="283"/>
              <w:jc w:val="left"/>
              <w:rPr/>
            </w:pPr>
            <w:hyperlink r:id="rId14">
              <w:r>
                <w:rPr>
                  <w:rStyle w:val="InternetLink"/>
                </w:rPr>
                <w:t xml:space="preserve">Certificate of Amendment of Ninth Amended and Restated Certificate of Incorporation of Akebia Therapeutics, Inc. (filed as Exhibit 3.3 to the Company’s Quarterly Report on Form 10-Q, filed on August 5, 2026 (File No. 001-36352) and incorporated herein by reference).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center"/>
              <w:rPr/>
            </w:pPr>
            <w:r>
              <w:rPr/>
              <w:t>  </w:t>
            </w:r>
            <w:r>
              <w:rPr/>
              <w:t>4.4</w:t>
            </w:r>
          </w:p>
        </w:tc>
        <w:tc>
          <w:tcPr>
            <w:tcW w:w="595" w:type="dxa"/>
            <w:tcBorders/>
            <w:vAlign w:val="bottom"/>
          </w:tcPr>
          <w:p>
            <w:pPr>
              <w:pStyle w:val="TableContents"/>
              <w:bidi w:val="0"/>
              <w:spacing w:before="0" w:after="283"/>
              <w:jc w:val="left"/>
              <w:rPr/>
            </w:pPr>
            <w:r>
              <w:rPr/>
              <w:t>  </w:t>
            </w:r>
          </w:p>
        </w:tc>
        <w:tc>
          <w:tcPr>
            <w:tcW w:w="8750" w:type="dxa"/>
            <w:tcBorders/>
          </w:tcPr>
          <w:p>
            <w:pPr>
              <w:pStyle w:val="TableContents"/>
              <w:bidi w:val="0"/>
              <w:spacing w:before="0" w:after="283"/>
              <w:jc w:val="left"/>
              <w:rPr/>
            </w:pPr>
            <w:hyperlink r:id="rId15">
              <w:r>
                <w:rPr>
                  <w:rStyle w:val="InternetLink"/>
                </w:rPr>
                <w:t>Second Amended and Restated Bylaws (previously filed as Exhibit 3.1 to the Company’s Current Report on Form 8-K filed on April 28, 2023 (File No. 001-36352) and incorporated herein by reference).</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center"/>
              <w:rPr/>
            </w:pPr>
            <w:r>
              <w:rPr/>
              <w:t>  </w:t>
            </w:r>
            <w:r>
              <w:rPr/>
              <w:t>5.1</w:t>
            </w:r>
          </w:p>
        </w:tc>
        <w:tc>
          <w:tcPr>
            <w:tcW w:w="595" w:type="dxa"/>
            <w:tcBorders/>
            <w:vAlign w:val="bottom"/>
          </w:tcPr>
          <w:p>
            <w:pPr>
              <w:pStyle w:val="TableContents"/>
              <w:bidi w:val="0"/>
              <w:spacing w:before="0" w:after="283"/>
              <w:jc w:val="left"/>
              <w:rPr/>
            </w:pPr>
            <w:r>
              <w:rPr/>
              <w:t>  </w:t>
            </w:r>
          </w:p>
        </w:tc>
        <w:tc>
          <w:tcPr>
            <w:tcW w:w="8750" w:type="dxa"/>
            <w:tcBorders/>
          </w:tcPr>
          <w:p>
            <w:pPr>
              <w:pStyle w:val="TableContents"/>
              <w:bidi w:val="0"/>
              <w:spacing w:before="0" w:after="283"/>
              <w:jc w:val="left"/>
              <w:rPr/>
            </w:pPr>
            <w:hyperlink w:anchor="d74423dex51.htm">
              <w:r>
                <w:rPr>
                  <w:rStyle w:val="InternetLink"/>
                </w:rPr>
                <w:t xml:space="preserve">Opinion of Wilmer Cutler Pickering Hale and Dorr LLP (filed herewith).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center"/>
              <w:rPr/>
            </w:pPr>
            <w:r>
              <w:rPr/>
              <w:t> </w:t>
            </w:r>
            <w:r>
              <w:rPr/>
              <w:t>23.1</w:t>
            </w:r>
          </w:p>
        </w:tc>
        <w:tc>
          <w:tcPr>
            <w:tcW w:w="595" w:type="dxa"/>
            <w:tcBorders/>
            <w:vAlign w:val="bottom"/>
          </w:tcPr>
          <w:p>
            <w:pPr>
              <w:pStyle w:val="TableContents"/>
              <w:bidi w:val="0"/>
              <w:spacing w:before="0" w:after="283"/>
              <w:jc w:val="left"/>
              <w:rPr/>
            </w:pPr>
            <w:r>
              <w:rPr/>
              <w:t>  </w:t>
            </w:r>
          </w:p>
        </w:tc>
        <w:tc>
          <w:tcPr>
            <w:tcW w:w="8750" w:type="dxa"/>
            <w:tcBorders/>
          </w:tcPr>
          <w:p>
            <w:pPr>
              <w:pStyle w:val="TableContents"/>
              <w:bidi w:val="0"/>
              <w:spacing w:before="0" w:after="283"/>
              <w:jc w:val="left"/>
              <w:rPr/>
            </w:pPr>
            <w:hyperlink w:anchor="d74423dex231.htm">
              <w:r>
                <w:rPr>
                  <w:rStyle w:val="InternetLink"/>
                </w:rPr>
                <w:t xml:space="preserve">Consent of Ernst &amp; Young LLP (filed herewith).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center"/>
              <w:rPr/>
            </w:pPr>
            <w:r>
              <w:rPr/>
              <w:t> </w:t>
            </w:r>
            <w:r>
              <w:rPr/>
              <w:t>23.2</w:t>
            </w:r>
          </w:p>
        </w:tc>
        <w:tc>
          <w:tcPr>
            <w:tcW w:w="595" w:type="dxa"/>
            <w:tcBorders/>
            <w:vAlign w:val="bottom"/>
          </w:tcPr>
          <w:p>
            <w:pPr>
              <w:pStyle w:val="TableContents"/>
              <w:bidi w:val="0"/>
              <w:spacing w:before="0" w:after="283"/>
              <w:jc w:val="left"/>
              <w:rPr/>
            </w:pPr>
            <w:r>
              <w:rPr/>
              <w:t>  </w:t>
            </w:r>
          </w:p>
        </w:tc>
        <w:tc>
          <w:tcPr>
            <w:tcW w:w="8750" w:type="dxa"/>
            <w:tcBorders/>
          </w:tcPr>
          <w:p>
            <w:pPr>
              <w:pStyle w:val="TableContents"/>
              <w:bidi w:val="0"/>
              <w:spacing w:before="0" w:after="283"/>
              <w:jc w:val="left"/>
              <w:rPr/>
            </w:pPr>
            <w:hyperlink w:anchor="d74423dex51.htm">
              <w:r>
                <w:rPr>
                  <w:rStyle w:val="InternetLink"/>
                </w:rPr>
                <w:t xml:space="preserve">Consent of Wilmer Cutler Pickering Hale and Dorr LLP (included in the opinion filed as Exhibit 5.1).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center"/>
              <w:rPr/>
            </w:pPr>
            <w:r>
              <w:rPr/>
              <w:t> </w:t>
            </w:r>
            <w:r>
              <w:rPr/>
              <w:t>24.1</w:t>
            </w:r>
          </w:p>
        </w:tc>
        <w:tc>
          <w:tcPr>
            <w:tcW w:w="595" w:type="dxa"/>
            <w:tcBorders/>
            <w:vAlign w:val="bottom"/>
          </w:tcPr>
          <w:p>
            <w:pPr>
              <w:pStyle w:val="TableContents"/>
              <w:bidi w:val="0"/>
              <w:spacing w:before="0" w:after="283"/>
              <w:jc w:val="left"/>
              <w:rPr/>
            </w:pPr>
            <w:r>
              <w:rPr/>
              <w:t>  </w:t>
            </w:r>
          </w:p>
        </w:tc>
        <w:tc>
          <w:tcPr>
            <w:tcW w:w="8750" w:type="dxa"/>
            <w:tcBorders/>
          </w:tcPr>
          <w:p>
            <w:pPr>
              <w:pStyle w:val="TableContents"/>
              <w:bidi w:val="0"/>
              <w:spacing w:before="0" w:after="283"/>
              <w:jc w:val="left"/>
              <w:rPr/>
            </w:pPr>
            <w:hyperlink w:anchor="sig">
              <w:r>
                <w:rPr>
                  <w:rStyle w:val="InternetLink"/>
                </w:rPr>
                <w:t xml:space="preserve">Power of attorney (included on the signature page of this Registration Statement under the caption “Power of Attorney and Signatures”).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center"/>
              <w:rPr/>
            </w:pPr>
            <w:r>
              <w:rPr/>
              <w:t> </w:t>
            </w:r>
            <w:r>
              <w:rPr/>
              <w:t>99.1</w:t>
            </w:r>
          </w:p>
        </w:tc>
        <w:tc>
          <w:tcPr>
            <w:tcW w:w="595" w:type="dxa"/>
            <w:tcBorders/>
            <w:vAlign w:val="bottom"/>
          </w:tcPr>
          <w:p>
            <w:pPr>
              <w:pStyle w:val="TableContents"/>
              <w:bidi w:val="0"/>
              <w:spacing w:before="0" w:after="283"/>
              <w:jc w:val="left"/>
              <w:rPr/>
            </w:pPr>
            <w:r>
              <w:rPr/>
              <w:t>  </w:t>
            </w:r>
          </w:p>
        </w:tc>
        <w:tc>
          <w:tcPr>
            <w:tcW w:w="8750" w:type="dxa"/>
            <w:tcBorders/>
          </w:tcPr>
          <w:p>
            <w:pPr>
              <w:pStyle w:val="TableContents"/>
              <w:bidi w:val="0"/>
              <w:spacing w:before="0" w:after="283"/>
              <w:jc w:val="left"/>
              <w:rPr/>
            </w:pPr>
            <w:hyperlink r:id="rId16">
              <w:r>
                <w:rPr>
                  <w:rStyle w:val="InternetLink"/>
                </w:rPr>
                <w:t>Form of Non-Officer Inducement Award Stock Option Agreement under 2023 Stock Incentive Plan (previously filed as Exhibit 99.2 to the Company’s Registration Statement on Form S-8 (File No. 333-284590) filed on January 30, 2025 and incorporated herein by reference)</w:t>
              </w:r>
            </w:hyperlink>
            <w:r>
              <w:rPr/>
              <w:t>.</w:t>
            </w:r>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center"/>
              <w:rPr/>
            </w:pPr>
            <w:r>
              <w:rPr/>
              <w:t>107</w:t>
            </w:r>
          </w:p>
        </w:tc>
        <w:tc>
          <w:tcPr>
            <w:tcW w:w="595" w:type="dxa"/>
            <w:tcBorders/>
            <w:vAlign w:val="bottom"/>
          </w:tcPr>
          <w:p>
            <w:pPr>
              <w:pStyle w:val="TableContents"/>
              <w:bidi w:val="0"/>
              <w:spacing w:before="0" w:after="283"/>
              <w:jc w:val="left"/>
              <w:rPr/>
            </w:pPr>
            <w:r>
              <w:rPr/>
              <w:t>  </w:t>
            </w:r>
          </w:p>
        </w:tc>
        <w:tc>
          <w:tcPr>
            <w:tcW w:w="8750" w:type="dxa"/>
            <w:tcBorders/>
          </w:tcPr>
          <w:p>
            <w:pPr>
              <w:pStyle w:val="TableContents"/>
              <w:bidi w:val="0"/>
              <w:spacing w:before="0" w:after="283"/>
              <w:jc w:val="left"/>
              <w:rPr/>
            </w:pPr>
            <w:hyperlink w:anchor="d74423dexfilingfees.htm">
              <w:r>
                <w:rPr>
                  <w:rStyle w:val="InternetLink"/>
                </w:rPr>
                <w:t xml:space="preserve">Filing Fee Table (filed herewith). </w:t>
              </w:r>
            </w:hyperlink>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24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paragraphs (a)(1)(i) and (a)(1)(ii) above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5th day of August,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AKEBIA THERAPEUTICS, INC.</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John P. Butler</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John P. Butler</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President and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POWER OF ATTORNEY AND SIGNATURES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John P. Butler and Erik J. Ostrowski, and each of them, either of whom may act without the joinder of the other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4"/>
        <w:gridCol w:w="120"/>
        <w:gridCol w:w="3261"/>
        <w:gridCol w:w="120"/>
        <w:gridCol w:w="3240"/>
      </w:tblGrid>
      <w:tr>
        <w:trPr/>
        <w:tc>
          <w:tcPr>
            <w:tcW w:w="346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40" w:type="dxa"/>
            <w:tcBorders/>
            <w:vAlign w:val="center"/>
          </w:tcPr>
          <w:p>
            <w:pPr>
              <w:pStyle w:val="TableContents"/>
              <w:bidi w:val="0"/>
              <w:spacing w:before="0" w:after="283"/>
              <w:jc w:val="left"/>
              <w:rPr>
                <w:sz w:val="4"/>
                <w:szCs w:val="4"/>
              </w:rPr>
            </w:pPr>
            <w:r>
              <w:rPr>
                <w:sz w:val="4"/>
                <w:szCs w:val="4"/>
              </w:rPr>
            </w:r>
          </w:p>
        </w:tc>
      </w:tr>
      <w:tr>
        <w:trPr/>
        <w:tc>
          <w:tcPr>
            <w:tcW w:w="346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2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Capacity</w:t>
            </w:r>
          </w:p>
        </w:tc>
        <w:tc>
          <w:tcPr>
            <w:tcW w:w="120" w:type="dxa"/>
            <w:tcBorders/>
            <w:vAlign w:val="bottom"/>
          </w:tcPr>
          <w:p>
            <w:pPr>
              <w:pStyle w:val="TableContents"/>
              <w:bidi w:val="0"/>
              <w:spacing w:before="0" w:after="283"/>
              <w:jc w:val="left"/>
              <w:rPr/>
            </w:pPr>
            <w:r>
              <w:rPr/>
              <w:t>  </w:t>
            </w:r>
          </w:p>
        </w:tc>
        <w:tc>
          <w:tcPr>
            <w:tcW w:w="32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464" w:type="dxa"/>
            <w:tcBorders/>
            <w:vAlign w:val="center"/>
          </w:tcPr>
          <w:p>
            <w:pPr>
              <w:pStyle w:val="TableContents"/>
              <w:bidi w:val="0"/>
              <w:spacing w:before="0" w:after="283"/>
              <w:jc w:val="left"/>
              <w:rPr>
                <w:sz w:val="4"/>
                <w:szCs w:val="4"/>
              </w:rPr>
            </w:pPr>
            <w:r>
              <w:rPr>
                <w:sz w:val="4"/>
                <w:szCs w:val="4"/>
              </w:rPr>
            </w:r>
          </w:p>
        </w:tc>
        <w:tc>
          <w:tcPr>
            <w:tcW w:w="3381" w:type="dxa"/>
            <w:gridSpan w:val="2"/>
            <w:tcBorders/>
            <w:vAlign w:val="center"/>
          </w:tcPr>
          <w:p>
            <w:pPr>
              <w:pStyle w:val="TableContents"/>
              <w:bidi w:val="0"/>
              <w:spacing w:before="0" w:after="283"/>
              <w:jc w:val="left"/>
              <w:rPr>
                <w:sz w:val="4"/>
                <w:szCs w:val="4"/>
              </w:rPr>
            </w:pPr>
            <w:r>
              <w:rPr>
                <w:sz w:val="4"/>
                <w:szCs w:val="4"/>
              </w:rPr>
            </w:r>
          </w:p>
        </w:tc>
        <w:tc>
          <w:tcPr>
            <w:tcW w:w="3360" w:type="dxa"/>
            <w:gridSpan w:val="2"/>
            <w:tcBorders/>
            <w:vAlign w:val="center"/>
          </w:tcPr>
          <w:p>
            <w:pPr>
              <w:pStyle w:val="TableContents"/>
              <w:bidi w:val="0"/>
              <w:spacing w:before="0" w:after="283"/>
              <w:jc w:val="left"/>
              <w:rPr>
                <w:sz w:val="4"/>
                <w:szCs w:val="4"/>
              </w:rPr>
            </w:pPr>
            <w:r>
              <w:rPr>
                <w:sz w:val="4"/>
                <w:szCs w:val="4"/>
              </w:rPr>
            </w:r>
          </w:p>
        </w:tc>
      </w:tr>
      <w:tr>
        <w:trPr/>
        <w:tc>
          <w:tcPr>
            <w:tcW w:w="346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Adrian Adams</w:t>
            </w:r>
          </w:p>
          <w:p>
            <w:pPr>
              <w:pStyle w:val="TableContents"/>
              <w:bidi w:val="0"/>
              <w:spacing w:before="0" w:after="20"/>
              <w:jc w:val="center"/>
              <w:rPr>
                <w:rFonts w:ascii="Times New Roman" w:hAnsi="Times New Roman"/>
                <w:sz w:val="20"/>
              </w:rPr>
            </w:pPr>
            <w:r>
              <w:rPr>
                <w:rFonts w:ascii="Times New Roman" w:hAnsi="Times New Roman"/>
                <w:sz w:val="20"/>
              </w:rPr>
              <w:t>Adrian Adams</w:t>
            </w:r>
          </w:p>
        </w:tc>
        <w:tc>
          <w:tcPr>
            <w:tcW w:w="120" w:type="dxa"/>
            <w:tcBorders/>
            <w:vAlign w:val="bottom"/>
          </w:tcPr>
          <w:p>
            <w:pPr>
              <w:pStyle w:val="TableContents"/>
              <w:bidi w:val="0"/>
              <w:spacing w:before="0" w:after="283"/>
              <w:jc w:val="left"/>
              <w:rPr/>
            </w:pPr>
            <w:r>
              <w:rPr/>
              <w:t>  </w:t>
            </w:r>
          </w:p>
        </w:tc>
        <w:tc>
          <w:tcPr>
            <w:tcW w:w="3261" w:type="dxa"/>
            <w:tcBorders/>
          </w:tcPr>
          <w:p>
            <w:pPr>
              <w:pStyle w:val="TableContents"/>
              <w:bidi w:val="0"/>
              <w:spacing w:before="0" w:after="283"/>
              <w:jc w:val="center"/>
              <w:rPr/>
            </w:pPr>
            <w:r>
              <w:rPr/>
              <w:t>Chairperson and Director</w:t>
            </w:r>
          </w:p>
        </w:tc>
        <w:tc>
          <w:tcPr>
            <w:tcW w:w="120" w:type="dxa"/>
            <w:tcBorders/>
            <w:vAlign w:val="bottom"/>
          </w:tcPr>
          <w:p>
            <w:pPr>
              <w:pStyle w:val="TableContents"/>
              <w:bidi w:val="0"/>
              <w:spacing w:before="0" w:after="283"/>
              <w:jc w:val="left"/>
              <w:rPr/>
            </w:pPr>
            <w:r>
              <w:rPr/>
              <w:t>  </w:t>
            </w:r>
          </w:p>
        </w:tc>
        <w:tc>
          <w:tcPr>
            <w:tcW w:w="3240" w:type="dxa"/>
            <w:tcBorders/>
          </w:tcPr>
          <w:p>
            <w:pPr>
              <w:pStyle w:val="TableContents"/>
              <w:bidi w:val="0"/>
              <w:spacing w:before="0" w:after="283"/>
              <w:jc w:val="center"/>
              <w:rPr/>
            </w:pPr>
            <w:r>
              <w:rPr/>
              <w:t>August 5, 2026</w:t>
            </w:r>
          </w:p>
        </w:tc>
      </w:tr>
      <w:tr>
        <w:trPr>
          <w:trHeight w:val="240" w:hRule="atLeast"/>
        </w:trPr>
        <w:tc>
          <w:tcPr>
            <w:tcW w:w="3464" w:type="dxa"/>
            <w:tcBorders/>
            <w:vAlign w:val="center"/>
          </w:tcPr>
          <w:p>
            <w:pPr>
              <w:pStyle w:val="TableContents"/>
              <w:bidi w:val="0"/>
              <w:spacing w:before="0" w:after="283"/>
              <w:jc w:val="left"/>
              <w:rPr>
                <w:sz w:val="4"/>
                <w:szCs w:val="4"/>
              </w:rPr>
            </w:pPr>
            <w:r>
              <w:rPr>
                <w:sz w:val="4"/>
                <w:szCs w:val="4"/>
              </w:rPr>
            </w:r>
          </w:p>
        </w:tc>
        <w:tc>
          <w:tcPr>
            <w:tcW w:w="3381" w:type="dxa"/>
            <w:gridSpan w:val="2"/>
            <w:tcBorders/>
            <w:vAlign w:val="center"/>
          </w:tcPr>
          <w:p>
            <w:pPr>
              <w:pStyle w:val="TableContents"/>
              <w:bidi w:val="0"/>
              <w:spacing w:before="0" w:after="283"/>
              <w:jc w:val="left"/>
              <w:rPr>
                <w:sz w:val="4"/>
                <w:szCs w:val="4"/>
              </w:rPr>
            </w:pPr>
            <w:r>
              <w:rPr>
                <w:sz w:val="4"/>
                <w:szCs w:val="4"/>
              </w:rPr>
            </w:r>
          </w:p>
        </w:tc>
        <w:tc>
          <w:tcPr>
            <w:tcW w:w="3360" w:type="dxa"/>
            <w:gridSpan w:val="2"/>
            <w:tcBorders/>
            <w:vAlign w:val="center"/>
          </w:tcPr>
          <w:p>
            <w:pPr>
              <w:pStyle w:val="TableContents"/>
              <w:bidi w:val="0"/>
              <w:spacing w:before="0" w:after="283"/>
              <w:jc w:val="left"/>
              <w:rPr>
                <w:sz w:val="4"/>
                <w:szCs w:val="4"/>
              </w:rPr>
            </w:pPr>
            <w:r>
              <w:rPr>
                <w:sz w:val="4"/>
                <w:szCs w:val="4"/>
              </w:rPr>
            </w:r>
          </w:p>
        </w:tc>
      </w:tr>
      <w:tr>
        <w:trPr/>
        <w:tc>
          <w:tcPr>
            <w:tcW w:w="346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John P. Butler</w:t>
            </w:r>
          </w:p>
          <w:p>
            <w:pPr>
              <w:pStyle w:val="TableContents"/>
              <w:bidi w:val="0"/>
              <w:spacing w:before="0" w:after="20"/>
              <w:jc w:val="center"/>
              <w:rPr>
                <w:rFonts w:ascii="Times New Roman" w:hAnsi="Times New Roman"/>
                <w:sz w:val="20"/>
              </w:rPr>
            </w:pPr>
            <w:r>
              <w:rPr>
                <w:rFonts w:ascii="Times New Roman" w:hAnsi="Times New Roman"/>
                <w:sz w:val="20"/>
              </w:rPr>
              <w:t>John P. Butler</w:t>
            </w:r>
          </w:p>
        </w:tc>
        <w:tc>
          <w:tcPr>
            <w:tcW w:w="120" w:type="dxa"/>
            <w:tcBorders/>
            <w:vAlign w:val="bottom"/>
          </w:tcPr>
          <w:p>
            <w:pPr>
              <w:pStyle w:val="TableContents"/>
              <w:bidi w:val="0"/>
              <w:spacing w:before="0" w:after="283"/>
              <w:jc w:val="left"/>
              <w:rPr/>
            </w:pPr>
            <w:r>
              <w:rPr/>
              <w:t>  </w:t>
            </w:r>
          </w:p>
        </w:tc>
        <w:tc>
          <w:tcPr>
            <w:tcW w:w="3261" w:type="dxa"/>
            <w:tcBorders/>
          </w:tcPr>
          <w:p>
            <w:pPr>
              <w:pStyle w:val="TableContents"/>
              <w:bidi w:val="0"/>
              <w:spacing w:before="0" w:after="283"/>
              <w:jc w:val="center"/>
              <w:rPr/>
            </w:pPr>
            <w:r>
              <w:rPr/>
              <w:t>Director, President and Chief Executive Officer (Principal Executive Officer)</w:t>
            </w:r>
          </w:p>
        </w:tc>
        <w:tc>
          <w:tcPr>
            <w:tcW w:w="120" w:type="dxa"/>
            <w:tcBorders/>
            <w:vAlign w:val="bottom"/>
          </w:tcPr>
          <w:p>
            <w:pPr>
              <w:pStyle w:val="TableContents"/>
              <w:bidi w:val="0"/>
              <w:spacing w:before="0" w:after="283"/>
              <w:jc w:val="left"/>
              <w:rPr/>
            </w:pPr>
            <w:r>
              <w:rPr/>
              <w:t>  </w:t>
            </w:r>
          </w:p>
        </w:tc>
        <w:tc>
          <w:tcPr>
            <w:tcW w:w="3240" w:type="dxa"/>
            <w:tcBorders/>
          </w:tcPr>
          <w:p>
            <w:pPr>
              <w:pStyle w:val="TableContents"/>
              <w:bidi w:val="0"/>
              <w:spacing w:before="0" w:after="283"/>
              <w:jc w:val="center"/>
              <w:rPr/>
            </w:pPr>
            <w:r>
              <w:rPr/>
              <w:t>August 5, 2026</w:t>
            </w:r>
          </w:p>
        </w:tc>
      </w:tr>
      <w:tr>
        <w:trPr>
          <w:trHeight w:val="240" w:hRule="atLeast"/>
        </w:trPr>
        <w:tc>
          <w:tcPr>
            <w:tcW w:w="3464" w:type="dxa"/>
            <w:tcBorders/>
            <w:vAlign w:val="center"/>
          </w:tcPr>
          <w:p>
            <w:pPr>
              <w:pStyle w:val="TableContents"/>
              <w:bidi w:val="0"/>
              <w:spacing w:before="0" w:after="283"/>
              <w:jc w:val="left"/>
              <w:rPr>
                <w:sz w:val="4"/>
                <w:szCs w:val="4"/>
              </w:rPr>
            </w:pPr>
            <w:r>
              <w:rPr>
                <w:sz w:val="4"/>
                <w:szCs w:val="4"/>
              </w:rPr>
            </w:r>
          </w:p>
        </w:tc>
        <w:tc>
          <w:tcPr>
            <w:tcW w:w="3381" w:type="dxa"/>
            <w:gridSpan w:val="2"/>
            <w:tcBorders/>
            <w:vAlign w:val="center"/>
          </w:tcPr>
          <w:p>
            <w:pPr>
              <w:pStyle w:val="TableContents"/>
              <w:bidi w:val="0"/>
              <w:spacing w:before="0" w:after="283"/>
              <w:jc w:val="left"/>
              <w:rPr>
                <w:sz w:val="4"/>
                <w:szCs w:val="4"/>
              </w:rPr>
            </w:pPr>
            <w:r>
              <w:rPr>
                <w:sz w:val="4"/>
                <w:szCs w:val="4"/>
              </w:rPr>
            </w:r>
          </w:p>
        </w:tc>
        <w:tc>
          <w:tcPr>
            <w:tcW w:w="3360" w:type="dxa"/>
            <w:gridSpan w:val="2"/>
            <w:tcBorders/>
            <w:vAlign w:val="center"/>
          </w:tcPr>
          <w:p>
            <w:pPr>
              <w:pStyle w:val="TableContents"/>
              <w:bidi w:val="0"/>
              <w:spacing w:before="0" w:after="283"/>
              <w:jc w:val="left"/>
              <w:rPr>
                <w:sz w:val="4"/>
                <w:szCs w:val="4"/>
              </w:rPr>
            </w:pPr>
            <w:r>
              <w:rPr>
                <w:sz w:val="4"/>
                <w:szCs w:val="4"/>
              </w:rPr>
            </w:r>
          </w:p>
        </w:tc>
      </w:tr>
      <w:tr>
        <w:trPr/>
        <w:tc>
          <w:tcPr>
            <w:tcW w:w="346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Erik J. Ostrowski</w:t>
            </w:r>
          </w:p>
          <w:p>
            <w:pPr>
              <w:pStyle w:val="TableContents"/>
              <w:bidi w:val="0"/>
              <w:spacing w:before="0" w:after="20"/>
              <w:jc w:val="center"/>
              <w:rPr>
                <w:rFonts w:ascii="Times New Roman" w:hAnsi="Times New Roman"/>
                <w:sz w:val="20"/>
              </w:rPr>
            </w:pPr>
            <w:r>
              <w:rPr>
                <w:rFonts w:ascii="Times New Roman" w:hAnsi="Times New Roman"/>
                <w:sz w:val="20"/>
              </w:rPr>
              <w:t>Erik J. Ostrowski</w:t>
            </w:r>
          </w:p>
        </w:tc>
        <w:tc>
          <w:tcPr>
            <w:tcW w:w="120" w:type="dxa"/>
            <w:tcBorders/>
            <w:vAlign w:val="bottom"/>
          </w:tcPr>
          <w:p>
            <w:pPr>
              <w:pStyle w:val="TableContents"/>
              <w:bidi w:val="0"/>
              <w:spacing w:before="0" w:after="283"/>
              <w:jc w:val="left"/>
              <w:rPr/>
            </w:pPr>
            <w:r>
              <w:rPr/>
              <w:t>  </w:t>
            </w:r>
          </w:p>
        </w:tc>
        <w:tc>
          <w:tcPr>
            <w:tcW w:w="3261" w:type="dxa"/>
            <w:tcBorders/>
          </w:tcPr>
          <w:p>
            <w:pPr>
              <w:pStyle w:val="TableContents"/>
              <w:bidi w:val="0"/>
              <w:spacing w:before="0" w:after="283"/>
              <w:jc w:val="center"/>
              <w:rPr/>
            </w:pPr>
            <w:r>
              <w:rPr/>
              <w:t>Senior Vice President, Chief Financial Officer, Chief Business Officer and Treasurer (Principal Financial Officer)</w:t>
            </w:r>
          </w:p>
        </w:tc>
        <w:tc>
          <w:tcPr>
            <w:tcW w:w="120" w:type="dxa"/>
            <w:tcBorders/>
            <w:vAlign w:val="bottom"/>
          </w:tcPr>
          <w:p>
            <w:pPr>
              <w:pStyle w:val="TableContents"/>
              <w:bidi w:val="0"/>
              <w:spacing w:before="0" w:after="283"/>
              <w:jc w:val="left"/>
              <w:rPr/>
            </w:pPr>
            <w:r>
              <w:rPr/>
              <w:t>  </w:t>
            </w:r>
          </w:p>
        </w:tc>
        <w:tc>
          <w:tcPr>
            <w:tcW w:w="3240" w:type="dxa"/>
            <w:tcBorders/>
          </w:tcPr>
          <w:p>
            <w:pPr>
              <w:pStyle w:val="TableContents"/>
              <w:bidi w:val="0"/>
              <w:spacing w:before="0" w:after="283"/>
              <w:jc w:val="center"/>
              <w:rPr/>
            </w:pPr>
            <w:r>
              <w:rPr/>
              <w:t>August 5, 2026</w:t>
            </w:r>
          </w:p>
        </w:tc>
      </w:tr>
      <w:tr>
        <w:trPr>
          <w:trHeight w:val="240" w:hRule="atLeast"/>
        </w:trPr>
        <w:tc>
          <w:tcPr>
            <w:tcW w:w="3464" w:type="dxa"/>
            <w:tcBorders/>
            <w:vAlign w:val="center"/>
          </w:tcPr>
          <w:p>
            <w:pPr>
              <w:pStyle w:val="TableContents"/>
              <w:bidi w:val="0"/>
              <w:spacing w:before="0" w:after="283"/>
              <w:jc w:val="left"/>
              <w:rPr>
                <w:sz w:val="4"/>
                <w:szCs w:val="4"/>
              </w:rPr>
            </w:pPr>
            <w:r>
              <w:rPr>
                <w:sz w:val="4"/>
                <w:szCs w:val="4"/>
              </w:rPr>
            </w:r>
          </w:p>
        </w:tc>
        <w:tc>
          <w:tcPr>
            <w:tcW w:w="3381" w:type="dxa"/>
            <w:gridSpan w:val="2"/>
            <w:tcBorders/>
            <w:vAlign w:val="center"/>
          </w:tcPr>
          <w:p>
            <w:pPr>
              <w:pStyle w:val="TableContents"/>
              <w:bidi w:val="0"/>
              <w:spacing w:before="0" w:after="283"/>
              <w:jc w:val="left"/>
              <w:rPr>
                <w:sz w:val="4"/>
                <w:szCs w:val="4"/>
              </w:rPr>
            </w:pPr>
            <w:r>
              <w:rPr>
                <w:sz w:val="4"/>
                <w:szCs w:val="4"/>
              </w:rPr>
            </w:r>
          </w:p>
        </w:tc>
        <w:tc>
          <w:tcPr>
            <w:tcW w:w="3360" w:type="dxa"/>
            <w:gridSpan w:val="2"/>
            <w:tcBorders/>
            <w:vAlign w:val="center"/>
          </w:tcPr>
          <w:p>
            <w:pPr>
              <w:pStyle w:val="TableContents"/>
              <w:bidi w:val="0"/>
              <w:spacing w:before="0" w:after="283"/>
              <w:jc w:val="left"/>
              <w:rPr>
                <w:sz w:val="4"/>
                <w:szCs w:val="4"/>
              </w:rPr>
            </w:pPr>
            <w:r>
              <w:rPr>
                <w:sz w:val="4"/>
                <w:szCs w:val="4"/>
              </w:rPr>
            </w:r>
          </w:p>
        </w:tc>
      </w:tr>
      <w:tr>
        <w:trPr/>
        <w:tc>
          <w:tcPr>
            <w:tcW w:w="346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Richard C. Malabre</w:t>
            </w:r>
          </w:p>
          <w:p>
            <w:pPr>
              <w:pStyle w:val="TableContents"/>
              <w:bidi w:val="0"/>
              <w:spacing w:before="0" w:after="20"/>
              <w:jc w:val="center"/>
              <w:rPr>
                <w:rFonts w:ascii="Times New Roman" w:hAnsi="Times New Roman"/>
                <w:sz w:val="20"/>
              </w:rPr>
            </w:pPr>
            <w:r>
              <w:rPr>
                <w:rFonts w:ascii="Times New Roman" w:hAnsi="Times New Roman"/>
                <w:sz w:val="20"/>
              </w:rPr>
              <w:t>Richard C. Malabre</w:t>
            </w:r>
          </w:p>
        </w:tc>
        <w:tc>
          <w:tcPr>
            <w:tcW w:w="120" w:type="dxa"/>
            <w:tcBorders/>
            <w:vAlign w:val="bottom"/>
          </w:tcPr>
          <w:p>
            <w:pPr>
              <w:pStyle w:val="TableContents"/>
              <w:bidi w:val="0"/>
              <w:spacing w:before="0" w:after="283"/>
              <w:jc w:val="left"/>
              <w:rPr/>
            </w:pPr>
            <w:r>
              <w:rPr/>
              <w:t>  </w:t>
            </w:r>
          </w:p>
        </w:tc>
        <w:tc>
          <w:tcPr>
            <w:tcW w:w="3261" w:type="dxa"/>
            <w:tcBorders/>
          </w:tcPr>
          <w:p>
            <w:pPr>
              <w:pStyle w:val="TableContents"/>
              <w:bidi w:val="0"/>
              <w:spacing w:before="0" w:after="283"/>
              <w:jc w:val="center"/>
              <w:rPr/>
            </w:pPr>
            <w:r>
              <w:rPr/>
              <w:t>Senior Vice President, Chief Accounting Officer (Principal Accounting Officer)</w:t>
            </w:r>
          </w:p>
        </w:tc>
        <w:tc>
          <w:tcPr>
            <w:tcW w:w="120" w:type="dxa"/>
            <w:tcBorders/>
            <w:vAlign w:val="bottom"/>
          </w:tcPr>
          <w:p>
            <w:pPr>
              <w:pStyle w:val="TableContents"/>
              <w:bidi w:val="0"/>
              <w:spacing w:before="0" w:after="283"/>
              <w:jc w:val="left"/>
              <w:rPr/>
            </w:pPr>
            <w:r>
              <w:rPr/>
              <w:t>  </w:t>
            </w:r>
          </w:p>
        </w:tc>
        <w:tc>
          <w:tcPr>
            <w:tcW w:w="3240" w:type="dxa"/>
            <w:tcBorders/>
          </w:tcPr>
          <w:p>
            <w:pPr>
              <w:pStyle w:val="TableContents"/>
              <w:bidi w:val="0"/>
              <w:spacing w:before="0" w:after="283"/>
              <w:jc w:val="center"/>
              <w:rPr/>
            </w:pPr>
            <w:r>
              <w:rPr/>
              <w:t>August 5, 2026</w:t>
            </w:r>
          </w:p>
        </w:tc>
      </w:tr>
      <w:tr>
        <w:trPr>
          <w:trHeight w:val="240" w:hRule="atLeast"/>
        </w:trPr>
        <w:tc>
          <w:tcPr>
            <w:tcW w:w="3464" w:type="dxa"/>
            <w:tcBorders/>
            <w:vAlign w:val="center"/>
          </w:tcPr>
          <w:p>
            <w:pPr>
              <w:pStyle w:val="TableContents"/>
              <w:bidi w:val="0"/>
              <w:spacing w:before="0" w:after="283"/>
              <w:jc w:val="left"/>
              <w:rPr>
                <w:sz w:val="4"/>
                <w:szCs w:val="4"/>
              </w:rPr>
            </w:pPr>
            <w:r>
              <w:rPr>
                <w:sz w:val="4"/>
                <w:szCs w:val="4"/>
              </w:rPr>
            </w:r>
          </w:p>
        </w:tc>
        <w:tc>
          <w:tcPr>
            <w:tcW w:w="3381" w:type="dxa"/>
            <w:gridSpan w:val="2"/>
            <w:tcBorders/>
            <w:vAlign w:val="center"/>
          </w:tcPr>
          <w:p>
            <w:pPr>
              <w:pStyle w:val="TableContents"/>
              <w:bidi w:val="0"/>
              <w:spacing w:before="0" w:after="283"/>
              <w:jc w:val="left"/>
              <w:rPr>
                <w:sz w:val="4"/>
                <w:szCs w:val="4"/>
              </w:rPr>
            </w:pPr>
            <w:r>
              <w:rPr>
                <w:sz w:val="4"/>
                <w:szCs w:val="4"/>
              </w:rPr>
            </w:r>
          </w:p>
        </w:tc>
        <w:tc>
          <w:tcPr>
            <w:tcW w:w="3360" w:type="dxa"/>
            <w:gridSpan w:val="2"/>
            <w:tcBorders/>
            <w:vAlign w:val="center"/>
          </w:tcPr>
          <w:p>
            <w:pPr>
              <w:pStyle w:val="TableContents"/>
              <w:bidi w:val="0"/>
              <w:spacing w:before="0" w:after="283"/>
              <w:jc w:val="left"/>
              <w:rPr>
                <w:sz w:val="4"/>
                <w:szCs w:val="4"/>
              </w:rPr>
            </w:pPr>
            <w:r>
              <w:rPr>
                <w:sz w:val="4"/>
                <w:szCs w:val="4"/>
              </w:rPr>
            </w:r>
          </w:p>
        </w:tc>
      </w:tr>
      <w:tr>
        <w:trPr/>
        <w:tc>
          <w:tcPr>
            <w:tcW w:w="346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Ron Frieson</w:t>
            </w:r>
          </w:p>
          <w:p>
            <w:pPr>
              <w:pStyle w:val="TableContents"/>
              <w:bidi w:val="0"/>
              <w:spacing w:before="0" w:after="20"/>
              <w:jc w:val="center"/>
              <w:rPr>
                <w:rFonts w:ascii="Times New Roman" w:hAnsi="Times New Roman"/>
                <w:sz w:val="20"/>
              </w:rPr>
            </w:pPr>
            <w:r>
              <w:rPr>
                <w:rFonts w:ascii="Times New Roman" w:hAnsi="Times New Roman"/>
                <w:sz w:val="20"/>
              </w:rPr>
              <w:t>Ron Frieson</w:t>
            </w:r>
          </w:p>
        </w:tc>
        <w:tc>
          <w:tcPr>
            <w:tcW w:w="120" w:type="dxa"/>
            <w:tcBorders/>
            <w:vAlign w:val="bottom"/>
          </w:tcPr>
          <w:p>
            <w:pPr>
              <w:pStyle w:val="TableContents"/>
              <w:bidi w:val="0"/>
              <w:spacing w:before="0" w:after="283"/>
              <w:jc w:val="left"/>
              <w:rPr/>
            </w:pPr>
            <w:r>
              <w:rPr/>
              <w:t>  </w:t>
            </w:r>
          </w:p>
        </w:tc>
        <w:tc>
          <w:tcPr>
            <w:tcW w:w="3261"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3240" w:type="dxa"/>
            <w:tcBorders/>
          </w:tcPr>
          <w:p>
            <w:pPr>
              <w:pStyle w:val="TableContents"/>
              <w:bidi w:val="0"/>
              <w:spacing w:before="0" w:after="283"/>
              <w:jc w:val="center"/>
              <w:rPr/>
            </w:pPr>
            <w:r>
              <w:rPr/>
              <w:t>August 5, 2026</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483"/>
        <w:gridCol w:w="120"/>
        <w:gridCol w:w="3212"/>
        <w:gridCol w:w="120"/>
        <w:gridCol w:w="3270"/>
      </w:tblGrid>
      <w:tr>
        <w:trPr/>
        <w:tc>
          <w:tcPr>
            <w:tcW w:w="348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70" w:type="dxa"/>
            <w:tcBorders/>
            <w:vAlign w:val="center"/>
          </w:tcPr>
          <w:p>
            <w:pPr>
              <w:pStyle w:val="TableContents"/>
              <w:bidi w:val="0"/>
              <w:spacing w:before="0" w:after="283"/>
              <w:jc w:val="left"/>
              <w:rPr>
                <w:sz w:val="4"/>
                <w:szCs w:val="4"/>
              </w:rPr>
            </w:pPr>
            <w:r>
              <w:rPr>
                <w:sz w:val="4"/>
                <w:szCs w:val="4"/>
              </w:rPr>
            </w:r>
          </w:p>
        </w:tc>
      </w:tr>
      <w:tr>
        <w:trPr/>
        <w:tc>
          <w:tcPr>
            <w:tcW w:w="348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2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Capacity</w:t>
            </w:r>
          </w:p>
        </w:tc>
        <w:tc>
          <w:tcPr>
            <w:tcW w:w="120" w:type="dxa"/>
            <w:tcBorders/>
            <w:vAlign w:val="bottom"/>
          </w:tcPr>
          <w:p>
            <w:pPr>
              <w:pStyle w:val="TableContents"/>
              <w:bidi w:val="0"/>
              <w:spacing w:before="0" w:after="283"/>
              <w:jc w:val="left"/>
              <w:rPr/>
            </w:pPr>
            <w:r>
              <w:rPr/>
              <w:t>  </w:t>
            </w:r>
          </w:p>
        </w:tc>
        <w:tc>
          <w:tcPr>
            <w:tcW w:w="32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483" w:type="dxa"/>
            <w:tcBorders/>
            <w:vAlign w:val="center"/>
          </w:tcPr>
          <w:p>
            <w:pPr>
              <w:pStyle w:val="TableContents"/>
              <w:bidi w:val="0"/>
              <w:spacing w:before="0" w:after="283"/>
              <w:jc w:val="left"/>
              <w:rPr>
                <w:sz w:val="4"/>
                <w:szCs w:val="4"/>
              </w:rPr>
            </w:pPr>
            <w:r>
              <w:rPr>
                <w:sz w:val="4"/>
                <w:szCs w:val="4"/>
              </w:rPr>
            </w:r>
          </w:p>
        </w:tc>
        <w:tc>
          <w:tcPr>
            <w:tcW w:w="3332" w:type="dxa"/>
            <w:gridSpan w:val="2"/>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Rogers</w:t>
            </w:r>
          </w:p>
          <w:p>
            <w:pPr>
              <w:pStyle w:val="TableContents"/>
              <w:bidi w:val="0"/>
              <w:spacing w:before="0" w:after="20"/>
              <w:jc w:val="center"/>
              <w:rPr>
                <w:rFonts w:ascii="Times New Roman" w:hAnsi="Times New Roman"/>
                <w:sz w:val="20"/>
              </w:rPr>
            </w:pPr>
            <w:r>
              <w:rPr>
                <w:rFonts w:ascii="Times New Roman" w:hAnsi="Times New Roman"/>
                <w:sz w:val="20"/>
              </w:rPr>
              <w:t>Michael Rogers</w:t>
            </w:r>
          </w:p>
        </w:tc>
        <w:tc>
          <w:tcPr>
            <w:tcW w:w="120" w:type="dxa"/>
            <w:tcBorders/>
            <w:vAlign w:val="bottom"/>
          </w:tcPr>
          <w:p>
            <w:pPr>
              <w:pStyle w:val="TableContents"/>
              <w:bidi w:val="0"/>
              <w:spacing w:before="0" w:after="283"/>
              <w:jc w:val="left"/>
              <w:rPr/>
            </w:pPr>
            <w:r>
              <w:rPr/>
              <w:t>  </w:t>
            </w:r>
          </w:p>
        </w:tc>
        <w:tc>
          <w:tcPr>
            <w:tcW w:w="3212"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3270" w:type="dxa"/>
            <w:tcBorders/>
          </w:tcPr>
          <w:p>
            <w:pPr>
              <w:pStyle w:val="TableContents"/>
              <w:bidi w:val="0"/>
              <w:spacing w:before="0" w:after="283"/>
              <w:jc w:val="center"/>
              <w:rPr/>
            </w:pPr>
            <w:r>
              <w:rPr/>
              <w:t>August 5, 2026</w:t>
            </w:r>
          </w:p>
        </w:tc>
      </w:tr>
      <w:tr>
        <w:trPr>
          <w:trHeight w:val="240" w:hRule="atLeast"/>
        </w:trPr>
        <w:tc>
          <w:tcPr>
            <w:tcW w:w="3483" w:type="dxa"/>
            <w:tcBorders/>
            <w:vAlign w:val="center"/>
          </w:tcPr>
          <w:p>
            <w:pPr>
              <w:pStyle w:val="TableContents"/>
              <w:bidi w:val="0"/>
              <w:spacing w:before="0" w:after="283"/>
              <w:jc w:val="left"/>
              <w:rPr>
                <w:sz w:val="4"/>
                <w:szCs w:val="4"/>
              </w:rPr>
            </w:pPr>
            <w:r>
              <w:rPr>
                <w:sz w:val="4"/>
                <w:szCs w:val="4"/>
              </w:rPr>
            </w:r>
          </w:p>
        </w:tc>
        <w:tc>
          <w:tcPr>
            <w:tcW w:w="3332" w:type="dxa"/>
            <w:gridSpan w:val="2"/>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Cynthia Smith</w:t>
            </w:r>
          </w:p>
          <w:p>
            <w:pPr>
              <w:pStyle w:val="TableContents"/>
              <w:bidi w:val="0"/>
              <w:spacing w:before="0" w:after="20"/>
              <w:jc w:val="center"/>
              <w:rPr>
                <w:rFonts w:ascii="Times New Roman" w:hAnsi="Times New Roman"/>
                <w:sz w:val="20"/>
              </w:rPr>
            </w:pPr>
            <w:r>
              <w:rPr>
                <w:rFonts w:ascii="Times New Roman" w:hAnsi="Times New Roman"/>
                <w:sz w:val="20"/>
              </w:rPr>
              <w:t>Cynthia Smith</w:t>
            </w:r>
          </w:p>
        </w:tc>
        <w:tc>
          <w:tcPr>
            <w:tcW w:w="120" w:type="dxa"/>
            <w:tcBorders/>
            <w:vAlign w:val="bottom"/>
          </w:tcPr>
          <w:p>
            <w:pPr>
              <w:pStyle w:val="TableContents"/>
              <w:bidi w:val="0"/>
              <w:spacing w:before="0" w:after="283"/>
              <w:jc w:val="left"/>
              <w:rPr/>
            </w:pPr>
            <w:r>
              <w:rPr/>
              <w:t>  </w:t>
            </w:r>
          </w:p>
        </w:tc>
        <w:tc>
          <w:tcPr>
            <w:tcW w:w="3212"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3270" w:type="dxa"/>
            <w:tcBorders/>
          </w:tcPr>
          <w:p>
            <w:pPr>
              <w:pStyle w:val="TableContents"/>
              <w:bidi w:val="0"/>
              <w:spacing w:before="0" w:after="283"/>
              <w:jc w:val="center"/>
              <w:rPr/>
            </w:pPr>
            <w:r>
              <w:rPr/>
              <w:t>August 5, 2026</w:t>
            </w:r>
          </w:p>
        </w:tc>
      </w:tr>
      <w:tr>
        <w:trPr>
          <w:trHeight w:val="240" w:hRule="atLeast"/>
        </w:trPr>
        <w:tc>
          <w:tcPr>
            <w:tcW w:w="3483" w:type="dxa"/>
            <w:tcBorders/>
            <w:vAlign w:val="center"/>
          </w:tcPr>
          <w:p>
            <w:pPr>
              <w:pStyle w:val="TableContents"/>
              <w:bidi w:val="0"/>
              <w:spacing w:before="0" w:after="283"/>
              <w:jc w:val="left"/>
              <w:rPr>
                <w:sz w:val="4"/>
                <w:szCs w:val="4"/>
              </w:rPr>
            </w:pPr>
            <w:r>
              <w:rPr>
                <w:sz w:val="4"/>
                <w:szCs w:val="4"/>
              </w:rPr>
            </w:r>
          </w:p>
        </w:tc>
        <w:tc>
          <w:tcPr>
            <w:tcW w:w="3332" w:type="dxa"/>
            <w:gridSpan w:val="2"/>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Philip J. Vickers</w:t>
            </w:r>
          </w:p>
          <w:p>
            <w:pPr>
              <w:pStyle w:val="TableContents"/>
              <w:bidi w:val="0"/>
              <w:spacing w:before="0" w:after="20"/>
              <w:jc w:val="center"/>
              <w:rPr>
                <w:rFonts w:ascii="Times New Roman" w:hAnsi="Times New Roman"/>
                <w:sz w:val="20"/>
              </w:rPr>
            </w:pPr>
            <w:r>
              <w:rPr>
                <w:rFonts w:ascii="Times New Roman" w:hAnsi="Times New Roman"/>
                <w:sz w:val="20"/>
              </w:rPr>
              <w:t>Philip J. Vickers</w:t>
            </w:r>
          </w:p>
        </w:tc>
        <w:tc>
          <w:tcPr>
            <w:tcW w:w="120" w:type="dxa"/>
            <w:tcBorders/>
            <w:vAlign w:val="bottom"/>
          </w:tcPr>
          <w:p>
            <w:pPr>
              <w:pStyle w:val="TableContents"/>
              <w:bidi w:val="0"/>
              <w:spacing w:before="0" w:after="283"/>
              <w:jc w:val="left"/>
              <w:rPr/>
            </w:pPr>
            <w:r>
              <w:rPr/>
              <w:t>  </w:t>
            </w:r>
          </w:p>
        </w:tc>
        <w:tc>
          <w:tcPr>
            <w:tcW w:w="3212"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3270" w:type="dxa"/>
            <w:tcBorders/>
          </w:tcPr>
          <w:p>
            <w:pPr>
              <w:pStyle w:val="TableContents"/>
              <w:bidi w:val="0"/>
              <w:spacing w:before="0" w:after="283"/>
              <w:jc w:val="center"/>
              <w:rPr/>
            </w:pPr>
            <w:r>
              <w:rPr/>
              <w:t>August 5, 2026</w:t>
            </w:r>
          </w:p>
        </w:tc>
      </w:tr>
      <w:tr>
        <w:trPr>
          <w:trHeight w:val="240" w:hRule="atLeast"/>
        </w:trPr>
        <w:tc>
          <w:tcPr>
            <w:tcW w:w="3483" w:type="dxa"/>
            <w:tcBorders/>
            <w:vAlign w:val="center"/>
          </w:tcPr>
          <w:p>
            <w:pPr>
              <w:pStyle w:val="TableContents"/>
              <w:bidi w:val="0"/>
              <w:spacing w:before="0" w:after="283"/>
              <w:jc w:val="left"/>
              <w:rPr>
                <w:sz w:val="4"/>
                <w:szCs w:val="4"/>
              </w:rPr>
            </w:pPr>
            <w:r>
              <w:rPr>
                <w:sz w:val="4"/>
                <w:szCs w:val="4"/>
              </w:rPr>
            </w:r>
          </w:p>
        </w:tc>
        <w:tc>
          <w:tcPr>
            <w:tcW w:w="3332" w:type="dxa"/>
            <w:gridSpan w:val="2"/>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Myles Wolf</w:t>
            </w:r>
          </w:p>
          <w:p>
            <w:pPr>
              <w:pStyle w:val="TableContents"/>
              <w:bidi w:val="0"/>
              <w:spacing w:before="0" w:after="20"/>
              <w:jc w:val="center"/>
              <w:rPr>
                <w:rFonts w:ascii="Times New Roman" w:hAnsi="Times New Roman"/>
                <w:sz w:val="20"/>
              </w:rPr>
            </w:pPr>
            <w:r>
              <w:rPr>
                <w:rFonts w:ascii="Times New Roman" w:hAnsi="Times New Roman"/>
                <w:sz w:val="20"/>
              </w:rPr>
              <w:t>Myles Wolf</w:t>
            </w:r>
          </w:p>
        </w:tc>
        <w:tc>
          <w:tcPr>
            <w:tcW w:w="120" w:type="dxa"/>
            <w:tcBorders/>
            <w:vAlign w:val="bottom"/>
          </w:tcPr>
          <w:p>
            <w:pPr>
              <w:pStyle w:val="TableContents"/>
              <w:bidi w:val="0"/>
              <w:spacing w:before="0" w:after="283"/>
              <w:jc w:val="left"/>
              <w:rPr/>
            </w:pPr>
            <w:r>
              <w:rPr/>
              <w:t>  </w:t>
            </w:r>
          </w:p>
        </w:tc>
        <w:tc>
          <w:tcPr>
            <w:tcW w:w="3212"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3270" w:type="dxa"/>
            <w:tcBorders/>
          </w:tcPr>
          <w:p>
            <w:pPr>
              <w:pStyle w:val="TableContents"/>
              <w:bidi w:val="0"/>
              <w:spacing w:before="0" w:after="283"/>
              <w:jc w:val="center"/>
              <w:rPr/>
            </w:pPr>
            <w:r>
              <w:rPr/>
              <w:t>August 5, 2026</w:t>
            </w:r>
          </w:p>
        </w:tc>
      </w:tr>
      <w:tr>
        <w:trPr>
          <w:trHeight w:val="240" w:hRule="atLeast"/>
        </w:trPr>
        <w:tc>
          <w:tcPr>
            <w:tcW w:w="3483" w:type="dxa"/>
            <w:tcBorders/>
            <w:vAlign w:val="center"/>
          </w:tcPr>
          <w:p>
            <w:pPr>
              <w:pStyle w:val="TableContents"/>
              <w:bidi w:val="0"/>
              <w:spacing w:before="0" w:after="283"/>
              <w:jc w:val="left"/>
              <w:rPr>
                <w:sz w:val="4"/>
                <w:szCs w:val="4"/>
              </w:rPr>
            </w:pPr>
            <w:r>
              <w:rPr>
                <w:sz w:val="4"/>
                <w:szCs w:val="4"/>
              </w:rPr>
            </w:r>
          </w:p>
        </w:tc>
        <w:tc>
          <w:tcPr>
            <w:tcW w:w="3332" w:type="dxa"/>
            <w:gridSpan w:val="2"/>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LeAnne M. Zumwalt</w:t>
            </w:r>
          </w:p>
          <w:p>
            <w:pPr>
              <w:pStyle w:val="TableContents"/>
              <w:bidi w:val="0"/>
              <w:spacing w:before="0" w:after="20"/>
              <w:jc w:val="center"/>
              <w:rPr>
                <w:rFonts w:ascii="Times New Roman" w:hAnsi="Times New Roman"/>
                <w:sz w:val="20"/>
              </w:rPr>
            </w:pPr>
            <w:r>
              <w:rPr>
                <w:rFonts w:ascii="Times New Roman" w:hAnsi="Times New Roman"/>
                <w:sz w:val="20"/>
              </w:rPr>
              <w:t>LeAnne M. Zumwalt</w:t>
            </w:r>
          </w:p>
        </w:tc>
        <w:tc>
          <w:tcPr>
            <w:tcW w:w="120" w:type="dxa"/>
            <w:tcBorders/>
            <w:vAlign w:val="bottom"/>
          </w:tcPr>
          <w:p>
            <w:pPr>
              <w:pStyle w:val="TableContents"/>
              <w:bidi w:val="0"/>
              <w:spacing w:before="0" w:after="283"/>
              <w:jc w:val="left"/>
              <w:rPr/>
            </w:pPr>
            <w:r>
              <w:rPr/>
              <w:t>  </w:t>
            </w:r>
          </w:p>
        </w:tc>
        <w:tc>
          <w:tcPr>
            <w:tcW w:w="3212"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3270" w:type="dxa"/>
            <w:tcBorders/>
          </w:tcPr>
          <w:p>
            <w:pPr>
              <w:pStyle w:val="TableContents"/>
              <w:bidi w:val="0"/>
              <w:spacing w:before="0" w:after="283"/>
              <w:jc w:val="center"/>
              <w:rPr/>
            </w:pPr>
            <w:r>
              <w:rPr/>
              <w:t>August 5, 2026</w:t>
            </w:r>
          </w:p>
        </w:tc>
      </w:tr>
    </w:tbl>
    <w:p>
      <w:pPr>
        <w:pStyle w:val="TextBody"/>
        <w:bidi w:val="0"/>
        <w:spacing w:before="0" w:after="0"/>
        <w:jc w:val="right"/>
        <w:rPr>
          <w:rFonts w:ascii="Times New Roman" w:hAnsi="Times New Roman"/>
          <w:b/>
          <w:sz w:val="20"/>
        </w:rPr>
      </w:pPr>
      <w:bookmarkStart w:id="3" w:name="d74423dex51.htm"/>
      <w:bookmarkStart w:id="4" w:name="ksd74423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228725"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7"/>
                    <a:stretch>
                      <a:fillRect/>
                    </a:stretch>
                  </pic:blipFill>
                  <pic:spPr bwMode="auto">
                    <a:xfrm>
                      <a:off x="0" y="0"/>
                      <a:ext cx="1228725" cy="2286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right"/>
        <w:rPr>
          <w:rFonts w:ascii="Times New Roman" w:hAnsi="Times New Roman"/>
          <w:sz w:val="16"/>
        </w:rPr>
      </w:pPr>
      <w:r>
        <w:rPr>
          <w:rFonts w:ascii="Times New Roman" w:hAnsi="Times New Roman"/>
          <w:sz w:val="16"/>
        </w:rPr>
        <w:t xml:space="preserve">+1 617 526 6000 (t) </w:t>
      </w:r>
    </w:p>
    <w:p>
      <w:pPr>
        <w:pStyle w:val="TextBody"/>
        <w:bidi w:val="0"/>
        <w:spacing w:before="0" w:after="0"/>
        <w:jc w:val="right"/>
        <w:rPr>
          <w:rFonts w:ascii="Times New Roman" w:hAnsi="Times New Roman"/>
          <w:sz w:val="16"/>
        </w:rPr>
      </w:pPr>
      <w:r>
        <w:rPr>
          <w:rFonts w:ascii="Times New Roman" w:hAnsi="Times New Roman"/>
          <w:sz w:val="16"/>
        </w:rPr>
        <w:t xml:space="preserve">+1 617 526 5000 (f) </w:t>
      </w:r>
    </w:p>
    <w:p>
      <w:pPr>
        <w:pStyle w:val="TextBody"/>
        <w:bidi w:val="0"/>
        <w:spacing w:before="0" w:after="0"/>
        <w:jc w:val="right"/>
        <w:rPr>
          <w:rFonts w:ascii="Times New Roman" w:hAnsi="Times New Roman"/>
          <w:sz w:val="20"/>
        </w:rPr>
      </w:pPr>
      <w:r>
        <w:rPr>
          <w:rFonts w:ascii="Times New Roman" w:hAnsi="Times New Roman"/>
          <w:sz w:val="20"/>
        </w:rPr>
        <w:t xml:space="preserve">wilmerhale.com </w:t>
      </w:r>
    </w:p>
    <w:p>
      <w:pPr>
        <w:pStyle w:val="TextBody"/>
        <w:bidi w:val="0"/>
        <w:spacing w:before="240" w:after="0"/>
        <w:jc w:val="left"/>
        <w:rPr>
          <w:rFonts w:ascii="Times New Roman" w:hAnsi="Times New Roman"/>
          <w:sz w:val="20"/>
        </w:rPr>
      </w:pPr>
      <w:r>
        <w:rPr>
          <w:rFonts w:ascii="Times New Roman" w:hAnsi="Times New Roman"/>
          <w:sz w:val="20"/>
        </w:rPr>
        <w:t xml:space="preserve">Akebia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245 First Street, Suite 1400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Inducement Stock Option Awards (August 2025 – July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assisted in the preparation of a Registration Statement on Form S-8 (the “</w:t>
      </w:r>
      <w:r>
        <w:rPr>
          <w:rFonts w:ascii="Times New Roman" w:hAnsi="Times New Roman"/>
          <w:b/>
          <w:sz w:val="20"/>
        </w:rPr>
        <w:t>Registration Statement</w:t>
      </w:r>
      <w:r>
        <w:rPr>
          <w:rFonts w:ascii="Times New Roman" w:hAnsi="Times New Roman"/>
          <w:sz w:val="20"/>
        </w:rPr>
        <w:t>”) to be filed with the Securities and Exchange Commission (the “</w:t>
      </w:r>
      <w:r>
        <w:rPr>
          <w:rFonts w:ascii="Times New Roman" w:hAnsi="Times New Roman"/>
          <w:b/>
          <w:sz w:val="20"/>
        </w:rPr>
        <w:t>Commission</w:t>
      </w:r>
      <w:r>
        <w:rPr>
          <w:rFonts w:ascii="Times New Roman" w:hAnsi="Times New Roman"/>
          <w:sz w:val="20"/>
        </w:rPr>
        <w:t>”) under the Securities Act of 1933, as amended (the “Securities Act”), relating to an aggregate of 1,522,782 shares (the “</w:t>
      </w:r>
      <w:r>
        <w:rPr>
          <w:rFonts w:ascii="Times New Roman" w:hAnsi="Times New Roman"/>
          <w:b/>
          <w:sz w:val="20"/>
        </w:rPr>
        <w:t>Shares</w:t>
      </w:r>
      <w:r>
        <w:rPr>
          <w:rFonts w:ascii="Times New Roman" w:hAnsi="Times New Roman"/>
          <w:sz w:val="20"/>
        </w:rPr>
        <w:t>”) of common stock, $0.00001 par value per share (the “</w:t>
      </w:r>
      <w:r>
        <w:rPr>
          <w:rFonts w:ascii="Times New Roman" w:hAnsi="Times New Roman"/>
          <w:b/>
          <w:sz w:val="20"/>
        </w:rPr>
        <w:t>Common Stock</w:t>
      </w:r>
      <w:r>
        <w:rPr>
          <w:rFonts w:ascii="Times New Roman" w:hAnsi="Times New Roman"/>
          <w:sz w:val="20"/>
        </w:rPr>
        <w:t>”), of Akebia Therapeutics, Inc., a Delaware corporation (the “</w:t>
      </w:r>
      <w:r>
        <w:rPr>
          <w:rFonts w:ascii="Times New Roman" w:hAnsi="Times New Roman"/>
          <w:b/>
          <w:sz w:val="20"/>
        </w:rPr>
        <w:t>Company</w:t>
      </w:r>
      <w:r>
        <w:rPr>
          <w:rFonts w:ascii="Times New Roman" w:hAnsi="Times New Roman"/>
          <w:sz w:val="20"/>
        </w:rPr>
        <w:t>”), issuable pursuant to non-statutory stock option agreements providing for employee inducement grants between the Company and various employees, which were entered into in connection with the commencement of such employees’ employment with the Company pursuant to Nasdaq Stock Market Rule 5635(c)(4) (the “</w:t>
      </w:r>
      <w:r>
        <w:rPr>
          <w:rFonts w:ascii="Times New Roman" w:hAnsi="Times New Roman"/>
          <w:b/>
          <w:sz w:val="20"/>
        </w:rPr>
        <w:t>Inducement Award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the Certificate of Incorporation and Bylaws of the Company, each as amended and restated to date, and originals, or copies certified to our satisfaction, of all pertinent records of the meetings of the board of directors and stockholders of the Company, the Registration Statement, the Inducement Award Agreements, certificates of representatives of the Company and such other documents relating to the Company as we have deemed material for the purposes of this opinion. </w:t>
      </w:r>
    </w:p>
    <w:p>
      <w:pPr>
        <w:pStyle w:val="TextBody"/>
        <w:bidi w:val="0"/>
        <w:spacing w:before="240" w:after="0"/>
        <w:jc w:val="left"/>
        <w:rPr>
          <w:rFonts w:ascii="Times New Roman" w:hAnsi="Times New Roman"/>
          <w:sz w:val="20"/>
        </w:rPr>
      </w:pPr>
      <w:r>
        <w:rPr>
          <w:rFonts w:ascii="Times New Roman" w:hAnsi="Times New Roman"/>
          <w:sz w:val="20"/>
        </w:rPr>
        <w:t xml:space="preserve">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We assume that the appropriate action will be taken, prior to the offer and sale of the Shares in accordance with the Inducement Award Agreements to register and qualify the Shares for sale under all applicable state securities or “blue sky” laws.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herein as to the laws of any state or jurisdiction other than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this opinion is to be used only in connection with the offer and sale of the Shares while the Registration Statement is in effect.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15025"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5915025" cy="2571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228725"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1228725" cy="2286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Akebia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we are opining only as to the matters expressly set forth herein, and no opinion should be inferred as to any other matters.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the Shares have been duly authorized for issuance and, when the Shares are issued and paid for in accordance with the terms and conditions of the Inducement Award Agreements, the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Wilmer Cutler Pickering Hale and Dorr LLP</w:t>
            </w:r>
          </w:p>
        </w:tc>
      </w:tr>
      <w:tr>
        <w:trPr/>
        <w:tc>
          <w:tcPr>
            <w:tcW w:w="4082" w:type="dxa"/>
            <w:tcBorders/>
            <w:vAlign w:val="bottom"/>
          </w:tcPr>
          <w:p>
            <w:pPr>
              <w:pStyle w:val="TableContents"/>
              <w:bidi w:val="0"/>
              <w:spacing w:before="0" w:after="283"/>
              <w:jc w:val="left"/>
              <w:rPr/>
            </w:pPr>
            <w:r>
              <w:rPr/>
              <w:t>WILMER CUTLER PICKERING HALE AND DORR LLP</w:t>
            </w:r>
          </w:p>
        </w:tc>
      </w:tr>
    </w:tbl>
    <w:p>
      <w:pPr>
        <w:pStyle w:val="TextBody"/>
        <w:bidi w:val="0"/>
        <w:spacing w:before="0" w:after="0"/>
        <w:jc w:val="right"/>
        <w:rPr>
          <w:rFonts w:ascii="Times New Roman" w:hAnsi="Times New Roman"/>
          <w:b/>
          <w:sz w:val="20"/>
        </w:rPr>
      </w:pPr>
      <w:bookmarkStart w:id="5" w:name="d74423dex231.htm"/>
      <w:bookmarkStart w:id="6" w:name="ksd74423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Inducement Stock Option Awards (August 2025 – July 2026) of Akebia Therapeutics, Inc. of our reports dated February 26, 2026, with respect to the consolidated financial statements of Akebia Therapeutics, Inc. and the effectiveness of internal control over financial reporting of Akebia Therapeutics, Inc. included in its Annual Report (Form 10-K)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Normal"/>
        <w:bidi w:val="0"/>
        <w:spacing w:before="0" w:after="0"/>
        <w:jc w:val="left"/>
        <w:rPr>
          <w:sz w:val="4"/>
          <w:szCs w:val="4"/>
        </w:rPr>
      </w:pPr>
      <w:r>
        <w:rPr>
          <w:sz w:val="4"/>
          <w:szCs w:val="4"/>
        </w:rPr>
      </w:r>
      <w:bookmarkStart w:id="7" w:name="d74423dexfilingfees.htm"/>
      <w:bookmarkStart w:id="8" w:name="ksd74423dexfilingfees"/>
      <w:bookmarkStart w:id="9" w:name="d74423dexfilingfees.htm"/>
      <w:bookmarkStart w:id="10" w:name="ksd74423dexfilingfees"/>
      <w:bookmarkEnd w:id="9"/>
      <w:bookmarkEnd w:id="10"/>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Akebia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361"/>
        <w:gridCol w:w="956"/>
        <w:gridCol w:w="1047"/>
        <w:gridCol w:w="1292"/>
        <w:gridCol w:w="1201"/>
        <w:gridCol w:w="1212"/>
        <w:gridCol w:w="1582"/>
        <w:gridCol w:w="1126"/>
        <w:gridCol w:w="1428"/>
      </w:tblGrid>
      <w:tr>
        <w:trPr/>
        <w:tc>
          <w:tcPr>
            <w:tcW w:w="36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7"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2"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82"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8"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36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7" w:type="dxa"/>
            <w:tcBorders/>
            <w:shd w:fill="E7E7E2" w:val="clear"/>
            <w:vAlign w:val="center"/>
          </w:tcPr>
          <w:p>
            <w:pPr>
              <w:pStyle w:val="TableContents"/>
              <w:bidi w:val="0"/>
              <w:spacing w:before="0" w:after="283"/>
              <w:jc w:val="left"/>
              <w:rPr/>
            </w:pPr>
            <w:r>
              <w:rPr/>
              <w:t xml:space="preserve">Common Stock, $0.00001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90,600 </w:t>
            </w:r>
          </w:p>
        </w:tc>
        <w:tc>
          <w:tcPr>
            <w:tcW w:w="1212" w:type="dxa"/>
            <w:tcBorders/>
            <w:shd w:fill="E7E7E2" w:val="clear"/>
            <w:vAlign w:val="center"/>
          </w:tcPr>
          <w:p>
            <w:pPr>
              <w:pStyle w:val="TableContents"/>
              <w:bidi w:val="0"/>
              <w:spacing w:before="0" w:after="283"/>
              <w:jc w:val="right"/>
              <w:rPr/>
            </w:pPr>
            <w:r>
              <w:rPr/>
              <w:t xml:space="preserve">$ 3.14 </w:t>
            </w:r>
          </w:p>
        </w:tc>
        <w:tc>
          <w:tcPr>
            <w:tcW w:w="1582" w:type="dxa"/>
            <w:tcBorders/>
            <w:shd w:fill="E7E7E2" w:val="clear"/>
            <w:vAlign w:val="center"/>
          </w:tcPr>
          <w:p>
            <w:pPr>
              <w:pStyle w:val="TableContents"/>
              <w:bidi w:val="0"/>
              <w:spacing w:before="0" w:after="283"/>
              <w:jc w:val="right"/>
              <w:rPr/>
            </w:pPr>
            <w:r>
              <w:rPr/>
              <w:t xml:space="preserve">$ 284,484.00 </w:t>
            </w:r>
          </w:p>
        </w:tc>
        <w:tc>
          <w:tcPr>
            <w:tcW w:w="1126" w:type="dxa"/>
            <w:tcBorders/>
            <w:shd w:fill="E7E7E2" w:val="clear"/>
            <w:vAlign w:val="center"/>
          </w:tcPr>
          <w:p>
            <w:pPr>
              <w:pStyle w:val="TableContents"/>
              <w:bidi w:val="0"/>
              <w:spacing w:before="0" w:after="283"/>
              <w:jc w:val="right"/>
              <w:rPr/>
            </w:pPr>
            <w:r>
              <w:rPr/>
              <w:t xml:space="preserve">0.0001381 </w:t>
            </w:r>
          </w:p>
        </w:tc>
        <w:tc>
          <w:tcPr>
            <w:tcW w:w="1428" w:type="dxa"/>
            <w:tcBorders/>
            <w:shd w:fill="E7E7E2" w:val="clear"/>
            <w:vAlign w:val="center"/>
          </w:tcPr>
          <w:p>
            <w:pPr>
              <w:pStyle w:val="TableContents"/>
              <w:bidi w:val="0"/>
              <w:spacing w:before="0" w:after="283"/>
              <w:jc w:val="right"/>
              <w:rPr/>
            </w:pPr>
            <w:r>
              <w:rPr/>
              <w:t xml:space="preserve">$ 39.29 </w:t>
            </w:r>
          </w:p>
        </w:tc>
      </w:tr>
      <w:tr>
        <w:trPr/>
        <w:tc>
          <w:tcPr>
            <w:tcW w:w="361" w:type="dxa"/>
            <w:tcBorders/>
            <w:shd w:fill="E7E7E2" w:val="clear"/>
            <w:vAlign w:val="center"/>
          </w:tcPr>
          <w:p>
            <w:pPr>
              <w:pStyle w:val="TableContents"/>
              <w:bidi w:val="0"/>
              <w:spacing w:before="0" w:after="283"/>
              <w:jc w:val="center"/>
              <w:rPr/>
            </w:pPr>
            <w:r>
              <w:rPr/>
              <w:t xml:space="preserve">2 </w:t>
            </w:r>
          </w:p>
        </w:tc>
        <w:tc>
          <w:tcPr>
            <w:tcW w:w="956" w:type="dxa"/>
            <w:tcBorders/>
            <w:shd w:fill="E7E7E2" w:val="clear"/>
            <w:vAlign w:val="center"/>
          </w:tcPr>
          <w:p>
            <w:pPr>
              <w:pStyle w:val="TableContents"/>
              <w:bidi w:val="0"/>
              <w:spacing w:before="0" w:after="283"/>
              <w:jc w:val="left"/>
              <w:rPr/>
            </w:pPr>
            <w:r>
              <w:rPr/>
              <w:t xml:space="preserve">Equity </w:t>
            </w:r>
          </w:p>
        </w:tc>
        <w:tc>
          <w:tcPr>
            <w:tcW w:w="1047" w:type="dxa"/>
            <w:tcBorders/>
            <w:shd w:fill="E7E7E2" w:val="clear"/>
            <w:vAlign w:val="center"/>
          </w:tcPr>
          <w:p>
            <w:pPr>
              <w:pStyle w:val="TableContents"/>
              <w:bidi w:val="0"/>
              <w:spacing w:before="0" w:after="283"/>
              <w:jc w:val="left"/>
              <w:rPr/>
            </w:pPr>
            <w:r>
              <w:rPr/>
              <w:t xml:space="preserve">Common Stock, $0.00001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190,063 </w:t>
            </w:r>
          </w:p>
        </w:tc>
        <w:tc>
          <w:tcPr>
            <w:tcW w:w="1212" w:type="dxa"/>
            <w:tcBorders/>
            <w:shd w:fill="E7E7E2" w:val="clear"/>
            <w:vAlign w:val="center"/>
          </w:tcPr>
          <w:p>
            <w:pPr>
              <w:pStyle w:val="TableContents"/>
              <w:bidi w:val="0"/>
              <w:spacing w:before="0" w:after="283"/>
              <w:jc w:val="right"/>
              <w:rPr/>
            </w:pPr>
            <w:r>
              <w:rPr/>
              <w:t xml:space="preserve">$ 2.73 </w:t>
            </w:r>
          </w:p>
        </w:tc>
        <w:tc>
          <w:tcPr>
            <w:tcW w:w="1582" w:type="dxa"/>
            <w:tcBorders/>
            <w:shd w:fill="E7E7E2" w:val="clear"/>
            <w:vAlign w:val="center"/>
          </w:tcPr>
          <w:p>
            <w:pPr>
              <w:pStyle w:val="TableContents"/>
              <w:bidi w:val="0"/>
              <w:spacing w:before="0" w:after="283"/>
              <w:jc w:val="right"/>
              <w:rPr/>
            </w:pPr>
            <w:r>
              <w:rPr/>
              <w:t xml:space="preserve">$ 518,871.99 </w:t>
            </w:r>
          </w:p>
        </w:tc>
        <w:tc>
          <w:tcPr>
            <w:tcW w:w="1126" w:type="dxa"/>
            <w:tcBorders/>
            <w:shd w:fill="E7E7E2" w:val="clear"/>
            <w:vAlign w:val="center"/>
          </w:tcPr>
          <w:p>
            <w:pPr>
              <w:pStyle w:val="TableContents"/>
              <w:bidi w:val="0"/>
              <w:spacing w:before="0" w:after="283"/>
              <w:jc w:val="right"/>
              <w:rPr/>
            </w:pPr>
            <w:r>
              <w:rPr/>
              <w:t xml:space="preserve">0.0001381 </w:t>
            </w:r>
          </w:p>
        </w:tc>
        <w:tc>
          <w:tcPr>
            <w:tcW w:w="1428" w:type="dxa"/>
            <w:tcBorders/>
            <w:shd w:fill="E7E7E2" w:val="clear"/>
            <w:vAlign w:val="center"/>
          </w:tcPr>
          <w:p>
            <w:pPr>
              <w:pStyle w:val="TableContents"/>
              <w:bidi w:val="0"/>
              <w:spacing w:before="0" w:after="283"/>
              <w:jc w:val="right"/>
              <w:rPr/>
            </w:pPr>
            <w:r>
              <w:rPr/>
              <w:t xml:space="preserve">$ 71.66 </w:t>
            </w:r>
          </w:p>
        </w:tc>
      </w:tr>
      <w:tr>
        <w:trPr/>
        <w:tc>
          <w:tcPr>
            <w:tcW w:w="361" w:type="dxa"/>
            <w:tcBorders/>
            <w:shd w:fill="E7E7E2" w:val="clear"/>
            <w:vAlign w:val="center"/>
          </w:tcPr>
          <w:p>
            <w:pPr>
              <w:pStyle w:val="TableContents"/>
              <w:bidi w:val="0"/>
              <w:spacing w:before="0" w:after="283"/>
              <w:jc w:val="center"/>
              <w:rPr/>
            </w:pPr>
            <w:r>
              <w:rPr/>
              <w:t xml:space="preserve">3 </w:t>
            </w:r>
          </w:p>
        </w:tc>
        <w:tc>
          <w:tcPr>
            <w:tcW w:w="956" w:type="dxa"/>
            <w:tcBorders/>
            <w:shd w:fill="E7E7E2" w:val="clear"/>
            <w:vAlign w:val="center"/>
          </w:tcPr>
          <w:p>
            <w:pPr>
              <w:pStyle w:val="TableContents"/>
              <w:bidi w:val="0"/>
              <w:spacing w:before="0" w:after="283"/>
              <w:jc w:val="left"/>
              <w:rPr/>
            </w:pPr>
            <w:r>
              <w:rPr/>
              <w:t xml:space="preserve">Equity </w:t>
            </w:r>
          </w:p>
        </w:tc>
        <w:tc>
          <w:tcPr>
            <w:tcW w:w="1047" w:type="dxa"/>
            <w:tcBorders/>
            <w:shd w:fill="E7E7E2" w:val="clear"/>
            <w:vAlign w:val="center"/>
          </w:tcPr>
          <w:p>
            <w:pPr>
              <w:pStyle w:val="TableContents"/>
              <w:bidi w:val="0"/>
              <w:spacing w:before="0" w:after="283"/>
              <w:jc w:val="left"/>
              <w:rPr/>
            </w:pPr>
            <w:r>
              <w:rPr/>
              <w:t xml:space="preserve">Common Stock, $0.00001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51,825 </w:t>
            </w:r>
          </w:p>
        </w:tc>
        <w:tc>
          <w:tcPr>
            <w:tcW w:w="1212" w:type="dxa"/>
            <w:tcBorders/>
            <w:shd w:fill="E7E7E2" w:val="clear"/>
            <w:vAlign w:val="center"/>
          </w:tcPr>
          <w:p>
            <w:pPr>
              <w:pStyle w:val="TableContents"/>
              <w:bidi w:val="0"/>
              <w:spacing w:before="0" w:after="283"/>
              <w:jc w:val="right"/>
              <w:rPr/>
            </w:pPr>
            <w:r>
              <w:rPr/>
              <w:t xml:space="preserve">$ 2.21 </w:t>
            </w:r>
          </w:p>
        </w:tc>
        <w:tc>
          <w:tcPr>
            <w:tcW w:w="1582" w:type="dxa"/>
            <w:tcBorders/>
            <w:shd w:fill="E7E7E2" w:val="clear"/>
            <w:vAlign w:val="center"/>
          </w:tcPr>
          <w:p>
            <w:pPr>
              <w:pStyle w:val="TableContents"/>
              <w:bidi w:val="0"/>
              <w:spacing w:before="0" w:after="283"/>
              <w:jc w:val="right"/>
              <w:rPr/>
            </w:pPr>
            <w:r>
              <w:rPr/>
              <w:t xml:space="preserve">$ 114,533.25 </w:t>
            </w:r>
          </w:p>
        </w:tc>
        <w:tc>
          <w:tcPr>
            <w:tcW w:w="1126" w:type="dxa"/>
            <w:tcBorders/>
            <w:shd w:fill="E7E7E2" w:val="clear"/>
            <w:vAlign w:val="center"/>
          </w:tcPr>
          <w:p>
            <w:pPr>
              <w:pStyle w:val="TableContents"/>
              <w:bidi w:val="0"/>
              <w:spacing w:before="0" w:after="283"/>
              <w:jc w:val="right"/>
              <w:rPr/>
            </w:pPr>
            <w:r>
              <w:rPr/>
              <w:t xml:space="preserve">0.0001381 </w:t>
            </w:r>
          </w:p>
        </w:tc>
        <w:tc>
          <w:tcPr>
            <w:tcW w:w="1428" w:type="dxa"/>
            <w:tcBorders/>
            <w:shd w:fill="E7E7E2" w:val="clear"/>
            <w:vAlign w:val="center"/>
          </w:tcPr>
          <w:p>
            <w:pPr>
              <w:pStyle w:val="TableContents"/>
              <w:bidi w:val="0"/>
              <w:spacing w:before="0" w:after="283"/>
              <w:jc w:val="right"/>
              <w:rPr/>
            </w:pPr>
            <w:r>
              <w:rPr/>
              <w:t xml:space="preserve">$ 15.82 </w:t>
            </w:r>
          </w:p>
        </w:tc>
      </w:tr>
      <w:tr>
        <w:trPr/>
        <w:tc>
          <w:tcPr>
            <w:tcW w:w="361" w:type="dxa"/>
            <w:tcBorders/>
            <w:shd w:fill="E7E7E2" w:val="clear"/>
            <w:vAlign w:val="center"/>
          </w:tcPr>
          <w:p>
            <w:pPr>
              <w:pStyle w:val="TableContents"/>
              <w:bidi w:val="0"/>
              <w:spacing w:before="0" w:after="283"/>
              <w:jc w:val="center"/>
              <w:rPr/>
            </w:pPr>
            <w:r>
              <w:rPr/>
              <w:t xml:space="preserve">4 </w:t>
            </w:r>
          </w:p>
        </w:tc>
        <w:tc>
          <w:tcPr>
            <w:tcW w:w="956" w:type="dxa"/>
            <w:tcBorders/>
            <w:shd w:fill="E7E7E2" w:val="clear"/>
            <w:vAlign w:val="center"/>
          </w:tcPr>
          <w:p>
            <w:pPr>
              <w:pStyle w:val="TableContents"/>
              <w:bidi w:val="0"/>
              <w:spacing w:before="0" w:after="283"/>
              <w:jc w:val="left"/>
              <w:rPr/>
            </w:pPr>
            <w:r>
              <w:rPr/>
              <w:t xml:space="preserve">Equity </w:t>
            </w:r>
          </w:p>
        </w:tc>
        <w:tc>
          <w:tcPr>
            <w:tcW w:w="1047" w:type="dxa"/>
            <w:tcBorders/>
            <w:shd w:fill="E7E7E2" w:val="clear"/>
            <w:vAlign w:val="center"/>
          </w:tcPr>
          <w:p>
            <w:pPr>
              <w:pStyle w:val="TableContents"/>
              <w:bidi w:val="0"/>
              <w:spacing w:before="0" w:after="283"/>
              <w:jc w:val="left"/>
              <w:rPr/>
            </w:pPr>
            <w:r>
              <w:rPr/>
              <w:t xml:space="preserve">Common Stock, $0.00001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22,576 </w:t>
            </w:r>
          </w:p>
        </w:tc>
        <w:tc>
          <w:tcPr>
            <w:tcW w:w="1212" w:type="dxa"/>
            <w:tcBorders/>
            <w:shd w:fill="E7E7E2" w:val="clear"/>
            <w:vAlign w:val="center"/>
          </w:tcPr>
          <w:p>
            <w:pPr>
              <w:pStyle w:val="TableContents"/>
              <w:bidi w:val="0"/>
              <w:spacing w:before="0" w:after="283"/>
              <w:jc w:val="right"/>
              <w:rPr/>
            </w:pPr>
            <w:r>
              <w:rPr/>
              <w:t xml:space="preserve">$ 1.58 </w:t>
            </w:r>
          </w:p>
        </w:tc>
        <w:tc>
          <w:tcPr>
            <w:tcW w:w="1582" w:type="dxa"/>
            <w:tcBorders/>
            <w:shd w:fill="E7E7E2" w:val="clear"/>
            <w:vAlign w:val="center"/>
          </w:tcPr>
          <w:p>
            <w:pPr>
              <w:pStyle w:val="TableContents"/>
              <w:bidi w:val="0"/>
              <w:spacing w:before="0" w:after="283"/>
              <w:jc w:val="right"/>
              <w:rPr/>
            </w:pPr>
            <w:r>
              <w:rPr/>
              <w:t xml:space="preserve">$ 35,670.08 </w:t>
            </w:r>
          </w:p>
        </w:tc>
        <w:tc>
          <w:tcPr>
            <w:tcW w:w="1126" w:type="dxa"/>
            <w:tcBorders/>
            <w:shd w:fill="E7E7E2" w:val="clear"/>
            <w:vAlign w:val="center"/>
          </w:tcPr>
          <w:p>
            <w:pPr>
              <w:pStyle w:val="TableContents"/>
              <w:bidi w:val="0"/>
              <w:spacing w:before="0" w:after="283"/>
              <w:jc w:val="right"/>
              <w:rPr/>
            </w:pPr>
            <w:r>
              <w:rPr/>
              <w:t xml:space="preserve">0.0001381 </w:t>
            </w:r>
          </w:p>
        </w:tc>
        <w:tc>
          <w:tcPr>
            <w:tcW w:w="1428" w:type="dxa"/>
            <w:tcBorders/>
            <w:shd w:fill="E7E7E2" w:val="clear"/>
            <w:vAlign w:val="center"/>
          </w:tcPr>
          <w:p>
            <w:pPr>
              <w:pStyle w:val="TableContents"/>
              <w:bidi w:val="0"/>
              <w:spacing w:before="0" w:after="283"/>
              <w:jc w:val="right"/>
              <w:rPr/>
            </w:pPr>
            <w:r>
              <w:rPr/>
              <w:t xml:space="preserve">$ 4.93 </w:t>
            </w:r>
          </w:p>
        </w:tc>
      </w:tr>
      <w:tr>
        <w:trPr/>
        <w:tc>
          <w:tcPr>
            <w:tcW w:w="361" w:type="dxa"/>
            <w:tcBorders/>
            <w:shd w:fill="E7E7E2" w:val="clear"/>
            <w:vAlign w:val="center"/>
          </w:tcPr>
          <w:p>
            <w:pPr>
              <w:pStyle w:val="TableContents"/>
              <w:bidi w:val="0"/>
              <w:spacing w:before="0" w:after="283"/>
              <w:jc w:val="center"/>
              <w:rPr/>
            </w:pPr>
            <w:r>
              <w:rPr/>
              <w:t xml:space="preserve">5 </w:t>
            </w:r>
          </w:p>
        </w:tc>
        <w:tc>
          <w:tcPr>
            <w:tcW w:w="956" w:type="dxa"/>
            <w:tcBorders/>
            <w:shd w:fill="E7E7E2" w:val="clear"/>
            <w:vAlign w:val="center"/>
          </w:tcPr>
          <w:p>
            <w:pPr>
              <w:pStyle w:val="TableContents"/>
              <w:bidi w:val="0"/>
              <w:spacing w:before="0" w:after="283"/>
              <w:jc w:val="left"/>
              <w:rPr/>
            </w:pPr>
            <w:r>
              <w:rPr/>
              <w:t xml:space="preserve">Equity </w:t>
            </w:r>
          </w:p>
        </w:tc>
        <w:tc>
          <w:tcPr>
            <w:tcW w:w="1047" w:type="dxa"/>
            <w:tcBorders/>
            <w:shd w:fill="E7E7E2" w:val="clear"/>
            <w:vAlign w:val="center"/>
          </w:tcPr>
          <w:p>
            <w:pPr>
              <w:pStyle w:val="TableContents"/>
              <w:bidi w:val="0"/>
              <w:spacing w:before="0" w:after="283"/>
              <w:jc w:val="left"/>
              <w:rPr/>
            </w:pPr>
            <w:r>
              <w:rPr/>
              <w:t xml:space="preserve">Common Stock, $0.00001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61,843 </w:t>
            </w:r>
          </w:p>
        </w:tc>
        <w:tc>
          <w:tcPr>
            <w:tcW w:w="1212" w:type="dxa"/>
            <w:tcBorders/>
            <w:shd w:fill="E7E7E2" w:val="clear"/>
            <w:vAlign w:val="center"/>
          </w:tcPr>
          <w:p>
            <w:pPr>
              <w:pStyle w:val="TableContents"/>
              <w:bidi w:val="0"/>
              <w:spacing w:before="0" w:after="283"/>
              <w:jc w:val="right"/>
              <w:rPr/>
            </w:pPr>
            <w:r>
              <w:rPr/>
              <w:t xml:space="preserve">$ 1.61 </w:t>
            </w:r>
          </w:p>
        </w:tc>
        <w:tc>
          <w:tcPr>
            <w:tcW w:w="1582" w:type="dxa"/>
            <w:tcBorders/>
            <w:shd w:fill="E7E7E2" w:val="clear"/>
            <w:vAlign w:val="center"/>
          </w:tcPr>
          <w:p>
            <w:pPr>
              <w:pStyle w:val="TableContents"/>
              <w:bidi w:val="0"/>
              <w:spacing w:before="0" w:after="283"/>
              <w:jc w:val="right"/>
              <w:rPr/>
            </w:pPr>
            <w:r>
              <w:rPr/>
              <w:t xml:space="preserve">$ 99,567.23 </w:t>
            </w:r>
          </w:p>
        </w:tc>
        <w:tc>
          <w:tcPr>
            <w:tcW w:w="1126" w:type="dxa"/>
            <w:tcBorders/>
            <w:shd w:fill="E7E7E2" w:val="clear"/>
            <w:vAlign w:val="center"/>
          </w:tcPr>
          <w:p>
            <w:pPr>
              <w:pStyle w:val="TableContents"/>
              <w:bidi w:val="0"/>
              <w:spacing w:before="0" w:after="283"/>
              <w:jc w:val="right"/>
              <w:rPr/>
            </w:pPr>
            <w:r>
              <w:rPr/>
              <w:t xml:space="preserve">0.0001381 </w:t>
            </w:r>
          </w:p>
        </w:tc>
        <w:tc>
          <w:tcPr>
            <w:tcW w:w="1428" w:type="dxa"/>
            <w:tcBorders/>
            <w:shd w:fill="E7E7E2" w:val="clear"/>
            <w:vAlign w:val="center"/>
          </w:tcPr>
          <w:p>
            <w:pPr>
              <w:pStyle w:val="TableContents"/>
              <w:bidi w:val="0"/>
              <w:spacing w:before="0" w:after="283"/>
              <w:jc w:val="right"/>
              <w:rPr/>
            </w:pPr>
            <w:r>
              <w:rPr/>
              <w:t xml:space="preserve">$ 13.76 </w:t>
            </w:r>
          </w:p>
        </w:tc>
      </w:tr>
      <w:tr>
        <w:trPr/>
        <w:tc>
          <w:tcPr>
            <w:tcW w:w="361" w:type="dxa"/>
            <w:tcBorders/>
            <w:shd w:fill="E7E7E2" w:val="clear"/>
            <w:vAlign w:val="center"/>
          </w:tcPr>
          <w:p>
            <w:pPr>
              <w:pStyle w:val="TableContents"/>
              <w:bidi w:val="0"/>
              <w:spacing w:before="0" w:after="283"/>
              <w:jc w:val="center"/>
              <w:rPr/>
            </w:pPr>
            <w:r>
              <w:rPr/>
              <w:t xml:space="preserve">6 </w:t>
            </w:r>
          </w:p>
        </w:tc>
        <w:tc>
          <w:tcPr>
            <w:tcW w:w="956" w:type="dxa"/>
            <w:tcBorders/>
            <w:shd w:fill="E7E7E2" w:val="clear"/>
            <w:vAlign w:val="center"/>
          </w:tcPr>
          <w:p>
            <w:pPr>
              <w:pStyle w:val="TableContents"/>
              <w:bidi w:val="0"/>
              <w:spacing w:before="0" w:after="283"/>
              <w:jc w:val="left"/>
              <w:rPr/>
            </w:pPr>
            <w:r>
              <w:rPr/>
              <w:t xml:space="preserve">Equity </w:t>
            </w:r>
          </w:p>
        </w:tc>
        <w:tc>
          <w:tcPr>
            <w:tcW w:w="1047" w:type="dxa"/>
            <w:tcBorders/>
            <w:shd w:fill="E7E7E2" w:val="clear"/>
            <w:vAlign w:val="center"/>
          </w:tcPr>
          <w:p>
            <w:pPr>
              <w:pStyle w:val="TableContents"/>
              <w:bidi w:val="0"/>
              <w:spacing w:before="0" w:after="283"/>
              <w:jc w:val="left"/>
              <w:rPr/>
            </w:pPr>
            <w:r>
              <w:rPr/>
              <w:t xml:space="preserve">Common Stock, $0.00001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32,675 </w:t>
            </w:r>
          </w:p>
        </w:tc>
        <w:tc>
          <w:tcPr>
            <w:tcW w:w="1212" w:type="dxa"/>
            <w:tcBorders/>
            <w:shd w:fill="E7E7E2" w:val="clear"/>
            <w:vAlign w:val="center"/>
          </w:tcPr>
          <w:p>
            <w:pPr>
              <w:pStyle w:val="TableContents"/>
              <w:bidi w:val="0"/>
              <w:spacing w:before="0" w:after="283"/>
              <w:jc w:val="right"/>
              <w:rPr/>
            </w:pPr>
            <w:r>
              <w:rPr/>
              <w:t xml:space="preserve">$ 1.41 </w:t>
            </w:r>
          </w:p>
        </w:tc>
        <w:tc>
          <w:tcPr>
            <w:tcW w:w="1582" w:type="dxa"/>
            <w:tcBorders/>
            <w:shd w:fill="E7E7E2" w:val="clear"/>
            <w:vAlign w:val="center"/>
          </w:tcPr>
          <w:p>
            <w:pPr>
              <w:pStyle w:val="TableContents"/>
              <w:bidi w:val="0"/>
              <w:spacing w:before="0" w:after="283"/>
              <w:jc w:val="right"/>
              <w:rPr/>
            </w:pPr>
            <w:r>
              <w:rPr/>
              <w:t xml:space="preserve">$ 46,071.75 </w:t>
            </w:r>
          </w:p>
        </w:tc>
        <w:tc>
          <w:tcPr>
            <w:tcW w:w="1126" w:type="dxa"/>
            <w:tcBorders/>
            <w:shd w:fill="E7E7E2" w:val="clear"/>
            <w:vAlign w:val="center"/>
          </w:tcPr>
          <w:p>
            <w:pPr>
              <w:pStyle w:val="TableContents"/>
              <w:bidi w:val="0"/>
              <w:spacing w:before="0" w:after="283"/>
              <w:jc w:val="right"/>
              <w:rPr/>
            </w:pPr>
            <w:r>
              <w:rPr/>
              <w:t xml:space="preserve">0.0001381 </w:t>
            </w:r>
          </w:p>
        </w:tc>
        <w:tc>
          <w:tcPr>
            <w:tcW w:w="1428" w:type="dxa"/>
            <w:tcBorders/>
            <w:shd w:fill="E7E7E2" w:val="clear"/>
            <w:vAlign w:val="center"/>
          </w:tcPr>
          <w:p>
            <w:pPr>
              <w:pStyle w:val="TableContents"/>
              <w:bidi w:val="0"/>
              <w:spacing w:before="0" w:after="283"/>
              <w:jc w:val="right"/>
              <w:rPr/>
            </w:pPr>
            <w:r>
              <w:rPr/>
              <w:t xml:space="preserve">$ 6.37 </w:t>
            </w:r>
          </w:p>
        </w:tc>
      </w:tr>
      <w:tr>
        <w:trPr/>
        <w:tc>
          <w:tcPr>
            <w:tcW w:w="361" w:type="dxa"/>
            <w:tcBorders/>
            <w:shd w:fill="E7E7E2" w:val="clear"/>
            <w:vAlign w:val="center"/>
          </w:tcPr>
          <w:p>
            <w:pPr>
              <w:pStyle w:val="TableContents"/>
              <w:bidi w:val="0"/>
              <w:spacing w:before="0" w:after="283"/>
              <w:jc w:val="center"/>
              <w:rPr/>
            </w:pPr>
            <w:r>
              <w:rPr/>
              <w:t xml:space="preserve">7 </w:t>
            </w:r>
          </w:p>
        </w:tc>
        <w:tc>
          <w:tcPr>
            <w:tcW w:w="956" w:type="dxa"/>
            <w:tcBorders/>
            <w:shd w:fill="E7E7E2" w:val="clear"/>
            <w:vAlign w:val="center"/>
          </w:tcPr>
          <w:p>
            <w:pPr>
              <w:pStyle w:val="TableContents"/>
              <w:bidi w:val="0"/>
              <w:spacing w:before="0" w:after="283"/>
              <w:jc w:val="left"/>
              <w:rPr/>
            </w:pPr>
            <w:r>
              <w:rPr/>
              <w:t xml:space="preserve">Equity </w:t>
            </w:r>
          </w:p>
        </w:tc>
        <w:tc>
          <w:tcPr>
            <w:tcW w:w="1047" w:type="dxa"/>
            <w:tcBorders/>
            <w:shd w:fill="E7E7E2" w:val="clear"/>
            <w:vAlign w:val="center"/>
          </w:tcPr>
          <w:p>
            <w:pPr>
              <w:pStyle w:val="TableContents"/>
              <w:bidi w:val="0"/>
              <w:spacing w:before="0" w:after="283"/>
              <w:jc w:val="left"/>
              <w:rPr/>
            </w:pPr>
            <w:r>
              <w:rPr/>
              <w:t xml:space="preserve">Common Stock, $0.00001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46,200 </w:t>
            </w:r>
          </w:p>
        </w:tc>
        <w:tc>
          <w:tcPr>
            <w:tcW w:w="1212" w:type="dxa"/>
            <w:tcBorders/>
            <w:shd w:fill="E7E7E2" w:val="clear"/>
            <w:vAlign w:val="center"/>
          </w:tcPr>
          <w:p>
            <w:pPr>
              <w:pStyle w:val="TableContents"/>
              <w:bidi w:val="0"/>
              <w:spacing w:before="0" w:after="283"/>
              <w:jc w:val="right"/>
              <w:rPr/>
            </w:pPr>
            <w:r>
              <w:rPr/>
              <w:t xml:space="preserve">$ 1.31 </w:t>
            </w:r>
          </w:p>
        </w:tc>
        <w:tc>
          <w:tcPr>
            <w:tcW w:w="1582" w:type="dxa"/>
            <w:tcBorders/>
            <w:shd w:fill="E7E7E2" w:val="clear"/>
            <w:vAlign w:val="center"/>
          </w:tcPr>
          <w:p>
            <w:pPr>
              <w:pStyle w:val="TableContents"/>
              <w:bidi w:val="0"/>
              <w:spacing w:before="0" w:after="283"/>
              <w:jc w:val="right"/>
              <w:rPr/>
            </w:pPr>
            <w:r>
              <w:rPr/>
              <w:t xml:space="preserve">$ 60,522.00 </w:t>
            </w:r>
          </w:p>
        </w:tc>
        <w:tc>
          <w:tcPr>
            <w:tcW w:w="1126" w:type="dxa"/>
            <w:tcBorders/>
            <w:shd w:fill="E7E7E2" w:val="clear"/>
            <w:vAlign w:val="center"/>
          </w:tcPr>
          <w:p>
            <w:pPr>
              <w:pStyle w:val="TableContents"/>
              <w:bidi w:val="0"/>
              <w:spacing w:before="0" w:after="283"/>
              <w:jc w:val="right"/>
              <w:rPr/>
            </w:pPr>
            <w:r>
              <w:rPr/>
              <w:t xml:space="preserve">0.0001381 </w:t>
            </w:r>
          </w:p>
        </w:tc>
        <w:tc>
          <w:tcPr>
            <w:tcW w:w="1428" w:type="dxa"/>
            <w:tcBorders/>
            <w:shd w:fill="E7E7E2" w:val="clear"/>
            <w:vAlign w:val="center"/>
          </w:tcPr>
          <w:p>
            <w:pPr>
              <w:pStyle w:val="TableContents"/>
              <w:bidi w:val="0"/>
              <w:spacing w:before="0" w:after="283"/>
              <w:jc w:val="right"/>
              <w:rPr/>
            </w:pPr>
            <w:r>
              <w:rPr/>
              <w:t xml:space="preserve">$ 8.36 </w:t>
            </w:r>
          </w:p>
        </w:tc>
      </w:tr>
      <w:tr>
        <w:trPr/>
        <w:tc>
          <w:tcPr>
            <w:tcW w:w="361" w:type="dxa"/>
            <w:tcBorders/>
            <w:shd w:fill="E7E7E2" w:val="clear"/>
            <w:vAlign w:val="center"/>
          </w:tcPr>
          <w:p>
            <w:pPr>
              <w:pStyle w:val="TableContents"/>
              <w:bidi w:val="0"/>
              <w:spacing w:before="0" w:after="283"/>
              <w:jc w:val="center"/>
              <w:rPr/>
            </w:pPr>
            <w:r>
              <w:rPr/>
              <w:t xml:space="preserve">8 </w:t>
            </w:r>
          </w:p>
        </w:tc>
        <w:tc>
          <w:tcPr>
            <w:tcW w:w="956" w:type="dxa"/>
            <w:tcBorders/>
            <w:shd w:fill="E7E7E2" w:val="clear"/>
            <w:vAlign w:val="center"/>
          </w:tcPr>
          <w:p>
            <w:pPr>
              <w:pStyle w:val="TableContents"/>
              <w:bidi w:val="0"/>
              <w:spacing w:before="0" w:after="283"/>
              <w:jc w:val="left"/>
              <w:rPr/>
            </w:pPr>
            <w:r>
              <w:rPr/>
              <w:t xml:space="preserve">Equity </w:t>
            </w:r>
          </w:p>
        </w:tc>
        <w:tc>
          <w:tcPr>
            <w:tcW w:w="1047" w:type="dxa"/>
            <w:tcBorders/>
            <w:shd w:fill="E7E7E2" w:val="clear"/>
            <w:vAlign w:val="center"/>
          </w:tcPr>
          <w:p>
            <w:pPr>
              <w:pStyle w:val="TableContents"/>
              <w:bidi w:val="0"/>
              <w:spacing w:before="0" w:after="283"/>
              <w:jc w:val="left"/>
              <w:rPr/>
            </w:pPr>
            <w:r>
              <w:rPr/>
              <w:t xml:space="preserve">Common Stock, $0.00001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631,600 </w:t>
            </w:r>
          </w:p>
        </w:tc>
        <w:tc>
          <w:tcPr>
            <w:tcW w:w="1212" w:type="dxa"/>
            <w:tcBorders/>
            <w:shd w:fill="E7E7E2" w:val="clear"/>
            <w:vAlign w:val="center"/>
          </w:tcPr>
          <w:p>
            <w:pPr>
              <w:pStyle w:val="TableContents"/>
              <w:bidi w:val="0"/>
              <w:spacing w:before="0" w:after="283"/>
              <w:jc w:val="right"/>
              <w:rPr/>
            </w:pPr>
            <w:r>
              <w:rPr/>
              <w:t xml:space="preserve">$ 1.39 </w:t>
            </w:r>
          </w:p>
        </w:tc>
        <w:tc>
          <w:tcPr>
            <w:tcW w:w="1582" w:type="dxa"/>
            <w:tcBorders/>
            <w:shd w:fill="E7E7E2" w:val="clear"/>
            <w:vAlign w:val="center"/>
          </w:tcPr>
          <w:p>
            <w:pPr>
              <w:pStyle w:val="TableContents"/>
              <w:bidi w:val="0"/>
              <w:spacing w:before="0" w:after="283"/>
              <w:jc w:val="right"/>
              <w:rPr/>
            </w:pPr>
            <w:r>
              <w:rPr/>
              <w:t xml:space="preserve">$ 877,924.00 </w:t>
            </w:r>
          </w:p>
        </w:tc>
        <w:tc>
          <w:tcPr>
            <w:tcW w:w="1126" w:type="dxa"/>
            <w:tcBorders/>
            <w:shd w:fill="E7E7E2" w:val="clear"/>
            <w:vAlign w:val="center"/>
          </w:tcPr>
          <w:p>
            <w:pPr>
              <w:pStyle w:val="TableContents"/>
              <w:bidi w:val="0"/>
              <w:spacing w:before="0" w:after="283"/>
              <w:jc w:val="right"/>
              <w:rPr/>
            </w:pPr>
            <w:r>
              <w:rPr/>
              <w:t xml:space="preserve">0.0001381 </w:t>
            </w:r>
          </w:p>
        </w:tc>
        <w:tc>
          <w:tcPr>
            <w:tcW w:w="1428" w:type="dxa"/>
            <w:tcBorders/>
            <w:shd w:fill="E7E7E2" w:val="clear"/>
            <w:vAlign w:val="center"/>
          </w:tcPr>
          <w:p>
            <w:pPr>
              <w:pStyle w:val="TableContents"/>
              <w:bidi w:val="0"/>
              <w:spacing w:before="0" w:after="283"/>
              <w:jc w:val="right"/>
              <w:rPr/>
            </w:pPr>
            <w:r>
              <w:rPr/>
              <w:t xml:space="preserve">$ 121.25 </w:t>
            </w:r>
          </w:p>
        </w:tc>
      </w:tr>
      <w:tr>
        <w:trPr/>
        <w:tc>
          <w:tcPr>
            <w:tcW w:w="361" w:type="dxa"/>
            <w:tcBorders/>
            <w:shd w:fill="E7E7E2" w:val="clear"/>
            <w:vAlign w:val="center"/>
          </w:tcPr>
          <w:p>
            <w:pPr>
              <w:pStyle w:val="TableContents"/>
              <w:bidi w:val="0"/>
              <w:spacing w:before="0" w:after="283"/>
              <w:jc w:val="center"/>
              <w:rPr/>
            </w:pPr>
            <w:r>
              <w:rPr/>
              <w:t xml:space="preserve">9 </w:t>
            </w:r>
          </w:p>
        </w:tc>
        <w:tc>
          <w:tcPr>
            <w:tcW w:w="956" w:type="dxa"/>
            <w:tcBorders/>
            <w:shd w:fill="E7E7E2" w:val="clear"/>
            <w:vAlign w:val="center"/>
          </w:tcPr>
          <w:p>
            <w:pPr>
              <w:pStyle w:val="TableContents"/>
              <w:bidi w:val="0"/>
              <w:spacing w:before="0" w:after="283"/>
              <w:jc w:val="left"/>
              <w:rPr/>
            </w:pPr>
            <w:r>
              <w:rPr/>
              <w:t xml:space="preserve">Equity </w:t>
            </w:r>
          </w:p>
        </w:tc>
        <w:tc>
          <w:tcPr>
            <w:tcW w:w="1047" w:type="dxa"/>
            <w:tcBorders/>
            <w:shd w:fill="E7E7E2" w:val="clear"/>
            <w:vAlign w:val="center"/>
          </w:tcPr>
          <w:p>
            <w:pPr>
              <w:pStyle w:val="TableContents"/>
              <w:bidi w:val="0"/>
              <w:spacing w:before="0" w:after="283"/>
              <w:jc w:val="left"/>
              <w:rPr/>
            </w:pPr>
            <w:r>
              <w:rPr/>
              <w:t xml:space="preserve">Common Stock, $0.00001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200,400 </w:t>
            </w:r>
          </w:p>
        </w:tc>
        <w:tc>
          <w:tcPr>
            <w:tcW w:w="1212" w:type="dxa"/>
            <w:tcBorders/>
            <w:shd w:fill="E7E7E2" w:val="clear"/>
            <w:vAlign w:val="center"/>
          </w:tcPr>
          <w:p>
            <w:pPr>
              <w:pStyle w:val="TableContents"/>
              <w:bidi w:val="0"/>
              <w:spacing w:before="0" w:after="283"/>
              <w:jc w:val="right"/>
              <w:rPr/>
            </w:pPr>
            <w:r>
              <w:rPr/>
              <w:t xml:space="preserve">$ 1.38 </w:t>
            </w:r>
          </w:p>
        </w:tc>
        <w:tc>
          <w:tcPr>
            <w:tcW w:w="1582" w:type="dxa"/>
            <w:tcBorders/>
            <w:shd w:fill="E7E7E2" w:val="clear"/>
            <w:vAlign w:val="center"/>
          </w:tcPr>
          <w:p>
            <w:pPr>
              <w:pStyle w:val="TableContents"/>
              <w:bidi w:val="0"/>
              <w:spacing w:before="0" w:after="283"/>
              <w:jc w:val="right"/>
              <w:rPr/>
            </w:pPr>
            <w:r>
              <w:rPr/>
              <w:t xml:space="preserve">$ 276,552.00 </w:t>
            </w:r>
          </w:p>
        </w:tc>
        <w:tc>
          <w:tcPr>
            <w:tcW w:w="1126" w:type="dxa"/>
            <w:tcBorders/>
            <w:shd w:fill="E7E7E2" w:val="clear"/>
            <w:vAlign w:val="center"/>
          </w:tcPr>
          <w:p>
            <w:pPr>
              <w:pStyle w:val="TableContents"/>
              <w:bidi w:val="0"/>
              <w:spacing w:before="0" w:after="283"/>
              <w:jc w:val="right"/>
              <w:rPr/>
            </w:pPr>
            <w:r>
              <w:rPr/>
              <w:t xml:space="preserve">0.0001381 </w:t>
            </w:r>
          </w:p>
        </w:tc>
        <w:tc>
          <w:tcPr>
            <w:tcW w:w="1428" w:type="dxa"/>
            <w:tcBorders/>
            <w:shd w:fill="E7E7E2" w:val="clear"/>
            <w:vAlign w:val="center"/>
          </w:tcPr>
          <w:p>
            <w:pPr>
              <w:pStyle w:val="TableContents"/>
              <w:bidi w:val="0"/>
              <w:spacing w:before="0" w:after="283"/>
              <w:jc w:val="right"/>
              <w:rPr/>
            </w:pPr>
            <w:r>
              <w:rPr/>
              <w:t xml:space="preserve">$ 38.20 </w:t>
            </w:r>
          </w:p>
        </w:tc>
      </w:tr>
      <w:tr>
        <w:trPr/>
        <w:tc>
          <w:tcPr>
            <w:tcW w:w="361" w:type="dxa"/>
            <w:tcBorders/>
            <w:shd w:fill="E7E7E2" w:val="clear"/>
            <w:vAlign w:val="center"/>
          </w:tcPr>
          <w:p>
            <w:pPr>
              <w:pStyle w:val="TableContents"/>
              <w:bidi w:val="0"/>
              <w:spacing w:before="0" w:after="283"/>
              <w:jc w:val="center"/>
              <w:rPr/>
            </w:pPr>
            <w:r>
              <w:rPr/>
              <w:t xml:space="preserve">10 </w:t>
            </w:r>
          </w:p>
        </w:tc>
        <w:tc>
          <w:tcPr>
            <w:tcW w:w="956" w:type="dxa"/>
            <w:tcBorders/>
            <w:shd w:fill="E7E7E2" w:val="clear"/>
            <w:vAlign w:val="center"/>
          </w:tcPr>
          <w:p>
            <w:pPr>
              <w:pStyle w:val="TableContents"/>
              <w:bidi w:val="0"/>
              <w:spacing w:before="0" w:after="283"/>
              <w:jc w:val="left"/>
              <w:rPr/>
            </w:pPr>
            <w:r>
              <w:rPr/>
              <w:t xml:space="preserve">Equity </w:t>
            </w:r>
          </w:p>
        </w:tc>
        <w:tc>
          <w:tcPr>
            <w:tcW w:w="1047" w:type="dxa"/>
            <w:tcBorders/>
            <w:shd w:fill="E7E7E2" w:val="clear"/>
            <w:vAlign w:val="center"/>
          </w:tcPr>
          <w:p>
            <w:pPr>
              <w:pStyle w:val="TableContents"/>
              <w:bidi w:val="0"/>
              <w:spacing w:before="0" w:after="283"/>
              <w:jc w:val="left"/>
              <w:rPr/>
            </w:pPr>
            <w:r>
              <w:rPr/>
              <w:t xml:space="preserve">Common Stock, $0.00001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8,400 </w:t>
            </w:r>
          </w:p>
        </w:tc>
        <w:tc>
          <w:tcPr>
            <w:tcW w:w="1212" w:type="dxa"/>
            <w:tcBorders/>
            <w:shd w:fill="E7E7E2" w:val="clear"/>
            <w:vAlign w:val="center"/>
          </w:tcPr>
          <w:p>
            <w:pPr>
              <w:pStyle w:val="TableContents"/>
              <w:bidi w:val="0"/>
              <w:spacing w:before="0" w:after="283"/>
              <w:jc w:val="right"/>
              <w:rPr/>
            </w:pPr>
            <w:r>
              <w:rPr/>
              <w:t xml:space="preserve">$ 1.02 </w:t>
            </w:r>
          </w:p>
        </w:tc>
        <w:tc>
          <w:tcPr>
            <w:tcW w:w="1582" w:type="dxa"/>
            <w:tcBorders/>
            <w:shd w:fill="E7E7E2" w:val="clear"/>
            <w:vAlign w:val="center"/>
          </w:tcPr>
          <w:p>
            <w:pPr>
              <w:pStyle w:val="TableContents"/>
              <w:bidi w:val="0"/>
              <w:spacing w:before="0" w:after="283"/>
              <w:jc w:val="right"/>
              <w:rPr/>
            </w:pPr>
            <w:r>
              <w:rPr/>
              <w:t xml:space="preserve">$ 8,568.00 </w:t>
            </w:r>
          </w:p>
        </w:tc>
        <w:tc>
          <w:tcPr>
            <w:tcW w:w="1126" w:type="dxa"/>
            <w:tcBorders/>
            <w:shd w:fill="E7E7E2" w:val="clear"/>
            <w:vAlign w:val="center"/>
          </w:tcPr>
          <w:p>
            <w:pPr>
              <w:pStyle w:val="TableContents"/>
              <w:bidi w:val="0"/>
              <w:spacing w:before="0" w:after="283"/>
              <w:jc w:val="right"/>
              <w:rPr/>
            </w:pPr>
            <w:r>
              <w:rPr/>
              <w:t xml:space="preserve">0.0001381 </w:t>
            </w:r>
          </w:p>
        </w:tc>
        <w:tc>
          <w:tcPr>
            <w:tcW w:w="1428" w:type="dxa"/>
            <w:tcBorders/>
            <w:shd w:fill="E7E7E2" w:val="clear"/>
            <w:vAlign w:val="center"/>
          </w:tcPr>
          <w:p>
            <w:pPr>
              <w:pStyle w:val="TableContents"/>
              <w:bidi w:val="0"/>
              <w:spacing w:before="0" w:after="283"/>
              <w:jc w:val="right"/>
              <w:rPr/>
            </w:pPr>
            <w:r>
              <w:rPr/>
              <w:t xml:space="preserve">$ 1.19 </w:t>
            </w:r>
          </w:p>
        </w:tc>
      </w:tr>
      <w:tr>
        <w:trPr/>
        <w:tc>
          <w:tcPr>
            <w:tcW w:w="361" w:type="dxa"/>
            <w:tcBorders/>
            <w:shd w:fill="E7E7E2" w:val="clear"/>
            <w:vAlign w:val="center"/>
          </w:tcPr>
          <w:p>
            <w:pPr>
              <w:pStyle w:val="TableContents"/>
              <w:bidi w:val="0"/>
              <w:spacing w:before="0" w:after="283"/>
              <w:jc w:val="center"/>
              <w:rPr/>
            </w:pPr>
            <w:r>
              <w:rPr/>
              <w:t xml:space="preserve">11 </w:t>
            </w:r>
          </w:p>
        </w:tc>
        <w:tc>
          <w:tcPr>
            <w:tcW w:w="956" w:type="dxa"/>
            <w:tcBorders/>
            <w:shd w:fill="E7E7E2" w:val="clear"/>
            <w:vAlign w:val="center"/>
          </w:tcPr>
          <w:p>
            <w:pPr>
              <w:pStyle w:val="TableContents"/>
              <w:bidi w:val="0"/>
              <w:spacing w:before="0" w:after="283"/>
              <w:jc w:val="left"/>
              <w:rPr/>
            </w:pPr>
            <w:r>
              <w:rPr/>
              <w:t xml:space="preserve">Equity </w:t>
            </w:r>
          </w:p>
        </w:tc>
        <w:tc>
          <w:tcPr>
            <w:tcW w:w="1047" w:type="dxa"/>
            <w:tcBorders/>
            <w:shd w:fill="E7E7E2" w:val="clear"/>
            <w:vAlign w:val="center"/>
          </w:tcPr>
          <w:p>
            <w:pPr>
              <w:pStyle w:val="TableContents"/>
              <w:bidi w:val="0"/>
              <w:spacing w:before="0" w:after="283"/>
              <w:jc w:val="left"/>
              <w:rPr/>
            </w:pPr>
            <w:r>
              <w:rPr/>
              <w:t xml:space="preserve">Common Stock, $0.00001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125,600 </w:t>
            </w:r>
          </w:p>
        </w:tc>
        <w:tc>
          <w:tcPr>
            <w:tcW w:w="1212" w:type="dxa"/>
            <w:tcBorders/>
            <w:shd w:fill="E7E7E2" w:val="clear"/>
            <w:vAlign w:val="center"/>
          </w:tcPr>
          <w:p>
            <w:pPr>
              <w:pStyle w:val="TableContents"/>
              <w:bidi w:val="0"/>
              <w:spacing w:before="0" w:after="283"/>
              <w:jc w:val="right"/>
              <w:rPr/>
            </w:pPr>
            <w:r>
              <w:rPr/>
              <w:t xml:space="preserve">$ 1.14 </w:t>
            </w:r>
          </w:p>
        </w:tc>
        <w:tc>
          <w:tcPr>
            <w:tcW w:w="1582" w:type="dxa"/>
            <w:tcBorders/>
            <w:shd w:fill="E7E7E2" w:val="clear"/>
            <w:vAlign w:val="center"/>
          </w:tcPr>
          <w:p>
            <w:pPr>
              <w:pStyle w:val="TableContents"/>
              <w:bidi w:val="0"/>
              <w:spacing w:before="0" w:after="283"/>
              <w:jc w:val="right"/>
              <w:rPr/>
            </w:pPr>
            <w:r>
              <w:rPr/>
              <w:t xml:space="preserve">$ 143,184.00 </w:t>
            </w:r>
          </w:p>
        </w:tc>
        <w:tc>
          <w:tcPr>
            <w:tcW w:w="1126" w:type="dxa"/>
            <w:tcBorders/>
            <w:shd w:fill="E7E7E2" w:val="clear"/>
            <w:vAlign w:val="center"/>
          </w:tcPr>
          <w:p>
            <w:pPr>
              <w:pStyle w:val="TableContents"/>
              <w:bidi w:val="0"/>
              <w:spacing w:before="0" w:after="283"/>
              <w:jc w:val="right"/>
              <w:rPr/>
            </w:pPr>
            <w:r>
              <w:rPr/>
              <w:t xml:space="preserve">0.0001381 </w:t>
            </w:r>
          </w:p>
        </w:tc>
        <w:tc>
          <w:tcPr>
            <w:tcW w:w="1428" w:type="dxa"/>
            <w:tcBorders/>
            <w:shd w:fill="E7E7E2" w:val="clear"/>
            <w:vAlign w:val="center"/>
          </w:tcPr>
          <w:p>
            <w:pPr>
              <w:pStyle w:val="TableContents"/>
              <w:bidi w:val="0"/>
              <w:spacing w:before="0" w:after="283"/>
              <w:jc w:val="right"/>
              <w:rPr/>
            </w:pPr>
            <w:r>
              <w:rPr/>
              <w:t xml:space="preserve">$ 19.78 </w:t>
            </w:r>
          </w:p>
        </w:tc>
      </w:tr>
      <w:tr>
        <w:trPr/>
        <w:tc>
          <w:tcPr>
            <w:tcW w:w="361" w:type="dxa"/>
            <w:tcBorders/>
            <w:shd w:fill="E7E7E2" w:val="clear"/>
            <w:vAlign w:val="center"/>
          </w:tcPr>
          <w:p>
            <w:pPr>
              <w:pStyle w:val="TableContents"/>
              <w:bidi w:val="0"/>
              <w:spacing w:before="0" w:after="283"/>
              <w:jc w:val="center"/>
              <w:rPr/>
            </w:pPr>
            <w:r>
              <w:rPr/>
              <w:t xml:space="preserve">12 </w:t>
            </w:r>
          </w:p>
        </w:tc>
        <w:tc>
          <w:tcPr>
            <w:tcW w:w="956" w:type="dxa"/>
            <w:tcBorders/>
            <w:shd w:fill="E7E7E2" w:val="clear"/>
            <w:vAlign w:val="center"/>
          </w:tcPr>
          <w:p>
            <w:pPr>
              <w:pStyle w:val="TableContents"/>
              <w:bidi w:val="0"/>
              <w:spacing w:before="0" w:after="283"/>
              <w:jc w:val="left"/>
              <w:rPr/>
            </w:pPr>
            <w:r>
              <w:rPr/>
              <w:t xml:space="preserve">Equity </w:t>
            </w:r>
          </w:p>
        </w:tc>
        <w:tc>
          <w:tcPr>
            <w:tcW w:w="1047" w:type="dxa"/>
            <w:tcBorders/>
            <w:shd w:fill="E7E7E2" w:val="clear"/>
            <w:vAlign w:val="center"/>
          </w:tcPr>
          <w:p>
            <w:pPr>
              <w:pStyle w:val="TableContents"/>
              <w:bidi w:val="0"/>
              <w:spacing w:before="0" w:after="283"/>
              <w:jc w:val="left"/>
              <w:rPr/>
            </w:pPr>
            <w:r>
              <w:rPr/>
              <w:t xml:space="preserve">Common Stock, $0.00001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61,000 </w:t>
            </w:r>
          </w:p>
        </w:tc>
        <w:tc>
          <w:tcPr>
            <w:tcW w:w="1212" w:type="dxa"/>
            <w:tcBorders/>
            <w:shd w:fill="E7E7E2" w:val="clear"/>
            <w:vAlign w:val="center"/>
          </w:tcPr>
          <w:p>
            <w:pPr>
              <w:pStyle w:val="TableContents"/>
              <w:bidi w:val="0"/>
              <w:spacing w:before="0" w:after="283"/>
              <w:jc w:val="right"/>
              <w:rPr/>
            </w:pPr>
            <w:r>
              <w:rPr/>
              <w:t xml:space="preserve">$ 1.32 </w:t>
            </w:r>
          </w:p>
        </w:tc>
        <w:tc>
          <w:tcPr>
            <w:tcW w:w="1582" w:type="dxa"/>
            <w:tcBorders/>
            <w:shd w:fill="E7E7E2" w:val="clear"/>
            <w:vAlign w:val="center"/>
          </w:tcPr>
          <w:p>
            <w:pPr>
              <w:pStyle w:val="TableContents"/>
              <w:bidi w:val="0"/>
              <w:spacing w:before="0" w:after="283"/>
              <w:jc w:val="right"/>
              <w:rPr/>
            </w:pPr>
            <w:r>
              <w:rPr/>
              <w:t xml:space="preserve">$ 80,520.00 </w:t>
            </w:r>
          </w:p>
        </w:tc>
        <w:tc>
          <w:tcPr>
            <w:tcW w:w="1126" w:type="dxa"/>
            <w:tcBorders/>
            <w:shd w:fill="E7E7E2" w:val="clear"/>
            <w:vAlign w:val="center"/>
          </w:tcPr>
          <w:p>
            <w:pPr>
              <w:pStyle w:val="TableContents"/>
              <w:bidi w:val="0"/>
              <w:spacing w:before="0" w:after="283"/>
              <w:jc w:val="right"/>
              <w:rPr/>
            </w:pPr>
            <w:r>
              <w:rPr/>
              <w:t xml:space="preserve">0.0001381 </w:t>
            </w:r>
          </w:p>
        </w:tc>
        <w:tc>
          <w:tcPr>
            <w:tcW w:w="1428" w:type="dxa"/>
            <w:tcBorders/>
            <w:shd w:fill="E7E7E2" w:val="clear"/>
            <w:vAlign w:val="center"/>
          </w:tcPr>
          <w:p>
            <w:pPr>
              <w:pStyle w:val="TableContents"/>
              <w:bidi w:val="0"/>
              <w:spacing w:before="0" w:after="283"/>
              <w:jc w:val="right"/>
              <w:rPr/>
            </w:pPr>
            <w:r>
              <w:rPr/>
              <w:t xml:space="preserve">$ 11.12 </w:t>
            </w:r>
          </w:p>
        </w:tc>
      </w:tr>
      <w:tr>
        <w:trPr/>
        <w:tc>
          <w:tcPr>
            <w:tcW w:w="4857" w:type="dxa"/>
            <w:gridSpan w:val="5"/>
            <w:tcBorders/>
            <w:vAlign w:val="center"/>
          </w:tcPr>
          <w:p>
            <w:pPr>
              <w:pStyle w:val="TableContents"/>
              <w:bidi w:val="0"/>
              <w:spacing w:before="0" w:after="0"/>
              <w:ind w:left="0" w:right="0" w:hanging="0"/>
              <w:jc w:val="right"/>
              <w:rPr/>
            </w:pPr>
            <w:r>
              <w:rPr/>
              <w:t>Total Offering Amounts:</w:t>
            </w:r>
          </w:p>
        </w:tc>
        <w:tc>
          <w:tcPr>
            <w:tcW w:w="121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0"/>
              <w:ind w:left="0" w:right="0" w:hanging="0"/>
              <w:jc w:val="right"/>
              <w:rPr/>
            </w:pPr>
            <w:bookmarkStart w:id="11" w:name="MaxAggtOfferingPrice"/>
            <w:bookmarkEnd w:id="11"/>
            <w:r>
              <w:rPr/>
              <w:t xml:space="preserve">$ 2,546,468.30 </w:t>
            </w:r>
          </w:p>
        </w:tc>
        <w:tc>
          <w:tcPr>
            <w:tcW w:w="1126" w:type="dxa"/>
            <w:tcBorders/>
            <w:vAlign w:val="center"/>
          </w:tcPr>
          <w:p>
            <w:pPr>
              <w:pStyle w:val="TableContents"/>
              <w:bidi w:val="0"/>
              <w:spacing w:before="0" w:after="283"/>
              <w:jc w:val="left"/>
              <w:rPr>
                <w:sz w:val="4"/>
                <w:szCs w:val="4"/>
              </w:rPr>
            </w:pPr>
            <w:r>
              <w:rPr>
                <w:sz w:val="4"/>
                <w:szCs w:val="4"/>
              </w:rPr>
            </w:r>
          </w:p>
        </w:tc>
        <w:tc>
          <w:tcPr>
            <w:tcW w:w="1428"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$ 351.73 </w:t>
            </w:r>
          </w:p>
        </w:tc>
      </w:tr>
      <w:tr>
        <w:trPr/>
        <w:tc>
          <w:tcPr>
            <w:tcW w:w="4857" w:type="dxa"/>
            <w:gridSpan w:val="5"/>
            <w:tcBorders/>
            <w:vAlign w:val="center"/>
          </w:tcPr>
          <w:p>
            <w:pPr>
              <w:pStyle w:val="TableContents"/>
              <w:bidi w:val="0"/>
              <w:spacing w:before="0" w:after="0"/>
              <w:ind w:left="0" w:right="0" w:hanging="0"/>
              <w:jc w:val="right"/>
              <w:rPr/>
            </w:pPr>
            <w:r>
              <w:rPr/>
              <w:t xml:space="preserve">Total Fee Offsets: </w:t>
            </w:r>
          </w:p>
        </w:tc>
        <w:tc>
          <w:tcPr>
            <w:tcW w:w="121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857" w:type="dxa"/>
            <w:gridSpan w:val="5"/>
            <w:tcBorders/>
            <w:vAlign w:val="center"/>
          </w:tcPr>
          <w:p>
            <w:pPr>
              <w:pStyle w:val="TableContents"/>
              <w:bidi w:val="0"/>
              <w:spacing w:before="0" w:after="0"/>
              <w:ind w:left="0" w:right="0" w:hanging="0"/>
              <w:jc w:val="right"/>
              <w:rPr/>
            </w:pPr>
            <w:r>
              <w:rPr/>
              <w:t xml:space="preserve">Net Fee Due: </w:t>
            </w:r>
          </w:p>
        </w:tc>
        <w:tc>
          <w:tcPr>
            <w:tcW w:w="121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0"/>
              <w:ind w:left="0" w:right="0" w:hanging="0"/>
              <w:jc w:val="right"/>
              <w:rPr/>
            </w:pPr>
            <w:bookmarkStart w:id="14" w:name="NetFeeAmt"/>
            <w:bookmarkEnd w:id="14"/>
            <w:r>
              <w:rPr/>
              <w:t xml:space="preserve">$ 351.73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78"/>
        <w:gridCol w:w="1284"/>
        <w:gridCol w:w="8643"/>
      </w:tblGrid>
      <w:tr>
        <w:trPr/>
        <w:tc>
          <w:tcPr>
            <w:tcW w:w="27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27" w:type="dxa"/>
            <w:gridSpan w:val="2"/>
            <w:tcBorders/>
            <w:vAlign w:val="center"/>
          </w:tcPr>
          <w:p>
            <w:pPr>
              <w:pStyle w:val="TableContents"/>
              <w:bidi w:val="0"/>
              <w:spacing w:before="0" w:after="283"/>
              <w:jc w:val="left"/>
              <w:rPr/>
            </w:pPr>
            <w:r>
              <w:rPr/>
              <w:t xml:space="preserve">Pursuant to Rule 416 under the Securities Act of 1933, as amended (the "Securities Act"), this Registration Statement also covers such additional securities that may from time to time be offered or issued to prevent dilution from stock splits, stock dividends or similar transactions. Consists of shares issuable under new hire inducement stock option awards granted on August 29, 2025 in accordance with Nasdaq Listing Rule 5635(c)(4). Estimated solely for the purpose of calculating the registration fee pursuant to Rule 457(h) of the Securities Act. The price per share and aggregate offering price are calculated on the basis of the exercise price of the options outstanding under the applicable inducement stock option award.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27" w:type="dxa"/>
            <w:gridSpan w:val="2"/>
            <w:tcBorders/>
            <w:vAlign w:val="center"/>
          </w:tcPr>
          <w:p>
            <w:pPr>
              <w:pStyle w:val="TableContents"/>
              <w:bidi w:val="0"/>
              <w:spacing w:before="0" w:after="283"/>
              <w:jc w:val="left"/>
              <w:rPr/>
            </w:pPr>
            <w:r>
              <w:rPr/>
              <w:t xml:space="preserve">Pursuant to Rule 416 under the Securities Act, this Registration Statement also covers such additional securities that may from time to time be offered or issued to prevent dilution from stock splits, stock dividends or similar transactions. Consists of shares issuable under new hire inducement stock option awards granted on September 30, 2025 in accordance with Nasdaq Listing Rule 5635(c)(4). Estimated solely for the purpose of calculating the registration fee pursuant to Rule 457(h) of the Securities Act. The price per share and aggregate offering price are calculated on the basis of the exercise price of the options outstanding under the applicable inducement stock option award.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27" w:type="dxa"/>
            <w:gridSpan w:val="2"/>
            <w:tcBorders/>
            <w:vAlign w:val="center"/>
          </w:tcPr>
          <w:p>
            <w:pPr>
              <w:pStyle w:val="TableContents"/>
              <w:bidi w:val="0"/>
              <w:spacing w:before="0" w:after="283"/>
              <w:jc w:val="left"/>
              <w:rPr/>
            </w:pPr>
            <w:r>
              <w:rPr/>
              <w:t xml:space="preserve">Pursuant to Rule 416 under the Securities Act , this Registration Statement also covers such additional securities that may from time to time be offered or issued to prevent dilution from stock splits, stock dividends or similar transactions. Consists of shares issuable under new hire inducement stock option awards granted on October 31, 2025 in accordance with Nasdaq Listing Rule 5635(c)(4). Estimated solely for the purpose of calculating the registration fee pursuant to Rule 457(h) of the Securities Act. The price per share and aggregate offering price are calculated on the basis of the exercise price of the options outstanding under the applicable inducement stock option award.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8"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9927" w:type="dxa"/>
            <w:gridSpan w:val="2"/>
            <w:tcBorders/>
            <w:vAlign w:val="center"/>
          </w:tcPr>
          <w:p>
            <w:pPr>
              <w:pStyle w:val="TableContents"/>
              <w:bidi w:val="0"/>
              <w:spacing w:before="0" w:after="283"/>
              <w:jc w:val="left"/>
              <w:rPr/>
            </w:pPr>
            <w:r>
              <w:rPr/>
              <w:t xml:space="preserve">Pursuant to Rule 416 under the Securities Act of 1933, this Registration Statement also covers such additional securities that may from time to time be offered or issued to prevent dilution from stock splits, stock dividends or similar transactions. Consists of shares issuable under new hire inducement stock option awards granted on November 28, 2025 in accordance with Nasdaq Listing Rule 5635(c)(4). Estimated solely for the purpose of calculating the registration fee pursuant to Rule 457(h) of the Securities Act. The price per share and aggregate offering price are calculated on the basis of the exercise price of the options outstanding under the applicable inducement stock option award.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8"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9927" w:type="dxa"/>
            <w:gridSpan w:val="2"/>
            <w:tcBorders/>
            <w:vAlign w:val="center"/>
          </w:tcPr>
          <w:p>
            <w:pPr>
              <w:pStyle w:val="TableContents"/>
              <w:bidi w:val="0"/>
              <w:spacing w:before="0" w:after="283"/>
              <w:jc w:val="left"/>
              <w:rPr/>
            </w:pPr>
            <w:r>
              <w:rPr/>
              <w:t xml:space="preserve">Pursuant to Rule 416 under the Securities Act of 1933, this Registration Statement also covers such additional securities that may from time to time be offered or issued to prevent dilution from stock splits, stock dividends or similar transactions. Consists of shares issuable under new hire inducement stock option awards granted on December 31, 2025 in accordance with Nasdaq Listing Rule 5635(c)(4). Estimated solely for the purpose of calculating the registration fee pursuant to Rule 457(h) of the Securities Act. The price per share and aggregate offering price are calculated on the basis of the exercise price of the options outstanding under the applicable inducement stock option award.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8"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9927" w:type="dxa"/>
            <w:gridSpan w:val="2"/>
            <w:tcBorders/>
            <w:vAlign w:val="center"/>
          </w:tcPr>
          <w:p>
            <w:pPr>
              <w:pStyle w:val="TableContents"/>
              <w:bidi w:val="0"/>
              <w:spacing w:before="0" w:after="283"/>
              <w:jc w:val="left"/>
              <w:rPr/>
            </w:pPr>
            <w:r>
              <w:rPr/>
              <w:t xml:space="preserve">Pursuant to Rule 416 under the Securities Act of 1933, this Registration Statement also covers such additional securities that may from time to time be offered or issued to prevent dilution from stock splits, stock dividends or similar transactions. Consists of shares issuable under new hire inducement stock option awards granted on January 30, 2026 in accordance with Nasdaq Listing Rule 5635(c)(4). Estimated solely for the purpose of calculating the registration fee pursuant to Rule 457(h) of the Securities Act. The price per share and aggregate offering price are calculated on the basis of the exercise price of the options outstanding under the applicable inducement stock option award.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8"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9927" w:type="dxa"/>
            <w:gridSpan w:val="2"/>
            <w:tcBorders/>
            <w:vAlign w:val="center"/>
          </w:tcPr>
          <w:p>
            <w:pPr>
              <w:pStyle w:val="TableContents"/>
              <w:bidi w:val="0"/>
              <w:spacing w:before="0" w:after="283"/>
              <w:jc w:val="left"/>
              <w:rPr/>
            </w:pPr>
            <w:r>
              <w:rPr/>
              <w:t xml:space="preserve">Pursuant to Rule 416 under the Securities Act of 1933, this Registration Statement also covers such additional securities that may from time to time be offered or issued to prevent dilution from stock splits, stock dividends or similar transactions. Consists of shares issuable under new hire inducement stock option awards granted February 27, 2026 in accordance with Nasdaq Listing Rule 5635(c)(4). Estimated solely for the purpose of calculating the registration fee pursuant to Rule 457(h) of the Securities Act. The price per share and aggregate offering price are calculated on the basis of the exercise price of the options outstanding under the applicable inducement stock option award.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8" w:type="dxa"/>
            <w:tcBorders/>
            <w:vAlign w:val="center"/>
          </w:tcPr>
          <w:p>
            <w:pPr>
              <w:pStyle w:val="TableContents"/>
              <w:bidi w:val="0"/>
              <w:spacing w:lineRule="auto" w:line="288" w:before="0" w:after="0"/>
              <w:ind w:left="0" w:right="0" w:hanging="0"/>
              <w:jc w:val="left"/>
              <w:rPr/>
            </w:pPr>
            <w:r>
              <w:rPr>
                <w:sz w:val="15"/>
              </w:rPr>
              <w:t>8</w:t>
            </w:r>
            <w:r>
              <w:rPr/>
              <w:t xml:space="preserve"> </w:t>
            </w:r>
          </w:p>
        </w:tc>
        <w:tc>
          <w:tcPr>
            <w:tcW w:w="9927" w:type="dxa"/>
            <w:gridSpan w:val="2"/>
            <w:tcBorders/>
            <w:vAlign w:val="center"/>
          </w:tcPr>
          <w:p>
            <w:pPr>
              <w:pStyle w:val="TableContents"/>
              <w:bidi w:val="0"/>
              <w:spacing w:before="0" w:after="283"/>
              <w:jc w:val="left"/>
              <w:rPr/>
            </w:pPr>
            <w:r>
              <w:rPr/>
              <w:t xml:space="preserve">Pursuant to Rule 416 under the Securities Act of 1933, this Registration Statement also covers such additional securities that may from time to time be offered or issued to prevent dilution from stock splits, stock dividends or similar transactions. Consists of shares issuable under new hire inducement stock option awards granted March 31, 2026 in accordance with Nasdaq Listing Rule 5635(c)(4). Estimated solely for the purpose of calculating the registration fee pursuant to Rule 457(h) of the Securities Act. The price per share and aggregate offering price are calculated on the basis of the exercise price of the options outstanding under the applicable inducement stock option award.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8" w:type="dxa"/>
            <w:tcBorders/>
            <w:vAlign w:val="center"/>
          </w:tcPr>
          <w:p>
            <w:pPr>
              <w:pStyle w:val="TableContents"/>
              <w:bidi w:val="0"/>
              <w:spacing w:lineRule="auto" w:line="288" w:before="0" w:after="0"/>
              <w:ind w:left="0" w:right="0" w:hanging="0"/>
              <w:jc w:val="left"/>
              <w:rPr/>
            </w:pPr>
            <w:r>
              <w:rPr>
                <w:sz w:val="15"/>
              </w:rPr>
              <w:t>9</w:t>
            </w:r>
            <w:r>
              <w:rPr/>
              <w:t xml:space="preserve"> </w:t>
            </w:r>
          </w:p>
        </w:tc>
        <w:tc>
          <w:tcPr>
            <w:tcW w:w="9927" w:type="dxa"/>
            <w:gridSpan w:val="2"/>
            <w:tcBorders/>
            <w:vAlign w:val="center"/>
          </w:tcPr>
          <w:p>
            <w:pPr>
              <w:pStyle w:val="TableContents"/>
              <w:bidi w:val="0"/>
              <w:spacing w:before="0" w:after="283"/>
              <w:jc w:val="left"/>
              <w:rPr/>
            </w:pPr>
            <w:r>
              <w:rPr/>
              <w:t xml:space="preserve">Pursuant to Rule 416 under the Securities Act of 1933, this Registration Statement also covers such additional securities that may from time to time be offered or issued to prevent dilution from stock splits, stock dividends or similar transactions. Consists of shares issuable under new hire inducement stock option awards granted April 30, 2026 in accordance with Nasdaq Listing Rule 5635(c)(4). Estimated solely for the purpose of calculating the registration fee pursuant to Rule 457(h) of the Securities Act. The price per share and aggregate offering price are calculated on the basis of the exercise price of the options outstanding under the applicable inducement stock option award.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8" w:type="dxa"/>
            <w:tcBorders/>
            <w:vAlign w:val="center"/>
          </w:tcPr>
          <w:p>
            <w:pPr>
              <w:pStyle w:val="TableContents"/>
              <w:bidi w:val="0"/>
              <w:spacing w:lineRule="auto" w:line="288" w:before="0" w:after="0"/>
              <w:ind w:left="0" w:right="0" w:hanging="0"/>
              <w:jc w:val="left"/>
              <w:rPr/>
            </w:pPr>
            <w:r>
              <w:rPr>
                <w:sz w:val="15"/>
              </w:rPr>
              <w:t>10</w:t>
            </w:r>
            <w:r>
              <w:rPr/>
              <w:t xml:space="preserve"> </w:t>
            </w:r>
          </w:p>
        </w:tc>
        <w:tc>
          <w:tcPr>
            <w:tcW w:w="9927" w:type="dxa"/>
            <w:gridSpan w:val="2"/>
            <w:tcBorders/>
            <w:vAlign w:val="center"/>
          </w:tcPr>
          <w:p>
            <w:pPr>
              <w:pStyle w:val="TableContents"/>
              <w:bidi w:val="0"/>
              <w:spacing w:before="0" w:after="283"/>
              <w:jc w:val="left"/>
              <w:rPr/>
            </w:pPr>
            <w:r>
              <w:rPr/>
              <w:t xml:space="preserve">Pursuant to Rule 416 under the Securities Act of 1933, this Registration Statement also covers such additional securities that may from time to time be offered or issued to prevent dilution from stock splits, stock dividends or similar transactions. Consists of shares issuable under new hire inducement stock option awards granted on May 29, 2026 in accordance with Nasdaq Listing Rule 5635(c)(4). Estimated solely for the purpose of calculating the registration fee pursuant to Rule 457(h) of the Securities Act. The price per share and aggregate offering price are calculated on the basis of the exercise price of the options outstanding under the applicable inducement stock option award.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8" w:type="dxa"/>
            <w:tcBorders/>
            <w:vAlign w:val="center"/>
          </w:tcPr>
          <w:p>
            <w:pPr>
              <w:pStyle w:val="TableContents"/>
              <w:bidi w:val="0"/>
              <w:spacing w:lineRule="auto" w:line="288" w:before="0" w:after="0"/>
              <w:ind w:left="0" w:right="0" w:hanging="0"/>
              <w:jc w:val="left"/>
              <w:rPr/>
            </w:pPr>
            <w:r>
              <w:rPr>
                <w:sz w:val="15"/>
              </w:rPr>
              <w:t>11</w:t>
            </w:r>
            <w:r>
              <w:rPr/>
              <w:t xml:space="preserve"> </w:t>
            </w:r>
          </w:p>
        </w:tc>
        <w:tc>
          <w:tcPr>
            <w:tcW w:w="9927" w:type="dxa"/>
            <w:gridSpan w:val="2"/>
            <w:tcBorders/>
            <w:vAlign w:val="center"/>
          </w:tcPr>
          <w:p>
            <w:pPr>
              <w:pStyle w:val="TableContents"/>
              <w:bidi w:val="0"/>
              <w:spacing w:before="0" w:after="283"/>
              <w:jc w:val="left"/>
              <w:rPr/>
            </w:pPr>
            <w:r>
              <w:rPr/>
              <w:t xml:space="preserve">Pursuant to Rule 416 under the Securities Act of 1933, this Registration Statement also covers such additional securities that may from time to time be offered or issued to prevent dilution from stock splits, stock dividends or similar transactions. Consists of shares issuable under new hire inducement stock option awards granted on June 30, 2026 in accordance with Nasdaq Listing Rule 5635(c)(4). Estimated solely for the purpose of calculating the registration fee pursuant to Rule 457(h) of the Securities Act. The price per share and aggregate offering price are calculated on the basis of the exercise price of the options outstanding under the applicable inducement stock option award.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8" w:type="dxa"/>
            <w:tcBorders/>
            <w:vAlign w:val="center"/>
          </w:tcPr>
          <w:p>
            <w:pPr>
              <w:pStyle w:val="TableContents"/>
              <w:bidi w:val="0"/>
              <w:spacing w:lineRule="auto" w:line="288" w:before="0" w:after="0"/>
              <w:ind w:left="0" w:right="0" w:hanging="0"/>
              <w:jc w:val="left"/>
              <w:rPr/>
            </w:pPr>
            <w:r>
              <w:rPr>
                <w:sz w:val="15"/>
              </w:rPr>
              <w:t>12</w:t>
            </w:r>
            <w:r>
              <w:rPr/>
              <w:t xml:space="preserve"> </w:t>
            </w:r>
          </w:p>
        </w:tc>
        <w:tc>
          <w:tcPr>
            <w:tcW w:w="9927" w:type="dxa"/>
            <w:gridSpan w:val="2"/>
            <w:tcBorders/>
            <w:vAlign w:val="center"/>
          </w:tcPr>
          <w:p>
            <w:pPr>
              <w:pStyle w:val="TableContents"/>
              <w:bidi w:val="0"/>
              <w:spacing w:before="0" w:after="283"/>
              <w:jc w:val="left"/>
              <w:rPr/>
            </w:pPr>
            <w:r>
              <w:rPr/>
              <w:t xml:space="preserve">Pursuant to Rule 416 under the Securities Act of 1933, this Registration Statement also covers such additional securities that may from time to time be offered or issued to prevent dilution from stock splits, stock dividends or similar transactions. Consists of shares issuable under new hire inducement stock option awards granted on July 31, 2026 in accordance with Nasdaq Listing Rule 5635(c)(4). Estimated solely for the purpose of calculating the registration fee pursuant to Rule 457(h) of the Securities Act. The price per share and aggregate offering price are calculated on the basis of the exercise price of the options outstanding under the applicable inducement stock option award.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1517022/000151702226000020/akba-20251231.htm" TargetMode="External"/><Relationship Id="rId3" Type="http://schemas.openxmlformats.org/officeDocument/2006/relationships/hyperlink" Target="http://www.sec.gov/Archives/edgar/data/../../../ix?doc=/Archives/edgar/data/1517022/000151702226000034/akba-20260428.htm" TargetMode="External"/><Relationship Id="rId4" Type="http://schemas.openxmlformats.org/officeDocument/2006/relationships/hyperlink" Target="http://www.sec.gov/Archives/edgar/data/../../../ix?doc=/Archives/edgar/data/1517022/000151702226000039/akba-20260331.htm" TargetMode="External"/><Relationship Id="rId5" Type="http://schemas.openxmlformats.org/officeDocument/2006/relationships/hyperlink" Target="http://www.sec.gov/Archives/edgar/data/1517022/000151702226000051/akba-20260630.htm" TargetMode="External"/><Relationship Id="rId6" Type="http://schemas.openxmlformats.org/officeDocument/2006/relationships/hyperlink" Target="http://www.sec.gov/Archives/edgar/data/../../../ix?doc=/Archives/edgar/data/1517022/000151702226000008/akba-20260127.htm" TargetMode="External"/><Relationship Id="rId7" Type="http://schemas.openxmlformats.org/officeDocument/2006/relationships/hyperlink" Target="http://www.sec.gov/Archives/edgar/data/../../../ix?doc=/Archives/edgar/data/1517022/000151702226000024/akba-20260327.htm" TargetMode="External"/><Relationship Id="rId8" Type="http://schemas.openxmlformats.org/officeDocument/2006/relationships/hyperlink" Target="http://www.sec.gov/Archives/edgar/data/../../../ix?doc=/Archives/edgar/data/1517022/000151702226000043/akba-20260617.htm" TargetMode="External"/><Relationship Id="rId9" Type="http://schemas.openxmlformats.org/officeDocument/2006/relationships/hyperlink" Target="http://www.sec.gov/Archives/edgar/data/../../../ix?doc=/Archives/edgar/data/1517022/000151702226000047/akba-20260630.htm" TargetMode="External"/><Relationship Id="rId10" Type="http://schemas.openxmlformats.org/officeDocument/2006/relationships/hyperlink" Target="http://www.sec.gov/Archives/edgar/data/1517022/000119312514095663/d692175d8a12b.htm" TargetMode="External"/><Relationship Id="rId11" Type="http://schemas.openxmlformats.org/officeDocument/2006/relationships/hyperlink" Target="http://www.sec.gov/Archives/edgar/data/1517022/000162828021003283/exhibit46b-descriptionofth.htm" TargetMode="External"/><Relationship Id="rId12" Type="http://schemas.openxmlformats.org/officeDocument/2006/relationships/hyperlink" Target="http://www.sec.gov/Archives/edgar/data/1517022/000119312514121774/d700849dex31.htm" TargetMode="External"/><Relationship Id="rId13" Type="http://schemas.openxmlformats.org/officeDocument/2006/relationships/hyperlink" Target="http://www.sec.gov/Archives/edgar/data/1517022/000119312520164639/d934672dex31.htm" TargetMode="External"/><Relationship Id="rId14" Type="http://schemas.openxmlformats.org/officeDocument/2006/relationships/hyperlink" Target="http://www.sec.gov/Archives/edgar/data/1517022/000151702226000051/exhibit33-certificateofame.htm" TargetMode="External"/><Relationship Id="rId15" Type="http://schemas.openxmlformats.org/officeDocument/2006/relationships/hyperlink" Target="http://www.sec.gov/Archives/edgar/data/1517022/000119312523124259/d455889dex31.htm" TargetMode="External"/><Relationship Id="rId16" Type="http://schemas.openxmlformats.org/officeDocument/2006/relationships/hyperlink" Target="http://www.sec.gov/Archives/edgar/data/1517022/000119312525016257/d775128dex992.htm" TargetMode="External"/><Relationship Id="rId17" Type="http://schemas.openxmlformats.org/officeDocument/2006/relationships/image" Target="media/image1.jpeg"/><Relationship Id="rId18" Type="http://schemas.openxmlformats.org/officeDocument/2006/relationships/image" Target="media/image2.jpeg"/><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4871</Words>
  <Characters>26168</Characters>
  <CharactersWithSpaces>31092</CharactersWithSpaces>
  <Paragraphs>448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