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2025</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6"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137"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For the transition period from __________to__________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001-36352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100965</wp:posOffset>
            </wp:positionV>
            <wp:extent cx="4174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297815</wp:posOffset>
            </wp:positionV>
            <wp:extent cx="192024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24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tbl>
      <w:tblPr>
        <w:tblLayout w:type="fixed"/>
        <w:tblInd w:w="580" w:type="dxa"/>
        <w:tblCellMar>
          <w:top w:w="0" w:type="dxa"/>
          <w:left w:w="0" w:type="dxa"/>
          <w:bottom w:w="0" w:type="dxa"/>
          <w:right w:w="0" w:type="dxa"/>
        </w:tblCellMar>
      </w:tblPr>
      <w:tr>
        <w:trPr>
          <w:trHeight w:val="447"/>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32"/>
                <w:szCs w:val="32"/>
                <w:b w:val="1"/>
                <w:bCs w:val="1"/>
                <w:color w:val="auto"/>
              </w:rPr>
              <w:t>AKEBIA THERAPEUTICS, INC.</w:t>
            </w:r>
          </w:p>
        </w:tc>
      </w:tr>
      <w:tr>
        <w:trPr>
          <w:trHeight w:val="269"/>
        </w:trPr>
        <w:tc>
          <w:tcPr>
            <w:tcW w:w="1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23"/>
        </w:trPr>
        <w:tc>
          <w:tcPr>
            <w:tcW w:w="17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r>
      <w:tr>
        <w:trPr>
          <w:trHeight w:val="497"/>
        </w:trPr>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Delaware</w:t>
            </w:r>
          </w:p>
        </w:tc>
        <w:tc>
          <w:tcPr>
            <w:tcW w:w="6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20-8756903</w:t>
            </w:r>
          </w:p>
        </w:tc>
      </w:tr>
      <w:tr>
        <w:trPr>
          <w:trHeight w:val="144"/>
        </w:trPr>
        <w:tc>
          <w:tcPr>
            <w:tcW w:w="25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(State or other jurisdiction of</w:t>
            </w:r>
          </w:p>
        </w:tc>
        <w:tc>
          <w:tcPr>
            <w:tcW w:w="6240" w:type="dxa"/>
            <w:vAlign w:val="bottom"/>
            <w:gridSpan w:val="2"/>
          </w:tcPr>
          <w:p>
            <w:pPr>
              <w:jc w:val="center"/>
              <w:ind w:left="5016"/>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580" w:type="dxa"/>
            <w:vAlign w:val="bottom"/>
            <w:gridSpan w:val="2"/>
          </w:tcPr>
          <w:p>
            <w:pPr>
              <w:jc w:val="center"/>
              <w:ind w:right="100"/>
              <w:spacing w:after="0"/>
              <w:rPr>
                <w:sz w:val="20"/>
                <w:szCs w:val="20"/>
                <w:color w:val="auto"/>
              </w:rPr>
            </w:pPr>
            <w:r>
              <w:rPr>
                <w:rFonts w:ascii="Arial" w:cs="Arial" w:eastAsia="Arial" w:hAnsi="Arial"/>
                <w:sz w:val="14"/>
                <w:szCs w:val="14"/>
                <w:color w:val="auto"/>
              </w:rPr>
              <w:t>incorporation or organization)</w:t>
            </w:r>
          </w:p>
        </w:tc>
        <w:tc>
          <w:tcPr>
            <w:tcW w:w="6240" w:type="dxa"/>
            <w:vAlign w:val="bottom"/>
            <w:gridSpan w:val="2"/>
          </w:tcPr>
          <w:p>
            <w:pPr>
              <w:jc w:val="center"/>
              <w:ind w:left="5036"/>
              <w:spacing w:after="0"/>
              <w:rPr>
                <w:sz w:val="20"/>
                <w:szCs w:val="20"/>
                <w:color w:val="auto"/>
              </w:rPr>
            </w:pPr>
            <w:r>
              <w:rPr>
                <w:rFonts w:ascii="Arial" w:cs="Arial" w:eastAsia="Arial" w:hAnsi="Arial"/>
                <w:sz w:val="14"/>
                <w:szCs w:val="14"/>
                <w:color w:val="auto"/>
              </w:rPr>
              <w:t>Identification No.)</w:t>
            </w:r>
          </w:p>
        </w:tc>
      </w:tr>
      <w:tr>
        <w:trPr>
          <w:trHeight w:val="381"/>
        </w:trPr>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245 First Street, Cambridge, MA</w:t>
            </w:r>
          </w:p>
        </w:tc>
        <w:tc>
          <w:tcPr>
            <w:tcW w:w="6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02142</w:t>
            </w:r>
          </w:p>
        </w:tc>
      </w:tr>
      <w:tr>
        <w:trPr>
          <w:trHeight w:val="190"/>
        </w:trPr>
        <w:tc>
          <w:tcPr>
            <w:tcW w:w="2580" w:type="dxa"/>
            <w:vAlign w:val="bottom"/>
            <w:gridSpan w:val="2"/>
          </w:tcPr>
          <w:p>
            <w:pPr>
              <w:jc w:val="center"/>
              <w:ind w:right="120"/>
              <w:spacing w:after="0"/>
              <w:rPr>
                <w:sz w:val="20"/>
                <w:szCs w:val="20"/>
                <w:color w:val="auto"/>
              </w:rPr>
            </w:pPr>
            <w:r>
              <w:rPr>
                <w:rFonts w:ascii="Arial" w:cs="Arial" w:eastAsia="Arial" w:hAnsi="Arial"/>
                <w:sz w:val="14"/>
                <w:szCs w:val="14"/>
                <w:color w:val="auto"/>
              </w:rPr>
              <w:t>(Address of principal executive offices)</w:t>
            </w:r>
          </w:p>
        </w:tc>
        <w:tc>
          <w:tcPr>
            <w:tcW w:w="6240" w:type="dxa"/>
            <w:vAlign w:val="bottom"/>
            <w:gridSpan w:val="2"/>
          </w:tcPr>
          <w:p>
            <w:pPr>
              <w:jc w:val="center"/>
              <w:ind w:left="5036"/>
              <w:spacing w:after="0"/>
              <w:rPr>
                <w:sz w:val="20"/>
                <w:szCs w:val="20"/>
                <w:color w:val="auto"/>
              </w:rPr>
            </w:pPr>
            <w:r>
              <w:rPr>
                <w:rFonts w:ascii="Arial" w:cs="Arial" w:eastAsia="Arial" w:hAnsi="Arial"/>
                <w:sz w:val="14"/>
                <w:szCs w:val="14"/>
                <w:color w:val="auto"/>
              </w:rPr>
              <w:t>(Zip Code)</w:t>
            </w:r>
          </w:p>
        </w:tc>
      </w:tr>
      <w:tr>
        <w:trPr>
          <w:trHeight w:val="384"/>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Registrant’s telephone number, including area code: (617) 871-2098</w:t>
            </w:r>
          </w:p>
        </w:tc>
      </w:tr>
      <w:tr>
        <w:trPr>
          <w:trHeight w:val="283"/>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Not Applicable</w:t>
            </w: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100965</wp:posOffset>
            </wp:positionV>
            <wp:extent cx="4174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8"/>
        </w:trPr>
        <w:tc>
          <w:tcPr>
            <w:tcW w:w="4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Common Stock, $0.00001 par value per share</w:t>
            </w:r>
          </w:p>
        </w:tc>
        <w:tc>
          <w:tcPr>
            <w:tcW w:w="3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AKBA</w:t>
            </w:r>
          </w:p>
        </w:tc>
        <w:tc>
          <w:tcPr>
            <w:tcW w:w="3940" w:type="dxa"/>
            <w:vAlign w:val="bottom"/>
          </w:tcPr>
          <w:p>
            <w:pPr>
              <w:jc w:val="center"/>
              <w:spacing w:after="0"/>
              <w:rPr>
                <w:sz w:val="20"/>
                <w:szCs w:val="20"/>
                <w:color w:val="auto"/>
              </w:rPr>
            </w:pPr>
            <w:r>
              <w:rPr>
                <w:rFonts w:ascii="Arial" w:cs="Arial" w:eastAsia="Arial" w:hAnsi="Arial"/>
                <w:sz w:val="14"/>
                <w:szCs w:val="14"/>
                <w:b w:val="1"/>
                <w:bCs w:val="1"/>
                <w:color w:val="auto"/>
              </w:rPr>
              <w:t>The Nasdaq Capital Market</w:t>
            </w:r>
          </w:p>
        </w:tc>
      </w:tr>
    </w:tbl>
    <w:p>
      <w:pPr>
        <w:spacing w:after="0" w:line="195" w:lineRule="exact"/>
        <w:rPr>
          <w:sz w:val="24"/>
          <w:szCs w:val="24"/>
          <w:color w:val="auto"/>
        </w:rPr>
      </w:pPr>
    </w:p>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6"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32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32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513"/>
        </w:trPr>
        <w:tc>
          <w:tcPr>
            <w:tcW w:w="32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405"/>
        </w:trPr>
        <w:tc>
          <w:tcPr>
            <w:tcW w:w="3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1075"/>
        </w:trPr>
        <w:tc>
          <w:tcPr>
            <w:tcW w:w="3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3120"/>
        <w:spacing w:after="0" w:line="246" w:lineRule="exact"/>
        <w:rPr>
          <w:sz w:val="20"/>
          <w:szCs w:val="20"/>
          <w:color w:val="auto"/>
        </w:rPr>
      </w:pPr>
      <w:r>
        <w:rPr>
          <w:rFonts w:ascii="Arial" w:cs="Arial" w:eastAsia="Arial" w:hAnsi="Arial"/>
          <w:sz w:val="14"/>
          <w:szCs w:val="14"/>
          <w:color w:val="auto"/>
        </w:rPr>
        <w:t xml:space="preserve">Indicate by check mark whether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outstanding of the issuer’s common stock as of August 4, 2025 was 265,145,038.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This Quarterly Report on Form 10-Q contains forward-looking statements that are being made pursuant to the provisions of the U.S. Private Securities Litigation Reform Act of 1995 with the intention of obtaining the benefits of the “safe harbor” provisions of that Act. All statements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other than statements of historical fact are forward-looking statements. These forward-looking statements may be accompanied by words such as “anticipate,” “believe,” “build,” “can,” “contemplate,” “continue,” “could,” “should,” “designed,” “estimate,” “project,” “expect,” “forecast,” “future,” “goal,” “intend,” “likely,” “may,” “plan,” “possible,” “potential,” “predict,” “strategy,” “seek,” “target,” “will,” “would,” and other words and terms of similar meaning, but the absence of these words does not necessarily mean that a statement is not forward-looking. These forward-looking statements include, but are not limited to, statements about:</w:t>
      </w:r>
    </w:p>
    <w:p>
      <w:pPr>
        <w:spacing w:after="0" w:line="87" w:lineRule="exact"/>
        <w:rPr>
          <w:sz w:val="20"/>
          <w:szCs w:val="20"/>
          <w:color w:val="auto"/>
        </w:rPr>
      </w:pPr>
    </w:p>
    <w:p>
      <w:pPr>
        <w:ind w:left="660" w:right="44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commercializing Vafseo® (vadadustat) and label expansion opportunities currently under evaluation for Vafseo;</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contracts with dialysis organizations for the sale of Auryxia® (ferric citrate) and Vafseo in the U.S.;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benefits, safety profile, and effectiveness of Vafseo;</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pipeline and portfolio, including its potential, and our related research and development activities;</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investment and associated activities involved in continued commercialization of Auryxia, its growth opportunities and our ability to execute thereon;</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number of additional generic versions of Auryxia that enter the market following the loss of exclusivity for Auryxia which occurred in March 2025, the pricing of generic versions of Auryxia, and the impact of the loss of exclusivity on the product revenue from Auryxia, including the impact on the price of Auryxia;</w:t>
      </w:r>
    </w:p>
    <w:p>
      <w:pPr>
        <w:spacing w:after="0" w:line="62"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demand and market opportunity, potential and acceptance of Auryxia and Vafseo, including the size of eligible patient populations;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applications of the hypoxia inducible factor pathway;</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including estimates, developments and projections relating to our competitors and their products and product candidates, and our industry;</w:t>
      </w:r>
    </w:p>
    <w:p>
      <w:pPr>
        <w:spacing w:after="0" w:line="44" w:lineRule="exact"/>
        <w:rPr>
          <w:rFonts w:ascii="Arial" w:cs="Arial" w:eastAsia="Arial" w:hAnsi="Arial"/>
          <w:sz w:val="18"/>
          <w:szCs w:val="18"/>
          <w:color w:val="auto"/>
        </w:rPr>
      </w:pPr>
    </w:p>
    <w:p>
      <w:pPr>
        <w:jc w:val="both"/>
        <w:ind w:left="660" w:hanging="328"/>
        <w:spacing w:after="0" w:line="259"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projections and estimates regarding our capital requirements, need for additional capital, financing our future cash needs, costs, expenses, revenues, capital resources, cash flows, financial performance, profitability, tax obligations, liquidity, growth, contractual obligations and the period of time our cash resources will fund our current operating plan, estimates with respect to our ability to operate as a going concern, our internal control over financial reporting and disclosure controls and procedures, and any future deficiencies or material weaknesses in our internal controls and procedures;</w:t>
      </w:r>
    </w:p>
    <w:p>
      <w:pPr>
        <w:spacing w:after="0" w:line="71"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delivering value broadly to the kidney community, as well as others who may benefit from our medicines, will result in delivering value for stockholders;</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or indirect impacts of the COVID-19 pandemic on our business, operations and the markets and communities in which we and our partners, collaborators, vendors, and customers operate;</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supply and quality matters and any recalls, write-downs, impairments or other related consequences or potential consequences;</w:t>
      </w:r>
    </w:p>
    <w:p>
      <w:pPr>
        <w:spacing w:after="0" w:line="44" w:lineRule="exact"/>
        <w:rPr>
          <w:rFonts w:ascii="Arial" w:cs="Arial" w:eastAsia="Arial" w:hAnsi="Arial"/>
          <w:sz w:val="18"/>
          <w:szCs w:val="18"/>
          <w:color w:val="auto"/>
        </w:rPr>
      </w:pPr>
    </w:p>
    <w:p>
      <w:pPr>
        <w:jc w:val="both"/>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beliefs and judgments related to the valuation of goodwill, debt and other assets and liabilities, including classification of expenses, assets and liabilities, our impairment analyses and our methodology and assumptions regarding fair value measurements;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and disclosure of clinical trial data and results;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designs of our studies, and the type of information and data expected from our studies and the expected benefits thereof;</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collaborators’ strategy, plans and expectations with respect to the development, manufacturing, supply, commercialization, launch, marketing and sale of Auryxia and Vafseo and the associated timing thereof;</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any marketing authorizations we currently hold or will obtain, including our marketing authorizations for Auryxia and our ability to complete post-marketing requirements with respect thereto;</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and processes on a timely basis, or at all, with third-party payors for Auryxia and Vafseo;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initiation of our clinical trials and plans to conduct preclinical studies and clinical trials in the future;</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amounts of payments from or to our collaborators and licensees, and the anticipated arrangements and benefits under our collaboration and license agreements, including with respect to milestones and royalties;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including obtaining and maintaining patents, and the timing, outcome and impact of administrative, regulatory, legal and other proceedings relating to our patents and other proprietary and intellectual property rights, patent infringement suits that we have filed or may file, or other actions that we may take against companies, and the timing and resolution thereof;</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ongoing reliance on third parties, including with respect to the development, manufacturing, supply and commercialization of Auryxia and Vafseo;</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standards and estimates, their impact, and their expected timing of completion;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periods of performance of key contracts;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facilities, lease commitments, and future availability of facilities;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coverage;</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personnel, including our management team, and our employees, including employee compensation, employee relations, and our ability to attract, train and retain high quality employees;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current operating plan, and strategic plans for our business, product candidates and technology, and business development opportunities including potential collaborations, alliances, mergers, acquisitions or licensing of assets;</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costs we may incur due to events associated with or resulting from our prior workforce reductions or other operating expenses, including additional costs related to Vafseo and selling, general and administrative expenses;</w:t>
      </w:r>
    </w:p>
    <w:p>
      <w:pPr>
        <w:spacing w:after="0" w:line="3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global economic developments and geopolitical events on our business, operations, strategies and goals;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outcome and impact of current and any future legal proceedings.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or all of these forward-looking statements in this Quarterly Report on Form 10-Q may turn out to be inaccurate. These forward-looking statements involve risks and uncertainties, including those that are discussed below under the heading "Risk Factors Summary", and the risk factors identified further in Part II, Item 1A. "Risk Factors" included in this Quarterly Report on Form 10-Q and elsewhere in this Quarterly Report on Form 10-Q and in our Securities and Exchange Commission reports filed after this report, that could cause our actual results, financial condition, performance or achievements to be materially different from those indicated in these forward-looking statements. Given these risks and uncertainties, you should not place undue reliance on these forward-looking statements. Forward-looking statements speak only as of the date of this Quarterly Report on Form 10-Q. Except as required by law, we assume no obligation to publicly update or revise these forward-looking statements for any reason. Unless otherwise stated, our forward-looking statements do not reflect the potential impact of any future acquisitions, mergers, dispositions, joint ventures or investments we may make.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Quarterly Report on Form 10-Q also contains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Investing in our common stock involves numerous risks, including the risks summarized below and described in further detail in “Part II, Item 1A. Risk Factors” of this Quarterly Report on Form 10-Q, any one of which could materially adversely affect our business, financial condition, results of operations and prospects. These risks include, but are not limited to, the following:</w:t>
      </w:r>
    </w:p>
    <w:p>
      <w:pPr>
        <w:spacing w:after="0" w:line="63" w:lineRule="exact"/>
        <w:rPr>
          <w:sz w:val="20"/>
          <w:szCs w:val="20"/>
          <w:color w:val="auto"/>
        </w:rPr>
      </w:pPr>
    </w:p>
    <w:p>
      <w:pPr>
        <w:ind w:left="180" w:hanging="172"/>
        <w:spacing w:after="0" w:line="26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losses and cannot guarantee when, if ever, we will become and remain profitable.</w:t>
      </w:r>
    </w:p>
    <w:p>
      <w:pPr>
        <w:spacing w:after="0" w:line="1" w:lineRule="exact"/>
        <w:rPr>
          <w:rFonts w:ascii="Arial" w:cs="Arial" w:eastAsia="Arial" w:hAnsi="Arial"/>
          <w:sz w:val="18"/>
          <w:szCs w:val="18"/>
          <w:color w:val="auto"/>
        </w:rPr>
      </w:pPr>
    </w:p>
    <w:p>
      <w:pPr>
        <w:ind w:left="180" w:right="2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require substantial additional financing to fund our business. A failure to obtain this necessary capital when needed, or on acceptable terms, could force us to delay, limit, reduce or terminate our product development or commercialization efforts.</w:t>
      </w: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products and product candidates on unfavorable terms to us.</w:t>
      </w: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acquire, in-license, discover, develop and commercialize additional products or product candidates or our decisions to prioritize the development of certain product candidates over others may not be successful, which could impair our ability to grow.</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1" w:lineRule="exact"/>
        <w:rPr>
          <w:rFonts w:ascii="Arial" w:cs="Arial" w:eastAsia="Arial" w:hAnsi="Arial"/>
          <w:sz w:val="18"/>
          <w:szCs w:val="18"/>
          <w:color w:val="auto"/>
        </w:rPr>
      </w:pP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obligations in connection with the BlackRock Credit Agreement and requirements and restrictions in the BlackRock Credit Agreement could adversely affect our financial condition and restrict our operations.</w:t>
      </w: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Royalty Interest Acquisition Agreement with HealthCare Royalty Partners IV, L.P. contains various covenants and other provisions, which, if violated, could materially adversely affect our financial condition.</w:t>
      </w: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substantially dependent on the commercial success of Auryxia and Vafseo. If we are unable to continue to successfully commercialize Auryxia and Vafseo, our results of operations and financial condition will be materially harmed.</w:t>
      </w: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maintain sales and marketing capabilities or enter into or maintain agreements with third parties, we may not be successful in commercializing Auryxia, Vafseo or any other product candidates that may be approved.</w:t>
      </w: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our partners', failure to obtain or maintain adequate coverage, pricing and reimbursement for Auryxia, Vafseo or any other future approved products, could have a material adverse effect on our or our collaboration partners’ ability to sell such approved products profitably and otherwise have a material adverse impact on our business.</w:t>
      </w:r>
    </w:p>
    <w:p>
      <w:pPr>
        <w:spacing w:after="0" w:line="1" w:lineRule="exact"/>
        <w:rPr>
          <w:rFonts w:ascii="Arial" w:cs="Arial" w:eastAsia="Arial" w:hAnsi="Arial"/>
          <w:sz w:val="18"/>
          <w:szCs w:val="18"/>
          <w:color w:val="auto"/>
        </w:rPr>
      </w:pP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commercialization of ferric citrate, branded as Riona in Japan, Vafseo in Europe, Japan and other territories where it is approved, and our current and potential future efforts with respect to the development and commercialization of our products and product candidates outside of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subject us to a variety of risks associated with international operations, which could materially adversely affect our business.</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and we will incur additional costs in connection with, and may experience delays in completing, or ultimately be unable to complete, the development of any of our product candidates.</w:t>
      </w:r>
    </w:p>
    <w:p>
      <w:pPr>
        <w:spacing w:after="0" w:line="1" w:lineRule="exact"/>
        <w:rPr>
          <w:rFonts w:ascii="Arial" w:cs="Arial" w:eastAsia="Arial" w:hAnsi="Arial"/>
          <w:sz w:val="18"/>
          <w:szCs w:val="18"/>
          <w:color w:val="auto"/>
        </w:rPr>
      </w:pPr>
    </w:p>
    <w:p>
      <w:pPr>
        <w:ind w:left="180" w:hanging="172"/>
        <w:spacing w:after="0" w:line="253"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Auryxia, Vafseo or any other product or product candidate, including those that may be in-licensed or acquired, may cause undesirable side effects or have other properties that may delay or prevent marketing approval or limit their commercial potential.</w:t>
      </w:r>
    </w:p>
    <w:p>
      <w:pPr>
        <w:spacing w:after="0" w:line="4" w:lineRule="exact"/>
        <w:rPr>
          <w:rFonts w:ascii="Arial" w:cs="Arial" w:eastAsia="Arial" w:hAnsi="Arial"/>
          <w:sz w:val="18"/>
          <w:szCs w:val="18"/>
          <w:color w:val="auto"/>
        </w:rPr>
      </w:pPr>
    </w:p>
    <w:p>
      <w:pPr>
        <w:ind w:left="180" w:right="120" w:hanging="172"/>
        <w:spacing w:after="0" w:line="234" w:lineRule="auto"/>
        <w:tabs>
          <w:tab w:leader="none" w:pos="17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not be able to obtain marketing approval for any label expansion for Vafseo or any current or future product candidate, or we may experience significant delays in doing so, any of which would materially harm our business.</w:t>
      </w:r>
    </w:p>
    <w:p>
      <w:pPr>
        <w:spacing w:after="0" w:line="1" w:lineRule="exact"/>
        <w:rPr>
          <w:rFonts w:ascii="Arial" w:cs="Arial" w:eastAsia="Arial" w:hAnsi="Arial"/>
          <w:sz w:val="22"/>
          <w:szCs w:val="22"/>
          <w:color w:val="auto"/>
        </w:rPr>
      </w:pPr>
    </w:p>
    <w:p>
      <w:pPr>
        <w:ind w:left="180" w:right="180" w:hanging="172"/>
        <w:spacing w:after="0" w:line="242"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or maintain marketing approval in jurisdictions outside the United States, we and our partners will not be able to market any of our products or product candidates outside of the United States.</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Products approved for marketing are subject to extensive post-marketing regulatory requirements, including post-approval pediatric studies for Auryxia and Vafseo, and could be subject to post-marketing restrictions or withdrawal from the market, and we may be subject to penalties, including withdrawal of marketing approval, if we fail to comply with regulatory requirements or if we experience unanticipated problems with our products, or product candidates, when and if approved.</w:t>
      </w:r>
    </w:p>
    <w:p>
      <w:pPr>
        <w:spacing w:after="0" w:line="1" w:lineRule="exact"/>
        <w:rPr>
          <w:rFonts w:ascii="Arial" w:cs="Arial" w:eastAsia="Arial" w:hAnsi="Arial"/>
          <w:sz w:val="18"/>
          <w:szCs w:val="18"/>
          <w:color w:val="auto"/>
        </w:rPr>
      </w:pPr>
    </w:p>
    <w:p>
      <w:pPr>
        <w:jc w:val="both"/>
        <w:ind w:left="180" w:right="2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complex regulatory schemes that require significant resources to ensure compliance and our failure to comply with applicable laws could subject us to government scrutiny or enforcement, potentially resulting in costly investigations, fines, penalties or sanctions, contractual damages, reputational harm, administrative burdens and diminished profits and future earnings.</w:t>
      </w:r>
    </w:p>
    <w:p>
      <w:pPr>
        <w:spacing w:after="0" w:line="1" w:lineRule="exact"/>
        <w:rPr>
          <w:rFonts w:ascii="Arial" w:cs="Arial" w:eastAsia="Arial" w:hAnsi="Arial"/>
          <w:sz w:val="18"/>
          <w:szCs w:val="18"/>
          <w:color w:val="auto"/>
        </w:rPr>
      </w:pP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incur significant liability if it is determined that we are promoting any “off-label” use of Auryxia, Vafseo or any other product we may develop, in-license or acquire or if it is determined that any of our activities violates the federal Anti-Kickback Statute.</w:t>
      </w:r>
    </w:p>
    <w:p>
      <w:pPr>
        <w:ind w:left="180" w:hanging="172"/>
        <w:spacing w:after="0" w:line="266"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 from funding cuts, personnel losses, regulatory reform, government shutdowns and other developments could hinder our ability to obtain guidance from the FDA regarding our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right="20"/>
        <w:spacing w:after="0" w:line="260" w:lineRule="auto"/>
        <w:rPr>
          <w:sz w:val="20"/>
          <w:szCs w:val="20"/>
          <w:color w:val="auto"/>
        </w:rPr>
      </w:pPr>
      <w:r>
        <w:rPr>
          <w:rFonts w:ascii="Arial" w:cs="Arial" w:eastAsia="Arial" w:hAnsi="Arial"/>
          <w:sz w:val="18"/>
          <w:szCs w:val="18"/>
          <w:color w:val="auto"/>
        </w:rPr>
        <w:t>development program and develop and secure approval of our product candidates in a timely manner, which would negatively impact our business.</w:t>
      </w:r>
    </w:p>
    <w:p>
      <w:pPr>
        <w:spacing w:after="0" w:line="2" w:lineRule="exact"/>
        <w:rPr>
          <w:sz w:val="20"/>
          <w:szCs w:val="20"/>
          <w:color w:val="auto"/>
        </w:rPr>
      </w:pPr>
    </w:p>
    <w:p>
      <w:pPr>
        <w:ind w:left="180" w:right="2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and regulatory healthcare reform may increase the difficulty and cost for us to obtain marketing approval of and commercialize our product candidates and affect the prices we may obtain for any products that are approved in the U.S. or foreign jurisdictions.</w:t>
      </w: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collaborations with third parties for the development and commercialization of Auryxia, an authorized generic version of Auryxia, Riona and Vafseo. If these collaborations are not successful or if our collaborators terminate their agreements with us, we may not be able to capitalize on the market potential of Auryxia, Riona and Vafseo, and our business could be materially harmed.</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upon third parties to conduct our clinical trials and certain of our preclinical studies. If they do not successfully carry out their contractual duties, comply with regulatory requirements or meet expected deadlines, we may not be able to obtain or maintain marketing approval for Auryxia, Vafseo or any of our product candidates, and our business could be substantially harmed.</w:t>
      </w:r>
    </w:p>
    <w:p>
      <w:pPr>
        <w:spacing w:after="0" w:line="1" w:lineRule="exact"/>
        <w:rPr>
          <w:rFonts w:ascii="Arial" w:cs="Arial" w:eastAsia="Arial" w:hAnsi="Arial"/>
          <w:sz w:val="18"/>
          <w:szCs w:val="18"/>
          <w:color w:val="auto"/>
        </w:rPr>
      </w:pPr>
    </w:p>
    <w:p>
      <w:pPr>
        <w:ind w:left="180" w:right="2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licensor of certain intellectual property relating to Auryxia terminates, modifies or threatens to terminate existing contracts or relationships with us, our business may be materially harmed.</w:t>
      </w:r>
    </w:p>
    <w:p>
      <w:pPr>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and uncertainty surrounding U.S. trade policy on tariffs could have a material adverse impact on our business, financial condition and results of operations.</w:t>
      </w:r>
    </w:p>
    <w:p>
      <w:pPr>
        <w:ind w:left="180" w:right="120" w:hanging="172"/>
        <w:spacing w:after="0" w:line="241"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geopolitical environment, including U.S. and international trade policies, particularly with respect to China, Europe or Canada, may adversely impact our business and operating results. We rely on international third parties for the manufacture of raw materials, drug substance and drug product for the commercial supply of Auryxia and Vafseo and for early-stage research services for our product candidates, the commercialization of which may be prevented or impaired if there are interruptions or delays in obtaining the applicable products or services.</w:t>
      </w:r>
    </w:p>
    <w:p>
      <w:pPr>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adequately protect our intellectual property, third parties may be able to use our intellectual property, which could adversely affect our ability to compete in the market.</w:t>
      </w: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9"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intellectual property that we own or have licensed and related non-patent exclusivity relating to our current and future products is, and may be, limited, which could adversely affect our ability to compete in the market and adversely affect the value of Auryxia, Vafseo or other future products.</w:t>
      </w:r>
    </w:p>
    <w:p>
      <w:pPr>
        <w:spacing w:after="0" w:line="1" w:lineRule="exact"/>
        <w:rPr>
          <w:rFonts w:ascii="Arial" w:cs="Arial" w:eastAsia="Arial" w:hAnsi="Arial"/>
          <w:sz w:val="18"/>
          <w:szCs w:val="18"/>
          <w:color w:val="auto"/>
        </w:rPr>
      </w:pPr>
    </w:p>
    <w:p>
      <w:pPr>
        <w:ind w:left="180" w:right="2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entry of one or more generic competitors or any third party’s attempt to challenge our intellectual property rights will likely limit Auryxia and Vafseo sales and have an adverse impact on our business and results of operation.</w:t>
      </w: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and administrative proceedings, including third party claims of intellectual property infringement and opposition/invalidation proceedings against third party patents, may be costly and time consuming and may delay or harm our drug discovery, development and commercialization efforts.</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as of December 31, 2024 relating to our accounting for inventory and inventory related transactions.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spacing w:after="0" w:line="1" w:lineRule="exact"/>
        <w:rPr>
          <w:rFonts w:ascii="Arial" w:cs="Arial" w:eastAsia="Arial" w:hAnsi="Arial"/>
          <w:sz w:val="18"/>
          <w:szCs w:val="18"/>
          <w:color w:val="auto"/>
        </w:rPr>
      </w:pPr>
    </w:p>
    <w:p>
      <w:pPr>
        <w:jc w:val="both"/>
        <w:ind w:left="180" w:hanging="172"/>
        <w:spacing w:after="0" w:line="258"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 which could result in substantial losses for holders or future purchasers of our common stock and lawsuits against us and our officers and directors and could result in substantial costs and divert management's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34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1900" w:type="dxa"/>
            <w:vAlign w:val="bottom"/>
          </w:tcPr>
          <w:p>
            <w:pPr>
              <w:spacing w:after="0"/>
              <w:rPr>
                <w:sz w:val="17"/>
                <w:szCs w:val="17"/>
                <w:color w:val="auto"/>
              </w:rPr>
            </w:pPr>
          </w:p>
        </w:tc>
      </w:tr>
      <w:tr>
        <w:trPr>
          <w:trHeight w:val="879"/>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9"/>
              </w:rPr>
              <w:t>Akebia Therapeutics, Inc.</w:t>
            </w:r>
          </w:p>
        </w:tc>
        <w:tc>
          <w:tcPr>
            <w:tcW w:w="1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40" w:type="dxa"/>
            <w:vAlign w:val="bottom"/>
            <w:gridSpan w:val="6"/>
          </w:tcPr>
          <w:p>
            <w:pPr>
              <w:jc w:val="center"/>
              <w:ind w:right="318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74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99"/>
              </w:rPr>
              <w:t>For the Quarter Ended June 30, 2025</w:t>
            </w:r>
          </w:p>
        </w:tc>
        <w:tc>
          <w:tcPr>
            <w:tcW w:w="1900" w:type="dxa"/>
            <w:vAlign w:val="bottom"/>
          </w:tcPr>
          <w:p>
            <w:pPr>
              <w:spacing w:after="0"/>
              <w:rPr>
                <w:sz w:val="21"/>
                <w:szCs w:val="21"/>
                <w:color w:val="auto"/>
              </w:rPr>
            </w:pPr>
          </w:p>
        </w:tc>
      </w:tr>
      <w:tr>
        <w:trPr>
          <w:trHeight w:val="67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1900" w:type="dxa"/>
            <w:vAlign w:val="bottom"/>
          </w:tcPr>
          <w:p>
            <w:pPr>
              <w:spacing w:after="0"/>
              <w:rPr>
                <w:sz w:val="24"/>
                <w:szCs w:val="24"/>
                <w:color w:val="auto"/>
              </w:rPr>
            </w:pPr>
          </w:p>
        </w:tc>
      </w:tr>
      <w:tr>
        <w:trPr>
          <w:trHeight w:val="5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Page</w:t>
            </w: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400" w:type="dxa"/>
            <w:vAlign w:val="bottom"/>
            <w:gridSpan w:val="20"/>
            <w:shd w:val="clear" w:color="auto" w:fill="DBDBDB"/>
          </w:tcPr>
          <w:p>
            <w:pPr>
              <w:spacing w:after="0" w:line="189" w:lineRule="exact"/>
              <w:rPr>
                <w:sz w:val="20"/>
                <w:szCs w:val="20"/>
                <w:color w:val="auto"/>
              </w:rPr>
            </w:pPr>
            <w:r>
              <w:rPr>
                <w:rFonts w:ascii="Arial" w:cs="Arial" w:eastAsia="Arial" w:hAnsi="Arial"/>
                <w:sz w:val="18"/>
                <w:szCs w:val="18"/>
                <w:b w:val="1"/>
                <w:bCs w:val="1"/>
                <w:color w:val="007BFF"/>
              </w:rPr>
              <w:t>Part I</w:t>
            </w:r>
          </w:p>
        </w:tc>
        <w:tc>
          <w:tcPr>
            <w:tcW w:w="1900" w:type="dxa"/>
            <w:vAlign w:val="bottom"/>
            <w:shd w:val="clear" w:color="auto" w:fill="DBDBDB"/>
          </w:tcPr>
          <w:p>
            <w:pPr>
              <w:spacing w:after="0"/>
              <w:rPr>
                <w:sz w:val="16"/>
                <w:szCs w:val="16"/>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007B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4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40" w:type="dxa"/>
            <w:vAlign w:val="bottom"/>
            <w:tcBorders>
              <w:top w:val="single" w:sz="8" w:color="DBDBDB"/>
            </w:tcBorders>
            <w:shd w:val="clear" w:color="auto" w:fill="DBDBDB"/>
          </w:tcPr>
          <w:p>
            <w:pPr>
              <w:spacing w:after="0" w:line="20" w:lineRule="exact"/>
              <w:rPr>
                <w:sz w:val="1"/>
                <w:szCs w:val="1"/>
                <w:color w:val="auto"/>
              </w:rPr>
            </w:pPr>
          </w:p>
        </w:tc>
        <w:tc>
          <w:tcPr>
            <w:tcW w:w="190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gridSpan w:val="3"/>
          </w:tcPr>
          <w:p>
            <w:pPr>
              <w:spacing w:after="0" w:line="189" w:lineRule="exact"/>
              <w:rPr>
                <w:sz w:val="20"/>
                <w:szCs w:val="20"/>
                <w:color w:val="auto"/>
              </w:rPr>
            </w:pPr>
            <w:r>
              <w:rPr>
                <w:rFonts w:ascii="Arial" w:cs="Arial" w:eastAsia="Arial" w:hAnsi="Arial"/>
                <w:sz w:val="18"/>
                <w:szCs w:val="18"/>
                <w:color w:val="007BFF"/>
              </w:rPr>
              <w:t>Item 1</w:t>
            </w:r>
          </w:p>
        </w:tc>
        <w:tc>
          <w:tcPr>
            <w:tcW w:w="8400" w:type="dxa"/>
            <w:vAlign w:val="bottom"/>
            <w:gridSpan w:val="20"/>
          </w:tcPr>
          <w:p>
            <w:pPr>
              <w:spacing w:after="0" w:line="189" w:lineRule="exact"/>
              <w:rPr>
                <w:sz w:val="20"/>
                <w:szCs w:val="20"/>
                <w:color w:val="auto"/>
              </w:rPr>
            </w:pPr>
            <w:r>
              <w:rPr>
                <w:rFonts w:ascii="Arial" w:cs="Arial" w:eastAsia="Arial" w:hAnsi="Arial"/>
                <w:sz w:val="18"/>
                <w:szCs w:val="18"/>
                <w:color w:val="007BFF"/>
              </w:rPr>
              <w:t>Financial Statements (Unaudited)</w:t>
            </w:r>
          </w:p>
        </w:tc>
        <w:tc>
          <w:tcPr>
            <w:tcW w:w="19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Condensed Consolidated Balance Sheets</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780" w:type="dxa"/>
            <w:vAlign w:val="bottom"/>
            <w:gridSpan w:val="2"/>
            <w:shd w:val="clear" w:color="auto" w:fill="007B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60" w:type="dxa"/>
            <w:vAlign w:val="bottom"/>
            <w:tcBorders>
              <w:bottom w:val="single" w:sz="8" w:color="007BFF"/>
            </w:tcBorders>
            <w:gridSpan w:val="18"/>
          </w:tcPr>
          <w:p>
            <w:pPr>
              <w:spacing w:after="0"/>
              <w:rPr>
                <w:sz w:val="20"/>
                <w:szCs w:val="20"/>
                <w:color w:val="auto"/>
              </w:rPr>
            </w:pPr>
            <w:r>
              <w:rPr>
                <w:rFonts w:ascii="Arial" w:cs="Arial" w:eastAsia="Arial" w:hAnsi="Arial"/>
                <w:sz w:val="18"/>
                <w:szCs w:val="18"/>
                <w:color w:val="007BFF"/>
                <w:w w:val="99"/>
              </w:rPr>
              <w:t>Condensed Consolidated Statements of Operations and Comprehensive Income (Loss)</w:t>
            </w:r>
          </w:p>
        </w:tc>
        <w:tc>
          <w:tcPr>
            <w:tcW w:w="1440" w:type="dxa"/>
            <w:vAlign w:val="bottom"/>
            <w:gridSpan w:val="2"/>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Borders>
              <w:bottom w:val="single" w:sz="8" w:color="007BFF"/>
            </w:tcBorders>
            <w:gridSpan w:val="17"/>
          </w:tcPr>
          <w:p>
            <w:pPr>
              <w:spacing w:after="0"/>
              <w:rPr>
                <w:sz w:val="20"/>
                <w:szCs w:val="20"/>
                <w:color w:val="auto"/>
              </w:rPr>
            </w:pPr>
            <w:r>
              <w:rPr>
                <w:rFonts w:ascii="Arial" w:cs="Arial" w:eastAsia="Arial" w:hAnsi="Arial"/>
                <w:sz w:val="18"/>
                <w:szCs w:val="18"/>
                <w:color w:val="007BFF"/>
                <w:w w:val="99"/>
              </w:rPr>
              <w:t>Condensed Consolidated Statements of Stockholders' Equity (Deficit)</w:t>
            </w:r>
          </w:p>
        </w:tc>
        <w:tc>
          <w:tcPr>
            <w:tcW w:w="2880" w:type="dxa"/>
            <w:vAlign w:val="bottom"/>
            <w:gridSpan w:val="3"/>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Condensed Consolidated Statements of Cash Flows</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1620" w:type="dxa"/>
            <w:vAlign w:val="bottom"/>
            <w:gridSpan w:val="3"/>
            <w:shd w:val="clear" w:color="auto" w:fill="007B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Notes to the Condensed Consolidated Financial Statements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Borders>
              <w:left w:val="single" w:sz="8" w:color="007BFF"/>
            </w:tcBorders>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2</w:t>
            </w:r>
          </w:p>
        </w:tc>
        <w:tc>
          <w:tcPr>
            <w:tcW w:w="8400" w:type="dxa"/>
            <w:vAlign w:val="bottom"/>
            <w:gridSpan w:val="20"/>
          </w:tcPr>
          <w:p>
            <w:pPr>
              <w:spacing w:after="0"/>
              <w:rPr>
                <w:sz w:val="20"/>
                <w:szCs w:val="20"/>
                <w:color w:val="auto"/>
              </w:rPr>
            </w:pPr>
            <w:r>
              <w:rPr>
                <w:rFonts w:ascii="Arial" w:cs="Arial" w:eastAsia="Arial" w:hAnsi="Arial"/>
                <w:sz w:val="18"/>
                <w:szCs w:val="18"/>
                <w:color w:val="007BFF"/>
              </w:rPr>
              <w:t>Management’s Discussion and Analysis of Financial Condition and Results of Operations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Borders>
              <w:left w:val="single" w:sz="8" w:color="007BFF"/>
            </w:tcBorders>
            <w:shd w:val="clear" w:color="auto" w:fill="007BFF"/>
          </w:tcPr>
          <w:p>
            <w:pPr>
              <w:spacing w:after="0" w:line="20" w:lineRule="exact"/>
              <w:rPr>
                <w:sz w:val="1"/>
                <w:szCs w:val="1"/>
                <w:color w:val="auto"/>
              </w:rPr>
            </w:pPr>
          </w:p>
        </w:tc>
        <w:tc>
          <w:tcPr>
            <w:tcW w:w="2220" w:type="dxa"/>
            <w:vAlign w:val="bottom"/>
            <w:gridSpan w:val="3"/>
            <w:shd w:val="clear" w:color="auto" w:fill="007B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3</w:t>
            </w:r>
          </w:p>
        </w:tc>
        <w:tc>
          <w:tcPr>
            <w:tcW w:w="8400" w:type="dxa"/>
            <w:vAlign w:val="bottom"/>
            <w:gridSpan w:val="20"/>
          </w:tcPr>
          <w:p>
            <w:pPr>
              <w:spacing w:after="0"/>
              <w:rPr>
                <w:sz w:val="20"/>
                <w:szCs w:val="20"/>
                <w:color w:val="auto"/>
              </w:rPr>
            </w:pPr>
            <w:r>
              <w:rPr>
                <w:rFonts w:ascii="Arial" w:cs="Arial" w:eastAsia="Arial" w:hAnsi="Arial"/>
                <w:sz w:val="18"/>
                <w:szCs w:val="18"/>
                <w:color w:val="007BFF"/>
              </w:rPr>
              <w:t>Quantitative and Qualitative Disclosures About Market Risk</w:t>
            </w:r>
          </w:p>
        </w:tc>
        <w:tc>
          <w:tcPr>
            <w:tcW w:w="1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4</w:t>
            </w:r>
          </w:p>
        </w:tc>
        <w:tc>
          <w:tcPr>
            <w:tcW w:w="8400" w:type="dxa"/>
            <w:vAlign w:val="bottom"/>
            <w:gridSpan w:val="20"/>
          </w:tcPr>
          <w:p>
            <w:pPr>
              <w:spacing w:after="0"/>
              <w:rPr>
                <w:sz w:val="20"/>
                <w:szCs w:val="20"/>
                <w:color w:val="auto"/>
              </w:rPr>
            </w:pPr>
            <w:r>
              <w:rPr>
                <w:rFonts w:ascii="Arial" w:cs="Arial" w:eastAsia="Arial" w:hAnsi="Arial"/>
                <w:sz w:val="18"/>
                <w:szCs w:val="18"/>
                <w:color w:val="007BFF"/>
              </w:rPr>
              <w:t>Controls and Procedures</w:t>
            </w:r>
          </w:p>
        </w:tc>
        <w:tc>
          <w:tcPr>
            <w:tcW w:w="1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7B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007BFF"/>
            </w:tcBorders>
          </w:tcPr>
          <w:p>
            <w:pPr>
              <w:spacing w:after="0" w:line="20" w:lineRule="exact"/>
              <w:rPr>
                <w:sz w:val="1"/>
                <w:szCs w:val="1"/>
                <w:color w:val="auto"/>
              </w:rPr>
            </w:pPr>
          </w:p>
        </w:tc>
        <w:tc>
          <w:tcPr>
            <w:tcW w:w="20" w:type="dxa"/>
            <w:vAlign w:val="bottom"/>
            <w:tcBorders>
              <w:top w:val="single" w:sz="8" w:color="007BFF"/>
            </w:tcBorders>
          </w:tcPr>
          <w:p>
            <w:pPr>
              <w:spacing w:after="0" w:line="20" w:lineRule="exact"/>
              <w:rPr>
                <w:sz w:val="1"/>
                <w:szCs w:val="1"/>
                <w:color w:val="auto"/>
              </w:rPr>
            </w:pPr>
          </w:p>
        </w:tc>
        <w:tc>
          <w:tcPr>
            <w:tcW w:w="40" w:type="dxa"/>
            <w:vAlign w:val="bottom"/>
            <w:tcBorders>
              <w:top w:val="single" w:sz="8" w:color="007BFF"/>
            </w:tcBorders>
          </w:tcPr>
          <w:p>
            <w:pPr>
              <w:spacing w:after="0" w:line="20" w:lineRule="exact"/>
              <w:rPr>
                <w:sz w:val="1"/>
                <w:szCs w:val="1"/>
                <w:color w:val="auto"/>
              </w:rPr>
            </w:pPr>
          </w:p>
        </w:tc>
        <w:tc>
          <w:tcPr>
            <w:tcW w:w="120" w:type="dxa"/>
            <w:vAlign w:val="bottom"/>
            <w:tcBorders>
              <w:top w:val="single" w:sz="8" w:color="007BFF"/>
            </w:tcBorders>
          </w:tcPr>
          <w:p>
            <w:pPr>
              <w:spacing w:after="0" w:line="20" w:lineRule="exact"/>
              <w:rPr>
                <w:sz w:val="1"/>
                <w:szCs w:val="1"/>
                <w:color w:val="auto"/>
              </w:rPr>
            </w:pPr>
          </w:p>
        </w:tc>
        <w:tc>
          <w:tcPr>
            <w:tcW w:w="240" w:type="dxa"/>
            <w:vAlign w:val="bottom"/>
            <w:tcBorders>
              <w:top w:val="single" w:sz="8" w:color="007BFF"/>
            </w:tcBorders>
          </w:tcPr>
          <w:p>
            <w:pPr>
              <w:spacing w:after="0" w:line="20" w:lineRule="exact"/>
              <w:rPr>
                <w:sz w:val="1"/>
                <w:szCs w:val="1"/>
                <w:color w:val="auto"/>
              </w:rPr>
            </w:pPr>
          </w:p>
        </w:tc>
        <w:tc>
          <w:tcPr>
            <w:tcW w:w="140" w:type="dxa"/>
            <w:vAlign w:val="bottom"/>
            <w:tcBorders>
              <w:top w:val="single" w:sz="8" w:color="007BFF"/>
            </w:tcBorders>
          </w:tcPr>
          <w:p>
            <w:pPr>
              <w:spacing w:after="0" w:line="20" w:lineRule="exact"/>
              <w:rPr>
                <w:sz w:val="1"/>
                <w:szCs w:val="1"/>
                <w:color w:val="auto"/>
              </w:rPr>
            </w:pPr>
          </w:p>
        </w:tc>
        <w:tc>
          <w:tcPr>
            <w:tcW w:w="400" w:type="dxa"/>
            <w:vAlign w:val="bottom"/>
            <w:tcBorders>
              <w:top w:val="single" w:sz="8" w:color="007BFF"/>
            </w:tcBorders>
          </w:tcPr>
          <w:p>
            <w:pPr>
              <w:spacing w:after="0" w:line="20" w:lineRule="exact"/>
              <w:rPr>
                <w:sz w:val="1"/>
                <w:szCs w:val="1"/>
                <w:color w:val="auto"/>
              </w:rPr>
            </w:pPr>
          </w:p>
        </w:tc>
        <w:tc>
          <w:tcPr>
            <w:tcW w:w="80" w:type="dxa"/>
            <w:vAlign w:val="bottom"/>
            <w:tcBorders>
              <w:top w:val="single" w:sz="8" w:color="007BFF"/>
            </w:tcBorders>
          </w:tcPr>
          <w:p>
            <w:pPr>
              <w:spacing w:after="0" w:line="20" w:lineRule="exact"/>
              <w:rPr>
                <w:sz w:val="1"/>
                <w:szCs w:val="1"/>
                <w:color w:val="auto"/>
              </w:rPr>
            </w:pPr>
          </w:p>
        </w:tc>
        <w:tc>
          <w:tcPr>
            <w:tcW w:w="440" w:type="dxa"/>
            <w:vAlign w:val="bottom"/>
            <w:tcBorders>
              <w:top w:val="single" w:sz="8" w:color="007BFF"/>
            </w:tcBorders>
          </w:tcPr>
          <w:p>
            <w:pPr>
              <w:spacing w:after="0" w:line="20" w:lineRule="exact"/>
              <w:rPr>
                <w:sz w:val="1"/>
                <w:szCs w:val="1"/>
                <w:color w:val="auto"/>
              </w:rPr>
            </w:pPr>
          </w:p>
        </w:tc>
        <w:tc>
          <w:tcPr>
            <w:tcW w:w="60" w:type="dxa"/>
            <w:vAlign w:val="bottom"/>
            <w:tcBorders>
              <w:top w:val="single" w:sz="8" w:color="007B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007BFF"/>
            </w:tcBorders>
            <w:gridSpan w:val="3"/>
            <w:shd w:val="clear" w:color="auto" w:fill="DBDBDB"/>
          </w:tcPr>
          <w:p>
            <w:pPr>
              <w:spacing w:after="0" w:line="189" w:lineRule="exact"/>
              <w:rPr>
                <w:sz w:val="20"/>
                <w:szCs w:val="20"/>
                <w:color w:val="auto"/>
              </w:rPr>
            </w:pPr>
            <w:r>
              <w:rPr>
                <w:rFonts w:ascii="Arial" w:cs="Arial" w:eastAsia="Arial" w:hAnsi="Arial"/>
                <w:sz w:val="18"/>
                <w:szCs w:val="18"/>
                <w:b w:val="1"/>
                <w:bCs w:val="1"/>
                <w:color w:val="007BFF"/>
                <w:w w:val="95"/>
              </w:rPr>
              <w:t>Part II</w:t>
            </w:r>
          </w:p>
        </w:tc>
        <w:tc>
          <w:tcPr>
            <w:tcW w:w="7900" w:type="dxa"/>
            <w:vAlign w:val="bottom"/>
            <w:tcBorders>
              <w:bottom w:val="single" w:sz="8" w:color="DBDBDB"/>
            </w:tcBorders>
            <w:gridSpan w:val="17"/>
            <w:shd w:val="clear" w:color="auto" w:fill="DBDBDB"/>
          </w:tcPr>
          <w:p>
            <w:pPr>
              <w:spacing w:after="0"/>
              <w:rPr>
                <w:sz w:val="18"/>
                <w:szCs w:val="18"/>
                <w:color w:val="auto"/>
              </w:rPr>
            </w:pPr>
          </w:p>
        </w:tc>
        <w:tc>
          <w:tcPr>
            <w:tcW w:w="1900" w:type="dxa"/>
            <w:vAlign w:val="bottom"/>
            <w:tcBorders>
              <w:bottom w:val="single" w:sz="8" w:color="DBDBDB"/>
            </w:tcBorders>
            <w:shd w:val="clear" w:color="auto" w:fill="DBDBDB"/>
          </w:tcPr>
          <w:p>
            <w:pPr>
              <w:jc w:val="right"/>
              <w:spacing w:after="0" w:line="189" w:lineRule="exact"/>
              <w:rPr>
                <w:sz w:val="20"/>
                <w:szCs w:val="20"/>
                <w:color w:val="auto"/>
              </w:rPr>
            </w:pPr>
            <w:r>
              <w:rPr>
                <w:rFonts w:ascii="Arial" w:cs="Arial" w:eastAsia="Arial" w:hAnsi="Arial"/>
                <w:sz w:val="18"/>
                <w:szCs w:val="18"/>
                <w:color w:val="auto"/>
              </w:rPr>
              <w:t>45</w:t>
            </w:r>
          </w:p>
        </w:tc>
      </w:tr>
      <w:tr>
        <w:trPr>
          <w:trHeight w:val="189"/>
        </w:trPr>
        <w:tc>
          <w:tcPr>
            <w:tcW w:w="20" w:type="dxa"/>
            <w:vAlign w:val="bottom"/>
          </w:tcPr>
          <w:p>
            <w:pPr>
              <w:spacing w:after="0"/>
              <w:rPr>
                <w:sz w:val="16"/>
                <w:szCs w:val="16"/>
                <w:color w:val="auto"/>
              </w:rPr>
            </w:pPr>
          </w:p>
        </w:tc>
        <w:tc>
          <w:tcPr>
            <w:tcW w:w="620" w:type="dxa"/>
            <w:vAlign w:val="bottom"/>
            <w:gridSpan w:val="2"/>
          </w:tcPr>
          <w:p>
            <w:pPr>
              <w:spacing w:after="0" w:line="189" w:lineRule="exact"/>
              <w:rPr>
                <w:sz w:val="20"/>
                <w:szCs w:val="20"/>
                <w:color w:val="auto"/>
              </w:rPr>
            </w:pPr>
            <w:r>
              <w:rPr>
                <w:rFonts w:ascii="Arial" w:cs="Arial" w:eastAsia="Arial" w:hAnsi="Arial"/>
                <w:sz w:val="18"/>
                <w:szCs w:val="18"/>
                <w:color w:val="007BFF"/>
              </w:rPr>
              <w:t>Item 1</w:t>
            </w:r>
          </w:p>
        </w:tc>
        <w:tc>
          <w:tcPr>
            <w:tcW w:w="300" w:type="dxa"/>
            <w:vAlign w:val="bottom"/>
          </w:tcPr>
          <w:p>
            <w:pPr>
              <w:spacing w:after="0"/>
              <w:rPr>
                <w:sz w:val="16"/>
                <w:szCs w:val="16"/>
                <w:color w:val="auto"/>
              </w:rPr>
            </w:pPr>
          </w:p>
        </w:tc>
        <w:tc>
          <w:tcPr>
            <w:tcW w:w="8400" w:type="dxa"/>
            <w:vAlign w:val="bottom"/>
            <w:gridSpan w:val="20"/>
          </w:tcPr>
          <w:p>
            <w:pPr>
              <w:spacing w:after="0" w:line="189" w:lineRule="exact"/>
              <w:rPr>
                <w:sz w:val="20"/>
                <w:szCs w:val="20"/>
                <w:color w:val="auto"/>
              </w:rPr>
            </w:pPr>
            <w:r>
              <w:rPr>
                <w:rFonts w:ascii="Arial" w:cs="Arial" w:eastAsia="Arial" w:hAnsi="Arial"/>
                <w:sz w:val="18"/>
                <w:szCs w:val="18"/>
                <w:color w:val="007BFF"/>
              </w:rPr>
              <w:t>Legal Proceedings</w:t>
            </w:r>
          </w:p>
        </w:tc>
        <w:tc>
          <w:tcPr>
            <w:tcW w:w="1900" w:type="dxa"/>
            <w:vAlign w:val="bottom"/>
          </w:tcPr>
          <w:p>
            <w:pPr>
              <w:jc w:val="right"/>
              <w:spacing w:after="0" w:line="189" w:lineRule="exact"/>
              <w:rPr>
                <w:sz w:val="20"/>
                <w:szCs w:val="20"/>
                <w:color w:val="auto"/>
              </w:rPr>
            </w:pPr>
            <w:r>
              <w:rPr>
                <w:rFonts w:ascii="Arial" w:cs="Arial" w:eastAsia="Arial" w:hAnsi="Arial"/>
                <w:sz w:val="18"/>
                <w:szCs w:val="18"/>
                <w:color w:val="auto"/>
              </w:rPr>
              <w:t>45</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1A</w:t>
            </w:r>
          </w:p>
        </w:tc>
        <w:tc>
          <w:tcPr>
            <w:tcW w:w="8400" w:type="dxa"/>
            <w:vAlign w:val="bottom"/>
            <w:gridSpan w:val="20"/>
          </w:tcPr>
          <w:p>
            <w:pPr>
              <w:spacing w:after="0"/>
              <w:rPr>
                <w:sz w:val="20"/>
                <w:szCs w:val="20"/>
                <w:color w:val="auto"/>
              </w:rPr>
            </w:pPr>
            <w:r>
              <w:rPr>
                <w:rFonts w:ascii="Arial" w:cs="Arial" w:eastAsia="Arial" w:hAnsi="Arial"/>
                <w:sz w:val="18"/>
                <w:szCs w:val="18"/>
                <w:color w:val="007BFF"/>
              </w:rPr>
              <w:t>Risk Factors</w:t>
            </w:r>
          </w:p>
        </w:tc>
        <w:tc>
          <w:tcPr>
            <w:tcW w:w="1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7BFF"/>
              </w:rPr>
              <w:t>Item 2</w:t>
            </w: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Unregistered Sales of Equity Securities and Use of Proceeds</w:t>
            </w:r>
          </w:p>
        </w:tc>
        <w:tc>
          <w:tcPr>
            <w:tcW w:w="1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2300" w:type="dxa"/>
            <w:vAlign w:val="bottom"/>
            <w:gridSpan w:val="5"/>
            <w:shd w:val="clear" w:color="auto" w:fill="007B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3</w:t>
            </w:r>
          </w:p>
        </w:tc>
        <w:tc>
          <w:tcPr>
            <w:tcW w:w="8400" w:type="dxa"/>
            <w:vAlign w:val="bottom"/>
            <w:gridSpan w:val="20"/>
          </w:tcPr>
          <w:p>
            <w:pPr>
              <w:spacing w:after="0"/>
              <w:rPr>
                <w:sz w:val="20"/>
                <w:szCs w:val="20"/>
                <w:color w:val="auto"/>
              </w:rPr>
            </w:pPr>
            <w:r>
              <w:rPr>
                <w:rFonts w:ascii="Arial" w:cs="Arial" w:eastAsia="Arial" w:hAnsi="Arial"/>
                <w:sz w:val="18"/>
                <w:szCs w:val="18"/>
                <w:color w:val="007BFF"/>
              </w:rPr>
              <w:t>Defaults Upon Senior Securities</w:t>
            </w:r>
          </w:p>
        </w:tc>
        <w:tc>
          <w:tcPr>
            <w:tcW w:w="1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4</w:t>
            </w:r>
          </w:p>
        </w:tc>
        <w:tc>
          <w:tcPr>
            <w:tcW w:w="8400" w:type="dxa"/>
            <w:vAlign w:val="bottom"/>
            <w:gridSpan w:val="20"/>
          </w:tcPr>
          <w:p>
            <w:pPr>
              <w:spacing w:after="0"/>
              <w:rPr>
                <w:sz w:val="20"/>
                <w:szCs w:val="20"/>
                <w:color w:val="auto"/>
              </w:rPr>
            </w:pPr>
            <w:r>
              <w:rPr>
                <w:rFonts w:ascii="Arial" w:cs="Arial" w:eastAsia="Arial" w:hAnsi="Arial"/>
                <w:sz w:val="18"/>
                <w:szCs w:val="18"/>
                <w:color w:val="007BFF"/>
              </w:rPr>
              <w:t>Mine Safety Disclosures</w:t>
            </w:r>
          </w:p>
        </w:tc>
        <w:tc>
          <w:tcPr>
            <w:tcW w:w="1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5</w:t>
            </w:r>
          </w:p>
        </w:tc>
        <w:tc>
          <w:tcPr>
            <w:tcW w:w="8400" w:type="dxa"/>
            <w:vAlign w:val="bottom"/>
            <w:gridSpan w:val="20"/>
          </w:tcPr>
          <w:p>
            <w:pPr>
              <w:spacing w:after="0"/>
              <w:rPr>
                <w:sz w:val="20"/>
                <w:szCs w:val="20"/>
                <w:color w:val="auto"/>
              </w:rPr>
            </w:pPr>
            <w:r>
              <w:rPr>
                <w:rFonts w:ascii="Arial" w:cs="Arial" w:eastAsia="Arial" w:hAnsi="Arial"/>
                <w:sz w:val="18"/>
                <w:szCs w:val="18"/>
                <w:color w:val="007BFF"/>
              </w:rPr>
              <w:t>Other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6</w:t>
            </w:r>
          </w:p>
        </w:tc>
        <w:tc>
          <w:tcPr>
            <w:tcW w:w="8400" w:type="dxa"/>
            <w:vAlign w:val="bottom"/>
            <w:gridSpan w:val="20"/>
          </w:tcPr>
          <w:p>
            <w:pPr>
              <w:spacing w:after="0"/>
              <w:rPr>
                <w:sz w:val="20"/>
                <w:szCs w:val="20"/>
                <w:color w:val="auto"/>
              </w:rPr>
            </w:pPr>
            <w:r>
              <w:rPr>
                <w:rFonts w:ascii="Arial" w:cs="Arial" w:eastAsia="Arial" w:hAnsi="Arial"/>
                <w:sz w:val="18"/>
                <w:szCs w:val="18"/>
                <w:color w:val="007BFF"/>
              </w:rPr>
              <w:t>Exhibits</w:t>
            </w:r>
          </w:p>
        </w:tc>
        <w:tc>
          <w:tcPr>
            <w:tcW w:w="1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bottom w:val="single" w:sz="8" w:color="007BFF"/>
            </w:tcBorders>
            <w:gridSpan w:val="5"/>
          </w:tcPr>
          <w:p>
            <w:pPr>
              <w:spacing w:after="0"/>
              <w:rPr>
                <w:sz w:val="20"/>
                <w:szCs w:val="20"/>
                <w:color w:val="auto"/>
              </w:rPr>
            </w:pPr>
            <w:r>
              <w:rPr>
                <w:rFonts w:ascii="Arial" w:cs="Arial" w:eastAsia="Arial" w:hAnsi="Arial"/>
                <w:sz w:val="18"/>
                <w:szCs w:val="18"/>
                <w:color w:val="007BFF"/>
                <w:w w:val="97"/>
              </w:rPr>
              <w:t>Signatures</w:t>
            </w:r>
          </w:p>
        </w:tc>
        <w:tc>
          <w:tcPr>
            <w:tcW w:w="7540" w:type="dxa"/>
            <w:vAlign w:val="bottom"/>
            <w:gridSpan w:val="15"/>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3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this Quarterly Report on Form 10-Q, unless otherwise stated or the context otherwise requires, references to “Akebia,” “we,” “us,” “our,” “the Company,” "our Company" and similar references refer to Akebia Therapeutics, Inc. and, where appropriate, its consolidated</w:t>
      </w:r>
    </w:p>
    <w:p>
      <w:pPr>
        <w:jc w:val="both"/>
        <w:spacing w:after="0" w:line="237" w:lineRule="auto"/>
        <w:rPr>
          <w:sz w:val="20"/>
          <w:szCs w:val="20"/>
          <w:color w:val="auto"/>
        </w:rPr>
      </w:pPr>
      <w:r>
        <w:rPr>
          <w:rFonts w:ascii="Arial" w:cs="Arial" w:eastAsia="Arial" w:hAnsi="Arial"/>
          <w:sz w:val="18"/>
          <w:szCs w:val="18"/>
          <w:color w:val="auto"/>
        </w:rPr>
        <w:t xml:space="preserve">subsidiaries. On December 12, 2018, in connection with the consummation of the merger, or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with Keryx Biopharmaceuticals, Inc., or </w:t>
      </w:r>
      <w:r>
        <w:rPr>
          <w:rFonts w:ascii="Arial" w:cs="Arial" w:eastAsia="Arial" w:hAnsi="Arial"/>
          <w:sz w:val="18"/>
          <w:szCs w:val="18"/>
          <w:u w:val="single" w:color="auto"/>
          <w:color w:val="auto"/>
        </w:rPr>
        <w:t>Keryx</w:t>
      </w:r>
      <w:r>
        <w:rPr>
          <w:rFonts w:ascii="Arial" w:cs="Arial" w:eastAsia="Arial" w:hAnsi="Arial"/>
          <w:sz w:val="18"/>
          <w:szCs w:val="18"/>
          <w:color w:val="auto"/>
        </w:rPr>
        <w:t>, Keryx became a wholly owned subsidiary of the Company.</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AURYXIA®, AKEBIA Therapeutics®, Vafseo® and their associated logos are trademarks of Akebia and/or its affiliates. All other trademarks, trade names and service marks appearing in this Quarterly Report on Form 10-Q are the property of their respective owners. Solely for convenience, trademarks, trade names, and service marks referred to in this Quarterly Report on Form 10-Q may appear without the ® or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7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30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77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137,308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51,870</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16,708</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16,243</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72,809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34,368</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7,832</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11,350</w:t>
            </w:r>
          </w:p>
        </w:tc>
        <w:tc>
          <w:tcPr>
            <w:tcW w:w="0" w:type="dxa"/>
            <w:vAlign w:val="bottom"/>
          </w:tcPr>
          <w:p>
            <w:pPr>
              <w:spacing w:after="0"/>
              <w:rPr>
                <w:sz w:val="1"/>
                <w:szCs w:val="1"/>
                <w:color w:val="auto"/>
              </w:rPr>
            </w:pPr>
          </w:p>
        </w:tc>
      </w:tr>
      <w:tr>
        <w:trPr>
          <w:trHeight w:val="209"/>
        </w:trPr>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234,657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113,831</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1,714</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Operating right-of-use assets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8,218</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59,044</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59,044</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44,193</w:t>
            </w:r>
          </w:p>
        </w:tc>
        <w:tc>
          <w:tcPr>
            <w:tcW w:w="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37,377</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345,595</w:t>
            </w: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220,670</w:t>
            </w:r>
          </w:p>
        </w:tc>
        <w:tc>
          <w:tcPr>
            <w:tcW w:w="0" w:type="dxa"/>
            <w:vAlign w:val="bottom"/>
          </w:tcPr>
          <w:p>
            <w:pPr>
              <w:spacing w:after="0"/>
              <w:rPr>
                <w:sz w:val="1"/>
                <w:szCs w:val="1"/>
                <w:color w:val="auto"/>
              </w:rPr>
            </w:pPr>
          </w:p>
        </w:tc>
      </w:tr>
      <w:tr>
        <w:trPr>
          <w:trHeight w:val="20"/>
        </w:trPr>
        <w:tc>
          <w:tcPr>
            <w:tcW w:w="7760" w:type="dxa"/>
            <w:vAlign w:val="bottom"/>
            <w:tcBorders>
              <w:top w:val="single" w:sz="8" w:color="DBDBDB"/>
              <w:bottom w:val="single" w:sz="8" w:color="DBDBDB"/>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 (deficit)</w:t>
            </w: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11,554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15,180</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91,615</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63,460</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Current portion of deferred revenue</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Working Capital Fund liability, current portion</w:t>
            </w:r>
          </w:p>
        </w:tc>
        <w:tc>
          <w:tcPr>
            <w:tcW w:w="3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10,016</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09"/>
        </w:trPr>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118,717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80,914</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Long-term debt, net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47,062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38,693</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Liability related to settlement royalties, net of current portion</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48,729</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46,697</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Liability related to sale of future royalties, net of current portion</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51,082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52,066</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Working Capital Fund liability, net of current portion</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30,556</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38,013</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Warrant liability</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5,355</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10"/>
        </w:trPr>
        <w:tc>
          <w:tcPr>
            <w:tcW w:w="77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liabilities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316,371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269,855</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Commitments and contingencies (Note 10)</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 (deficit):</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DBDBDB"/>
          </w:tcPr>
          <w:p>
            <w:pPr>
              <w:ind w:left="220"/>
              <w:spacing w:after="0" w:line="162" w:lineRule="exact"/>
              <w:rPr>
                <w:sz w:val="20"/>
                <w:szCs w:val="20"/>
                <w:color w:val="auto"/>
              </w:rPr>
            </w:pPr>
            <w:r>
              <w:rPr>
                <w:rFonts w:ascii="Arial" w:cs="Arial" w:eastAsia="Arial" w:hAnsi="Arial"/>
                <w:sz w:val="16"/>
                <w:szCs w:val="16"/>
                <w:color w:val="auto"/>
              </w:rPr>
              <w:t>Preferred stock $0.00001 par value; 25,000,000 shares authorized at June 30, 2025 and December 31,</w:t>
            </w:r>
          </w:p>
        </w:tc>
        <w:tc>
          <w:tcPr>
            <w:tcW w:w="300" w:type="dxa"/>
            <w:vAlign w:val="bottom"/>
            <w:shd w:val="clear" w:color="auto" w:fill="DBDBDB"/>
          </w:tcPr>
          <w:p>
            <w:pPr>
              <w:spacing w:after="0"/>
              <w:rPr>
                <w:sz w:val="14"/>
                <w:szCs w:val="14"/>
                <w:color w:val="auto"/>
              </w:rPr>
            </w:pPr>
          </w:p>
        </w:tc>
        <w:tc>
          <w:tcPr>
            <w:tcW w:w="148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2024; no shares issued and outstanding at June 30, 2025 and December 31, 2024</w:t>
            </w:r>
          </w:p>
        </w:tc>
        <w:tc>
          <w:tcPr>
            <w:tcW w:w="300" w:type="dxa"/>
            <w:vAlign w:val="bottom"/>
            <w:shd w:val="clear" w:color="auto" w:fill="DBDBDB"/>
          </w:tcPr>
          <w:p>
            <w:pPr>
              <w:spacing w:after="0"/>
              <w:rPr>
                <w:sz w:val="18"/>
                <w:szCs w:val="18"/>
                <w:color w:val="auto"/>
              </w:rPr>
            </w:pPr>
          </w:p>
        </w:tc>
        <w:tc>
          <w:tcPr>
            <w:tcW w:w="148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Common stock $0.00001 par value; 350,000,000 shares authorized at June 30, 2025 and December</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31, 2024; 263,041,832 and 224,848,992 shares issued and outstanding at June 30, 2025 and</w:t>
            </w:r>
          </w:p>
        </w:tc>
        <w:tc>
          <w:tcPr>
            <w:tcW w:w="3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December 31, 2024, respectively</w:t>
            </w: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1,701,217</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1,629,167</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(1,672,001)</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(1,678,360)</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b w:val="1"/>
                <w:bCs w:val="1"/>
                <w:color w:val="auto"/>
              </w:rPr>
              <w:t>Total stockholders' equity (deficit)</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29,224</w:t>
            </w:r>
          </w:p>
        </w:tc>
        <w:tc>
          <w:tcPr>
            <w:tcW w:w="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(49,185)</w:t>
            </w:r>
          </w:p>
        </w:tc>
        <w:tc>
          <w:tcPr>
            <w:tcW w:w="0" w:type="dxa"/>
            <w:vAlign w:val="bottom"/>
          </w:tcPr>
          <w:p>
            <w:pPr>
              <w:spacing w:after="0"/>
              <w:rPr>
                <w:sz w:val="1"/>
                <w:szCs w:val="1"/>
                <w:color w:val="auto"/>
              </w:rPr>
            </w:pPr>
          </w:p>
        </w:tc>
      </w:tr>
      <w:tr>
        <w:trPr>
          <w:trHeight w:val="234"/>
        </w:trPr>
        <w:tc>
          <w:tcPr>
            <w:tcW w:w="7760" w:type="dxa"/>
            <w:vAlign w:val="bottom"/>
            <w:tcBorders>
              <w:bottom w:val="single" w:sz="8" w:color="DBDBDB"/>
            </w:tcBorders>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345,595</w:t>
            </w:r>
          </w:p>
        </w:tc>
        <w:tc>
          <w:tcPr>
            <w:tcW w:w="12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220,670</w:t>
            </w:r>
          </w:p>
        </w:tc>
        <w:tc>
          <w:tcPr>
            <w:tcW w:w="0" w:type="dxa"/>
            <w:vAlign w:val="bottom"/>
          </w:tcPr>
          <w:p>
            <w:pPr>
              <w:spacing w:after="0"/>
              <w:rPr>
                <w:sz w:val="1"/>
                <w:szCs w:val="1"/>
                <w:color w:val="auto"/>
              </w:rPr>
            </w:pPr>
          </w:p>
        </w:tc>
      </w:tr>
      <w:tr>
        <w:trPr>
          <w:trHeight w:val="20"/>
        </w:trPr>
        <w:tc>
          <w:tcPr>
            <w:tcW w:w="7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Akebia Therapeutics, Inc. |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Akebia Therapeutics, Inc.</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UNAUDITED CONDENSED CONSOLIDATED STATEMENTS OF OPERATIONS AND COMPREHENSIVE INCOME (LOSS)</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42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280" w:type="dxa"/>
            <w:vAlign w:val="bottom"/>
          </w:tcPr>
          <w:p>
            <w:pPr>
              <w:spacing w:after="0"/>
              <w:rPr>
                <w:sz w:val="18"/>
                <w:szCs w:val="18"/>
                <w:color w:val="auto"/>
              </w:rPr>
            </w:pPr>
          </w:p>
        </w:tc>
        <w:tc>
          <w:tcPr>
            <w:tcW w:w="30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Product revenue, net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60,461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41,209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116,252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72,218</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License, collaboration and other revenue</w:t>
            </w:r>
          </w:p>
        </w:tc>
        <w:tc>
          <w:tcPr>
            <w:tcW w:w="2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3,556</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4,037</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DBDBDB"/>
            </w:tcBorders>
          </w:tcPr>
          <w:p>
            <w:pPr>
              <w:ind w:left="54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62,472</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43,648</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119,808</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76,255</w:t>
            </w:r>
          </w:p>
        </w:tc>
        <w:tc>
          <w:tcPr>
            <w:tcW w:w="0" w:type="dxa"/>
            <w:vAlign w:val="bottom"/>
          </w:tcPr>
          <w:p>
            <w:pPr>
              <w:spacing w:after="0"/>
              <w:rPr>
                <w:sz w:val="1"/>
                <w:szCs w:val="1"/>
                <w:color w:val="auto"/>
              </w:rPr>
            </w:pPr>
          </w:p>
        </w:tc>
      </w:tr>
      <w:tr>
        <w:trPr>
          <w:trHeight w:val="197"/>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Cost of goods sold</w:t>
            </w:r>
          </w:p>
        </w:tc>
        <w:tc>
          <w:tcPr>
            <w:tcW w:w="28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Cost of product and other revenue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17,544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10,630</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Amortization of intangible asset</w:t>
            </w:r>
          </w:p>
        </w:tc>
        <w:tc>
          <w:tcPr>
            <w:tcW w:w="28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9,011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18,021</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DBDBDB"/>
            </w:tcBorders>
          </w:tcPr>
          <w:p>
            <w:pPr>
              <w:ind w:left="540"/>
              <w:spacing w:after="0"/>
              <w:rPr>
                <w:sz w:val="20"/>
                <w:szCs w:val="20"/>
                <w:color w:val="auto"/>
              </w:rPr>
            </w:pPr>
            <w:r>
              <w:rPr>
                <w:rFonts w:ascii="Arial" w:cs="Arial" w:eastAsia="Arial" w:hAnsi="Arial"/>
                <w:sz w:val="16"/>
                <w:szCs w:val="16"/>
                <w:color w:val="auto"/>
              </w:rPr>
              <w:t>Total cost of goods sold</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9,919</w:t>
            </w:r>
          </w:p>
        </w:tc>
        <w:tc>
          <w:tcPr>
            <w:tcW w:w="100" w:type="dxa"/>
            <w:vAlign w:val="bottom"/>
            <w:tcBorders>
              <w:bottom w:val="single" w:sz="8" w:color="DBDBDB"/>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17,047</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17,544</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28,651</w:t>
            </w:r>
          </w:p>
        </w:tc>
        <w:tc>
          <w:tcPr>
            <w:tcW w:w="0" w:type="dxa"/>
            <w:vAlign w:val="bottom"/>
          </w:tcPr>
          <w:p>
            <w:pPr>
              <w:spacing w:after="0"/>
              <w:rPr>
                <w:sz w:val="1"/>
                <w:szCs w:val="1"/>
                <w:color w:val="auto"/>
              </w:rPr>
            </w:pPr>
          </w:p>
        </w:tc>
      </w:tr>
      <w:tr>
        <w:trPr>
          <w:trHeight w:val="197"/>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17,379</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26,555</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26,917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52,297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52,354</w:t>
            </w: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License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Restructuring</w:t>
            </w:r>
          </w:p>
        </w:tc>
        <w:tc>
          <w:tcPr>
            <w:tcW w:w="28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DBDBDB"/>
            </w:tcBorders>
          </w:tcPr>
          <w:p>
            <w:pPr>
              <w:ind w:left="54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38,464</w:t>
            </w:r>
          </w:p>
        </w:tc>
        <w:tc>
          <w:tcPr>
            <w:tcW w:w="100" w:type="dxa"/>
            <w:vAlign w:val="bottom"/>
            <w:tcBorders>
              <w:bottom w:val="single" w:sz="8" w:color="DBDBDB"/>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35,326</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74,661</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71,264</w:t>
            </w:r>
          </w:p>
        </w:tc>
        <w:tc>
          <w:tcPr>
            <w:tcW w:w="0" w:type="dxa"/>
            <w:vAlign w:val="bottom"/>
          </w:tcPr>
          <w:p>
            <w:pPr>
              <w:spacing w:after="0"/>
              <w:rPr>
                <w:sz w:val="1"/>
                <w:szCs w:val="1"/>
                <w:color w:val="auto"/>
              </w:rPr>
            </w:pPr>
          </w:p>
        </w:tc>
      </w:tr>
      <w:tr>
        <w:trPr>
          <w:trHeight w:val="210"/>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14,089</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(8,725)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27,603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(23,660)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(6,834)</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(14,604)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Change in fair value of warrant liability</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(6,980)</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(6,825)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0"/>
        </w:trPr>
        <w:tc>
          <w:tcPr>
            <w:tcW w:w="424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6"/>
                <w:szCs w:val="16"/>
                <w:b w:val="1"/>
                <w:bCs w:val="1"/>
                <w:color w:val="auto"/>
              </w:rPr>
              <w:t>Net income (loss) before income taxes</w:t>
            </w:r>
          </w:p>
        </w:tc>
        <w:tc>
          <w:tcPr>
            <w:tcW w:w="280" w:type="dxa"/>
            <w:vAlign w:val="bottom"/>
            <w:tcBorders>
              <w:top w:val="single" w:sz="8" w:color="auto"/>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247</w:t>
            </w:r>
          </w:p>
        </w:tc>
        <w:tc>
          <w:tcPr>
            <w:tcW w:w="100" w:type="dxa"/>
            <w:vAlign w:val="bottom"/>
            <w:tcBorders>
              <w:top w:val="single" w:sz="8" w:color="DBDBDB"/>
              <w:bottom w:val="single" w:sz="8" w:color="auto"/>
            </w:tcBorders>
            <w:shd w:val="clear" w:color="auto" w:fill="DBDBDB"/>
          </w:tcPr>
          <w:p>
            <w:pPr>
              <w:spacing w:after="0"/>
              <w:rPr>
                <w:sz w:val="18"/>
                <w:szCs w:val="18"/>
                <w:color w:val="auto"/>
              </w:rPr>
            </w:pPr>
          </w:p>
        </w:tc>
        <w:tc>
          <w:tcPr>
            <w:tcW w:w="280" w:type="dxa"/>
            <w:vAlign w:val="bottom"/>
            <w:tcBorders>
              <w:top w:val="single" w:sz="8" w:color="auto"/>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(8,582)</w:t>
            </w:r>
          </w:p>
        </w:tc>
        <w:tc>
          <w:tcPr>
            <w:tcW w:w="10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6,359</w:t>
            </w:r>
          </w:p>
        </w:tc>
        <w:tc>
          <w:tcPr>
            <w:tcW w:w="10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(26,567)</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DBDBDB"/>
            </w:tcBorders>
          </w:tcPr>
          <w:p>
            <w:pPr>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(8,582)</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6,359</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(26,567)</w:t>
            </w:r>
          </w:p>
        </w:tc>
        <w:tc>
          <w:tcPr>
            <w:tcW w:w="0" w:type="dxa"/>
            <w:vAlign w:val="bottom"/>
          </w:tcPr>
          <w:p>
            <w:pPr>
              <w:spacing w:after="0"/>
              <w:rPr>
                <w:sz w:val="1"/>
                <w:szCs w:val="1"/>
                <w:color w:val="auto"/>
              </w:rPr>
            </w:pPr>
          </w:p>
        </w:tc>
      </w:tr>
      <w:tr>
        <w:trPr>
          <w:trHeight w:val="235"/>
        </w:trPr>
        <w:tc>
          <w:tcPr>
            <w:tcW w:w="42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b w:val="1"/>
                <w:bCs w:val="1"/>
                <w:color w:val="auto"/>
              </w:rPr>
              <w:t>Comprehensive income (loss)</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247</w:t>
            </w:r>
          </w:p>
        </w:tc>
        <w:tc>
          <w:tcPr>
            <w:tcW w:w="10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(8,582)</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6,359</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(26,567)</w:t>
            </w:r>
          </w:p>
        </w:tc>
        <w:tc>
          <w:tcPr>
            <w:tcW w:w="0" w:type="dxa"/>
            <w:vAlign w:val="bottom"/>
          </w:tcPr>
          <w:p>
            <w:pPr>
              <w:spacing w:after="0"/>
              <w:rPr>
                <w:sz w:val="1"/>
                <w:szCs w:val="1"/>
                <w:color w:val="auto"/>
              </w:rPr>
            </w:pPr>
          </w:p>
        </w:tc>
      </w:tr>
      <w:tr>
        <w:trPr>
          <w:trHeight w:val="20"/>
        </w:trPr>
        <w:tc>
          <w:tcPr>
            <w:tcW w:w="42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Net income (loss) per share:</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DBDBDB"/>
          </w:tcPr>
          <w:p>
            <w:pPr>
              <w:spacing w:after="0" w:line="162" w:lineRule="exact"/>
              <w:rPr>
                <w:sz w:val="20"/>
                <w:szCs w:val="20"/>
                <w:color w:val="auto"/>
              </w:rPr>
            </w:pPr>
            <w:r>
              <w:rPr>
                <w:rFonts w:ascii="Arial" w:cs="Arial" w:eastAsia="Arial" w:hAnsi="Arial"/>
                <w:sz w:val="16"/>
                <w:szCs w:val="16"/>
                <w:b w:val="1"/>
                <w:bCs w:val="1"/>
                <w:color w:val="auto"/>
              </w:rPr>
              <w:t>Weighted average shares of common stock</w:t>
            </w:r>
          </w:p>
        </w:tc>
        <w:tc>
          <w:tcPr>
            <w:tcW w:w="2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262,565,500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209,705,397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249,106,383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207,330,274</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271,104,020</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209,705,397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256,539,065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207,330,274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Akebia Therapeutics, Inc. |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Additional Paid-</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20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In Capital</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Income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00" w:type="dxa"/>
            <w:vAlign w:val="bottom"/>
            <w:tcBorders>
              <w:top w:val="single" w:sz="8" w:color="DBDBDB"/>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194,582,539</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1,578,358</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(1,608,950)</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(30,584)</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Issuance of common stock, net of</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13,261,311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18,740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18,740</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Arial" w:cs="Arial" w:eastAsia="Arial" w:hAnsi="Arial"/>
                <w:sz w:val="16"/>
                <w:szCs w:val="16"/>
                <w:color w:val="auto"/>
              </w:rPr>
              <w:t>issuance costs</w:t>
            </w: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DBDBDB"/>
          </w:tcPr>
          <w:p>
            <w:pPr>
              <w:ind w:left="20"/>
              <w:spacing w:after="0" w:line="163" w:lineRule="exact"/>
              <w:rPr>
                <w:sz w:val="20"/>
                <w:szCs w:val="20"/>
                <w:color w:val="auto"/>
              </w:rPr>
            </w:pPr>
            <w:r>
              <w:rPr>
                <w:rFonts w:ascii="Arial" w:cs="Arial" w:eastAsia="Arial" w:hAnsi="Arial"/>
                <w:sz w:val="16"/>
                <w:szCs w:val="16"/>
                <w:color w:val="auto"/>
              </w:rPr>
              <w:t>Proceeds from sale of stock under</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92,321</w:t>
            </w: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employee stock purchase plan</w:t>
            </w:r>
          </w:p>
        </w:tc>
        <w:tc>
          <w:tcPr>
            <w:tcW w:w="12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8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280,260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tcPr>
          <w:p>
            <w:pPr>
              <w:jc w:val="right"/>
              <w:spacing w:after="0"/>
              <w:rPr>
                <w:sz w:val="20"/>
                <w:szCs w:val="20"/>
                <w:color w:val="auto"/>
              </w:rPr>
            </w:pPr>
            <w:r>
              <w:rPr>
                <w:rFonts w:ascii="Arial" w:cs="Arial" w:eastAsia="Arial" w:hAnsi="Arial"/>
                <w:sz w:val="16"/>
                <w:szCs w:val="16"/>
                <w:color w:val="auto"/>
              </w:rPr>
              <w:t>1,237,718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(17,985)</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(17,985)</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209,454,149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1,599,669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(1,626,935)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(27,258)</w:t>
            </w:r>
          </w:p>
        </w:tc>
        <w:tc>
          <w:tcPr>
            <w:tcW w:w="0" w:type="dxa"/>
            <w:vAlign w:val="bottom"/>
          </w:tcPr>
          <w:p>
            <w:pPr>
              <w:spacing w:after="0"/>
              <w:rPr>
                <w:sz w:val="1"/>
                <w:szCs w:val="1"/>
                <w:color w:val="auto"/>
              </w:rPr>
            </w:pPr>
          </w:p>
        </w:tc>
      </w:tr>
      <w:tr>
        <w:trPr>
          <w:trHeight w:val="20"/>
        </w:trPr>
        <w:tc>
          <w:tcPr>
            <w:tcW w:w="3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23,892</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451,104</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208"/>
        </w:trPr>
        <w:tc>
          <w:tcPr>
            <w:tcW w:w="320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209,929,145</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1,601,755</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(1,635,517)</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(33,754)</w:t>
            </w:r>
          </w:p>
        </w:tc>
        <w:tc>
          <w:tcPr>
            <w:tcW w:w="0" w:type="dxa"/>
            <w:vAlign w:val="bottom"/>
          </w:tcPr>
          <w:p>
            <w:pPr>
              <w:spacing w:after="0"/>
              <w:rPr>
                <w:sz w:val="1"/>
                <w:szCs w:val="1"/>
                <w:color w:val="auto"/>
              </w:rPr>
            </w:pPr>
          </w:p>
        </w:tc>
      </w:tr>
      <w:tr>
        <w:trPr>
          <w:trHeight w:val="20"/>
        </w:trPr>
        <w:tc>
          <w:tcPr>
            <w:tcW w:w="3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w:t>
            </w: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98"/>
              </w:rPr>
              <w:t>In</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20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Income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Deficit</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224,848,992</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1,629,167</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(1,678,360)</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(49,185)</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Issuance of common stock, net of</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34,437,364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64,907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64,907</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Arial" w:cs="Arial" w:eastAsia="Arial" w:hAnsi="Arial"/>
                <w:sz w:val="16"/>
                <w:szCs w:val="16"/>
                <w:color w:val="auto"/>
              </w:rPr>
              <w:t>issuance costs</w:t>
            </w: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DBDBDB"/>
          </w:tcPr>
          <w:p>
            <w:pPr>
              <w:ind w:left="20"/>
              <w:spacing w:after="0" w:line="163" w:lineRule="exact"/>
              <w:rPr>
                <w:sz w:val="20"/>
                <w:szCs w:val="20"/>
                <w:color w:val="auto"/>
              </w:rPr>
            </w:pPr>
            <w:r>
              <w:rPr>
                <w:rFonts w:ascii="Arial" w:cs="Arial" w:eastAsia="Arial" w:hAnsi="Arial"/>
                <w:sz w:val="16"/>
                <w:szCs w:val="16"/>
                <w:color w:val="auto"/>
              </w:rPr>
              <w:t>Proceeds from sale of stock under</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93,362</w:t>
            </w: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employee stock purchase plan</w:t>
            </w:r>
          </w:p>
        </w:tc>
        <w:tc>
          <w:tcPr>
            <w:tcW w:w="12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8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604,325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tcPr>
          <w:p>
            <w:pPr>
              <w:jc w:val="right"/>
              <w:spacing w:after="0"/>
              <w:rPr>
                <w:sz w:val="20"/>
                <w:szCs w:val="20"/>
                <w:color w:val="auto"/>
              </w:rPr>
            </w:pPr>
            <w:r>
              <w:rPr>
                <w:rFonts w:ascii="Arial" w:cs="Arial" w:eastAsia="Arial" w:hAnsi="Arial"/>
                <w:sz w:val="16"/>
                <w:szCs w:val="16"/>
                <w:color w:val="auto"/>
              </w:rPr>
              <w:t>1,660,547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6,112</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6,112</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261,644,590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1,696,821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(1,672,248)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24,581</w:t>
            </w:r>
          </w:p>
        </w:tc>
        <w:tc>
          <w:tcPr>
            <w:tcW w:w="0" w:type="dxa"/>
            <w:vAlign w:val="bottom"/>
          </w:tcPr>
          <w:p>
            <w:pPr>
              <w:spacing w:after="0"/>
              <w:rPr>
                <w:sz w:val="1"/>
                <w:szCs w:val="1"/>
                <w:color w:val="auto"/>
              </w:rPr>
            </w:pPr>
          </w:p>
        </w:tc>
      </w:tr>
      <w:tr>
        <w:trPr>
          <w:trHeight w:val="20"/>
        </w:trPr>
        <w:tc>
          <w:tcPr>
            <w:tcW w:w="3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gridSpan w:val="2"/>
            <w:shd w:val="clear" w:color="auto" w:fill="DBDBDB"/>
          </w:tcPr>
          <w:p>
            <w:pPr>
              <w:ind w:left="20"/>
              <w:spacing w:after="0" w:line="129" w:lineRule="exact"/>
              <w:rPr>
                <w:sz w:val="20"/>
                <w:szCs w:val="20"/>
                <w:color w:val="auto"/>
              </w:rPr>
            </w:pPr>
            <w:r>
              <w:rPr>
                <w:rFonts w:ascii="Arial" w:cs="Arial" w:eastAsia="Arial" w:hAnsi="Arial"/>
                <w:sz w:val="14"/>
                <w:szCs w:val="14"/>
                <w:color w:val="auto"/>
              </w:rPr>
              <w:t>Issuance of common stock, net of</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850,000</w:t>
            </w:r>
          </w:p>
        </w:tc>
        <w:tc>
          <w:tcPr>
            <w:tcW w:w="12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8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14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1"/>
                <w:szCs w:val="11"/>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1"/>
                <w:szCs w:val="11"/>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issuance costs</w:t>
            </w:r>
          </w:p>
        </w:tc>
        <w:tc>
          <w:tcPr>
            <w:tcW w:w="12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8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95,996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tcPr>
          <w:p>
            <w:pPr>
              <w:jc w:val="right"/>
              <w:spacing w:after="0"/>
              <w:rPr>
                <w:sz w:val="20"/>
                <w:szCs w:val="20"/>
                <w:color w:val="auto"/>
              </w:rPr>
            </w:pPr>
            <w:r>
              <w:rPr>
                <w:rFonts w:ascii="Arial" w:cs="Arial" w:eastAsia="Arial" w:hAnsi="Arial"/>
                <w:sz w:val="16"/>
                <w:szCs w:val="16"/>
                <w:color w:val="auto"/>
              </w:rPr>
              <w:t>451,246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263,041,832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1,701,217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(1,672,001)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29,224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75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6,359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(26,567)</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Depreciation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Amortization of intangible asset</w:t>
            </w: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18,021</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Bad debt expense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Change in fair value of warrant liability</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6,825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Non-cash royalty revenue related to sale of future royalties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Non-cash interest expense</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12,437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Non-cash operating lease expense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Non-cash loss on extinguishment of debt</w:t>
            </w: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Write-down of inventory</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Change in excess inventory purchase commitments</w:t>
            </w: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Gain on the sale of property and equipment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4,863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4,432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(39,400)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9,525</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(19,360)</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Other long-term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Accrued expense and other current liabilities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(14,526)</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Operating lease liabilities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(2,647)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(3,478)</w:t>
            </w:r>
          </w:p>
        </w:tc>
        <w:tc>
          <w:tcPr>
            <w:tcW w:w="0" w:type="dxa"/>
            <w:vAlign w:val="bottom"/>
          </w:tcPr>
          <w:p>
            <w:pPr>
              <w:spacing w:after="0"/>
              <w:rPr>
                <w:sz w:val="1"/>
                <w:szCs w:val="1"/>
                <w:color w:val="auto"/>
              </w:rPr>
            </w:pPr>
          </w:p>
        </w:tc>
      </w:tr>
      <w:tr>
        <w:trPr>
          <w:trHeight w:val="210"/>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8,758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(29,498)</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Purchases of equipment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Proceeds from the issuance of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Payments of issuance costs related to BlackRock Credit Agreement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Proceeds from issuance of common stock, net of issuance costs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18,740</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Proceeds from issuance of stock under employee stock purchase plan</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Proceeds from the exercise of stock options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Repayment of term debt</w:t>
            </w: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(37,100)</w:t>
            </w:r>
          </w:p>
        </w:tc>
        <w:tc>
          <w:tcPr>
            <w:tcW w:w="0" w:type="dxa"/>
            <w:vAlign w:val="bottom"/>
          </w:tcPr>
          <w:p>
            <w:pPr>
              <w:spacing w:after="0"/>
              <w:rPr>
                <w:sz w:val="1"/>
                <w:szCs w:val="1"/>
                <w:color w:val="auto"/>
              </w:rPr>
            </w:pPr>
          </w:p>
        </w:tc>
      </w:tr>
      <w:tr>
        <w:trPr>
          <w:trHeight w:val="209"/>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76,662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26,115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85,448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(3,412)</w:t>
            </w:r>
          </w:p>
        </w:tc>
        <w:tc>
          <w:tcPr>
            <w:tcW w:w="0" w:type="dxa"/>
            <w:vAlign w:val="bottom"/>
          </w:tcPr>
          <w:p>
            <w:pPr>
              <w:spacing w:after="0"/>
              <w:rPr>
                <w:sz w:val="1"/>
                <w:szCs w:val="1"/>
                <w:color w:val="auto"/>
              </w:rPr>
            </w:pPr>
          </w:p>
        </w:tc>
      </w:tr>
      <w:tr>
        <w:trPr>
          <w:trHeight w:val="215"/>
        </w:trPr>
        <w:tc>
          <w:tcPr>
            <w:tcW w:w="75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53,550</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44,579</w:t>
            </w:r>
          </w:p>
        </w:tc>
        <w:tc>
          <w:tcPr>
            <w:tcW w:w="0" w:type="dxa"/>
            <w:vAlign w:val="bottom"/>
          </w:tcPr>
          <w:p>
            <w:pPr>
              <w:spacing w:after="0"/>
              <w:rPr>
                <w:sz w:val="1"/>
                <w:szCs w:val="1"/>
                <w:color w:val="auto"/>
              </w:rPr>
            </w:pPr>
          </w:p>
        </w:tc>
      </w:tr>
      <w:tr>
        <w:trPr>
          <w:trHeight w:val="235"/>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138,998</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41,167</w:t>
            </w:r>
          </w:p>
        </w:tc>
        <w:tc>
          <w:tcPr>
            <w:tcW w:w="0" w:type="dxa"/>
            <w:vAlign w:val="bottom"/>
          </w:tcPr>
          <w:p>
            <w:pPr>
              <w:spacing w:after="0"/>
              <w:rPr>
                <w:sz w:val="1"/>
                <w:szCs w:val="1"/>
                <w:color w:val="auto"/>
              </w:rPr>
            </w:pPr>
          </w:p>
        </w:tc>
      </w:tr>
      <w:tr>
        <w:trPr>
          <w:trHeight w:val="20"/>
        </w:trPr>
        <w:tc>
          <w:tcPr>
            <w:tcW w:w="74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Issuance of warrants in connection with BlackRock Credit Agreement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Unpaid issuance costs related to BlackRock Credit Agreement</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Akebia Therapeutics, Inc. |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900" w:firstLine="8"/>
        <w:spacing w:after="0" w:line="367" w:lineRule="auto"/>
        <w:tabs>
          <w:tab w:leader="none" w:pos="32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Akebia Therapeutics, Inc., referred to as </w:t>
      </w:r>
      <w:r>
        <w:rPr>
          <w:rFonts w:ascii="Arial" w:cs="Arial" w:eastAsia="Arial" w:hAnsi="Arial"/>
          <w:sz w:val="18"/>
          <w:szCs w:val="18"/>
          <w:u w:val="single" w:color="auto"/>
          <w:color w:val="auto"/>
        </w:rPr>
        <w:t>Akebia</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Company</w:t>
      </w:r>
      <w:r>
        <w:rPr>
          <w:rFonts w:ascii="Arial" w:cs="Arial" w:eastAsia="Arial" w:hAnsi="Arial"/>
          <w:sz w:val="18"/>
          <w:szCs w:val="18"/>
          <w:color w:val="auto"/>
        </w:rPr>
        <w:t>, was incorporated in the State of Delaware in 2007 and became a public company in 2014. Akebia is a fully integrated commercial-stage biopharmaceutical company focused on developing and commercializing innovative therapeutics.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Company has two products approved by the Food and Drug Administration, or </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in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Vafseo® (vadadustat) is an oral hypoxia-inducible factor prolyl hydroxylase, or </w:t>
      </w:r>
      <w:r>
        <w:rPr>
          <w:rFonts w:ascii="Arial" w:cs="Arial" w:eastAsia="Arial" w:hAnsi="Arial"/>
          <w:sz w:val="18"/>
          <w:szCs w:val="18"/>
          <w:u w:val="single" w:color="auto"/>
          <w:color w:val="auto"/>
        </w:rPr>
        <w:t>HIF-PH,</w:t>
      </w:r>
      <w:r>
        <w:rPr>
          <w:rFonts w:ascii="Arial" w:cs="Arial" w:eastAsia="Arial" w:hAnsi="Arial"/>
          <w:sz w:val="18"/>
          <w:szCs w:val="18"/>
          <w:color w:val="auto"/>
        </w:rPr>
        <w:t xml:space="preserve"> inhibitor. Vafseo (vadadustat) Tablets were approved in the U.S. in March 2024 for the treatment of anemia due to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in adults who have been receiving dialysis for at least three months.</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Vafseo entered the U.S. market in January 2025. Auryxia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(ferric citrate) is marketed for two indications: (i) the control of serum phosphorus levels in adult patients with dialysis dependent chronic kidney disease, or </w:t>
      </w:r>
      <w:r>
        <w:rPr>
          <w:rFonts w:ascii="Arial" w:cs="Arial" w:eastAsia="Arial" w:hAnsi="Arial"/>
          <w:sz w:val="18"/>
          <w:szCs w:val="18"/>
          <w:u w:val="single" w:color="auto"/>
          <w:color w:val="auto"/>
        </w:rPr>
        <w:t>DD-CKD</w:t>
      </w:r>
      <w:r>
        <w:rPr>
          <w:rFonts w:ascii="Arial" w:cs="Arial" w:eastAsia="Arial" w:hAnsi="Arial"/>
          <w:sz w:val="18"/>
          <w:szCs w:val="18"/>
          <w:color w:val="auto"/>
        </w:rPr>
        <w:t xml:space="preserve">, and (ii) the treatment of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xml:space="preserve">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adult patients with non-dialysis dependent chronic kidney disease, or </w:t>
      </w:r>
      <w:r>
        <w:rPr>
          <w:rFonts w:ascii="Arial" w:cs="Arial" w:eastAsia="Arial" w:hAnsi="Arial"/>
          <w:sz w:val="18"/>
          <w:szCs w:val="18"/>
          <w:u w:val="single" w:color="auto"/>
          <w:color w:val="auto"/>
        </w:rPr>
        <w:t>NDD-CKD</w:t>
      </w:r>
      <w:r>
        <w:rPr>
          <w:rFonts w:ascii="Arial" w:cs="Arial" w:eastAsia="Arial" w:hAnsi="Arial"/>
          <w:sz w:val="18"/>
          <w:szCs w:val="18"/>
          <w:color w:val="auto"/>
        </w:rPr>
        <w:t>. Auryxia lost exclusivity in the U.S. in March 2025.</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Vafseo is also approved for the treatment of symptomatic anemia associated with CKD in the European Economic Area, or </w:t>
      </w:r>
      <w:r>
        <w:rPr>
          <w:rFonts w:ascii="Arial" w:cs="Arial" w:eastAsia="Arial" w:hAnsi="Arial"/>
          <w:sz w:val="18"/>
          <w:szCs w:val="18"/>
          <w:u w:val="single" w:color="auto"/>
          <w:color w:val="auto"/>
        </w:rPr>
        <w:t>EEA</w:t>
      </w:r>
      <w:r>
        <w:rPr>
          <w:rFonts w:ascii="Arial" w:cs="Arial" w:eastAsia="Arial" w:hAnsi="Arial"/>
          <w:sz w:val="18"/>
          <w:szCs w:val="18"/>
          <w:color w:val="auto"/>
        </w:rPr>
        <w:t xml:space="preserve">, the United Kingdom, or the </w:t>
      </w:r>
      <w:r>
        <w:rPr>
          <w:rFonts w:ascii="Arial" w:cs="Arial" w:eastAsia="Arial" w:hAnsi="Arial"/>
          <w:sz w:val="18"/>
          <w:szCs w:val="18"/>
          <w:u w:val="single" w:color="auto"/>
          <w:color w:val="auto"/>
        </w:rPr>
        <w:t>UK</w:t>
      </w:r>
      <w:r>
        <w:rPr>
          <w:rFonts w:ascii="Arial" w:cs="Arial" w:eastAsia="Arial" w:hAnsi="Arial"/>
          <w:sz w:val="18"/>
          <w:szCs w:val="18"/>
          <w:color w:val="auto"/>
        </w:rPr>
        <w:t>, Switzerland, Australia, South Korea and Taiwan in adult patients on chronic maintenance dialysis and in Japan for adult dialysis-dependent and non-dialysis patients. Vafseo is marketed and sold by the Company's collaboration partners in certain countries.</w:t>
      </w:r>
    </w:p>
    <w:p>
      <w:pPr>
        <w:spacing w:after="0" w:line="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Ferric citrate is also approved in Japan, and is marketed and sold by the Company's collaboration partner, as an oral treatment for the improvement of hyperphosphatemia in patients with CKD, including DD-CKD and NDD-CKD, and for the treatment of adult patients with IDA under the trade name Riona (ferric citrate hydrate).</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Since its inception, the Company has devoted most of its resources to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including its preclinical and clinical development activities, commercializing Auryxia and Vafseo and providing general and administrative support for these operations. In addition, the Company continues to explore additional development opportunities to expand its pipeline and portfolio of novel therapeutics.</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As of June 30, 2025, the Company had cash and cash equivalents of approximately $137.3 million. Based on its current operating plan, the Company believes that its cash resources and the cash the Company expects to generate from product, royalty, supply and license revenues will be sufficient to fund its current operating plan for at least twelve months from the filing of this Quarterly Report on Form 10-Q, or </w:t>
      </w:r>
      <w:r>
        <w:rPr>
          <w:rFonts w:ascii="Arial" w:cs="Arial" w:eastAsia="Arial" w:hAnsi="Arial"/>
          <w:sz w:val="18"/>
          <w:szCs w:val="18"/>
          <w:u w:val="single" w:color="auto"/>
          <w:color w:val="auto"/>
        </w:rPr>
        <w:t>Form 10-Q</w:t>
      </w:r>
      <w:r>
        <w:rPr>
          <w:rFonts w:ascii="Arial" w:cs="Arial" w:eastAsia="Arial" w:hAnsi="Arial"/>
          <w:sz w:val="18"/>
          <w:szCs w:val="18"/>
          <w:color w:val="auto"/>
        </w:rPr>
        <w:t>. However, if the Company’s operating performance deteriorates significantly from the levels expected in the Company’s operating plan, it would affect the Company’s liquidity and its ability to continue as a going concern in the future. The Company expects to finance future cash needs through product and license, collaboration and other revenue, including royalties and revenue from supply agreements. In addition, the Company may seek to sell public or private equity, enter into new debt transactions, explore potential strategic transactions, consider other cash-generating or saving measures or a combination of these approaches or other strategic alternatives. There can be no assurance that the current operating plan will be achieved in the time frame anticipated by the Company or that its cash resources will fund its operating plan for the period of time anticipated by the Company, or that additional funding will be available on terms acceptable to the Company, or at all.</w:t>
      </w:r>
    </w:p>
    <w:p>
      <w:pPr>
        <w:spacing w:after="0" w:line="3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Company's significant accounting policies are disclosed in the audited consolidated financial statements for the year ended December 31, 2024, and notes thereto, which are included in the Company's Annual Report on Form 10-K, that was filed with the Securities and Exchange Commission, or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on March 13, 2025, or the </w:t>
      </w:r>
      <w:r>
        <w:rPr>
          <w:rFonts w:ascii="Arial" w:cs="Arial" w:eastAsia="Arial" w:hAnsi="Arial"/>
          <w:sz w:val="18"/>
          <w:szCs w:val="18"/>
          <w:u w:val="single" w:color="auto"/>
          <w:color w:val="auto"/>
        </w:rPr>
        <w:t>2024 Form 10-K</w:t>
      </w:r>
      <w:r>
        <w:rPr>
          <w:rFonts w:ascii="Arial" w:cs="Arial" w:eastAsia="Arial" w:hAnsi="Arial"/>
          <w:sz w:val="18"/>
          <w:szCs w:val="18"/>
          <w:color w:val="auto"/>
        </w:rPr>
        <w:t>. Since the date of those financial statements, there have been no material changes to the Company's significant accounting policies.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opinion of management, all adjustments, consisting of normal recurring accruals and revisions of estimates, considered necessary for a fair presentation of the unaudited condensed consolidated financial statements have been included. Interim results for the three and six months ended June 30, 2025 are not necessarily indicative of the results that may be expected for the fiscal year ending December 31, 2025 or any other future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accompanying unaudited condensed consolidated financial statements have been prepared in conformity with accounting principles generally accepted in the U.S., or </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Any reference in these notes to applicable guidance is meant to refer to the authoritative GAAP as found in the Accounting Standards Codification, or </w:t>
      </w:r>
      <w:r>
        <w:rPr>
          <w:rFonts w:ascii="Arial" w:cs="Arial" w:eastAsia="Arial" w:hAnsi="Arial"/>
          <w:sz w:val="18"/>
          <w:szCs w:val="18"/>
          <w:u w:val="single" w:color="auto"/>
          <w:color w:val="auto"/>
        </w:rPr>
        <w:t>ASC</w:t>
      </w:r>
      <w:r>
        <w:rPr>
          <w:rFonts w:ascii="Arial" w:cs="Arial" w:eastAsia="Arial" w:hAnsi="Arial"/>
          <w:sz w:val="18"/>
          <w:szCs w:val="18"/>
          <w:color w:val="auto"/>
        </w:rPr>
        <w:t xml:space="preserve">, and Accounting Standards Update, or </w:t>
      </w:r>
      <w:r>
        <w:rPr>
          <w:rFonts w:ascii="Arial" w:cs="Arial" w:eastAsia="Arial" w:hAnsi="Arial"/>
          <w:sz w:val="18"/>
          <w:szCs w:val="18"/>
          <w:u w:val="single" w:color="auto"/>
          <w:color w:val="auto"/>
        </w:rPr>
        <w:t>ASU,</w:t>
      </w:r>
      <w:r>
        <w:rPr>
          <w:rFonts w:ascii="Arial" w:cs="Arial" w:eastAsia="Arial" w:hAnsi="Arial"/>
          <w:sz w:val="18"/>
          <w:szCs w:val="18"/>
          <w:color w:val="auto"/>
        </w:rPr>
        <w:t xml:space="preserve"> of the Financial Accounting Standards Board, or </w:t>
      </w:r>
      <w:r>
        <w:rPr>
          <w:rFonts w:ascii="Arial" w:cs="Arial" w:eastAsia="Arial" w:hAnsi="Arial"/>
          <w:sz w:val="18"/>
          <w:szCs w:val="18"/>
          <w:u w:val="single" w:color="auto"/>
          <w:color w:val="auto"/>
        </w:rPr>
        <w:t>FASB</w:t>
      </w:r>
      <w:r>
        <w:rPr>
          <w:rFonts w:ascii="Arial" w:cs="Arial" w:eastAsia="Arial" w:hAnsi="Arial"/>
          <w:sz w:val="18"/>
          <w:szCs w:val="18"/>
          <w:color w:val="auto"/>
        </w:rPr>
        <w:t>.</w:t>
      </w:r>
    </w:p>
    <w:p>
      <w:pPr>
        <w:sectPr>
          <w:pgSz w:w="11900" w:h="16838" w:orient="portrait"/>
          <w:cols w:equalWidth="0" w:num="1">
            <w:col w:w="11240"/>
          </w:cols>
          <w:pgMar w:left="320" w:top="229" w:right="339" w:bottom="945"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45"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All significant intercompany balances and transactions have been eliminated in the condensed consolidated financial statements herein.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monetary amounts, percentages, and other figures included elsewhere in these unaudited condensed consolidated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revenue and expenses, classification of the expenses, assets and liabilities and the disclosure of contingent assets and liabilities as of and during the reported period. On an ongoing basis, management evaluates its estimates. Management bases its estimates and assumptions on historical experience when available and on various factors, including expected business and operational changes, sensitivity and volatility associated with the assumption that it believes to be reasonable under the circumstances, the results of which form the basis for making judgments about the carrying values of the assets and liabilities that are not readily apparent from other sources. In certain circumstances, management must apply significant judgment in this process. The estimation process often may yield a range of potentially reasonable estimates of the ultimate future outcomes, and management selects an amount that falls within that range of reasonable estimates. Although the Company regularly assesses these estimates, actual results could differ materially from these estimates. Changes in estimates are recorded in the period they become known.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estimates and judgments reflected in these unaudited condensed consolidated financial statements include, but are not limited to: accrued expenses, other long-term liabilities, a liability related to settlement royalties, revenues, including various rebates, returns and reserves related to product sales, inventories, classification of expenses between cost of goods sold, R&amp;D and selling, general and administrative, long-term assets, including the Company's right-of-use assets and goodwill.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determining its cash, cash equivalents and restricted cash, the Company considers only those highly liquid investments, readily convertible to cash within 90 days from the date of purchase to be cash equivalents. As of June 30, 2025, cash and cash equivalents primarily included cash on hand and money market funds.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Restricted cash represents amounts required to secure the outstanding letter of credit in connection with the Company’s office and laboratory space in Cambridge, Massachusetts, or the </w:t>
      </w:r>
      <w:r>
        <w:rPr>
          <w:rFonts w:ascii="Arial" w:cs="Arial" w:eastAsia="Arial" w:hAnsi="Arial"/>
          <w:sz w:val="18"/>
          <w:szCs w:val="18"/>
          <w:u w:val="single" w:color="auto"/>
          <w:color w:val="auto"/>
        </w:rPr>
        <w:t>Cambridge Lease</w:t>
      </w:r>
      <w:r>
        <w:rPr>
          <w:rFonts w:ascii="Arial" w:cs="Arial" w:eastAsia="Arial" w:hAnsi="Arial"/>
          <w:sz w:val="18"/>
          <w:szCs w:val="18"/>
          <w:color w:val="auto"/>
        </w:rPr>
        <w:t>. Restricted cash is included in “other long-term assets” in the consolidated balance sheets.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cash, cash equivalents and restricted cash reported within the Company's consolidated balance sheets to the total amounts shown in the consolidated statements of cash 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137,308</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51,870</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Restricted cash included in other long-term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r>
      <w:tr>
        <w:trPr>
          <w:trHeight w:val="235"/>
        </w:trPr>
        <w:tc>
          <w:tcPr>
            <w:tcW w:w="7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138,998</w:t>
            </w:r>
          </w:p>
        </w:tc>
        <w:tc>
          <w:tcPr>
            <w:tcW w:w="12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53,550</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accounts receivable are the only financial instruments that potentially subject the Company to concentrations of credit risk. The Company maintains cash accounts principally at two financial institutions in the U.S., which at times, may exceed the Federal Deposit Insurance Corporation's limits. The Company has not experienced any losses from cash balances in excess of the insurance limit. The Company's management does not believe the Company is exposed to significant credit risk at this time due to the financial condition of the financial institutions where its cash is held.</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makes judgments as to its ability to collect outstanding receivables and provides an allowance for receivables when collection becomes doubtful. Provisions are made based upon a specific review of all significant outstanding receivables and the overall quality and age of those invoices not specifically reviewed as well as historical payment patterns and existing economic factors. The Company believes that credit risks associated with its customers and collaboration partners are not significant. The Company's allowance for credit losses was $2.2 million and $1.2 million as of June 30, 2025 and December 31, 2024,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allowance for credit losses (in thousands):</w:t>
      </w:r>
    </w:p>
    <w:p>
      <w:pPr>
        <w:sectPr>
          <w:pgSz w:w="11900" w:h="16838" w:orient="portrait"/>
          <w:cols w:equalWidth="0" w:num="1">
            <w:col w:w="11240"/>
          </w:cols>
          <w:pgMar w:left="320" w:top="229" w:right="339" w:bottom="459"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459"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DBDBDB"/>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r>
      <w:tr>
        <w:trPr>
          <w:trHeight w:val="210"/>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1180" w:type="dxa"/>
            <w:vAlign w:val="bottom"/>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1,029</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Provision for bad debts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6"/>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Recoveries/(write-offs)</w:t>
            </w:r>
          </w:p>
        </w:tc>
        <w:tc>
          <w:tcPr>
            <w:tcW w:w="1180" w:type="dxa"/>
            <w:vAlign w:val="bottom"/>
            <w:shd w:val="clear" w:color="auto" w:fill="DBDBDB"/>
          </w:tcPr>
          <w:p>
            <w:pPr>
              <w:spacing w:after="0"/>
              <w:rPr>
                <w:sz w:val="18"/>
                <w:szCs w:val="18"/>
                <w:color w:val="auto"/>
              </w:rPr>
            </w:pPr>
          </w:p>
        </w:tc>
        <w:tc>
          <w:tcPr>
            <w:tcW w:w="7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(613)</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2,171</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1"/>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Distribution Risk</w:t>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is dependent on third-party manufacturers, logistics companies and distributors to supply products for commercial activities associated with its products and product candidates, as applicable. In particular, the Company relies and expects to continue to rely on a</w:t>
      </w:r>
    </w:p>
    <w:p>
      <w:pPr>
        <w:jc w:val="both"/>
        <w:spacing w:after="0" w:line="226" w:lineRule="auto"/>
        <w:rPr>
          <w:sz w:val="20"/>
          <w:szCs w:val="20"/>
          <w:color w:val="auto"/>
        </w:rPr>
      </w:pPr>
      <w:r>
        <w:rPr>
          <w:rFonts w:ascii="Arial" w:cs="Arial" w:eastAsia="Arial" w:hAnsi="Arial"/>
          <w:sz w:val="18"/>
          <w:szCs w:val="18"/>
          <w:color w:val="auto"/>
        </w:rPr>
        <w:t xml:space="preserve">small number of manufacturers to supply it with its requirements for the active pharmaceutical ingredients, or </w:t>
      </w:r>
      <w:r>
        <w:rPr>
          <w:rFonts w:ascii="Arial" w:cs="Arial" w:eastAsia="Arial" w:hAnsi="Arial"/>
          <w:sz w:val="18"/>
          <w:szCs w:val="18"/>
          <w:u w:val="single" w:color="auto"/>
          <w:color w:val="auto"/>
        </w:rPr>
        <w:t>APIs</w:t>
      </w:r>
      <w:r>
        <w:rPr>
          <w:rFonts w:ascii="Arial" w:cs="Arial" w:eastAsia="Arial" w:hAnsi="Arial"/>
          <w:sz w:val="18"/>
          <w:szCs w:val="18"/>
          <w:color w:val="auto"/>
        </w:rPr>
        <w:t>, and formulated drugs related to the Company's product and product candidate activities. These activities, including the commercialization of Auryxia and Vafseo,</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could be adversely affected by a significant interruption in the supply of APIs and formulated drugs or distribution of finished product to the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ASU 2023-09 requires public companies to annually (i) disclose specific categories in the rate reconciliation and (ii) provide additional information for reconciling items that meet a quantitative threshold (if the effect of those reconciling items is equal to or greater than 5 percent of the amount computed by multiplying pretax income or loss by the applicable statutory income tax rate). ASU 2023-09 will be effective for the annual reporting periods in fiscal years beginning after December 15, 2024. The Company is currently evaluating ASU 2023-09 and does not expect it to have a material effect on the Company’s consolidated financial statements.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2024, the FASB issued an accounting standards update, ASU 2024-03, which requires new tabular disclosures in the notes to consolidated financial statements, disaggregating certain cost and expense categories within relevant captions on the consolidated statements of operations and comprehensive income (loss). The prescribed cost and expense categories requiring disaggregated disclosures include purchases of inventory, employee compensation, depreciation and intangible asset amortization, along with certain other expense disclosures already required by GAAP that would need to be integrated within the new tabular disaggregated expense disclosures. Additionally, the amendments require the disclosure of total selling expenses and an entity's definition of those expenses. ASU 2024-03 will be effective for annual reporting periods in fiscal years beginning after December 15, 2026, and interim reporting periods in fiscal years beginning after December 31, 2027. Early adoption is permitted and the amendments should be applied on a prospective basis. Retrospective application is permitted. The Company is currently reviewing the impact that the adoption of ASU 2024-03 may have on its expense disclosures in the notes to the consolidated financial statements.</w:t>
      </w:r>
    </w:p>
    <w:p>
      <w:pPr>
        <w:spacing w:after="0" w:line="18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OF FINANCIAL INSTRUMENTS</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The tables below present certain assets and liabilities measured at fair value categorized by the level of input used in the valuation of each asset and liability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2025</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equivalents:</w:t>
            </w: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5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206"/>
        </w:trPr>
        <w:tc>
          <w:tcPr>
            <w:tcW w:w="48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Money market funds</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117,868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117,868</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Long-term liability:</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Warrant liability</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14,199</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14,199</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December 31, 2024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9"/>
        </w:trPr>
        <w:tc>
          <w:tcPr>
            <w:tcW w:w="4800" w:type="dxa"/>
            <w:vAlign w:val="bottom"/>
            <w:tcBorders>
              <w:bottom w:val="single" w:sz="8" w:color="DBDBDB"/>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99"/>
              </w:rPr>
              <w:t>Level 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Total Fair Value</w:t>
            </w:r>
          </w:p>
        </w:tc>
      </w:tr>
      <w:tr>
        <w:trPr>
          <w:trHeight w:val="196"/>
        </w:trPr>
        <w:tc>
          <w:tcPr>
            <w:tcW w:w="4800" w:type="dxa"/>
            <w:vAlign w:val="bottom"/>
            <w:shd w:val="clear" w:color="auto" w:fill="DBDBDB"/>
          </w:tcPr>
          <w:p>
            <w:pPr>
              <w:jc w:val="center"/>
              <w:ind w:right="3219"/>
              <w:spacing w:after="0"/>
              <w:rPr>
                <w:sz w:val="20"/>
                <w:szCs w:val="20"/>
                <w:color w:val="auto"/>
              </w:rPr>
            </w:pPr>
            <w:r>
              <w:rPr>
                <w:rFonts w:ascii="Arial" w:cs="Arial" w:eastAsia="Arial" w:hAnsi="Arial"/>
                <w:sz w:val="16"/>
                <w:szCs w:val="16"/>
                <w:b w:val="1"/>
                <w:bCs w:val="1"/>
                <w:color w:val="auto"/>
              </w:rPr>
              <w:t>Long-term liability:</w:t>
            </w:r>
          </w:p>
        </w:tc>
        <w:tc>
          <w:tcPr>
            <w:tcW w:w="11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r>
      <w:tr>
        <w:trPr>
          <w:trHeight w:val="215"/>
        </w:trPr>
        <w:tc>
          <w:tcPr>
            <w:tcW w:w="4800" w:type="dxa"/>
            <w:vAlign w:val="bottom"/>
          </w:tcPr>
          <w:p>
            <w:pPr>
              <w:jc w:val="center"/>
              <w:ind w:right="3179"/>
              <w:spacing w:after="0"/>
              <w:rPr>
                <w:sz w:val="20"/>
                <w:szCs w:val="20"/>
                <w:color w:val="auto"/>
              </w:rPr>
            </w:pPr>
            <w:r>
              <w:rPr>
                <w:rFonts w:ascii="Arial" w:cs="Arial" w:eastAsia="Arial" w:hAnsi="Arial"/>
                <w:sz w:val="16"/>
                <w:szCs w:val="16"/>
                <w:color w:val="auto"/>
              </w:rPr>
              <w:t>Warrant liability</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ind w:left="140"/>
              <w:spacing w:after="0"/>
              <w:rPr>
                <w:sz w:val="20"/>
                <w:szCs w:val="20"/>
                <w:color w:val="auto"/>
              </w:rPr>
            </w:pPr>
            <w:r>
              <w:rPr>
                <w:rFonts w:ascii="Arial" w:cs="Arial" w:eastAsia="Arial" w:hAnsi="Arial"/>
                <w:sz w:val="16"/>
                <w:szCs w:val="16"/>
                <w:color w:val="auto"/>
              </w:rPr>
              <w:t>—   $</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5,176</w:t>
            </w:r>
          </w:p>
        </w:tc>
        <w:tc>
          <w:tcPr>
            <w:tcW w:w="100" w:type="dxa"/>
            <w:vAlign w:val="bottom"/>
          </w:tcPr>
          <w:p>
            <w:pPr>
              <w:spacing w:after="0"/>
              <w:rPr>
                <w:sz w:val="18"/>
                <w:szCs w:val="18"/>
                <w:color w:val="auto"/>
              </w:rPr>
            </w:pP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gridSpan w:val="3"/>
          </w:tcPr>
          <w:p>
            <w:pPr>
              <w:ind w:left="120"/>
              <w:spacing w:after="0"/>
              <w:rPr>
                <w:sz w:val="20"/>
                <w:szCs w:val="20"/>
                <w:color w:val="auto"/>
              </w:rPr>
            </w:pPr>
            <w:r>
              <w:rPr>
                <w:rFonts w:ascii="Arial" w:cs="Arial" w:eastAsia="Arial" w:hAnsi="Arial"/>
                <w:sz w:val="16"/>
                <w:szCs w:val="16"/>
                <w:color w:val="auto"/>
              </w:rPr>
              <w:t>—   $</w:t>
            </w:r>
          </w:p>
        </w:tc>
        <w:tc>
          <w:tcPr>
            <w:tcW w:w="1400" w:type="dxa"/>
            <w:vAlign w:val="bottom"/>
          </w:tcPr>
          <w:p>
            <w:pPr>
              <w:jc w:val="right"/>
              <w:spacing w:after="0"/>
              <w:rPr>
                <w:sz w:val="20"/>
                <w:szCs w:val="20"/>
                <w:color w:val="auto"/>
              </w:rPr>
            </w:pPr>
            <w:r>
              <w:rPr>
                <w:rFonts w:ascii="Arial" w:cs="Arial" w:eastAsia="Arial" w:hAnsi="Arial"/>
                <w:sz w:val="16"/>
                <w:szCs w:val="16"/>
                <w:color w:val="auto"/>
              </w:rPr>
              <w:t>5,176</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Money market funds included within cash and cash equivalents are classified within Level 1 of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because they are valued using quoted market prices in active markets.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Warrant liability – </w:t>
      </w:r>
      <w:r>
        <w:rPr>
          <w:rFonts w:ascii="Arial" w:cs="Arial" w:eastAsia="Arial" w:hAnsi="Arial"/>
          <w:sz w:val="18"/>
          <w:szCs w:val="18"/>
          <w:color w:val="auto"/>
        </w:rPr>
        <w:t>The warrant liability is classified within Level 2 of the fair value hierarchy because it is valued using inputs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either directly or indirectly. The fair value was calculated using the Black-Scholes option pricing model using the following key inputs: volatility, risk-free rate, dividend yield and expected term.</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consists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196"/>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Inventories, current:</w:t>
            </w:r>
          </w:p>
        </w:tc>
        <w:tc>
          <w:tcPr>
            <w:tcW w:w="240" w:type="dxa"/>
            <w:vAlign w:val="bottom"/>
            <w:tcBorders>
              <w:top w:val="single" w:sz="8" w:color="auto"/>
            </w:tcBorders>
            <w:shd w:val="clear" w:color="auto" w:fill="DBDBDB"/>
          </w:tcPr>
          <w:p>
            <w:pPr>
              <w:spacing w:after="0"/>
              <w:rPr>
                <w:sz w:val="17"/>
                <w:szCs w:val="17"/>
                <w:color w:val="auto"/>
              </w:rPr>
            </w:pPr>
          </w:p>
        </w:tc>
        <w:tc>
          <w:tcPr>
            <w:tcW w:w="1520" w:type="dxa"/>
            <w:vAlign w:val="bottom"/>
            <w:tcBorders>
              <w:top w:val="single" w:sz="8" w:color="auto"/>
            </w:tcBorders>
            <w:shd w:val="clear" w:color="auto" w:fill="DBDBDB"/>
          </w:tcPr>
          <w:p>
            <w:pPr>
              <w:spacing w:after="0"/>
              <w:rPr>
                <w:sz w:val="17"/>
                <w:szCs w:val="17"/>
                <w:color w:val="auto"/>
              </w:rPr>
            </w:pPr>
          </w:p>
        </w:tc>
        <w:tc>
          <w:tcPr>
            <w:tcW w:w="12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640" w:type="dxa"/>
            <w:vAlign w:val="bottom"/>
            <w:tcBorders>
              <w:top w:val="single" w:sz="8" w:color="auto"/>
            </w:tcBorders>
            <w:shd w:val="clear" w:color="auto" w:fill="DBDBDB"/>
          </w:tcPr>
          <w:p>
            <w:pPr>
              <w:spacing w:after="0"/>
              <w:rPr>
                <w:sz w:val="17"/>
                <w:szCs w:val="17"/>
                <w:color w:val="auto"/>
              </w:rPr>
            </w:pPr>
          </w:p>
        </w:tc>
      </w:tr>
      <w:tr>
        <w:trPr>
          <w:trHeight w:val="215"/>
        </w:trPr>
        <w:tc>
          <w:tcPr>
            <w:tcW w:w="7580" w:type="dxa"/>
            <w:vAlign w:val="bottom"/>
          </w:tcPr>
          <w:p>
            <w:pPr>
              <w:ind w:left="140"/>
              <w:spacing w:after="0"/>
              <w:rPr>
                <w:sz w:val="20"/>
                <w:szCs w:val="20"/>
                <w:color w:val="auto"/>
              </w:rPr>
            </w:pPr>
            <w:r>
              <w:rPr>
                <w:rFonts w:ascii="Arial" w:cs="Arial" w:eastAsia="Arial" w:hAnsi="Arial"/>
                <w:sz w:val="16"/>
                <w:szCs w:val="16"/>
                <w:color w:val="auto"/>
              </w:rPr>
              <w:t>Work-in-process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14,202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12,031</w:t>
            </w:r>
          </w:p>
        </w:tc>
      </w:tr>
      <w:tr>
        <w:trPr>
          <w:trHeight w:val="217"/>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2,506</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4,212</w:t>
            </w: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Inventories, current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16,708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16,243</w:t>
            </w:r>
          </w:p>
        </w:tc>
      </w:tr>
      <w:tr>
        <w:trPr>
          <w:trHeight w:val="217"/>
        </w:trPr>
        <w:tc>
          <w:tcPr>
            <w:tcW w:w="7580" w:type="dxa"/>
            <w:vAlign w:val="bottom"/>
            <w:shd w:val="clear" w:color="auto" w:fill="DBDBDB"/>
          </w:tcPr>
          <w:p>
            <w:pPr>
              <w:ind w:left="40"/>
              <w:spacing w:after="0"/>
              <w:rPr>
                <w:sz w:val="20"/>
                <w:szCs w:val="20"/>
                <w:color w:val="auto"/>
              </w:rPr>
            </w:pPr>
            <w:r>
              <w:rPr>
                <w:rFonts w:ascii="Arial" w:cs="Arial" w:eastAsia="Arial" w:hAnsi="Arial"/>
                <w:sz w:val="16"/>
                <w:szCs w:val="16"/>
                <w:color w:val="auto"/>
              </w:rPr>
              <w:t>Long-term inventories included in other long-term assets:</w:t>
            </w:r>
          </w:p>
        </w:tc>
        <w:tc>
          <w:tcPr>
            <w:tcW w:w="24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r>
      <w:tr>
        <w:trPr>
          <w:trHeight w:val="215"/>
        </w:trPr>
        <w:tc>
          <w:tcPr>
            <w:tcW w:w="7580" w:type="dxa"/>
            <w:vAlign w:val="bottom"/>
          </w:tcPr>
          <w:p>
            <w:pPr>
              <w:ind w:left="140"/>
              <w:spacing w:after="0"/>
              <w:rPr>
                <w:sz w:val="20"/>
                <w:szCs w:val="20"/>
                <w:color w:val="auto"/>
              </w:rPr>
            </w:pPr>
            <w:r>
              <w:rPr>
                <w:rFonts w:ascii="Arial" w:cs="Arial" w:eastAsia="Arial" w:hAnsi="Arial"/>
                <w:sz w:val="16"/>
                <w:szCs w:val="16"/>
                <w:color w:val="auto"/>
              </w:rPr>
              <w:t>Raw materials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7"/>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Work-in-process</w:t>
            </w:r>
          </w:p>
        </w:tc>
        <w:tc>
          <w:tcPr>
            <w:tcW w:w="24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41,481</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34,572</w:t>
            </w:r>
          </w:p>
        </w:tc>
      </w:tr>
      <w:tr>
        <w:trPr>
          <w:trHeight w:val="209"/>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Inventories, long-term</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41,862</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34,953</w:t>
            </w:r>
          </w:p>
        </w:tc>
      </w:tr>
      <w:tr>
        <w:trPr>
          <w:trHeight w:val="235"/>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inventories</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58,570</w:t>
            </w:r>
          </w:p>
        </w:tc>
        <w:tc>
          <w:tcPr>
            <w:tcW w:w="12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51,196</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Inventory written down as a result of excess, obsolescence, scrap or other reasons charged to cost of product and other revenue in the unaudited condensed consolidated statements of operations and comprehensive income (loss) was immaterial and $0.1 million during the three and six months ended June 30, 2025, respectively, and $0.5 million and $1.1 million during the three and six months ended June 30, 2024, respectively. For the three and six months ended June 30, 2024, the Company realized lower cost of product and other revenue of $4.9 million and $8.6 million, respectively, due to the Company's ability to sell inventory previously written down to zero, its then net realizable value.</w:t>
      </w:r>
    </w:p>
    <w:p>
      <w:pPr>
        <w:spacing w:after="0" w:line="182" w:lineRule="exact"/>
        <w:rPr>
          <w:sz w:val="20"/>
          <w:szCs w:val="20"/>
          <w:color w:val="auto"/>
        </w:rPr>
      </w:pPr>
    </w:p>
    <w:p>
      <w:pPr>
        <w:ind w:right="7700" w:firstLine="8"/>
        <w:spacing w:after="0" w:line="375" w:lineRule="auto"/>
        <w:tabs>
          <w:tab w:leader="none" w:pos="32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 AND GOODWILL </w:t>
      </w:r>
      <w:r>
        <w:rPr>
          <w:rFonts w:ascii="Arial" w:cs="Arial" w:eastAsia="Arial" w:hAnsi="Arial"/>
          <w:sz w:val="18"/>
          <w:szCs w:val="18"/>
          <w:i w:val="1"/>
          <w:iCs w:val="1"/>
          <w:color w:val="auto"/>
        </w:rPr>
        <w:t>Intangible Asset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maintained a definite-lived intangible asset related to developed product rights for Auryxia. The intangible asset was initially recorded at fair value and was stated net of accumulated amortization. The Company amortized the intangible asset using the straight-line method over the estimated useful life of six years. The intangible asset was fully amortized as of December 31, 2024. The Company recorded $9.0 million and $18.0 million in amortization expense for the three and six months ended June 30, 2024, respectively, related to the developed product rights for Auryxia.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each of June 30, 2025 and December 31, 2024, the Company had goodwill of $59.0 million in connection with the December 2018 merger with Keryx. The Company has not identified any goodwill impairment to date.</w:t>
      </w:r>
    </w:p>
    <w:p>
      <w:pPr>
        <w:spacing w:after="0" w:line="15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ADDITIONAL BALANCE SHEET DETAIL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Prepaid manufacturing</w:t>
            </w:r>
          </w:p>
        </w:tc>
        <w:tc>
          <w:tcPr>
            <w:tcW w:w="24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4,029</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7,832</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7,321</w:t>
            </w:r>
          </w:p>
        </w:tc>
      </w:tr>
      <w:tr>
        <w:trPr>
          <w:trHeight w:val="235"/>
        </w:trPr>
        <w:tc>
          <w:tcPr>
            <w:tcW w:w="75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prepaid expenses and other current assets</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7,832</w:t>
            </w: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11,350</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Prepaid manufacturing expenses include advance payments to contract manufacturing organizations, or </w:t>
      </w:r>
      <w:r>
        <w:rPr>
          <w:rFonts w:ascii="Arial" w:cs="Arial" w:eastAsia="Arial" w:hAnsi="Arial"/>
          <w:sz w:val="18"/>
          <w:szCs w:val="18"/>
          <w:u w:val="single" w:color="auto"/>
          <w:color w:val="auto"/>
        </w:rPr>
        <w:t>CMOs</w:t>
      </w:r>
      <w:r>
        <w:rPr>
          <w:rFonts w:ascii="Arial" w:cs="Arial" w:eastAsia="Arial" w:hAnsi="Arial"/>
          <w:sz w:val="18"/>
          <w:szCs w:val="18"/>
          <w:color w:val="auto"/>
        </w:rPr>
        <w:t>, for APIs or drug substance. Such amounts are reclassified to work-in-process inventory upon the quality release of the batches and transfer of title to the Company from the CMO.</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prepaid expenses and other current assets, among other things, include capitalized implementation costs, prepaid insurance, prepaid clinical trial costs and prepaid information technology costs.</w:t>
      </w:r>
    </w:p>
    <w:p>
      <w:pPr>
        <w:sectPr>
          <w:pgSz w:w="11900" w:h="16838" w:orient="portrait"/>
          <w:cols w:equalWidth="0" w:num="1">
            <w:col w:w="11240"/>
          </w:cols>
          <w:pgMar w:left="320" w:top="229" w:right="339" w:bottom="365"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365"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Long-term inventories</w:t>
            </w:r>
          </w:p>
        </w:tc>
        <w:tc>
          <w:tcPr>
            <w:tcW w:w="24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41,862</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34,953</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1,680</w:t>
            </w:r>
          </w:p>
        </w:tc>
      </w:tr>
      <w:tr>
        <w:trPr>
          <w:trHeight w:val="216"/>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744</w:t>
            </w:r>
          </w:p>
        </w:tc>
      </w:tr>
      <w:tr>
        <w:trPr>
          <w:trHeight w:val="210"/>
        </w:trPr>
        <w:tc>
          <w:tcPr>
            <w:tcW w:w="7580" w:type="dxa"/>
            <w:vAlign w:val="bottom"/>
          </w:tcPr>
          <w:p>
            <w:pPr>
              <w:ind w:left="140"/>
              <w:spacing w:after="0"/>
              <w:rPr>
                <w:sz w:val="20"/>
                <w:szCs w:val="20"/>
                <w:color w:val="auto"/>
              </w:rPr>
            </w:pPr>
            <w:r>
              <w:rPr>
                <w:rFonts w:ascii="Arial" w:cs="Arial" w:eastAsia="Arial" w:hAnsi="Arial"/>
                <w:sz w:val="16"/>
                <w:szCs w:val="16"/>
                <w:color w:val="auto"/>
              </w:rPr>
              <w:t>Total other long-term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37,377</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Inventories</w:t>
      </w:r>
      <w:r>
        <w:rPr>
          <w:rFonts w:ascii="Arial" w:cs="Arial" w:eastAsia="Arial" w:hAnsi="Arial"/>
          <w:sz w:val="18"/>
          <w:szCs w:val="18"/>
          <w:color w:val="auto"/>
        </w:rPr>
        <w:t>, for further information on long-term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consists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Product revenue allowances excluding rebates</w:t>
            </w:r>
          </w:p>
        </w:tc>
        <w:tc>
          <w:tcPr>
            <w:tcW w:w="24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11,416</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9,657</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Product rebates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33,752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6,070</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Product return reserves, current portion</w:t>
            </w:r>
          </w:p>
        </w:tc>
        <w:tc>
          <w:tcPr>
            <w:tcW w:w="24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5,132</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5,295</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Clinical trial costs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1,885</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Compensation and related benefits</w:t>
            </w:r>
          </w:p>
        </w:tc>
        <w:tc>
          <w:tcPr>
            <w:tcW w:w="24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6,749</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9,194</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Operating lease liabilities, current portion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5,400</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Royalties due to Panion &amp; BF Biotech, Inc.</w:t>
            </w:r>
          </w:p>
        </w:tc>
        <w:tc>
          <w:tcPr>
            <w:tcW w:w="24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3,988</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3,543</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1,452</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Accrued manufacturing costs</w:t>
            </w:r>
          </w:p>
        </w:tc>
        <w:tc>
          <w:tcPr>
            <w:tcW w:w="24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1,468</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BioVectra, Inc. termination fees</w:t>
            </w:r>
          </w:p>
        </w:tc>
        <w:tc>
          <w:tcPr>
            <w:tcW w:w="24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2,495</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7,204</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 current portion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2,039</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Settlement royalties liability, current portion</w:t>
            </w:r>
          </w:p>
        </w:tc>
        <w:tc>
          <w:tcPr>
            <w:tcW w:w="24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14,660</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5,924</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w:t>
            </w:r>
          </w:p>
        </w:tc>
      </w:tr>
      <w:tr>
        <w:trPr>
          <w:trHeight w:val="235"/>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accrued expenses and other current liabilities</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91,615</w:t>
            </w:r>
          </w:p>
        </w:tc>
        <w:tc>
          <w:tcPr>
            <w:tcW w:w="12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63,460</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INDEBTEDNESS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BlackRock Loan Facility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Company entered into the Agreement for the Provision of a Loan Facility, or the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with Kreos Capital VII (UK) Limited, or </w:t>
      </w:r>
      <w:r>
        <w:rPr>
          <w:rFonts w:ascii="Arial" w:cs="Arial" w:eastAsia="Arial" w:hAnsi="Arial"/>
          <w:sz w:val="18"/>
          <w:szCs w:val="18"/>
          <w:u w:val="single" w:color="auto"/>
          <w:color w:val="auto"/>
        </w:rPr>
        <w:t>Kreos</w:t>
      </w:r>
      <w:r>
        <w:rPr>
          <w:rFonts w:ascii="Arial" w:cs="Arial" w:eastAsia="Arial" w:hAnsi="Arial"/>
          <w:sz w:val="18"/>
          <w:szCs w:val="18"/>
          <w:color w:val="auto"/>
        </w:rPr>
        <w:t xml:space="preserve">,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and provides for a senior secured term loan facility in the aggregate principal amount of up to $55.0 million, or the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The Term Loan Facility was available in three tranches (i) Tranche A — $37.0 million was funded on the Closing Date and used to repay the Pharmakon Term Loans (as defined below); (ii) Tranche B — $8.0 million was funded on April 19, 2024, or the </w:t>
      </w:r>
      <w:r>
        <w:rPr>
          <w:rFonts w:ascii="Arial" w:cs="Arial" w:eastAsia="Arial" w:hAnsi="Arial"/>
          <w:sz w:val="18"/>
          <w:szCs w:val="18"/>
          <w:u w:val="single" w:color="auto"/>
          <w:color w:val="auto"/>
        </w:rPr>
        <w:t>Tranche B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and (iii) Tranche C — $10.0 million was funded on February 3, 2025, or the </w:t>
      </w:r>
      <w:r>
        <w:rPr>
          <w:rFonts w:ascii="Arial" w:cs="Arial" w:eastAsia="Arial" w:hAnsi="Arial"/>
          <w:sz w:val="18"/>
          <w:szCs w:val="18"/>
          <w:u w:val="single" w:color="auto"/>
          <w:color w:val="auto"/>
        </w:rPr>
        <w:t>Tranche C Closing Date</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Term Loans</w:t>
      </w:r>
      <w:r>
        <w:rPr>
          <w:rFonts w:ascii="Arial" w:cs="Arial" w:eastAsia="Arial" w:hAnsi="Arial"/>
          <w:sz w:val="18"/>
          <w:szCs w:val="18"/>
          <w:color w:val="auto"/>
          <w:highlight w:val="white"/>
        </w:rPr>
        <w:t>.</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On February 3, 2025, the Company and Kreos entered into a Second Amendment to the BlackRock Credit Agreement, or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which, among other things, extended the expiry date of Tranche C from December 31, 2024 to the Tranche C Closing Date, or the </w:t>
      </w:r>
      <w:r>
        <w:rPr>
          <w:rFonts w:ascii="Arial" w:cs="Arial" w:eastAsia="Arial" w:hAnsi="Arial"/>
          <w:sz w:val="18"/>
          <w:szCs w:val="18"/>
          <w:u w:val="single" w:color="auto"/>
          <w:color w:val="auto"/>
        </w:rPr>
        <w:t>Extended Tranche C</w:t>
      </w:r>
      <w:r>
        <w:rPr>
          <w:rFonts w:ascii="Arial" w:cs="Arial" w:eastAsia="Arial" w:hAnsi="Arial"/>
          <w:sz w:val="18"/>
          <w:szCs w:val="18"/>
          <w:color w:val="auto"/>
        </w:rPr>
        <w:t>. Tranche C was available subject to receipt of a certain amount of cumulative gross cash proceeds after the Closing Date in the form of equity or equity linked securities in one or more series of transactions. The terms of the Extended Tranche C are substantially similar to the terms of the original Tranche C, however, interest will accrue on the Extended Tranche C as if it was advanced on December 31, 2024.</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the Closing Date, the Company received $34.5 million on Tranche A, after deducting debt issuance costs, fees and expenses. On the Tranche B Closing Date, the Company received $7.5 million, after deducting debt issuance costs, fees and expenses. On the Tranche C Closing Date, the Company received $9.3 million, after deducting debt issuance costs, interest, fees and expenses.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BlackRock Term Loan Facility had an initial maturity date of March 31, 2025, which was automatically extended to January 29, 2028, after the Company received FDA approval for Vafseo, or the </w:t>
      </w:r>
      <w:r>
        <w:rPr>
          <w:rFonts w:ascii="Arial" w:cs="Arial" w:eastAsia="Arial" w:hAnsi="Arial"/>
          <w:sz w:val="18"/>
          <w:szCs w:val="18"/>
          <w:u w:val="single" w:color="auto"/>
          <w:color w:val="auto"/>
        </w:rPr>
        <w:t>BlackRock Maturity Date</w:t>
      </w:r>
      <w:r>
        <w:rPr>
          <w:rFonts w:ascii="Arial" w:cs="Arial" w:eastAsia="Arial" w:hAnsi="Arial"/>
          <w:sz w:val="18"/>
          <w:szCs w:val="18"/>
          <w:color w:val="auto"/>
        </w:rPr>
        <w:t xml:space="preserve">. The Company is required to make interest-only payments until December 31, 2026, or the </w:t>
      </w:r>
      <w:r>
        <w:rPr>
          <w:rFonts w:ascii="Arial" w:cs="Arial" w:eastAsia="Arial" w:hAnsi="Arial"/>
          <w:sz w:val="18"/>
          <w:szCs w:val="18"/>
          <w:u w:val="single" w:color="auto"/>
          <w:color w:val="auto"/>
        </w:rPr>
        <w:t>BlackRock Interest Only Period</w:t>
      </w:r>
      <w:r>
        <w:rPr>
          <w:rFonts w:ascii="Arial" w:cs="Arial" w:eastAsia="Arial" w:hAnsi="Arial"/>
          <w:sz w:val="18"/>
          <w:szCs w:val="18"/>
          <w:color w:val="auto"/>
        </w:rPr>
        <w:t>, after which the Company will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begin paying equal monthly principal on the first calendar day of each month. In the event of certain prespecified events, the repayment schedule will be accelerated.</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Term Loan Facility will accrue interest at a floating annual rate equal to the sum of (i) the term Secured Overnight Financing Rate, or </w:t>
      </w:r>
      <w:r>
        <w:rPr>
          <w:rFonts w:ascii="Arial" w:cs="Arial" w:eastAsia="Arial" w:hAnsi="Arial"/>
          <w:sz w:val="18"/>
          <w:szCs w:val="18"/>
          <w:u w:val="single" w:color="auto"/>
          <w:color w:val="auto"/>
        </w:rPr>
        <w:t>SOFR</w:t>
      </w:r>
      <w:r>
        <w:rPr>
          <w:rFonts w:ascii="Arial" w:cs="Arial" w:eastAsia="Arial" w:hAnsi="Arial"/>
          <w:sz w:val="18"/>
          <w:szCs w:val="18"/>
          <w:color w:val="auto"/>
        </w:rPr>
        <w:t>, for a tenor of one month (subject to a floor of 4.25% per annum) plus (ii) a margin of 6.75% per annum (subject to an overall cap of 15.00% per annum on the all-in interest rate). As of June 30, 2025, the Company's interest rate was 11.08%. The Company recognized interest expense related to the BlackRock Credit Agreement of $2.1 million and $4.1 million during the three and six months ended June 30, 2025, respectively, and $1.6 million and $3.8 million during the three and six months ended June 30, 2024, respectively.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continuance of any payment event of default under the BlackRock Credit Agreement, the interest rate on such overdue sum will automatically increase by an additional 3.0% per annum, and may be subject to an additional late fee of 2.0% of such overdue sum. The Term Loan Facility also includes transaction fees ranging from 1.00% to 1.25% of the draw down amount as well as exit fees of 0.75% of the amount funded to the relevant tranche.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Company prepays the outstanding loan prior to maturity, it will be required to pay a prepayment fee ranging from 1.0% to 4.0% of the amount prepaid. If prepayment is made during the first year, the Company also is required to pay the amount of otherwise due interest payments for the twelve-month period following prepayment.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future principal payments under the BlackRock Credit Agreement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Principal Payments</w:t>
            </w:r>
          </w:p>
        </w:tc>
      </w:tr>
      <w:tr>
        <w:trPr>
          <w:trHeight w:val="210"/>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860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50,558</w:t>
            </w:r>
          </w:p>
        </w:tc>
      </w:tr>
      <w:tr>
        <w:trPr>
          <w:trHeight w:val="215"/>
        </w:trPr>
        <w:tc>
          <w:tcPr>
            <w:tcW w:w="8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2028</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r>
      <w:tr>
        <w:trPr>
          <w:trHeight w:val="210"/>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before unamortized discount and issuance costs</w:t>
            </w:r>
          </w:p>
        </w:tc>
        <w:tc>
          <w:tcPr>
            <w:tcW w:w="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52,439</w:t>
            </w:r>
          </w:p>
        </w:tc>
      </w:tr>
      <w:tr>
        <w:trPr>
          <w:trHeight w:val="215"/>
        </w:trPr>
        <w:tc>
          <w:tcPr>
            <w:tcW w:w="8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unamortized discount and issuance costs</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w:t>
            </w:r>
          </w:p>
        </w:tc>
      </w:tr>
      <w:tr>
        <w:trPr>
          <w:trHeight w:val="234"/>
        </w:trPr>
        <w:tc>
          <w:tcPr>
            <w:tcW w:w="8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term loans</w:t>
            </w:r>
          </w:p>
        </w:tc>
        <w:tc>
          <w:tcPr>
            <w:tcW w:w="2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47,062</w:t>
            </w: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BlackRock Term Loan Facility is secured by substantially all of the existing and after-acquired assets of the Company, including intellectual property. The BlackRock Credit Agreement requires the Company to (i) maintain a minimum aggregate cash balance of $15.0 million in one or more controlled accounts or (ii) trailing twelve-month revenue of $150.0 million, both of which are measured monthly. The BlackRock Credit Agreement contains certain representations and warranties, affirmative and negative covenants that limit the Company's ability to engage in specified types of transactions and other provisions typical within a credit agreement. If an event of default occurs and is continuing under the BlackRock Credit Agreement, BlackRock is entitled to take enforcement action, including acceleration of amounts due and it could limit the Company's ability to make certain payments under the Vifor Termination Agreement (as defined below).</w:t>
      </w:r>
    </w:p>
    <w:p>
      <w:pPr>
        <w:spacing w:after="0" w:line="6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 xml:space="preserve">On July 10, 2024, in connection with the Termination and Settlement Agreement entered into between the Company and CSL Vifor (as defined below), or the </w:t>
      </w:r>
      <w:r>
        <w:rPr>
          <w:rFonts w:ascii="Arial" w:cs="Arial" w:eastAsia="Arial" w:hAnsi="Arial"/>
          <w:sz w:val="18"/>
          <w:szCs w:val="18"/>
          <w:u w:val="single" w:color="auto"/>
          <w:color w:val="auto"/>
        </w:rPr>
        <w:t>Vifor Termination Agreement</w:t>
      </w:r>
      <w:r>
        <w:rPr>
          <w:rFonts w:ascii="Arial" w:cs="Arial" w:eastAsia="Arial" w:hAnsi="Arial"/>
          <w:sz w:val="18"/>
          <w:szCs w:val="18"/>
          <w:color w:val="auto"/>
        </w:rPr>
        <w:t>, the Company and Kreos entered into a First Amendment to the BlackRock Credit</w:t>
      </w:r>
    </w:p>
    <w:p>
      <w:pPr>
        <w:jc w:val="both"/>
        <w:spacing w:after="0" w:line="237" w:lineRule="auto"/>
        <w:rPr>
          <w:sz w:val="20"/>
          <w:szCs w:val="20"/>
          <w:color w:val="auto"/>
        </w:rPr>
      </w:pPr>
      <w:r>
        <w:rPr>
          <w:rFonts w:ascii="Arial" w:cs="Arial" w:eastAsia="Arial" w:hAnsi="Arial"/>
          <w:sz w:val="18"/>
          <w:szCs w:val="18"/>
          <w:color w:val="auto"/>
        </w:rPr>
        <w:t xml:space="preserve">Agreement, which amended certain provisions of the BlackRock Credit Agreement. See Note 8, </w:t>
      </w:r>
      <w:r>
        <w:rPr>
          <w:rFonts w:ascii="Arial" w:cs="Arial" w:eastAsia="Arial" w:hAnsi="Arial"/>
          <w:sz w:val="18"/>
          <w:szCs w:val="18"/>
          <w:i w:val="1"/>
          <w:iCs w:val="1"/>
          <w:color w:val="auto"/>
        </w:rPr>
        <w:t>Liability Related to Settlement Royalties,</w:t>
      </w:r>
      <w:r>
        <w:rPr>
          <w:rFonts w:ascii="Arial" w:cs="Arial" w:eastAsia="Arial" w:hAnsi="Arial"/>
          <w:sz w:val="18"/>
          <w:szCs w:val="18"/>
          <w:color w:val="auto"/>
        </w:rPr>
        <w:t xml:space="preserve"> </w:t>
      </w:r>
      <w:r>
        <w:rPr>
          <w:rFonts w:ascii="Arial" w:cs="Arial" w:eastAsia="Arial" w:hAnsi="Arial"/>
          <w:sz w:val="18"/>
          <w:szCs w:val="18"/>
          <w:i w:val="1"/>
          <w:iCs w:val="1"/>
          <w:color w:val="auto"/>
        </w:rPr>
        <w:t>Working Capital Fund Liability and Liability Related to Sale of Future Royalties</w:t>
      </w:r>
      <w:r>
        <w:rPr>
          <w:rFonts w:ascii="Arial" w:cs="Arial" w:eastAsia="Arial" w:hAnsi="Arial"/>
          <w:sz w:val="18"/>
          <w:szCs w:val="18"/>
          <w:color w:val="auto"/>
        </w:rPr>
        <w:t>, for further information on the Vifor Termination Agreement.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the Closing Date, Kreos Capital VII Aggregator SCSp, an affiliate of Kreos,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xml:space="preserve">, received a warrant to purchase 3,076,923 shares of the Company’s common stock, at an exercise price per share of $1.30, or the </w:t>
      </w:r>
      <w:r>
        <w:rPr>
          <w:rFonts w:ascii="Arial" w:cs="Arial" w:eastAsia="Arial" w:hAnsi="Arial"/>
          <w:sz w:val="18"/>
          <w:szCs w:val="18"/>
          <w:u w:val="single" w:color="auto"/>
          <w:color w:val="auto"/>
        </w:rPr>
        <w:t>Initial Warrant</w:t>
      </w:r>
      <w:r>
        <w:rPr>
          <w:rFonts w:ascii="Arial" w:cs="Arial" w:eastAsia="Arial" w:hAnsi="Arial"/>
          <w:sz w:val="18"/>
          <w:szCs w:val="18"/>
          <w:color w:val="auto"/>
        </w:rPr>
        <w:t xml:space="preserve">. On the Tranche C Closing Date, the Company issued the Warrant Holder additional warrants to purchase 1,153,846 shares of the Company’s common stock at an exercise price per share of $1.30, or the </w:t>
      </w:r>
      <w:r>
        <w:rPr>
          <w:rFonts w:ascii="Arial" w:cs="Arial" w:eastAsia="Arial" w:hAnsi="Arial"/>
          <w:sz w:val="18"/>
          <w:szCs w:val="18"/>
          <w:u w:val="single" w:color="auto"/>
          <w:color w:val="auto"/>
        </w:rPr>
        <w:t>Tranche C Warrant</w:t>
      </w:r>
      <w:r>
        <w:rPr>
          <w:rFonts w:ascii="Arial" w:cs="Arial" w:eastAsia="Arial" w:hAnsi="Arial"/>
          <w:sz w:val="18"/>
          <w:szCs w:val="18"/>
          <w:color w:val="auto"/>
        </w:rPr>
        <w:t>. Each warrant shall be exercisable for eight years from the date of issuance.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Initial Warrant and the Tranche C Warrant are liabilities classified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they could potentially require net cash settlement outside of the Company’s control. The Initial Warrant and the Tranche C Warrant are measured at fair value each period with changes in fair value presented within the unaudited condensed consolidated statements of operations and comprehensive income (loss). The fair value of the warrant liability was $ 14.2 million and $5.2 million as of June 30, 2025 and December 31, 2024, respectively. See Note 3,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information on the fair value determination.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July 21, 2025, the Warrant Holder exercised its option to purchase 2,115,384 shares of the Company's common stock under the Initial Warrant on a cashless basis at an exercise price per share of $1.30. As a result of the cashless exercise, the Company issued 1,408,588 shares to the Warrant Holder under the Initial Warrant.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Accounted for as Debt</w:t>
      </w:r>
    </w:p>
    <w:p>
      <w:pPr>
        <w:spacing w:after="0" w:line="10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The Company has a liability related to settlement royalties and a Working Capital Fund liability with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and a liability related to the sale of future royalties, which are each accounted for as debt arrangements. 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for further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Pharmakon Term Loans (Extinguished January 29, 2024)</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November 11, 2019, the Company, with Keryx as guarantor, entered into a loan agreement, or </w:t>
      </w:r>
      <w:r>
        <w:rPr>
          <w:rFonts w:ascii="Arial" w:cs="Arial" w:eastAsia="Arial" w:hAnsi="Arial"/>
          <w:sz w:val="18"/>
          <w:szCs w:val="18"/>
          <w:u w:val="single" w:color="auto"/>
          <w:color w:val="auto"/>
        </w:rPr>
        <w:t>Pharmakon Loan Agreement</w:t>
      </w:r>
      <w:r>
        <w:rPr>
          <w:rFonts w:ascii="Arial" w:cs="Arial" w:eastAsia="Arial" w:hAnsi="Arial"/>
          <w:sz w:val="18"/>
          <w:szCs w:val="18"/>
          <w:color w:val="auto"/>
        </w:rPr>
        <w:t xml:space="preserve">, which consisted of a secured term loan facility in an aggregate amount of up to $100.0 million, or </w:t>
      </w:r>
      <w:r>
        <w:rPr>
          <w:rFonts w:ascii="Arial" w:cs="Arial" w:eastAsia="Arial" w:hAnsi="Arial"/>
          <w:sz w:val="18"/>
          <w:szCs w:val="18"/>
          <w:u w:val="single" w:color="auto"/>
          <w:color w:val="auto"/>
        </w:rPr>
        <w:t>Pharmakon Term Loans</w:t>
      </w:r>
      <w:r>
        <w:rPr>
          <w:rFonts w:ascii="Arial" w:cs="Arial" w:eastAsia="Arial" w:hAnsi="Arial"/>
          <w:sz w:val="18"/>
          <w:szCs w:val="18"/>
          <w:color w:val="auto"/>
        </w:rPr>
        <w:t>.</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the Closing Date, using the proceeds from the BlackRock Credit Agreement, the Company paid the then outstanding principal balance on the Pharmakon Term Loans of $35.0 million, plus the outstanding interest and a prepayment fee of $0.2 million. During the six months ended June 30, 2024, the Company recorded a debt extinguishment loss of $0.5 million.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recognized no interest expense during the three and six months ended June 30, 2025 and immaterial interest expense during the six months ended June 30, 2024, in each case related to the Pharmakon Loan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Indebtedness</w:t>
      </w:r>
      <w:r>
        <w:rPr>
          <w:rFonts w:ascii="Arial" w:cs="Arial" w:eastAsia="Arial" w:hAnsi="Arial"/>
          <w:sz w:val="18"/>
          <w:szCs w:val="18"/>
          <w:color w:val="auto"/>
        </w:rPr>
        <w:t>, of the Notes to the Consolidated Financial Statements in the 2024 Form 10-K for further details.</w:t>
      </w:r>
    </w:p>
    <w:p>
      <w:pPr>
        <w:spacing w:after="0" w:line="225" w:lineRule="exact"/>
        <w:rPr>
          <w:sz w:val="20"/>
          <w:szCs w:val="20"/>
          <w:color w:val="auto"/>
        </w:rPr>
      </w:pPr>
    </w:p>
    <w:p>
      <w:pPr>
        <w:ind w:left="340" w:hanging="332"/>
        <w:spacing w:after="0" w:line="296" w:lineRule="auto"/>
        <w:tabs>
          <w:tab w:leader="none" w:pos="34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RELATED TO SETTLEMENT ROYALTIES, WORKING CAPITAL FUND LIABILITY AND LIABILITY RELATED TO SALE OF FUTURE ROYALTIES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Vifor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n February 18, 2022, the Company entered into a Second Amended and Restated License Agreement, or the</w:t>
      </w:r>
      <w:r>
        <w:rPr>
          <w:rFonts w:ascii="Times New Roman" w:cs="Times New Roman" w:eastAsia="Times New Roman" w:hAnsi="Times New Roman"/>
          <w:sz w:val="18"/>
          <w:szCs w:val="18"/>
          <w:color w:val="auto"/>
        </w:rPr>
        <w:t xml:space="preserve"> </w:t>
      </w:r>
      <w:r>
        <w:rPr>
          <w:rFonts w:ascii="Arial" w:cs="Arial" w:eastAsia="Arial" w:hAnsi="Arial"/>
          <w:sz w:val="18"/>
          <w:szCs w:val="18"/>
          <w:u w:val="single" w:color="auto"/>
          <w:color w:val="auto"/>
        </w:rPr>
        <w:t>Vifor License Agreement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with CSL Vifor, which amended and restated the License Agreement dated as of May 12, 2017, or the </w:t>
      </w:r>
      <w:r>
        <w:rPr>
          <w:rFonts w:ascii="Arial" w:cs="Arial" w:eastAsia="Arial" w:hAnsi="Arial"/>
          <w:sz w:val="18"/>
          <w:szCs w:val="18"/>
          <w:u w:val="single" w:color="auto"/>
          <w:color w:val="auto"/>
        </w:rPr>
        <w:t>Original License Agreement</w:t>
      </w:r>
      <w:r>
        <w:rPr>
          <w:rFonts w:ascii="Arial" w:cs="Arial" w:eastAsia="Arial" w:hAnsi="Arial"/>
          <w:sz w:val="18"/>
          <w:szCs w:val="18"/>
          <w:color w:val="auto"/>
        </w:rPr>
        <w:t xml:space="preserve">. The Vifor License Agreement granted CSL Vifor an exclusive license to sell Vafseo to Fresenius Medical Care North America and its affiliates, including Fresenius Kidney Care Group LLC, to certain third-party dialysis organizations approved by the Company, to independent dialysis organizations that are members of certain group purchasing organizations and certain non-retail specialty pharmacies, collectively, the </w:t>
      </w:r>
      <w:r>
        <w:rPr>
          <w:rFonts w:ascii="Arial" w:cs="Arial" w:eastAsia="Arial" w:hAnsi="Arial"/>
          <w:sz w:val="18"/>
          <w:szCs w:val="18"/>
          <w:u w:val="single" w:color="auto"/>
          <w:color w:val="auto"/>
        </w:rPr>
        <w:t>Supply Group</w:t>
      </w:r>
      <w:r>
        <w:rPr>
          <w:rFonts w:ascii="Arial" w:cs="Arial" w:eastAsia="Arial" w:hAnsi="Arial"/>
          <w:sz w:val="18"/>
          <w:szCs w:val="18"/>
          <w:color w:val="auto"/>
        </w:rPr>
        <w:t>, in the U.S.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Vifor License Agreement was structured as a profit share arrangement between the Company and CSL Vifor in which the Company would receive approximately 66% of the profits, net of certain pre-specified costs. In addition, CSL Vifor made an upfront payment to the Company of $25.0 million in February 2022 in connection with the amendment and restatement of the Vifor License Agreement, which was previously recorded as long-term deferred revenue in the consolidated balance sheets.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of the Notes to the Consolidated Financial Statements in the 2024 Form 10-K for a more detailed description of the Vifor License Agreement.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Agreements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connection with the Original License Agreement, in May 2017, the Company sold an aggregate of 3,571,429 shares of the Company’s common stock, or </w:t>
      </w:r>
      <w:r>
        <w:rPr>
          <w:rFonts w:ascii="Arial" w:cs="Arial" w:eastAsia="Arial" w:hAnsi="Arial"/>
          <w:sz w:val="18"/>
          <w:szCs w:val="18"/>
          <w:u w:val="single" w:color="auto"/>
          <w:color w:val="auto"/>
        </w:rPr>
        <w:t>2017 Shares,</w:t>
      </w:r>
      <w:r>
        <w:rPr>
          <w:rFonts w:ascii="Arial" w:cs="Arial" w:eastAsia="Arial" w:hAnsi="Arial"/>
          <w:sz w:val="18"/>
          <w:szCs w:val="18"/>
          <w:color w:val="auto"/>
        </w:rPr>
        <w:t xml:space="preserve"> to CSL Vifor at a price per share of $14.00 for a total of $50.0 million.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February 2022, in connection with the Vifor License Agreement, the Company sold an aggregate of 4,000,000 shares of its common stock, or </w:t>
      </w:r>
      <w:r>
        <w:rPr>
          <w:rFonts w:ascii="Arial" w:cs="Arial" w:eastAsia="Arial" w:hAnsi="Arial"/>
          <w:sz w:val="18"/>
          <w:szCs w:val="18"/>
          <w:u w:val="single" w:color="auto"/>
          <w:color w:val="auto"/>
        </w:rPr>
        <w:t>2022 Shares</w:t>
      </w:r>
      <w:r>
        <w:rPr>
          <w:rFonts w:ascii="Arial" w:cs="Arial" w:eastAsia="Arial" w:hAnsi="Arial"/>
          <w:sz w:val="18"/>
          <w:szCs w:val="18"/>
          <w:color w:val="auto"/>
        </w:rPr>
        <w:t>, to CSL Vifor at a price per share of $5.00 for a total of $20.0 million.</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$18.3 million, which represented the premium over the closing stock price, or $4.7 million for the 2017 Shares and $13.6 million for the 2022 Shares, was previously recorded as long-term deferred revenue in the consolidated balance sheets as it represented consideration related to the Vifor License Agreement.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2017 Shares and 2022 Shares are subject to standstill agreements and are subject to voting agreements. The 2017 Shares and 2022 Shares have not been registered pursuant to the Securities Act of 1933, as amended, or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were issued and sold in reliance upon the exemption from registration contained in Section 4(a)(2) of the Securities Act and Rule</w:t>
      </w:r>
    </w:p>
    <w:p>
      <w:pPr>
        <w:sectPr>
          <w:pgSz w:w="11900" w:h="16838" w:orient="portrait"/>
          <w:cols w:equalWidth="0" w:num="1">
            <w:col w:w="11240"/>
          </w:cols>
          <w:pgMar w:left="320" w:top="229" w:right="339" w:bottom="743"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43"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375" w:lineRule="auto"/>
        <w:rPr>
          <w:sz w:val="20"/>
          <w:szCs w:val="20"/>
          <w:color w:val="auto"/>
        </w:rPr>
      </w:pPr>
      <w:r>
        <w:rPr>
          <w:rFonts w:ascii="Arial" w:cs="Arial" w:eastAsia="Arial" w:hAnsi="Arial"/>
          <w:sz w:val="18"/>
          <w:szCs w:val="18"/>
          <w:color w:val="auto"/>
        </w:rPr>
        <w:t xml:space="preserve">506 promulgated thereunder as the transaction did not involve any public offering within the meaning of Section 4(a)(2) of the Securities Act. </w:t>
      </w:r>
      <w:r>
        <w:rPr>
          <w:rFonts w:ascii="Arial" w:cs="Arial" w:eastAsia="Arial" w:hAnsi="Arial"/>
          <w:sz w:val="18"/>
          <w:szCs w:val="18"/>
          <w:i w:val="1"/>
          <w:iCs w:val="1"/>
          <w:color w:val="auto"/>
        </w:rPr>
        <w:t>Vifor Termination Agreement</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10, 2024, the Company and CSL Vifor entered into the Vifor Termination Agreement, pursuant to which the Company and CSL Vifor agreed, among other things, to terminate, effective immediately, the Vifor License Agreement.</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Pursuant to the terms of the Vifor Termination Agreement, the Company will pay CSL Vifor decreasing quarterly tiered royalty payments ranging from a high single-digit percentage of the Company’s net sales of Vafseo up to $450.0 million to mid-single digit percentage of the Company’s net sales of Vafseo above $450.0 million, in each case, in the U.S. during a calendar year, or the </w:t>
      </w:r>
      <w:r>
        <w:rPr>
          <w:rFonts w:ascii="Arial" w:cs="Arial" w:eastAsia="Arial" w:hAnsi="Arial"/>
          <w:sz w:val="18"/>
          <w:szCs w:val="18"/>
          <w:u w:val="single" w:color="auto"/>
          <w:color w:val="auto"/>
        </w:rPr>
        <w:t>Settlement Royalty Payments</w:t>
      </w:r>
      <w:r>
        <w:rPr>
          <w:rFonts w:ascii="Arial" w:cs="Arial" w:eastAsia="Arial" w:hAnsi="Arial"/>
          <w:sz w:val="18"/>
          <w:szCs w:val="18"/>
          <w:color w:val="auto"/>
        </w:rPr>
        <w:t xml:space="preserve">. The Settlement Royalty Payments commenced upon the first sale of Vafseo by the Company, its affiliates or third-party licensees to a third party for use in the U.S., and will continue until the later of the (i) expiration of the last-to-expire valid claim listed in the FDA Orange Book, or </w:t>
      </w:r>
      <w:r>
        <w:rPr>
          <w:rFonts w:ascii="Arial" w:cs="Arial" w:eastAsia="Arial" w:hAnsi="Arial"/>
          <w:sz w:val="18"/>
          <w:szCs w:val="18"/>
          <w:u w:val="single" w:color="auto"/>
          <w:color w:val="auto"/>
        </w:rPr>
        <w:t>OB</w:t>
      </w:r>
      <w:r>
        <w:rPr>
          <w:rFonts w:ascii="Arial" w:cs="Arial" w:eastAsia="Arial" w:hAnsi="Arial"/>
          <w:sz w:val="18"/>
          <w:szCs w:val="18"/>
          <w:color w:val="auto"/>
        </w:rPr>
        <w:t>, that would be infringed by the making, using, selling or importing of Vafseo in the U.S. or (ii) the expiration of marketing or regulatory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exclusivity for Vafseo in the U.S., or the </w:t>
      </w:r>
      <w:r>
        <w:rPr>
          <w:rFonts w:ascii="Arial" w:cs="Arial" w:eastAsia="Arial" w:hAnsi="Arial"/>
          <w:sz w:val="18"/>
          <w:szCs w:val="18"/>
          <w:u w:val="single" w:color="auto"/>
          <w:color w:val="auto"/>
        </w:rPr>
        <w:t>Settlement Royalty Term</w:t>
      </w:r>
      <w:r>
        <w:rPr>
          <w:rFonts w:ascii="Arial" w:cs="Arial" w:eastAsia="Arial" w:hAnsi="Arial"/>
          <w:sz w:val="18"/>
          <w:szCs w:val="18"/>
          <w:color w:val="auto"/>
        </w:rPr>
        <w:t xml:space="preserve">. Beginning on July 1, 2027 and throughout the Settlement Royalty Term, the Company has the option to make a one-time payment to CSL Vifor, or the </w:t>
      </w:r>
      <w:r>
        <w:rPr>
          <w:rFonts w:ascii="Arial" w:cs="Arial" w:eastAsia="Arial" w:hAnsi="Arial"/>
          <w:sz w:val="18"/>
          <w:szCs w:val="18"/>
          <w:u w:val="single" w:color="auto"/>
          <w:color w:val="auto"/>
        </w:rPr>
        <w:t>Royalty Buy-Down Option</w:t>
      </w:r>
      <w:r>
        <w:rPr>
          <w:rFonts w:ascii="Arial" w:cs="Arial" w:eastAsia="Arial" w:hAnsi="Arial"/>
          <w:sz w:val="18"/>
          <w:szCs w:val="18"/>
          <w:color w:val="auto"/>
        </w:rPr>
        <w:t>, upon which the Settlement Royalty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Payments will be adjusted as of the date of exercise of the Royalty Buy-Down Option such that the Company will then only pay CSL Vifor quarterly royalty payments based on a mid-single digit percentage of the Company’s net sales of Vafseo up to $450.0 million in the U.S. during a calendar year in lieu of the above Settlement Royalty Payments. If the Company exercises the Royalty Buy-Down Option, the WCF Royalty Payments, as described below, will continue as described below.</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WCF Royalty Payments, as described below, the Settlement Royalty Payments and the Royalty Buy-Down Option are in consideration for the termination of the Vifor License Agreement and all obligations thereunder, and the covenants and agreements set forth in the Vifor Termination Agreement, including the settlement and release of all disputes and claims arising from the Vifor License Agreement.</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As a result of the Vifor Termination Agreement, the Company reassessed whether the Vifor License Agreement still met the criteria to be considered a contract within the scope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CSL Vifor no longer met the definition of a customer and, therefore, the arrangement should not be considered a revenue contract with a customer under ASC 606. The Company therefore determined that the consideration received from CSL Vifor of $43.3 million, comprised of the up-front payment of $25.0 million and the premiums paid by CSL Vifor for the 2017 Shares and 2022 Shares of $4.7 million and $13.6 million, respectively, should be classified as debt. Accordingly, the Company recorded the $43.3 million as a liability and is amortizing such amount using the effective interest method over the Settlement Royalty Term. The liability related to settlement royalties and the amortization are based on the</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Company’s current estimates of future royalties expected to be paid over the life of the arrangement. To the extent the Company’s estimates of future royalty payments are greater or less than previous estimates or the estimated timing of such payments is materially different than</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previous estimates, the Company will adjust the effective interest rate and recognize related non-cash interest expense on a prospective basis. On a quarterly basis, the Company reassesses the expected royalty payments. The annual effective interest rate as of June 30, 2025 was 37.0% which is reflected as interest expense in the unaudited condensed consolidated statements of operations and comprehensive income (loss). The Company recognized interest expense related to the settlement royalties liability of $5.4 million and $10.8 million for the three and six months ended June 30, 2025, respectively. The Company did not recognize interest expense related to the settlement royalties liability during the three and six months ended June 30, 2024. As of June 30, 2025 and December 31, 2024, the balances related to the settlement royalties liability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5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 (included in accrued expenses and other current liabilities)</w:t>
            </w: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14,660</w:t>
            </w: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5,924</w:t>
            </w:r>
          </w:p>
        </w:tc>
      </w:tr>
      <w:tr>
        <w:trPr>
          <w:trHeight w:val="215"/>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48,729</w:t>
            </w: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46,697</w:t>
            </w:r>
          </w:p>
        </w:tc>
      </w:tr>
      <w:tr>
        <w:trPr>
          <w:trHeight w:val="235"/>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settlement royalties liability</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63,389</w:t>
            </w:r>
          </w:p>
        </w:tc>
        <w:tc>
          <w:tcPr>
            <w:tcW w:w="14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52,621</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Fund Liability (Previously Referred to as Refund Liability to Customer)</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Pursuant to the Vifor License Agreement, CSL Vifor contributed $40.0 million to a working capital fund, or </w:t>
      </w:r>
      <w:r>
        <w:rPr>
          <w:rFonts w:ascii="Arial" w:cs="Arial" w:eastAsia="Arial" w:hAnsi="Arial"/>
          <w:sz w:val="18"/>
          <w:szCs w:val="18"/>
          <w:u w:val="single" w:color="auto"/>
          <w:color w:val="auto"/>
        </w:rPr>
        <w:t>Working Capital Fund</w:t>
      </w:r>
      <w:r>
        <w:rPr>
          <w:rFonts w:ascii="Arial" w:cs="Arial" w:eastAsia="Arial" w:hAnsi="Arial"/>
          <w:sz w:val="18"/>
          <w:szCs w:val="18"/>
          <w:color w:val="auto"/>
        </w:rPr>
        <w:t>, established to partially fund the Company’s costs of purchasing Vafseo from its contract manufacturers.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Working Capital Fund was considered a debt arrangement with zero coupon interest and the Company imputed interest on the Working Capital Fund liability at a rate of 15.0% per annum, which was determined based on certain factors, including the Company's credit rating, comparable securities yield and the expected repayment period. On March 18, 2022, when the $40.0 million was received from CSL Vifor, the Company recorded an initial discount on the Working Capital Fund liability and a corresponding deferred gain on the condensed consolidated balance sheet.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May 3, 2024, the Company and CSL Vifor entered into Amendment #1 to the Vifor License Agreement, or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Pursuant to the Amendment, and as modified by the Vifor Termination Agreement, the Company and CSL Vifor agreed to modify the method of repayment of the Working Capital Fund such that the Working Capital Fund will be repaid through quarterly tiered royalty payments ranging from 8% to 14% of the Company's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$40.0 million, or (ii) May 31, 2028, or the </w:t>
      </w:r>
      <w:r>
        <w:rPr>
          <w:rFonts w:ascii="Arial" w:cs="Arial" w:eastAsia="Arial" w:hAnsi="Arial"/>
          <w:sz w:val="18"/>
          <w:szCs w:val="18"/>
          <w:u w:val="single" w:color="auto"/>
          <w:color w:val="auto"/>
        </w:rPr>
        <w:t>WCF Royalty Term</w:t>
      </w:r>
      <w:r>
        <w:rPr>
          <w:rFonts w:ascii="Arial" w:cs="Arial" w:eastAsia="Arial" w:hAnsi="Arial"/>
          <w:sz w:val="18"/>
          <w:szCs w:val="18"/>
          <w:color w:val="auto"/>
        </w:rPr>
        <w:t xml:space="preserve">. The WCF Royalty Payments are subject to minimum true-up milestones of $10.0 million, $20.0 million and $40.0 million, or the </w:t>
      </w:r>
      <w:r>
        <w:rPr>
          <w:rFonts w:ascii="Arial" w:cs="Arial" w:eastAsia="Arial" w:hAnsi="Arial"/>
          <w:sz w:val="18"/>
          <w:szCs w:val="18"/>
          <w:u w:val="single" w:color="auto"/>
          <w:color w:val="auto"/>
        </w:rPr>
        <w:t>WCF Royalty True-Up Payments</w:t>
      </w:r>
      <w:r>
        <w:rPr>
          <w:rFonts w:ascii="Arial" w:cs="Arial" w:eastAsia="Arial" w:hAnsi="Arial"/>
          <w:sz w:val="18"/>
          <w:szCs w:val="18"/>
          <w:color w:val="auto"/>
        </w:rPr>
        <w:t xml:space="preserve">, on each of May 31, 2026, May 31, 2027 and May 31, 2028, respectively, or the </w:t>
      </w:r>
      <w:r>
        <w:rPr>
          <w:rFonts w:ascii="Arial" w:cs="Arial" w:eastAsia="Arial" w:hAnsi="Arial"/>
          <w:sz w:val="18"/>
          <w:szCs w:val="18"/>
          <w:u w:val="single" w:color="auto"/>
          <w:color w:val="auto"/>
        </w:rPr>
        <w:t>WCF</w:t>
      </w:r>
      <w:r>
        <w:rPr>
          <w:rFonts w:ascii="Arial" w:cs="Arial" w:eastAsia="Arial" w:hAnsi="Arial"/>
          <w:sz w:val="18"/>
          <w:szCs w:val="18"/>
          <w:color w:val="auto"/>
        </w:rPr>
        <w:t xml:space="preserve"> </w:t>
      </w:r>
      <w:r>
        <w:rPr>
          <w:rFonts w:ascii="Arial" w:cs="Arial" w:eastAsia="Arial" w:hAnsi="Arial"/>
          <w:sz w:val="18"/>
          <w:szCs w:val="18"/>
          <w:u w:val="single" w:color="auto"/>
          <w:color w:val="auto"/>
        </w:rPr>
        <w:t>Royalty True-Up Dates</w:t>
      </w:r>
      <w:r>
        <w:rPr>
          <w:rFonts w:ascii="Arial" w:cs="Arial" w:eastAsia="Arial" w:hAnsi="Arial"/>
          <w:sz w:val="18"/>
          <w:szCs w:val="18"/>
          <w:color w:val="auto"/>
        </w:rPr>
        <w:t>. If the cumulative total of the WCF Royalty Payments paid to CSL Vifor on any given WCF Royalty True-Up Date is less than the respective WCF Royalty True-Up Payment, the Company will pay CSL Vifor a one-time payment equal to the difference between the WCF Royalty True-Up Payment and the cumulative total of the WCF Royalty Payments paid by the Company through such WCF Royalty True-Up Date. The Company determined that the terms of the Amendment are not substantially different than the terms of the Vifor License Agreement, and therefore the Amendment was accounted for as a modification. The Company concluded that the 15% discount rate remains appropriate. On a quarterly basis, the Company reassesses the effective rate and will adjust the rate prospectively, if needed.</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on the Working Capital Fund liability is amortized to interest expense using the effective interest method over the WCF Royalty Term. The deferred gain is amortized to interest income on a straight-line basis over the WCF Royalty Term. The amortization of the discount was $1.2 million and $2.3 million for the three and six months ended June 30, 2025, respectively, and $0.9 million and $1.6 million for the three and six months ended June 30, 2024, respectively. The amortization of the deferred gain was $ 1.0 million and $ 2.0 million for the three and six months ended June 30, 2025, respectively, and $0.8 million and $1.7 million for the three and six months ended June 30, 2024,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and December 31, 2024, the balances related to the Working Capital Fund liability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5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w:t>
            </w: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10,016</w:t>
            </w: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2,274</w:t>
            </w:r>
          </w:p>
        </w:tc>
      </w:tr>
      <w:tr>
        <w:trPr>
          <w:trHeight w:val="215"/>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30,556</w:t>
            </w: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38,013</w:t>
            </w:r>
          </w:p>
        </w:tc>
      </w:tr>
      <w:tr>
        <w:trPr>
          <w:trHeight w:val="235"/>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Working Capital Fund liability</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40,572</w:t>
            </w:r>
          </w:p>
        </w:tc>
        <w:tc>
          <w:tcPr>
            <w:tcW w:w="14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40,287</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February 25, 2021, the Company entered into a royalty interest acquisition agreement, or the </w:t>
      </w:r>
      <w:r>
        <w:rPr>
          <w:rFonts w:ascii="Arial" w:cs="Arial" w:eastAsia="Arial" w:hAnsi="Arial"/>
          <w:sz w:val="18"/>
          <w:szCs w:val="18"/>
          <w:u w:val="single" w:color="auto"/>
          <w:color w:val="auto"/>
        </w:rPr>
        <w:t>Royalty Agreement</w:t>
      </w:r>
      <w:r>
        <w:rPr>
          <w:rFonts w:ascii="Arial" w:cs="Arial" w:eastAsia="Arial" w:hAnsi="Arial"/>
          <w:sz w:val="18"/>
          <w:szCs w:val="18"/>
          <w:color w:val="auto"/>
        </w:rPr>
        <w:t xml:space="preserve">, with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pursuant to which the Company sold to HCR its right to receive royalties and sales milestones for Vafseo in Japan and certain other Asian countries, such countries collectively, the </w:t>
      </w:r>
      <w:r>
        <w:rPr>
          <w:rFonts w:ascii="Arial" w:cs="Arial" w:eastAsia="Arial" w:hAnsi="Arial"/>
          <w:sz w:val="18"/>
          <w:szCs w:val="18"/>
          <w:u w:val="single" w:color="auto"/>
          <w:color w:val="auto"/>
        </w:rPr>
        <w:t>MTPC Territory</w:t>
      </w:r>
      <w:r>
        <w:rPr>
          <w:rFonts w:ascii="Arial" w:cs="Arial" w:eastAsia="Arial" w:hAnsi="Arial"/>
          <w:sz w:val="18"/>
          <w:szCs w:val="18"/>
          <w:color w:val="auto"/>
        </w:rPr>
        <w:t xml:space="preserve">, and such payments collectively the </w:t>
      </w: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 Payments</w:t>
      </w:r>
      <w:r>
        <w:rPr>
          <w:rFonts w:ascii="Arial" w:cs="Arial" w:eastAsia="Arial" w:hAnsi="Arial"/>
          <w:sz w:val="18"/>
          <w:szCs w:val="18"/>
          <w:color w:val="auto"/>
        </w:rPr>
        <w:t>, in each case, payable to the Company under the MTPC Agreement (as defined below). The Royalty Interest Payments are subject to an annual maximum “cap” of $ 13.0 million, after which the Company will receive 85% of the Royalty Interest Payments for the remainder of that year. The Royalty Interest Payments are also subject to an aggregate maximum “cap” of $150.0 million, after which the Royalty Interest Payments will revert back to the Company. The Company retains the right to receive all potential future regulatory milestones for Vafseo under the MTPC Agreement.</w:t>
      </w:r>
    </w:p>
    <w:p>
      <w:pPr>
        <w:spacing w:after="0" w:line="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At the transaction date, the Company recorded the proceeds received from HCR of $44.8 million (net of certain transaction expenses) as a liability and is amortizing it using the effective interest method over the life of the arrangement. The liability related to sale of future royalties and the debt amortization are based on the Company’s current estimates of future royalties expected to be paid over the life of the arrangement.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In the event the Company's estimates of future royalties are less than the proceeds from the sale of future royalties, the Company will not recognize related non-cash interest expense. On a quarterly basis, the Company reassesses the effective interest rate and adjusts the rate prospectively as needed. The annual effective interest rate as of June 30, 2025 was 0% and, therefore the Company did not recognize any non-cash interest expense in the unaudited condensed consolidated statements of operations and comprehensive income (loss). As a result of its ongoing involvement in the cash flows related to the royalties and sales milestones in the MTPC Territory, the Company will continue to account for these royalties as non-cash royalty revenue which is reflected in license, collaboration and other revenue in the unaudited condensed consolidated statements of operations and comprehensive income (loss). See Note 8, </w:t>
      </w:r>
      <w:r>
        <w:rPr>
          <w:rFonts w:ascii="Arial" w:cs="Arial" w:eastAsia="Arial" w:hAnsi="Arial"/>
          <w:sz w:val="18"/>
          <w:szCs w:val="18"/>
          <w:i w:val="1"/>
          <w:iCs w:val="1"/>
          <w:color w:val="auto"/>
        </w:rPr>
        <w:t>Liability Related to Settlement Royalties, Working Capital Fund Liability and Liability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Sale of Future Royalties</w:t>
      </w:r>
      <w:r>
        <w:rPr>
          <w:rFonts w:ascii="Arial" w:cs="Arial" w:eastAsia="Arial" w:hAnsi="Arial"/>
          <w:sz w:val="18"/>
          <w:szCs w:val="18"/>
          <w:color w:val="auto"/>
        </w:rPr>
        <w:t>, of the Notes to the Consolidated Financial Statements in the 2024 Form 10-K for a more detailed description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Royalty Agreement.</w:t>
      </w:r>
    </w:p>
    <w:p>
      <w:pPr>
        <w:sectPr>
          <w:pgSz w:w="11900" w:h="16838" w:orient="portrait"/>
          <w:cols w:equalWidth="0" w:num="1">
            <w:col w:w="11240"/>
          </w:cols>
          <w:pgMar w:left="320" w:top="229" w:right="339" w:bottom="1026"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026"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paid royalties to HCR of $ 0.4 million during each of the three months ended June 30, 2025 and 2024 and $0.9 million during each of the six months ended June 30, 2025 and 2024. As of June 30, 2025 and December 31, 2024 the balances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Liability related to sale of future royalties</w:t>
            </w:r>
          </w:p>
        </w:tc>
        <w:tc>
          <w:tcPr>
            <w:tcW w:w="2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 (included in accrued expenses and other current liabilities)</w:t>
            </w:r>
          </w:p>
        </w:tc>
        <w:tc>
          <w:tcPr>
            <w:tcW w:w="24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2,152</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2,039</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51,082</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52,066</w:t>
            </w:r>
          </w:p>
        </w:tc>
      </w:tr>
      <w:tr>
        <w:trPr>
          <w:trHeight w:val="235"/>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liability related to sale of future royalties</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53,234</w:t>
            </w: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54,105</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9740" w:firstLine="8"/>
        <w:spacing w:after="0" w:line="397" w:lineRule="auto"/>
        <w:tabs>
          <w:tab w:leader="none" w:pos="32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Cambridge Lease</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Cambridge Lease, the Company leases approximately 65,167 square feet of office, storage and lab space in Cambridge, Massachusetts. The term of the Cambridge Lease with respect to the 59,216 square feet of office and storage space expires on September 11, 2026, with one five-year extension option available. The term of the Cambridge Lease with respect to the 5,951 square feet of lab space expires on September 11, 2026, with one two-year extension option available.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Cambridge Lease is non-cancelable and is classified as an operating lease. The renewal options with respect to the office, storage and the lab space of the Cambridge Lease were not included in the calculation of the right-of-use asset and operating lease liability as the renewals are not reasonably certain. The Cambridge Lease does not contain residual value guarantees. In arriving at the operating lease liabilities, the Company applied incremental borrowing rates ranging from 6.65% to 6.94%, which were based on the remaining lease term at either the date of adoption of ASC 842 or the effective date of any subsequent lease term extensions. As of June 30, 2025, the remaining lease term for the Cambridge Lease was 1.2 years.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 costs were $1.2 million and $2.5 million for each of the three and six months ended June 30, 2025 and 2024, respectively. Cash paid for amounts included in the measurement of operating lease liabilities was $1.5 million and $2.9 million for the three and six months ended June 30, 2025, respectively, and $1.4 million and $2.9 million for the three and six months ended June 30, 2024, respectively. The security deposit in connection with the Cambridge Lease is $1.7 million in the form of a letter of credit, which is included as restricted cash in other long-term assets in the accompanying unaudited condensed consolidated balance sheets as of June 30, 2025 and December 31, 2024.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Lease Commitments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Future commitments under the Cambridge Lease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519"/>
              <w:spacing w:after="0"/>
              <w:rPr>
                <w:sz w:val="20"/>
                <w:szCs w:val="20"/>
                <w:color w:val="auto"/>
              </w:rPr>
            </w:pPr>
            <w:r>
              <w:rPr>
                <w:rFonts w:ascii="Arial" w:cs="Arial" w:eastAsia="Arial" w:hAnsi="Arial"/>
                <w:sz w:val="16"/>
                <w:szCs w:val="16"/>
                <w:b w:val="1"/>
                <w:bCs w:val="1"/>
                <w:color w:val="auto"/>
              </w:rPr>
              <w:t>Operating</w:t>
            </w:r>
          </w:p>
        </w:tc>
      </w:tr>
      <w:tr>
        <w:trPr>
          <w:trHeight w:val="216"/>
        </w:trPr>
        <w:tc>
          <w:tcPr>
            <w:tcW w:w="91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Lease Commitments</w:t>
            </w:r>
          </w:p>
        </w:tc>
      </w:tr>
      <w:tr>
        <w:trPr>
          <w:trHeight w:val="209"/>
        </w:trPr>
        <w:tc>
          <w:tcPr>
            <w:tcW w:w="9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2,915</w:t>
            </w:r>
          </w:p>
        </w:tc>
      </w:tr>
      <w:tr>
        <w:trPr>
          <w:trHeight w:val="215"/>
        </w:trPr>
        <w:tc>
          <w:tcPr>
            <w:tcW w:w="9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w:t>
            </w:r>
          </w:p>
        </w:tc>
      </w:tr>
      <w:tr>
        <w:trPr>
          <w:trHeight w:val="210"/>
        </w:trPr>
        <w:tc>
          <w:tcPr>
            <w:tcW w:w="9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Total lease commitments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6,528</w:t>
            </w:r>
          </w:p>
        </w:tc>
      </w:tr>
      <w:tr>
        <w:trPr>
          <w:trHeight w:val="215"/>
        </w:trPr>
        <w:tc>
          <w:tcPr>
            <w:tcW w:w="9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Less: present value adjustment</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35"/>
        </w:trPr>
        <w:tc>
          <w:tcPr>
            <w:tcW w:w="92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Current and long-term operating lease liabilities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6,301</w:t>
            </w:r>
          </w:p>
        </w:tc>
      </w:tr>
      <w:tr>
        <w:trPr>
          <w:trHeight w:val="20"/>
        </w:trPr>
        <w:tc>
          <w:tcPr>
            <w:tcW w:w="9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Unconditional Purchase Commitment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Siegfried Manufacturing</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Company's contractual obligations include a commercial supply agreement with Siegfried Evionnaz SA, or </w:t>
      </w:r>
      <w:r>
        <w:rPr>
          <w:rFonts w:ascii="Arial" w:cs="Arial" w:eastAsia="Arial" w:hAnsi="Arial"/>
          <w:sz w:val="18"/>
          <w:szCs w:val="18"/>
          <w:u w:val="single" w:color="auto"/>
          <w:color w:val="auto"/>
        </w:rPr>
        <w:t>Siegfried,</w:t>
      </w:r>
      <w:r>
        <w:rPr>
          <w:rFonts w:ascii="Arial" w:cs="Arial" w:eastAsia="Arial" w:hAnsi="Arial"/>
          <w:sz w:val="18"/>
          <w:szCs w:val="18"/>
          <w:color w:val="auto"/>
        </w:rPr>
        <w:t xml:space="preserve"> to supply commercial drug substance for Auryxia. The Company and Siegfried entered into a Master Manufacturing Services and Supply Agreement, most recently amended in February 2023, or the </w:t>
      </w:r>
      <w:r>
        <w:rPr>
          <w:rFonts w:ascii="Arial" w:cs="Arial" w:eastAsia="Arial" w:hAnsi="Arial"/>
          <w:sz w:val="18"/>
          <w:szCs w:val="18"/>
          <w:u w:val="single" w:color="auto"/>
          <w:color w:val="auto"/>
        </w:rPr>
        <w:t>Siegfried Agreement</w:t>
      </w:r>
      <w:r>
        <w:rPr>
          <w:rFonts w:ascii="Arial" w:cs="Arial" w:eastAsia="Arial" w:hAnsi="Arial"/>
          <w:sz w:val="18"/>
          <w:szCs w:val="18"/>
          <w:color w:val="auto"/>
        </w:rPr>
        <w:t>, under which the Company has agreed to purchase a minimum quantity of drug substance of Auryxia at a predetermined price. As of June 30, 2025, the Company is required to purchase a minimum quantity of drug substance for Auryxia annually at a total cost of approximately $16.9 million through the end of 2026.</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of the Siegfried Agreement expires on December 31, 2026. The Siegfried Agreement provides the Company and Siegfried with certain early termination rights.</w:t>
      </w:r>
    </w:p>
    <w:p>
      <w:pPr>
        <w:sectPr>
          <w:pgSz w:w="11900" w:h="16838" w:orient="portrait"/>
          <w:cols w:equalWidth="0" w:num="1">
            <w:col w:w="11240"/>
          </w:cols>
          <w:pgMar w:left="320" w:top="229" w:right="339" w:bottom="729"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29"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regularly reviews its estimate of the excess firm purchase commitment liability which relates to the amount of minimum purchase commitments under the Siegfried Agreement that exceed the current forecast, including review of assumptions of expected future demand and expiry of inventory. The excess firm commitment liability recorded in other long-term liabilities was $3.6 million as of June 30, 2025 and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Patheon Manufacturing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March 11, 2020, the Company entered into a Supply Agreement with Patheon Inc., or </w:t>
      </w:r>
      <w:r>
        <w:rPr>
          <w:rFonts w:ascii="Arial" w:cs="Arial" w:eastAsia="Arial" w:hAnsi="Arial"/>
          <w:sz w:val="18"/>
          <w:szCs w:val="18"/>
          <w:u w:val="single" w:color="auto"/>
          <w:color w:val="auto"/>
        </w:rPr>
        <w:t>Patheon,</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Patheon Agreement</w:t>
      </w:r>
      <w:r>
        <w:rPr>
          <w:rFonts w:ascii="Arial" w:cs="Arial" w:eastAsia="Arial" w:hAnsi="Arial"/>
          <w:sz w:val="18"/>
          <w:szCs w:val="18"/>
          <w:color w:val="auto"/>
        </w:rPr>
        <w:t>, under which Patheon will manufacture Vafseo drug product for commercial use under a volume-based pricing structure through June 30, 2026, renewing annually unless either party gives the other party eighteen months' prior written notice. Under the Patheon Agreement, the Company agreed to purchase from Patheon a certain percentage of the estimated global demand for Vafseo drug product based on certain quarterly and annual forecasts provided by the Company. As of June 30, 2025, the Company has committed to purchase $1.1 million of Vafseo drug product from Patheon through the end of 2026, however, as estimated global demand fluctuates, the Company may have additional future obligations under the Patheon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WuXi STA Manufacturing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2020, the Company entered into a Supply Agreement with STA Pharmaceutical Hong Kong Limited, a subsidiary of WuXi AppTec, or </w:t>
      </w:r>
      <w:r>
        <w:rPr>
          <w:rFonts w:ascii="Arial" w:cs="Arial" w:eastAsia="Arial" w:hAnsi="Arial"/>
          <w:sz w:val="18"/>
          <w:szCs w:val="18"/>
          <w:u w:val="single" w:color="auto"/>
          <w:color w:val="auto"/>
        </w:rPr>
        <w:t>WuXi STA</w:t>
      </w:r>
      <w:r>
        <w:rPr>
          <w:rFonts w:ascii="Arial" w:cs="Arial" w:eastAsia="Arial" w:hAnsi="Arial"/>
          <w:sz w:val="18"/>
          <w:szCs w:val="18"/>
          <w:color w:val="auto"/>
        </w:rPr>
        <w:t xml:space="preserve">, or, as amended, the </w:t>
      </w:r>
      <w:r>
        <w:rPr>
          <w:rFonts w:ascii="Arial" w:cs="Arial" w:eastAsia="Arial" w:hAnsi="Arial"/>
          <w:sz w:val="18"/>
          <w:szCs w:val="18"/>
          <w:u w:val="single" w:color="auto"/>
          <w:color w:val="auto"/>
        </w:rPr>
        <w:t>WuXi STA DS Agreement</w:t>
      </w:r>
      <w:r>
        <w:rPr>
          <w:rFonts w:ascii="Arial" w:cs="Arial" w:eastAsia="Arial" w:hAnsi="Arial"/>
          <w:sz w:val="18"/>
          <w:szCs w:val="18"/>
          <w:color w:val="auto"/>
        </w:rPr>
        <w:t>. Under the WuXi STA DS Agreement, WuXi STA will manufacture Vafseo drug substance for commercial use under a volume-based pricing structure through April 2, 2029. Pursuant to the WuXi STA DS Agreement, the Company has agreed to purchase a certain percentage of the global demand for Vafseo drug substance from WuXi STA. As of June 30, 2025, the Company has no commitments to purchase Vafseo drug substance from WuXi STA, however, as estimated global demand fluctuates, the Company may have additional future obligations under the WuXi STA DS Agreement.</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Additionally, on February 10, 2021, the Company entered into a Supply Agreement with WuXi STA, which was amended on October 15, 2024, or the </w:t>
      </w:r>
      <w:r>
        <w:rPr>
          <w:rFonts w:ascii="Arial" w:cs="Arial" w:eastAsia="Arial" w:hAnsi="Arial"/>
          <w:sz w:val="18"/>
          <w:szCs w:val="18"/>
          <w:u w:val="single" w:color="auto"/>
          <w:color w:val="auto"/>
        </w:rPr>
        <w:t>WuXi STA DP Agreement</w:t>
      </w:r>
      <w:r>
        <w:rPr>
          <w:rFonts w:ascii="Arial" w:cs="Arial" w:eastAsia="Arial" w:hAnsi="Arial"/>
          <w:sz w:val="18"/>
          <w:szCs w:val="18"/>
          <w:color w:val="auto"/>
        </w:rPr>
        <w:t>, under which WuXi STA will manufacture and supply Vafseo drug product for commercial purposes under a volume-based pricing structure through January 1, 2032. The Vafseo drug product price is reviewed annually by the Company and WuXi STA. The Company also reimburses WuXi STA for certain reasonable expenses. Pursuant to the WuXi STA DP Agreement, the Company has agreed to purchase a certain percentage of global demand for Vafseo drug product from WuXi STA. The WuXi STA DP Agreement may be renewed or extended by mutual agreement of the Company and WuXi STA with at least eighteen months’ prior written notice. The WuXi STA DP Agreement allows the Company to terminate the relationship on 180 calendar days’ prior written notice to WuXi STA for any reason. In addition, each party has the ability to terminate the WuXi STA DP Agreement upon the occurrence of certain conditions. As of June 30, 2025, the Company has committed to purchase $0.4 million of Vafseo drug product from WuXi STA through the end of 2025, however, as estimated global demand fluctuates, the Company may have additional future obligations under the WuXi STA DP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Esteve - Assigned Supply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April 9, 2019, the Company entered into a Supply Agreement with Esteve Química, S.A., or </w:t>
      </w:r>
      <w:r>
        <w:rPr>
          <w:rFonts w:ascii="Arial" w:cs="Arial" w:eastAsia="Arial" w:hAnsi="Arial"/>
          <w:sz w:val="18"/>
          <w:szCs w:val="18"/>
          <w:u w:val="single" w:color="auto"/>
          <w:color w:val="auto"/>
        </w:rPr>
        <w:t>Esteve</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Esteve Agreement</w:t>
      </w:r>
      <w:r>
        <w:rPr>
          <w:rFonts w:ascii="Arial" w:cs="Arial" w:eastAsia="Arial" w:hAnsi="Arial"/>
          <w:sz w:val="18"/>
          <w:szCs w:val="18"/>
          <w:color w:val="auto"/>
        </w:rPr>
        <w:t xml:space="preserve">, under which Esteve would manufacture Vafseo drug substance for commercial use under a volume-based pricing structure. On December 16, 2022, the Company, Mitsubishi Tanabe Pharma Corporation, or </w:t>
      </w:r>
      <w:r>
        <w:rPr>
          <w:rFonts w:ascii="Arial" w:cs="Arial" w:eastAsia="Arial" w:hAnsi="Arial"/>
          <w:sz w:val="18"/>
          <w:szCs w:val="18"/>
          <w:u w:val="single" w:color="auto"/>
          <w:color w:val="auto"/>
        </w:rPr>
        <w:t>MTPC</w:t>
      </w:r>
      <w:r>
        <w:rPr>
          <w:rFonts w:ascii="Arial" w:cs="Arial" w:eastAsia="Arial" w:hAnsi="Arial"/>
          <w:sz w:val="18"/>
          <w:szCs w:val="18"/>
          <w:color w:val="auto"/>
        </w:rPr>
        <w:t>, and Esteve executed the Esteve Assignment Agreement, pursuant to which the Esteve Agreement was assigned to MTPC. The Esteve Assignment Agreement transferred the rights and obligations of the Esteve Agreement to MTPC, specifically including the obligations under certain purchase orders issued by the Company and accepted by Esteve.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the Esteve Agreement was assigned to MTPC in December 2022, the Company and Esteve have agreed to negotiate the terms of a new commercial supply relationship. As of June 30, 2025, the Company has committed to purchase $7.6 million of Vafseo drug substance from Esteve through the end of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BioVectra - Former Manufacturing and Unconditional Purchase Commitments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Under the Manufacture and Supply Agreement with BioVectra, Inc., or </w:t>
      </w:r>
      <w:r>
        <w:rPr>
          <w:rFonts w:ascii="Arial" w:cs="Arial" w:eastAsia="Arial" w:hAnsi="Arial"/>
          <w:sz w:val="18"/>
          <w:szCs w:val="18"/>
          <w:u w:val="single" w:color="auto"/>
          <w:color w:val="auto"/>
        </w:rPr>
        <w:t>BioVectra</w:t>
      </w:r>
      <w:r>
        <w:rPr>
          <w:rFonts w:ascii="Arial" w:cs="Arial" w:eastAsia="Arial" w:hAnsi="Arial"/>
          <w:sz w:val="18"/>
          <w:szCs w:val="18"/>
          <w:color w:val="auto"/>
        </w:rPr>
        <w:t>, and the Amended and Restated Product Manufacture and Supply and Facility Construction Agreement with BioVectra, the Company agreed to purchase minimum quantities of Auryxia drug substance annually at predetermined prices as well as reimburse BioVectra for certain costs in connection with construction of a new facility for the manufacture and supply of Auryxia drug substance.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December 22, 2022, the Company and BioVectra entered into a termination agreement, or the </w:t>
      </w:r>
      <w:r>
        <w:rPr>
          <w:rFonts w:ascii="Arial" w:cs="Arial" w:eastAsia="Arial" w:hAnsi="Arial"/>
          <w:sz w:val="18"/>
          <w:szCs w:val="18"/>
          <w:u w:val="single" w:color="auto"/>
          <w:color w:val="auto"/>
        </w:rPr>
        <w:t>BioVectra Termination Agreement</w:t>
      </w:r>
      <w:r>
        <w:rPr>
          <w:rFonts w:ascii="Arial" w:cs="Arial" w:eastAsia="Arial" w:hAnsi="Arial"/>
          <w:sz w:val="18"/>
          <w:szCs w:val="18"/>
          <w:color w:val="auto"/>
        </w:rPr>
        <w:t>, pursuant to which the parties agreed, among other things, to terminate, effective immediately, any and all existing agreements entered into between the parties in connection with the manufacture and supply, by BioVectra to the Company, of Auryxia drug substance. Under the terms of the BioVectra Termination Agreement, each of the Company and</w:t>
      </w:r>
    </w:p>
    <w:p>
      <w:pPr>
        <w:sectPr>
          <w:pgSz w:w="11900" w:h="16838" w:orient="portrait"/>
          <w:cols w:equalWidth="0" w:num="1">
            <w:col w:w="11240"/>
          </w:cols>
          <w:pgMar w:left="320" w:top="229" w:right="339" w:bottom="662"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662"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BioVectra released one another from all existing and future claims and liabilities and the return of certain materials and documents. In addition, the Company agreed to pay BioVectra a total of $32.5 million consisting of (i) an upfront payment of $17.5 million and (ii) six quarterly payments of $2.5 million which commenced in April 2024 and were completed in July 2025, totaling $15.0 million. The upfront payment of $17.5 million was made during the quarter ended December 31, 2022 and was recognized to cost of product and other revenue.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the Company recognized a liability and corresponding expense for the remaining termination fees based on estimated fair value as of December 22, 2022. The Company imputed interest on the liability for the remaining termination fees at a rate of 17.0% per annum, which was determined based on certain factors, including the Company's credit rating, comparable securities yield, and expected repayment period of the remaining termination fees. The Company recorded an initial discount on the remaining termination fees on the consolidated balance sheet on the date of the termination. This resulted in the recording of a liability and corresponding charge to cost of goods sold of $11.2 million during the quarter ended December 31, 2022. The discount on the liability balance is being amortized to interest expense using the effective interest rate method over the term of the liability. The amortization of the discount was $0.1 million and $0.3 million for the three and six months ended June 30, 2025, respectively, and $0.4 million and $1.0 million for the three and six months ended June 30, 2024,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Panion License Agreement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April 17, 2019, the Company and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xml:space="preserve">, entered into a second amended and restated license agreement, or the </w:t>
      </w:r>
      <w:r>
        <w:rPr>
          <w:rFonts w:ascii="Arial" w:cs="Arial" w:eastAsia="Arial" w:hAnsi="Arial"/>
          <w:sz w:val="18"/>
          <w:szCs w:val="18"/>
          <w:u w:val="single" w:color="auto"/>
          <w:color w:val="auto"/>
        </w:rPr>
        <w:t>Panion Amended License Agreement</w:t>
      </w:r>
      <w:r>
        <w:rPr>
          <w:rFonts w:ascii="Arial" w:cs="Arial" w:eastAsia="Arial" w:hAnsi="Arial"/>
          <w:sz w:val="18"/>
          <w:szCs w:val="18"/>
          <w:color w:val="auto"/>
        </w:rPr>
        <w:t xml:space="preserve">, which amended and restated in full the license agreement between the Company and Panion. The Panion Amended License Agreement provides the Company with an exclusive license under Panion-owned know-how and patents with the right to sublicense, develop, make, use, sell, offer for sale, import and export ferric citrate worldwide, excluding certain Asian-Pacific countries, or the </w:t>
      </w:r>
      <w:r>
        <w:rPr>
          <w:rFonts w:ascii="Arial" w:cs="Arial" w:eastAsia="Arial" w:hAnsi="Arial"/>
          <w:sz w:val="18"/>
          <w:szCs w:val="18"/>
          <w:u w:val="single" w:color="auto"/>
          <w:color w:val="auto"/>
        </w:rPr>
        <w:t>Licensor Territory</w:t>
      </w:r>
      <w:r>
        <w:rPr>
          <w:rFonts w:ascii="Arial" w:cs="Arial" w:eastAsia="Arial" w:hAnsi="Arial"/>
          <w:sz w:val="18"/>
          <w:szCs w:val="18"/>
          <w:color w:val="auto"/>
        </w:rPr>
        <w:t xml:space="preserve">. The Panion Amended License Agreement also provides Panion with an exclusive license under the Company-owned patents, with the right to sublicense (with the Company’s written consent), develop, make, use, sell, offer for sale, import and export ferric citrate in certain countries in the Licensor Territory. Under the Panion Amended License Agreement, Panion is eligible to receive from the Company or any sublicensee royalty payments based on a mid-single digit percentage of sales of ferric citrate in the Company’s licensed territories. The Company is eligible to receive from Panion or any sublicensee royalty payments based on a mid-single digit percentage of net sales of ferric citrate in Panion’s licensed territories.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the Consolidated Financial Statements in the 2024 Form 10-K for a more detailed description of this license agreement.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 incurred royalty payments due to Panion of approximately $3.1 million and $5.7 million during the three and six months ended June 30, 2025, respectively, and $2.5 million and $4.3 million during the three and six months ended June 30, 2024, respectively, relating to the Company’s sales of Auryxia in the U.S. and Japan Tobacco, Inc. and its subsidiary Torii Pharmaceutical Co., Ltd., collectively, </w:t>
      </w:r>
      <w:r>
        <w:rPr>
          <w:rFonts w:ascii="Arial" w:cs="Arial" w:eastAsia="Arial" w:hAnsi="Arial"/>
          <w:sz w:val="18"/>
          <w:szCs w:val="18"/>
          <w:u w:val="single" w:color="auto"/>
          <w:color w:val="auto"/>
        </w:rPr>
        <w:t>JT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Torii’s</w:t>
      </w:r>
      <w:r>
        <w:rPr>
          <w:rFonts w:ascii="Arial" w:cs="Arial" w:eastAsia="Arial" w:hAnsi="Arial"/>
          <w:sz w:val="18"/>
          <w:szCs w:val="18"/>
          <w:color w:val="auto"/>
        </w:rPr>
        <w:t>, net sales of Riona in Japan.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Cyclerion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June 2021, the Company entered into a license agreement, or the </w:t>
      </w:r>
      <w:r>
        <w:rPr>
          <w:rFonts w:ascii="Arial" w:cs="Arial" w:eastAsia="Arial" w:hAnsi="Arial"/>
          <w:sz w:val="18"/>
          <w:szCs w:val="18"/>
          <w:u w:val="single" w:color="auto"/>
          <w:color w:val="auto"/>
        </w:rPr>
        <w:t>Cyclerion Agreement</w:t>
      </w:r>
      <w:r>
        <w:rPr>
          <w:rFonts w:ascii="Arial" w:cs="Arial" w:eastAsia="Arial" w:hAnsi="Arial"/>
          <w:sz w:val="18"/>
          <w:szCs w:val="18"/>
          <w:color w:val="auto"/>
        </w:rPr>
        <w:t xml:space="preserve">, with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under which the Company obtained an exclusive global license under certain intellectual property rights to research, develop and commercialize praliciguat, an investigational oral soluble guanylate cyclase stimulator.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the terms of the Cyclerion Agreement, the Company made an upfront payment of $ 3.0 million to Cyclerion, which was paid during the second quarter of 2021. Substantially all of the fair value of the assets acquired in conjunction with the Cyclerion Agreement was concentrated in the acquired license. As a result, the Company accounted for this transaction as an asset acquisition under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$ 3.0 million upfront payment was charged to research and development expense at acquisition in June of 2021, as it relates to a development stage compound with no alternative future use.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2024, the Company and Cyclerion entered into Amendment #1 to the Cyclerion Agreement, pursuant to which the Company agreed to pay Cyclerion (i) $1.25 million, which was paid in December 2024, and (ii) $0.5 million on or before September 30, 2025. In addition, the parties agreed to the reduction of certain development milestones and the increase of certain royalty rates on net sales and sublicense income. During the year ended December 31, 2024, the Company recorded the $1.25 million payment and $0.5 million future payment to research and development expense in accordance with ASC 730, Research and Development, as praliciguat remains a development stage compound with no alternative future use. Furthermore, the only contingency as it relates to the $0.5 million payment due on or before September 30, 2025 is the passage of time.</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Under the Cyclerion Agreement, as amended, Cyclerion is eligible to receive up to an aggregate of $198.5 million from the Company in specified development and regulatory milestone payments on a product-by-product basis. Cyclerion will also be</w:t>
      </w:r>
    </w:p>
    <w:p>
      <w:pPr>
        <w:sectPr>
          <w:pgSz w:w="11900" w:h="16838" w:orient="portrait"/>
          <w:cols w:equalWidth="0" w:num="1">
            <w:col w:w="11240"/>
          </w:cols>
          <w:pgMar w:left="320" w:top="229" w:right="339" w:bottom="878"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878"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eligible to receive specified commercial milestones as well as tiered royalties ranging from a mid-single-digit percentage to twenty percent of net sales, on a product-by-product basis, and subject to reduction upon expiration of patent rights or the launch of a generic product in the territory.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earlier terminated, the Cyclerion Agreement will expire on a product-by-product and country-by-country basis upon the expiration of the last royalty term, which ends upon the longest of (i) the expiration of the patents licensed under the Cyclerion Agreement, (ii) the expiration of regulatory exclusivity for such product and (iii) ten years from first commercial sale of such product. The Company may terminate the Cyclerion Agreement in its entirety or only with respect to a particular licensed compound or product upon 180 days' prior written notice to Cyclerion. The parties also have customary termination rights, subject to a cure period, in the event of the other party’s material breach of the Cyclerion Agreement or in the event of certain additional circumstances.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Third-Party Contracts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contracts with various organizations to conduct R&amp;D activities with remaining contract costs to the Company of approximately $57.7 million at June 30, 2025. The scope of the services under these R&amp;D contracts can be modified upon mutual agreement of the parties, and the contracts or scope of services can be cancelled by the Company upon written notice. In some instances, the contracts may be cancelled by the third party upon written notice.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Related Matters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involved from time to time in various legal proceedings arising in the normal course of business. The Company provides disclosure when a loss in excess of any reserve is reasonably possible, and if estimable, the Company discloses the potential loss or range of possible loss. Significant judgment is required to assess the likelihood of various potential outcomes and the quantification of loss in those scenarios. Changes in the Company’s estimates could have a material impact and are recorded as litigation progresses and new information comes to light. Although the outcomes of potential legal proceedings are inherently difficult to predict, the Company does not expect the resolution of current legal proceedings to have a material adverse effect on its financial position, results of operations or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permitted under Delaware law, the Company may indemnify its officers, directors and employees for certain events or occurrences that happen by reason of their relationship with, or position held at, the Company. The Company may also be subject to indemnification obligations by law with respect to the actions of its employees under certain circumstances and in certain jurisdictions. The Company maintains director and officer liability insurance coverage that is intended to cover a portion of amounts that may be due with respect to indemnification after a deductible is met. Further, the Company is a party to a variety of agreements in the ordinary course of business under which it may be obligated to indemnify third parties with respect to certain matters. For the three and six months ended June 30, 2025 and 2024, the Company did not experience any losses related to these indemnification obligations, and no claims were outstanding as of June 30, 2025. The Company does not have any claims related to these indemnification obligations and consequently concluded that the fair value of these obligations is negligible and no related accruals were recorded.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PRODUCT REVENUE AND RESERVES FOR VARIABLE CONSIDERATION</w:t>
      </w:r>
    </w:p>
    <w:p>
      <w:pPr>
        <w:spacing w:after="0" w:line="22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Until Vafseo's market entry in January 2025, the Company’s only source of product revenue was from the U.S. sales of Auryxia. The Company recognized the following revenue from Vafseo and Auryxia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10"/>
        </w:trPr>
        <w:tc>
          <w:tcPr>
            <w:tcW w:w="4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Vafseo</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13,279</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25,313</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4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Auryxia</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47,183</w:t>
            </w:r>
          </w:p>
        </w:tc>
        <w:tc>
          <w:tcPr>
            <w:tcW w:w="1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41,209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90,939</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72,218</w:t>
            </w:r>
          </w:p>
        </w:tc>
      </w:tr>
      <w:tr>
        <w:trPr>
          <w:trHeight w:val="234"/>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product revenues</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60,461</w:t>
            </w:r>
          </w:p>
        </w:tc>
        <w:tc>
          <w:tcPr>
            <w:tcW w:w="12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41,209</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116,252</w:t>
            </w:r>
          </w:p>
        </w:tc>
        <w:tc>
          <w:tcPr>
            <w:tcW w:w="12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72,218</w:t>
            </w: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1020" w:hanging="328"/>
        <w:spacing w:after="0" w:line="286" w:lineRule="auto"/>
        <w:tabs>
          <w:tab w:leader="none" w:pos="57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Includes the authorized generic version of Auryxia sold and distributed by the Company's authorized generic distribution partner, Mylan Therapeutics, Inc., or </w:t>
      </w:r>
      <w:r>
        <w:rPr>
          <w:rFonts w:ascii="Arial" w:cs="Arial" w:eastAsia="Arial" w:hAnsi="Arial"/>
          <w:sz w:val="16"/>
          <w:szCs w:val="16"/>
          <w:u w:val="single" w:color="auto"/>
          <w:color w:val="auto"/>
        </w:rPr>
        <w:t>AG Partner</w:t>
      </w:r>
      <w:r>
        <w:rPr>
          <w:rFonts w:ascii="Arial" w:cs="Arial" w:eastAsia="Arial" w:hAnsi="Arial"/>
          <w:sz w:val="16"/>
          <w:szCs w:val="16"/>
          <w:color w:val="auto"/>
        </w:rPr>
        <w:t>, during the three and six months ended June 30, 2025.</w:t>
      </w:r>
    </w:p>
    <w:p>
      <w:pPr>
        <w:spacing w:after="0" w:line="15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changes in the Company’s contract assets and liabilities related to the Company's sales to its AG Partner (in thousands):</w:t>
      </w:r>
    </w:p>
    <w:p>
      <w:pPr>
        <w:sectPr>
          <w:pgSz w:w="11900" w:h="16838" w:orient="portrait"/>
          <w:cols w:equalWidth="0" w:num="1">
            <w:col w:w="11240"/>
          </w:cols>
          <w:pgMar w:left="320" w:top="229" w:right="339" w:bottom="1148"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148"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6"/>
                <w:szCs w:val="16"/>
                <w:b w:val="1"/>
                <w:bCs w:val="1"/>
                <w:color w:val="auto"/>
              </w:rPr>
              <w:t>Six Months Ended June 30, 2025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399"/>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22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jc w:val="right"/>
              <w:ind w:right="439"/>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Contract assets:</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8,662</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(3,294)</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5,368</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8,118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(2,586)</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5,532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Company recognized the following revenues related to the Company's sales to its AG Partner as a result of changes in the contract asset and contract liability balances in the respective periods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gridSpan w:val="6"/>
          </w:tcPr>
          <w:p>
            <w:pPr>
              <w:jc w:val="right"/>
              <w:ind w:right="959"/>
              <w:spacing w:after="0"/>
              <w:rPr>
                <w:sz w:val="20"/>
                <w:szCs w:val="20"/>
                <w:color w:val="auto"/>
              </w:rPr>
            </w:pPr>
            <w:r>
              <w:rPr>
                <w:rFonts w:ascii="Arial" w:cs="Arial" w:eastAsia="Arial" w:hAnsi="Arial"/>
                <w:sz w:val="16"/>
                <w:szCs w:val="16"/>
                <w:b w:val="1"/>
                <w:bCs w:val="1"/>
                <w:color w:val="auto"/>
              </w:rPr>
              <w:t>Three Months Ended June 30,</w:t>
            </w:r>
          </w:p>
        </w:tc>
        <w:tc>
          <w:tcPr>
            <w:tcW w:w="3020" w:type="dxa"/>
            <w:vAlign w:val="bottom"/>
            <w:gridSpan w:val="4"/>
          </w:tcPr>
          <w:p>
            <w:pPr>
              <w:ind w:left="28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34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Revenue Recognized in the Period:</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4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revenue — beginning of the period</w:t>
            </w: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1,241</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ind w:left="10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allowance and reserve categories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Chargebacks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Rebates, Fees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and Other</w:t>
            </w: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Product Returns</w:t>
            </w:r>
          </w:p>
        </w:tc>
        <w:tc>
          <w:tcPr>
            <w:tcW w:w="340" w:type="dxa"/>
            <w:vAlign w:val="bottom"/>
          </w:tcPr>
          <w:p>
            <w:pPr>
              <w:spacing w:after="0"/>
              <w:rPr>
                <w:sz w:val="14"/>
                <w:szCs w:val="14"/>
                <w:color w:val="auto"/>
              </w:rPr>
            </w:pPr>
          </w:p>
        </w:tc>
        <w:tc>
          <w:tcPr>
            <w:tcW w:w="11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Discounts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Balance at December 31, 2024</w:t>
            </w: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15,726</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6,442</w:t>
            </w: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23,604</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20"/>
              <w:spacing w:after="0"/>
              <w:rPr>
                <w:sz w:val="20"/>
                <w:szCs w:val="20"/>
                <w:color w:val="auto"/>
              </w:rPr>
            </w:pPr>
            <w:r>
              <w:rPr>
                <w:rFonts w:ascii="Arial" w:cs="Arial" w:eastAsia="Arial" w:hAnsi="Arial"/>
                <w:sz w:val="16"/>
                <w:szCs w:val="16"/>
                <w:color w:val="auto"/>
              </w:rPr>
              <w:t>Current provisions related to sales in current year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44,021</w:t>
            </w: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Adjustments related to prior year sales</w:t>
            </w: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DBDBDB"/>
            </w:tcBorders>
            <w:gridSpan w:val="2"/>
          </w:tcPr>
          <w:p>
            <w:pPr>
              <w:ind w:left="220"/>
              <w:spacing w:after="0"/>
              <w:rPr>
                <w:sz w:val="20"/>
                <w:szCs w:val="20"/>
                <w:color w:val="auto"/>
              </w:rPr>
            </w:pPr>
            <w:r>
              <w:rPr>
                <w:rFonts w:ascii="Arial" w:cs="Arial" w:eastAsia="Arial" w:hAnsi="Arial"/>
                <w:sz w:val="16"/>
                <w:szCs w:val="16"/>
                <w:color w:val="auto"/>
              </w:rPr>
              <w:t>Credits/payments made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w:t>
            </w:r>
          </w:p>
        </w:tc>
        <w:tc>
          <w:tcPr>
            <w:tcW w:w="1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(15,855)</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Balance at June 30, 2025</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45,168</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6,505</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52,021</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Chargebacks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Rebates, Fees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and Other</w:t>
            </w: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Product Returns</w:t>
            </w:r>
          </w:p>
        </w:tc>
        <w:tc>
          <w:tcPr>
            <w:tcW w:w="340" w:type="dxa"/>
            <w:vAlign w:val="bottom"/>
          </w:tcPr>
          <w:p>
            <w:pPr>
              <w:spacing w:after="0"/>
              <w:rPr>
                <w:sz w:val="14"/>
                <w:szCs w:val="14"/>
                <w:color w:val="auto"/>
              </w:rPr>
            </w:pPr>
          </w:p>
        </w:tc>
        <w:tc>
          <w:tcPr>
            <w:tcW w:w="11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Discounts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Balance at December 31, 2023</w:t>
            </w: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1,607</w:t>
            </w: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22,991</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6,916</w:t>
            </w: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31,514</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20"/>
              <w:spacing w:after="0"/>
              <w:rPr>
                <w:sz w:val="20"/>
                <w:szCs w:val="20"/>
                <w:color w:val="auto"/>
              </w:rPr>
            </w:pPr>
            <w:r>
              <w:rPr>
                <w:rFonts w:ascii="Arial" w:cs="Arial" w:eastAsia="Arial" w:hAnsi="Arial"/>
                <w:sz w:val="16"/>
                <w:szCs w:val="16"/>
                <w:color w:val="auto"/>
              </w:rPr>
              <w:t>Current provisions related to sales in current year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25,297</w:t>
            </w: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Adjustments related to prior year sales</w:t>
            </w: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DBDBDB"/>
            </w:tcBorders>
            <w:gridSpan w:val="2"/>
          </w:tcPr>
          <w:p>
            <w:pPr>
              <w:ind w:left="220"/>
              <w:spacing w:after="0"/>
              <w:rPr>
                <w:sz w:val="20"/>
                <w:szCs w:val="20"/>
                <w:color w:val="auto"/>
              </w:rPr>
            </w:pPr>
            <w:r>
              <w:rPr>
                <w:rFonts w:ascii="Arial" w:cs="Arial" w:eastAsia="Arial" w:hAnsi="Arial"/>
                <w:sz w:val="16"/>
                <w:szCs w:val="16"/>
                <w:color w:val="auto"/>
              </w:rPr>
              <w:t>Credits/payments made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(4,301)</w:t>
            </w:r>
          </w:p>
        </w:tc>
        <w:tc>
          <w:tcPr>
            <w:tcW w:w="1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(27,530)</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(35,183)</w:t>
            </w:r>
          </w:p>
        </w:tc>
        <w:tc>
          <w:tcPr>
            <w:tcW w:w="0" w:type="dxa"/>
            <w:vAlign w:val="bottom"/>
          </w:tcPr>
          <w:p>
            <w:pPr>
              <w:spacing w:after="0"/>
              <w:rPr>
                <w:sz w:val="1"/>
                <w:szCs w:val="1"/>
                <w:color w:val="auto"/>
              </w:rPr>
            </w:pPr>
          </w:p>
        </w:tc>
      </w:tr>
      <w:tr>
        <w:trPr>
          <w:trHeight w:val="234"/>
        </w:trPr>
        <w:tc>
          <w:tcPr>
            <w:tcW w:w="48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Balance at June 30, 2024</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14,733</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5,329</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21,499</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Chargebacks, discounts and estimated product returns are recorded as a reduction of revenue in the period the related product revenue is recognized in the unaudited condensed consolidated statements of operations and comprehensive income (loss). Chargebacks are recorded as a reduction to accounts receivable while discounts, rebates, fees and other deductions are recorded with a corresponding increase to accrued expenses and other current liabilities or accounts payable on the condensed consolidated balance sheets. Estimated product returns on product sales that are not expected to be returned within one year are recorded as other long-term liabilities in the unaudited condensed consolidated balance sheets.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net related to product sales, was approximately $65.4 million and $32.4 million as of June 30, 2025 and December 31, 2024,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COLLABORATION AND OTHER REVENUE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revenue  from  its  license,  collaboration  and  other  revenue  agreements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8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Entity</w:t>
            </w:r>
          </w:p>
        </w:tc>
        <w:tc>
          <w:tcPr>
            <w:tcW w:w="31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Description</w:t>
            </w: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DBDBDB"/>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1440" w:type="dxa"/>
            <w:vAlign w:val="bottom"/>
            <w:shd w:val="clear" w:color="auto" w:fill="DBDBDB"/>
          </w:tcPr>
          <w:p>
            <w:pPr>
              <w:ind w:left="20"/>
              <w:spacing w:after="0" w:line="155" w:lineRule="exact"/>
              <w:rPr>
                <w:sz w:val="20"/>
                <w:szCs w:val="20"/>
                <w:color w:val="auto"/>
              </w:rPr>
            </w:pPr>
            <w:r>
              <w:rPr>
                <w:rFonts w:ascii="Arial" w:cs="Arial" w:eastAsia="Arial" w:hAnsi="Arial"/>
                <w:sz w:val="16"/>
                <w:szCs w:val="16"/>
                <w:color w:val="auto"/>
              </w:rPr>
              <w:t>Medice</w:t>
            </w:r>
          </w:p>
        </w:tc>
        <w:tc>
          <w:tcPr>
            <w:tcW w:w="3140" w:type="dxa"/>
            <w:vAlign w:val="bottom"/>
            <w:shd w:val="clear" w:color="auto" w:fill="DBDBDB"/>
          </w:tcPr>
          <w:p>
            <w:pPr>
              <w:ind w:left="560"/>
              <w:spacing w:after="0" w:line="155" w:lineRule="exact"/>
              <w:rPr>
                <w:sz w:val="20"/>
                <w:szCs w:val="20"/>
                <w:color w:val="auto"/>
              </w:rPr>
            </w:pPr>
            <w:r>
              <w:rPr>
                <w:rFonts w:ascii="Arial" w:cs="Arial" w:eastAsia="Arial" w:hAnsi="Arial"/>
                <w:sz w:val="16"/>
                <w:szCs w:val="16"/>
                <w:color w:val="auto"/>
              </w:rPr>
              <w:t>License and royalties related to the</w:t>
            </w:r>
          </w:p>
        </w:tc>
        <w:tc>
          <w:tcPr>
            <w:tcW w:w="280" w:type="dxa"/>
            <w:vAlign w:val="bottom"/>
            <w:vMerge w:val="restart"/>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DBDBDB"/>
          </w:tcPr>
          <w:p>
            <w:pPr>
              <w:spacing w:after="0"/>
              <w:rPr>
                <w:sz w:val="18"/>
                <w:szCs w:val="18"/>
                <w:color w:val="auto"/>
              </w:rPr>
            </w:pPr>
          </w:p>
        </w:tc>
        <w:tc>
          <w:tcPr>
            <w:tcW w:w="314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sale of Vafseo in the EU</w:t>
            </w:r>
          </w:p>
        </w:tc>
        <w:tc>
          <w:tcPr>
            <w:tcW w:w="280" w:type="dxa"/>
            <w:vAlign w:val="bottom"/>
            <w:vMerge w:val="continue"/>
            <w:shd w:val="clear" w:color="auto" w:fill="DBDBDB"/>
          </w:tcPr>
          <w:p>
            <w:pPr>
              <w:spacing w:after="0"/>
              <w:rPr>
                <w:sz w:val="18"/>
                <w:szCs w:val="18"/>
                <w:color w:val="auto"/>
              </w:rPr>
            </w:pPr>
          </w:p>
        </w:tc>
        <w:tc>
          <w:tcPr>
            <w:tcW w:w="124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vMerge w:val="continue"/>
            <w:shd w:val="clear" w:color="auto" w:fill="DBDBDB"/>
          </w:tcPr>
          <w:p>
            <w:pPr>
              <w:spacing w:after="0"/>
              <w:rPr>
                <w:sz w:val="18"/>
                <w:szCs w:val="18"/>
                <w:color w:val="auto"/>
              </w:rPr>
            </w:pPr>
          </w:p>
        </w:tc>
        <w:tc>
          <w:tcPr>
            <w:tcW w:w="1300" w:type="dxa"/>
            <w:vAlign w:val="bottom"/>
            <w:gridSpan w:val="2"/>
            <w:vMerge w:val="continue"/>
            <w:shd w:val="clear" w:color="auto" w:fill="DBDBDB"/>
          </w:tcPr>
          <w:p>
            <w:pPr>
              <w:spacing w:after="0"/>
              <w:rPr>
                <w:sz w:val="18"/>
                <w:szCs w:val="18"/>
                <w:color w:val="auto"/>
              </w:rPr>
            </w:pPr>
          </w:p>
        </w:tc>
        <w:tc>
          <w:tcPr>
            <w:tcW w:w="320" w:type="dxa"/>
            <w:vAlign w:val="bottom"/>
            <w:vMerge w:val="continue"/>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vMerge w:val="continue"/>
            <w:shd w:val="clear" w:color="auto" w:fill="DBDBDB"/>
          </w:tcPr>
          <w:p>
            <w:pPr>
              <w:spacing w:after="0"/>
              <w:rPr>
                <w:sz w:val="18"/>
                <w:szCs w:val="18"/>
                <w:color w:val="auto"/>
              </w:rPr>
            </w:pPr>
          </w:p>
        </w:tc>
        <w:tc>
          <w:tcPr>
            <w:tcW w:w="11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40" w:type="dxa"/>
            <w:vAlign w:val="bottom"/>
          </w:tcPr>
          <w:p>
            <w:pPr>
              <w:ind w:left="20"/>
              <w:spacing w:after="0" w:line="162" w:lineRule="exact"/>
              <w:rPr>
                <w:sz w:val="20"/>
                <w:szCs w:val="20"/>
                <w:color w:val="auto"/>
              </w:rPr>
            </w:pPr>
            <w:r>
              <w:rPr>
                <w:rFonts w:ascii="Arial" w:cs="Arial" w:eastAsia="Arial" w:hAnsi="Arial"/>
                <w:sz w:val="16"/>
                <w:szCs w:val="16"/>
                <w:color w:val="auto"/>
              </w:rPr>
              <w:t>MTPC</w:t>
            </w:r>
          </w:p>
        </w:tc>
        <w:tc>
          <w:tcPr>
            <w:tcW w:w="3140" w:type="dxa"/>
            <w:vAlign w:val="bottom"/>
          </w:tcPr>
          <w:p>
            <w:pPr>
              <w:ind w:left="560"/>
              <w:spacing w:after="0" w:line="162" w:lineRule="exact"/>
              <w:rPr>
                <w:sz w:val="20"/>
                <w:szCs w:val="20"/>
                <w:color w:val="auto"/>
              </w:rPr>
            </w:pPr>
            <w:r>
              <w:rPr>
                <w:rFonts w:ascii="Arial" w:cs="Arial" w:eastAsia="Arial" w:hAnsi="Arial"/>
                <w:sz w:val="16"/>
                <w:szCs w:val="16"/>
                <w:color w:val="auto"/>
              </w:rPr>
              <w:t>License and Product Supply of</w:t>
            </w:r>
          </w:p>
        </w:tc>
        <w:tc>
          <w:tcPr>
            <w:tcW w:w="2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1,581</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3140" w:type="dxa"/>
            <w:vAlign w:val="bottom"/>
          </w:tcPr>
          <w:p>
            <w:pPr>
              <w:ind w:left="560"/>
              <w:spacing w:after="0"/>
              <w:rPr>
                <w:sz w:val="20"/>
                <w:szCs w:val="20"/>
                <w:color w:val="auto"/>
              </w:rPr>
            </w:pPr>
            <w:r>
              <w:rPr>
                <w:rFonts w:ascii="Arial" w:cs="Arial" w:eastAsia="Arial" w:hAnsi="Arial"/>
                <w:sz w:val="16"/>
                <w:szCs w:val="16"/>
                <w:color w:val="auto"/>
              </w:rPr>
              <w:t>Vafseo in Japan</w:t>
            </w:r>
          </w:p>
        </w:tc>
        <w:tc>
          <w:tcPr>
            <w:tcW w:w="2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44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JT and Torii</w:t>
            </w:r>
          </w:p>
        </w:tc>
        <w:tc>
          <w:tcPr>
            <w:tcW w:w="3140" w:type="dxa"/>
            <w:vAlign w:val="bottom"/>
            <w:shd w:val="clear" w:color="auto" w:fill="DBDBDB"/>
          </w:tcPr>
          <w:p>
            <w:pPr>
              <w:ind w:left="560"/>
              <w:spacing w:after="0" w:line="163" w:lineRule="exact"/>
              <w:rPr>
                <w:sz w:val="20"/>
                <w:szCs w:val="20"/>
                <w:color w:val="auto"/>
              </w:rPr>
            </w:pPr>
            <w:r>
              <w:rPr>
                <w:rFonts w:ascii="Arial" w:cs="Arial" w:eastAsia="Arial" w:hAnsi="Arial"/>
                <w:sz w:val="16"/>
                <w:szCs w:val="16"/>
                <w:color w:val="auto"/>
              </w:rPr>
              <w:t>License and royalties related to the</w:t>
            </w:r>
          </w:p>
        </w:tc>
        <w:tc>
          <w:tcPr>
            <w:tcW w:w="280" w:type="dxa"/>
            <w:vAlign w:val="bottom"/>
            <w:shd w:val="clear" w:color="auto" w:fill="DBDBDB"/>
          </w:tcPr>
          <w:p>
            <w:pPr>
              <w:spacing w:after="0"/>
              <w:rPr>
                <w:sz w:val="14"/>
                <w:szCs w:val="14"/>
                <w:color w:val="auto"/>
              </w:rPr>
            </w:pP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1,493</w:t>
            </w:r>
          </w:p>
        </w:tc>
        <w:tc>
          <w:tcPr>
            <w:tcW w:w="12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1,270</w:t>
            </w:r>
          </w:p>
        </w:tc>
        <w:tc>
          <w:tcPr>
            <w:tcW w:w="12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2,662</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r>
        <w:trPr>
          <w:trHeight w:val="216"/>
        </w:trPr>
        <w:tc>
          <w:tcPr>
            <w:tcW w:w="1440" w:type="dxa"/>
            <w:vAlign w:val="bottom"/>
            <w:shd w:val="clear" w:color="auto" w:fill="DBDBDB"/>
          </w:tcPr>
          <w:p>
            <w:pPr>
              <w:spacing w:after="0"/>
              <w:rPr>
                <w:sz w:val="18"/>
                <w:szCs w:val="18"/>
                <w:color w:val="auto"/>
              </w:rPr>
            </w:pPr>
          </w:p>
        </w:tc>
        <w:tc>
          <w:tcPr>
            <w:tcW w:w="314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sale of Riona in Japan</w:t>
            </w:r>
          </w:p>
        </w:tc>
        <w:tc>
          <w:tcPr>
            <w:tcW w:w="2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Total license and other revenue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the Company’s contract assets and liabilities related to license and other revenue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6"/>
                <w:szCs w:val="16"/>
                <w:b w:val="1"/>
                <w:bCs w:val="1"/>
                <w:color w:val="auto"/>
              </w:rPr>
              <w:t>Six Months Ended June 30, 2025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ind w:left="160"/>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22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Contract asset:</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206"/>
        </w:trPr>
        <w:tc>
          <w:tcPr>
            <w:tcW w:w="482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20" w:type="dxa"/>
            <w:vAlign w:val="bottom"/>
            <w:gridSpan w:val="2"/>
            <w:shd w:val="clear" w:color="auto" w:fill="DBDBDB"/>
          </w:tcPr>
          <w:p>
            <w:pPr>
              <w:ind w:left="140"/>
              <w:spacing w:after="0" w:line="220" w:lineRule="exact"/>
              <w:rPr>
                <w:sz w:val="20"/>
                <w:szCs w:val="20"/>
                <w:color w:val="auto"/>
              </w:rPr>
            </w:pPr>
            <w:r>
              <w:rPr>
                <w:rFonts w:ascii="Arial" w:cs="Arial" w:eastAsia="Arial" w:hAnsi="Arial"/>
                <w:sz w:val="16"/>
                <w:szCs w:val="16"/>
                <w:color w:val="auto"/>
              </w:rPr>
              <w:t>Accounts receivable</w:t>
            </w:r>
            <w:r>
              <w:rPr>
                <w:rFonts w:ascii="Arial" w:cs="Arial" w:eastAsia="Arial" w:hAnsi="Arial"/>
                <w:sz w:val="21"/>
                <w:szCs w:val="21"/>
                <w:color w:val="auto"/>
                <w:vertAlign w:val="superscript"/>
              </w:rPr>
              <w:t>(1)</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2,010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3,556</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(3,521)</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473"/>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6"/>
                <w:szCs w:val="16"/>
                <w:b w:val="1"/>
                <w:bCs w:val="1"/>
                <w:color w:val="auto"/>
              </w:rPr>
              <w:t>Six Months Ended June 30, 2024</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ind w:left="160"/>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22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Contract assets:</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line="216" w:lineRule="exact"/>
              <w:rPr>
                <w:sz w:val="20"/>
                <w:szCs w:val="20"/>
                <w:color w:val="auto"/>
              </w:rPr>
            </w:pPr>
            <w:r>
              <w:rPr>
                <w:rFonts w:ascii="Arial" w:cs="Arial" w:eastAsia="Arial" w:hAnsi="Arial"/>
                <w:sz w:val="16"/>
                <w:szCs w:val="16"/>
                <w:color w:val="auto"/>
              </w:rPr>
              <w:t>Accounts receivable</w:t>
            </w:r>
            <w:r>
              <w:rPr>
                <w:rFonts w:ascii="Arial" w:cs="Arial" w:eastAsia="Arial" w:hAnsi="Arial"/>
                <w:sz w:val="21"/>
                <w:szCs w:val="21"/>
                <w:color w:val="auto"/>
                <w:vertAlign w:val="superscript"/>
              </w:rPr>
              <w:t>(1)</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3,333</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4,037</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(5,542)</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line="216" w:lineRule="exact"/>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(2)</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43,296</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43,296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line="304"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accounts receivable related to amounts due to the Company from product sales of Auryxia and Vafseo which are included in the accompanying unaudited condensed consolidated balance sheets as of June 30, 2025 and 2024.</w:t>
      </w:r>
    </w:p>
    <w:p>
      <w:pPr>
        <w:spacing w:after="0" w:line="33" w:lineRule="exact"/>
        <w:rPr>
          <w:rFonts w:ascii="Arial" w:cs="Arial" w:eastAsia="Arial" w:hAnsi="Arial"/>
          <w:sz w:val="16"/>
          <w:szCs w:val="16"/>
          <w:color w:val="auto"/>
        </w:rPr>
      </w:pPr>
    </w:p>
    <w:p>
      <w:pPr>
        <w:ind w:left="660" w:hanging="328"/>
        <w:spacing w:after="0" w:line="286" w:lineRule="auto"/>
        <w:tabs>
          <w:tab w:leader="none" w:pos="5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See Note 8, </w:t>
      </w:r>
      <w:r>
        <w:rPr>
          <w:rFonts w:ascii="Arial" w:cs="Arial" w:eastAsia="Arial" w:hAnsi="Arial"/>
          <w:sz w:val="16"/>
          <w:szCs w:val="16"/>
          <w:i w:val="1"/>
          <w:iCs w:val="1"/>
          <w:color w:val="auto"/>
        </w:rPr>
        <w:t>Liability Related to Settlement Royalties, Working Capital Fund Liability and Liability Related to Sale of Future Royalties</w:t>
      </w:r>
      <w:r>
        <w:rPr>
          <w:rFonts w:ascii="Arial" w:cs="Arial" w:eastAsia="Arial" w:hAnsi="Arial"/>
          <w:sz w:val="16"/>
          <w:szCs w:val="16"/>
          <w:color w:val="auto"/>
        </w:rPr>
        <w:t>, for further information.</w:t>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recognized the following revenues as a result of changes in the contract asset and contract liability balances in the respective periods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30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rPr>
              <w:t>Six Months Ended June 30,</w:t>
            </w:r>
          </w:p>
        </w:tc>
        <w:tc>
          <w:tcPr>
            <w:tcW w:w="44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Revenue Recognized in the Period:</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80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640"/>
              <w:spacing w:after="0"/>
              <w:rPr>
                <w:sz w:val="20"/>
                <w:szCs w:val="20"/>
                <w:color w:val="auto"/>
              </w:rPr>
            </w:pPr>
            <w:r>
              <w:rPr>
                <w:rFonts w:ascii="Arial" w:cs="Arial" w:eastAsia="Arial" w:hAnsi="Arial"/>
                <w:sz w:val="16"/>
                <w:szCs w:val="16"/>
                <w:b w:val="1"/>
                <w:bCs w:val="1"/>
                <w:color w:val="auto"/>
              </w:rPr>
              <w:t>2025</w:t>
            </w:r>
          </w:p>
        </w:tc>
        <w:tc>
          <w:tcPr>
            <w:tcW w:w="176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40" w:type="dxa"/>
            <w:vAlign w:val="bottom"/>
          </w:tcPr>
          <w:p>
            <w:pPr>
              <w:spacing w:after="0"/>
              <w:rPr>
                <w:sz w:val="18"/>
                <w:szCs w:val="18"/>
                <w:color w:val="auto"/>
              </w:rPr>
            </w:pPr>
          </w:p>
        </w:tc>
      </w:tr>
      <w:tr>
        <w:trPr>
          <w:trHeight w:val="209"/>
        </w:trPr>
        <w:tc>
          <w:tcPr>
            <w:tcW w:w="43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Deferred revenue — beginning of the period</w:t>
            </w:r>
          </w:p>
        </w:tc>
        <w:tc>
          <w:tcPr>
            <w:tcW w:w="1200" w:type="dxa"/>
            <w:vAlign w:val="bottom"/>
            <w:tcBorders>
              <w:top w:val="single" w:sz="8" w:color="auto"/>
            </w:tcBorders>
            <w:shd w:val="clear" w:color="auto" w:fill="DBDBDB"/>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DBDBDB"/>
          </w:tcPr>
          <w:p>
            <w:pPr>
              <w:ind w:left="2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DBDBDB"/>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ind w:right="105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DBDBDB"/>
          </w:tcPr>
          <w:p>
            <w:pPr>
              <w:ind w:left="200"/>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each of the three and six months ended June 30, 2025 and 2024, the Company recognized no revenue from performance obligations satisfied in previous periods.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Medice License Agreement</w:t>
      </w:r>
    </w:p>
    <w:p>
      <w:pPr>
        <w:spacing w:after="0" w:line="102"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 xml:space="preserve">On May 24, 2023, or the </w:t>
      </w:r>
      <w:r>
        <w:rPr>
          <w:rFonts w:ascii="Arial" w:cs="Arial" w:eastAsia="Arial" w:hAnsi="Arial"/>
          <w:sz w:val="17"/>
          <w:szCs w:val="17"/>
          <w:u w:val="single" w:color="auto"/>
          <w:color w:val="auto"/>
        </w:rPr>
        <w:t>Medice Effective Date</w:t>
      </w:r>
      <w:r>
        <w:rPr>
          <w:rFonts w:ascii="Arial" w:cs="Arial" w:eastAsia="Arial" w:hAnsi="Arial"/>
          <w:sz w:val="17"/>
          <w:szCs w:val="17"/>
          <w:color w:val="auto"/>
        </w:rPr>
        <w:t xml:space="preserve">, the Company and MEDICE Arzneimittel Pütter GmbH &amp; Co. KG, or </w:t>
      </w:r>
      <w:r>
        <w:rPr>
          <w:rFonts w:ascii="Arial" w:cs="Arial" w:eastAsia="Arial" w:hAnsi="Arial"/>
          <w:sz w:val="17"/>
          <w:szCs w:val="17"/>
          <w:u w:val="single" w:color="auto"/>
          <w:color w:val="auto"/>
        </w:rPr>
        <w:t>Medice</w:t>
      </w:r>
      <w:r>
        <w:rPr>
          <w:rFonts w:ascii="Arial" w:cs="Arial" w:eastAsia="Arial" w:hAnsi="Arial"/>
          <w:sz w:val="17"/>
          <w:szCs w:val="17"/>
          <w:color w:val="auto"/>
        </w:rPr>
        <w:t xml:space="preserve">, entered into a License Agreement, or the </w:t>
      </w:r>
      <w:r>
        <w:rPr>
          <w:rFonts w:ascii="Arial" w:cs="Arial" w:eastAsia="Arial" w:hAnsi="Arial"/>
          <w:sz w:val="17"/>
          <w:szCs w:val="17"/>
          <w:u w:val="single" w:color="auto"/>
          <w:color w:val="auto"/>
        </w:rPr>
        <w:t>Medice License Agreement</w:t>
      </w:r>
      <w:r>
        <w:rPr>
          <w:rFonts w:ascii="Arial" w:cs="Arial" w:eastAsia="Arial" w:hAnsi="Arial"/>
          <w:sz w:val="17"/>
          <w:szCs w:val="17"/>
          <w:color w:val="auto"/>
        </w:rPr>
        <w:t>, pursuant to which the Company granted to Medice an exclusive license to develop</w:t>
      </w:r>
    </w:p>
    <w:p>
      <w:pPr>
        <w:spacing w:after="0" w:line="1" w:lineRule="exact"/>
        <w:rPr>
          <w:sz w:val="20"/>
          <w:szCs w:val="20"/>
          <w:color w:val="auto"/>
        </w:rPr>
      </w:pPr>
    </w:p>
    <w:p>
      <w:pPr>
        <w:ind w:right="880"/>
        <w:spacing w:after="0" w:line="250" w:lineRule="auto"/>
        <w:rPr>
          <w:sz w:val="20"/>
          <w:szCs w:val="20"/>
          <w:color w:val="auto"/>
        </w:rPr>
      </w:pPr>
      <w:r>
        <w:rPr>
          <w:rFonts w:ascii="Arial" w:cs="Arial" w:eastAsia="Arial" w:hAnsi="Arial"/>
          <w:sz w:val="18"/>
          <w:szCs w:val="18"/>
          <w:color w:val="auto"/>
        </w:rPr>
        <w:t xml:space="preserve">and commercialize Vafseo for the treatment of anemia in adult patients with CKD in the EEA, the UK,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Under the Medice License Agreement, the Company received an up-front payment of $10.0 million and is eligible to receive the following payments:</w:t>
      </w:r>
    </w:p>
    <w:p>
      <w:pPr>
        <w:spacing w:after="0" w:line="45" w:lineRule="exact"/>
        <w:rPr>
          <w:sz w:val="20"/>
          <w:szCs w:val="20"/>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milestone payments up to an aggregate of $100.0 million, and</w:t>
      </w:r>
    </w:p>
    <w:p>
      <w:pPr>
        <w:spacing w:after="0" w:line="117" w:lineRule="exact"/>
        <w:rPr>
          <w:rFonts w:ascii="Arial" w:cs="Arial" w:eastAsia="Arial" w:hAnsi="Arial"/>
          <w:sz w:val="18"/>
          <w:szCs w:val="18"/>
          <w:color w:val="auto"/>
        </w:rPr>
      </w:pPr>
    </w:p>
    <w:p>
      <w:pPr>
        <w:ind w:left="980" w:hanging="486"/>
        <w:spacing w:after="0" w:line="287" w:lineRule="auto"/>
        <w:tabs>
          <w:tab w:leader="none" w:pos="9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tiered royalties ranging from 10% to 30% of Medice's annual net sales of Vafseo in the Medice Territory, subject to reduction in certain circumstances.</w:t>
      </w:r>
    </w:p>
    <w:p>
      <w:pPr>
        <w:sectPr>
          <w:pgSz w:w="11900" w:h="16838" w:orient="portrait"/>
          <w:cols w:equalWidth="0" w:num="1">
            <w:col w:w="11240"/>
          </w:cols>
          <w:pgMar w:left="320" w:top="229" w:right="339" w:bottom="635"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635"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royalties will expire on a country-by-country basis upon the latest to occur of (a) the date of expiration of the last-to-expire valid claim of any Company, Medice or joint patent that covers Vafseo in such country in the Medice Territory, (b) the date of expiration of data or regulatory exclusivity for Vafseo in such country in the Medice Territory and (c) the date that is twelve years from first commercial sale of Vafseo in such country in the Medice Territory.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Under the Medice License Agreement, the Company retains the right to develop Vafseo for non-dialysis patients with anemia due to CKD in the Medice Territory. If the Company develops Vafseo for non-dialysis patients and Vafseo receives marketing approval in the Medice Territory, Medice will commercialize Vafseo for both indications in the Medice Territory. In this instance, the Company would receive 70% of the net product margin of any sales of Vafseo in the non-dialysis patient population, unless Medice requests to share the cost of the development necessary to gain approval to market Vafseo for non-dialysis patients in the Medice Territory and the parties agree on alternative financial terms. If the Company develops Vafseo for non-dialysis patients, the Company has determined that the activities under the Medice License Agreement represent joint operating activities in which both parties are active participants and of which both parties are exposed to significant risks and rewards that are dependent on the success of the activities. Accordingly, if the Company develops Vafseo for non-dialysis patients, the Company will account for the joint activities in accordance with ASC No.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ASC</w:t>
      </w:r>
      <w:r>
        <w:rPr>
          <w:rFonts w:ascii="Arial" w:cs="Arial" w:eastAsia="Arial" w:hAnsi="Arial"/>
          <w:sz w:val="18"/>
          <w:szCs w:val="18"/>
          <w:color w:val="auto"/>
        </w:rPr>
        <w:t xml:space="preserve"> </w:t>
      </w:r>
      <w:r>
        <w:rPr>
          <w:rFonts w:ascii="Arial" w:cs="Arial" w:eastAsia="Arial" w:hAnsi="Arial"/>
          <w:sz w:val="18"/>
          <w:szCs w:val="18"/>
          <w:u w:val="single" w:color="auto"/>
          <w:color w:val="auto"/>
        </w:rPr>
        <w:t>808</w:t>
      </w:r>
      <w:r>
        <w:rPr>
          <w:rFonts w:ascii="Arial" w:cs="Arial" w:eastAsia="Arial" w:hAnsi="Arial"/>
          <w:sz w:val="18"/>
          <w:szCs w:val="18"/>
          <w:color w:val="auto"/>
        </w:rPr>
        <w:t>. Additionally, the Company has determined that in the context of the development of Vafseo for non-dialysis patients, Medice does not represent a customer as contemplated by ASC 606. As a result, the activities conducted pursuant to development activities for Vafseo for non-dialysis patients will be accounted for as a component of the related expense in the period incurred.</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Medice License Agreement expires on the date of expiration of all payment obligations due thereunder with respect to Vafseo in the last country in the Medice Territory, unless earlier terminated in accordance with the terms of the Medice License Agreement. Either party may, subject to a cure period, terminate the Medice License Agreement in the event of the other party's uncured material breach. Medice has the right to terminate the Medice License Agreement in its entirety for convenience upon twelve months' prior written notice delivered on or after the date that is twelve months after the Medice Effective Date.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evaluated the elements of the Medice License Agreement in accordance with the provisions of ASC 606 and concluded Medice is a customer. The Company identified one performance obligation in connection with its obligations under the Medice License Agreement, which is the license, or </w:t>
      </w:r>
      <w:r>
        <w:rPr>
          <w:rFonts w:ascii="Arial" w:cs="Arial" w:eastAsia="Arial" w:hAnsi="Arial"/>
          <w:sz w:val="18"/>
          <w:szCs w:val="18"/>
          <w:u w:val="single" w:color="auto"/>
          <w:color w:val="auto"/>
        </w:rPr>
        <w:t>License Performance Obligation</w:t>
      </w:r>
      <w:r>
        <w:rPr>
          <w:rFonts w:ascii="Arial" w:cs="Arial" w:eastAsia="Arial" w:hAnsi="Arial"/>
          <w:sz w:val="18"/>
          <w:szCs w:val="18"/>
          <w:color w:val="auto"/>
        </w:rPr>
        <w:t>. The transaction price at inception was comprised of the up-front payment of $ 10.0 million, of which the Company received $8.6 million during the quarter ended June 30, 2023. The remaining $1.4 million was withheld by the German Federal Tax Office and was included in prepaid expenses and other current assets as of December 31, 2024 on the audited consolidated balance sheets. The $1.4 million was received during the six months ended June 30, 2025.</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terms of the Medice License Agreement, the up-front payment of $10.0 million is non -refundable and non-creditable against any other amount due to the Company and was allocated to the License Performance Obligation, which was satisfied as of the Medice Effective Date. As such, the Company recognized the $10.0 million up-front payment as license, collaboration and other revenue in the unaudited condensed consolidated statements of operations and comprehensive loss during the year ended December 31, 2023.</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606, the Company will recognize sales-based royalties and milestone payments at the later of when the performance obligation is satisfied or the related sales occur. During the three and six months ended June 30, 2025, the Company recognized immaterial revenue from Medice royalties. The Company did not recognize any revenue from Medice royalties during the three and six months ended June 30, 2024. As of June 30, 2025, there were immaterial contract assets, and no accounts receivable, payables or deferred revenue in connection with the Medice License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of Drug Product to Medice</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On September 13, 2024, the Company and Medice entered into a supply agreement, or the </w:t>
      </w:r>
      <w:r>
        <w:rPr>
          <w:rFonts w:ascii="Arial" w:cs="Arial" w:eastAsia="Arial" w:hAnsi="Arial"/>
          <w:sz w:val="17"/>
          <w:szCs w:val="17"/>
          <w:u w:val="single" w:color="auto"/>
          <w:color w:val="auto"/>
        </w:rPr>
        <w:t>Medice Supply Agreement</w:t>
      </w:r>
      <w:r>
        <w:rPr>
          <w:rFonts w:ascii="Arial" w:cs="Arial" w:eastAsia="Arial" w:hAnsi="Arial"/>
          <w:sz w:val="17"/>
          <w:szCs w:val="17"/>
          <w:color w:val="auto"/>
        </w:rPr>
        <w:t>, under which the Company will supply Vafseo drug product to Medice for commercial and developmental use in the Medice Territory. The Company recognizes revenue under this arrangement when risk of loss passes to Medice, delivery has occurred, and Medice has accepted the product. The Company did not recognize any revenue under the Medice Supply Agreement during the three and six months ended June 30, 2025 or 2024.</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MTPC Collaboration Agreement</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On December 11, 2015, the Company and MTPC entered into a Collaboration Agreement, or the </w:t>
      </w:r>
      <w:r>
        <w:rPr>
          <w:rFonts w:ascii="Arial" w:cs="Arial" w:eastAsia="Arial" w:hAnsi="Arial"/>
          <w:sz w:val="18"/>
          <w:szCs w:val="18"/>
          <w:u w:val="single" w:color="auto"/>
          <w:color w:val="auto"/>
        </w:rPr>
        <w:t>MTPC Agreement</w:t>
      </w:r>
      <w:r>
        <w:rPr>
          <w:rFonts w:ascii="Arial" w:cs="Arial" w:eastAsia="Arial" w:hAnsi="Arial"/>
          <w:sz w:val="18"/>
          <w:szCs w:val="18"/>
          <w:color w:val="auto"/>
        </w:rPr>
        <w:t>, providing MTPC with exclusive development and commercialization rights to Vafseo in the MTPC Territory, which was amended effective as of December 2, 2022. In addition, the Company supplies Vafseo to MTPC for both clinical and commercial use in the MTPC Territory. In February 2021, the Company entered into the Royalty Agreement with HCR, whereby the Company sold its right to receive royalties and sales milestones under the MTPC Agreement, subject to certain caps and other terms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and conditions. See Note 8, </w:t>
      </w:r>
      <w:r>
        <w:rPr>
          <w:rFonts w:ascii="Arial" w:cs="Arial" w:eastAsia="Arial" w:hAnsi="Arial"/>
          <w:sz w:val="18"/>
          <w:szCs w:val="18"/>
          <w:i w:val="1"/>
          <w:iCs w:val="1"/>
          <w:color w:val="auto"/>
        </w:rPr>
        <w:t>Liability Related to Settlement Royalties, Working Capital Fund Liability and Liability Related to Sale of Future</w:t>
      </w:r>
      <w:r>
        <w:rPr>
          <w:rFonts w:ascii="Arial" w:cs="Arial" w:eastAsia="Arial" w:hAnsi="Arial"/>
          <w:sz w:val="18"/>
          <w:szCs w:val="18"/>
          <w:color w:val="auto"/>
        </w:rPr>
        <w:t xml:space="preserve"> </w:t>
      </w:r>
      <w:r>
        <w:rPr>
          <w:rFonts w:ascii="Arial" w:cs="Arial" w:eastAsia="Arial" w:hAnsi="Arial"/>
          <w:sz w:val="18"/>
          <w:szCs w:val="18"/>
          <w:i w:val="1"/>
          <w:iCs w:val="1"/>
          <w:color w:val="auto"/>
        </w:rPr>
        <w:t>Royalties</w:t>
      </w:r>
      <w:r>
        <w:rPr>
          <w:rFonts w:ascii="Arial" w:cs="Arial" w:eastAsia="Arial" w:hAnsi="Arial"/>
          <w:sz w:val="18"/>
          <w:szCs w:val="18"/>
          <w:color w:val="auto"/>
        </w:rPr>
        <w:t>, for additional information and Note 12,</w:t>
      </w:r>
      <w:r>
        <w:rPr>
          <w:rFonts w:ascii="Arial" w:cs="Arial" w:eastAsia="Arial" w:hAnsi="Arial"/>
          <w:sz w:val="18"/>
          <w:szCs w:val="18"/>
          <w:i w:val="1"/>
          <w:iCs w:val="1"/>
          <w:color w:val="auto"/>
        </w:rPr>
        <w:t xml:space="preserve"> License, Collaboration and Other Revenue</w:t>
      </w:r>
      <w:r>
        <w:rPr>
          <w:rFonts w:ascii="Arial" w:cs="Arial" w:eastAsia="Arial" w:hAnsi="Arial"/>
          <w:sz w:val="18"/>
          <w:szCs w:val="18"/>
          <w:color w:val="auto"/>
        </w:rPr>
        <w:t>, of the Notes to the Consolidated Financial</w:t>
      </w:r>
    </w:p>
    <w:p>
      <w:pPr>
        <w:spacing w:after="0"/>
        <w:rPr>
          <w:sz w:val="20"/>
          <w:szCs w:val="20"/>
          <w:color w:val="auto"/>
        </w:rPr>
      </w:pPr>
      <w:r>
        <w:rPr>
          <w:rFonts w:ascii="Arial" w:cs="Arial" w:eastAsia="Arial" w:hAnsi="Arial"/>
          <w:sz w:val="18"/>
          <w:szCs w:val="18"/>
          <w:color w:val="auto"/>
        </w:rPr>
        <w:t>Statements in the 2024 Form 10-K for a more detailed description of the MTPC Agreement.</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evaluated the elements of the MTPC Agreement in accordance with the provisions of ASC 606 and concluded that the contract counterparty, MTPC, is a customer. The Company identified two performance obligations in connection with its material promises</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under the MTPC Agreement as follows: (i) </w:t>
      </w:r>
      <w:r>
        <w:rPr>
          <w:rFonts w:ascii="Arial" w:cs="Arial" w:eastAsia="Arial" w:hAnsi="Arial"/>
          <w:sz w:val="18"/>
          <w:szCs w:val="18"/>
          <w:i w:val="1"/>
          <w:iCs w:val="1"/>
          <w:color w:val="auto"/>
        </w:rPr>
        <w:t>License, Research and Clinical Supply Performance Obligation</w:t>
      </w:r>
      <w:r>
        <w:rPr>
          <w:rFonts w:ascii="Arial" w:cs="Arial" w:eastAsia="Arial" w:hAnsi="Arial"/>
          <w:sz w:val="18"/>
          <w:szCs w:val="18"/>
          <w:color w:val="auto"/>
        </w:rPr>
        <w:t xml:space="preserve"> and (ii) </w:t>
      </w:r>
      <w:r>
        <w:rPr>
          <w:rFonts w:ascii="Arial" w:cs="Arial" w:eastAsia="Arial" w:hAnsi="Arial"/>
          <w:sz w:val="18"/>
          <w:szCs w:val="18"/>
          <w:i w:val="1"/>
          <w:iCs w:val="1"/>
          <w:color w:val="auto"/>
        </w:rPr>
        <w:t>Rights to Future Know-How Performance Obligation</w:t>
      </w:r>
      <w:r>
        <w:rPr>
          <w:rFonts w:ascii="Arial" w:cs="Arial" w:eastAsia="Arial" w:hAnsi="Arial"/>
          <w:sz w:val="18"/>
          <w:szCs w:val="18"/>
          <w:color w:val="auto"/>
        </w:rPr>
        <w: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transaction price was comprised of: (i) the up-front payment of $20.0 million, (ii) the cost for the Phase 2 studies of $20.5 million, (iii) the cost of all clinical supply provided to MTPC for the Phase 3 studies, (iv) $10.0 million in development milestones received, (v) $25.0 million in regulatory milestones received and (vi) $7.8 million in royalties from net sales of Vafseo. The Company re-evaluates the transaction price in each reporting period and as uncertain events are resolved or other changes in circumstances occur. As of June 30, 2025, all development milestones and $25.0 million in regulatory milestones have been achieved. No other regulatory milestones have been assessed as probable of being achieved and as a result have been fully constrained.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allocates the transaction price to each performance obligation based on the Company’s best estimate of the relative standalone selling price.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and determined it is immaterial. As such, the Company did not develop a best estimate of standalone selling price for the License, Research and Clinical Supply Performance Obligation and allocated the entire transaction price to this performance obligation.</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Revenue for the License, Research and Clinical Supply Performance Obligation for the MTPC Agreement is being recognized using a proportional performance method, for which all deliverables have been completed. The Company recognizes any revenue from MTPC royalties in the period in which the sales occur. The Company recognized revenue from MTPC royalties of $ 0.5 million and $0.9 million during each of the three and six months ended June 30, 2025 and 2024, respectively. As noted above, in February 2021, the Company entered into the Royalty Agreement, whereby the Company sold its right to receive these royalties and sales milestones under the MTPC Agreement, subject to certain caps and other terms and conditions. See Note 8, </w:t>
      </w:r>
      <w:r>
        <w:rPr>
          <w:rFonts w:ascii="Arial" w:cs="Arial" w:eastAsia="Arial" w:hAnsi="Arial"/>
          <w:sz w:val="18"/>
          <w:szCs w:val="18"/>
          <w:i w:val="1"/>
          <w:iCs w:val="1"/>
          <w:color w:val="auto"/>
        </w:rPr>
        <w:t>Liability Related to Settlement Royalties, Working Capital Fund Liability</w:t>
      </w:r>
      <w:r>
        <w:rPr>
          <w:rFonts w:ascii="Arial" w:cs="Arial" w:eastAsia="Arial" w:hAnsi="Arial"/>
          <w:sz w:val="18"/>
          <w:szCs w:val="18"/>
          <w:color w:val="auto"/>
        </w:rPr>
        <w:t xml:space="preserve"> </w:t>
      </w:r>
      <w:r>
        <w:rPr>
          <w:rFonts w:ascii="Arial" w:cs="Arial" w:eastAsia="Arial" w:hAnsi="Arial"/>
          <w:sz w:val="18"/>
          <w:szCs w:val="18"/>
          <w:i w:val="1"/>
          <w:iCs w:val="1"/>
          <w:color w:val="auto"/>
        </w:rPr>
        <w:t>and Liability Related to Sale of Future Royalties</w:t>
      </w:r>
      <w:r>
        <w:rPr>
          <w:rFonts w:ascii="Arial" w:cs="Arial" w:eastAsia="Arial" w:hAnsi="Arial"/>
          <w:sz w:val="18"/>
          <w:szCs w:val="18"/>
          <w:color w:val="auto"/>
        </w:rPr>
        <w:t>, for additional information. The revenue is classified as license and other revenue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unaudited condensed consolidated statements of operations and comprehensive income (loss). As of June 30, 2025, there were no accounts receivable, payables or deferred revenue and $0.5 million in contract assets recorded in connection with the MTPC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of Drug Product to MTPC</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July 15, 2020, the Company and MTPC entered into a supply agreement, or the </w:t>
      </w:r>
      <w:r>
        <w:rPr>
          <w:rFonts w:ascii="Arial" w:cs="Arial" w:eastAsia="Arial" w:hAnsi="Arial"/>
          <w:sz w:val="18"/>
          <w:szCs w:val="18"/>
          <w:u w:val="single" w:color="auto"/>
          <w:color w:val="auto"/>
        </w:rPr>
        <w:t>MTPC Supply Agreement</w:t>
      </w:r>
      <w:r>
        <w:rPr>
          <w:rFonts w:ascii="Arial" w:cs="Arial" w:eastAsia="Arial" w:hAnsi="Arial"/>
          <w:sz w:val="18"/>
          <w:szCs w:val="18"/>
          <w:color w:val="auto"/>
        </w:rPr>
        <w:t xml:space="preserve">, under which the Company supplies Vafseo drug product to MTPC for commercial use in Japan and certain other Asian countries, as contemplated by the MTPC Agreement. See Note 12, </w:t>
      </w: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 of the Notes to the Consolidated Financial Statements in the 2024 Form 10-K for a more detailed description of this supply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December 16, 2022, the Company, MTPC and Esteve executed an Assignment of Supply Agreement, or the </w:t>
      </w:r>
      <w:r>
        <w:rPr>
          <w:rFonts w:ascii="Arial" w:cs="Arial" w:eastAsia="Arial" w:hAnsi="Arial"/>
          <w:sz w:val="18"/>
          <w:szCs w:val="18"/>
          <w:u w:val="single" w:color="auto"/>
          <w:color w:val="auto"/>
        </w:rPr>
        <w:t>Esteve Assignment</w:t>
      </w:r>
    </w:p>
    <w:p>
      <w:pPr>
        <w:jc w:val="both"/>
        <w:spacing w:after="0" w:line="221"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pursuant to which the rights and obligations of the Company under the Esteve Agreement were transferred to MTPC. The Company has no further obligation to take delivery of, or pay for, product delivered by Esteve except as disclosed in Note 10,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does not recognize revenue under this arrangement until risk of loss on the drug product passes to MTPC and delivery has occurred and MTPC has accepted the product. The Company recognized no revenue under the MTPC Supply Agreement during the three and six months ended June 30, 2025 and $0.7 million in revenue under the MTPC Supply Agreement during the three and six months ended June 30,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JT and Torii Sublicense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an Amended and Restated Sublicense Agreement, which was amended in June 2013, with JT and Torii, or the </w:t>
      </w:r>
      <w:r>
        <w:rPr>
          <w:rFonts w:ascii="Arial" w:cs="Arial" w:eastAsia="Arial" w:hAnsi="Arial"/>
          <w:sz w:val="18"/>
          <w:szCs w:val="18"/>
          <w:u w:val="single" w:color="auto"/>
          <w:color w:val="auto"/>
        </w:rPr>
        <w:t>JT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Torii Sublicense Agreement</w:t>
      </w:r>
      <w:r>
        <w:rPr>
          <w:rFonts w:ascii="Arial" w:cs="Arial" w:eastAsia="Arial" w:hAnsi="Arial"/>
          <w:sz w:val="18"/>
          <w:szCs w:val="18"/>
          <w:color w:val="auto"/>
        </w:rPr>
        <w:t xml:space="preserve">, under which JT and Torii obtained the exclusive sublicense rights for the development and commercialization of ferric citrate hydrate in Japan. JT and Torii are responsible for the future development and commercialization costs in Japan. See Note 12, </w:t>
      </w: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 of the Notes to the Consolidated Financial Statements in the 2024 Form 10-K for a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 of this sublicense agreement.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evaluated the elements of the JT and Torii Sublicense Agreement in accordance with the provisions of ASC 606 and concluded that the contract counterparty, JT and Torii, is a customer. The Company identified two performance obligations in connection with its obligations under the JT and Torii Sublicense Agreement: (i) </w:t>
      </w:r>
      <w:r>
        <w:rPr>
          <w:rFonts w:ascii="Arial" w:cs="Arial" w:eastAsia="Arial" w:hAnsi="Arial"/>
          <w:sz w:val="18"/>
          <w:szCs w:val="18"/>
          <w:i w:val="1"/>
          <w:iCs w:val="1"/>
          <w:color w:val="auto"/>
        </w:rPr>
        <w:t>License and Supply Performance</w:t>
      </w:r>
    </w:p>
    <w:p>
      <w:pPr>
        <w:sectPr>
          <w:pgSz w:w="11900" w:h="16838" w:orient="portrait"/>
          <w:cols w:equalWidth="0" w:num="1">
            <w:col w:w="11240"/>
          </w:cols>
          <w:pgMar w:left="320" w:top="229" w:right="339" w:bottom="27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27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Obligation </w:t>
      </w:r>
      <w:r>
        <w:rPr>
          <w:rFonts w:ascii="Arial" w:cs="Arial" w:eastAsia="Arial" w:hAnsi="Arial"/>
          <w:sz w:val="18"/>
          <w:szCs w:val="18"/>
          <w:color w:val="auto"/>
        </w:rPr>
        <w:t>and (ii)</w:t>
      </w:r>
      <w:r>
        <w:rPr>
          <w:rFonts w:ascii="Arial" w:cs="Arial" w:eastAsia="Arial" w:hAnsi="Arial"/>
          <w:sz w:val="18"/>
          <w:szCs w:val="18"/>
          <w:i w:val="1"/>
          <w:iCs w:val="1"/>
          <w:color w:val="auto"/>
        </w:rPr>
        <w:t xml:space="preserve"> Rights to Future Know-How Performance Obligation</w:t>
      </w:r>
      <w:r>
        <w:rPr>
          <w:rFonts w:ascii="Arial" w:cs="Arial" w:eastAsia="Arial" w:hAnsi="Arial"/>
          <w:sz w:val="18"/>
          <w:szCs w:val="18"/>
          <w:color w:val="auto"/>
        </w:rPr>
        <w:t>. The Company developed a best estimate of the standalone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the Rights to Future Know-How Performance Obligation primarily based on the likelihood that additional intellectual property covered by the license conveyed will be developed during the term of the arrangement and determined it immaterial. As such, the Company allocated the entire transaction price to the License and Supply Performance Obligation.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recognized license revenue of $1.5 million and $2.7 million during the three and six months ended June 30, 2025, respectively, and $1.3 million and $2.5 million during the three and six months ended June 30, 2024, respectively, related to royalties earned on net sales of ferric citrate hydrate in Japan under the trade name Riona. The Company records the associated mid-single digit percentage of net sales royalty expense due to Panion, the licensor of Riona, in the same period as the royalty revenue from JT and Torii is recorded.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2025, the authorized capital stock of the Company included 350,000,000 shares of common stock, $ 0.00001 par value per share, of which 263,041,832 and 224,848,992 shares were issued and outstanding as of June 30, 2025 and December 31, 2024, respectively; and 25,000,000 shares of undesignated preferred stock, $0.00001 par value per share, of which no shares were issued and outstanding as of June 30, 2025 and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Facility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April 7, 2022, the Company entered into an at-the-market, or </w:t>
      </w:r>
      <w:r>
        <w:rPr>
          <w:rFonts w:ascii="Arial" w:cs="Arial" w:eastAsia="Arial" w:hAnsi="Arial"/>
          <w:sz w:val="18"/>
          <w:szCs w:val="18"/>
          <w:u w:val="single" w:color="auto"/>
          <w:color w:val="auto"/>
        </w:rPr>
        <w:t>ATM</w:t>
      </w:r>
      <w:r>
        <w:rPr>
          <w:rFonts w:ascii="Arial" w:cs="Arial" w:eastAsia="Arial" w:hAnsi="Arial"/>
          <w:sz w:val="18"/>
          <w:szCs w:val="18"/>
          <w:color w:val="auto"/>
        </w:rPr>
        <w:t xml:space="preserve">, sales agreement, or the </w:t>
      </w:r>
      <w:r>
        <w:rPr>
          <w:rFonts w:ascii="Arial" w:cs="Arial" w:eastAsia="Arial" w:hAnsi="Arial"/>
          <w:sz w:val="18"/>
          <w:szCs w:val="18"/>
          <w:u w:val="single" w:color="auto"/>
          <w:color w:val="auto"/>
        </w:rPr>
        <w:t>Original Sales Agreement</w:t>
      </w:r>
      <w:r>
        <w:rPr>
          <w:rFonts w:ascii="Arial" w:cs="Arial" w:eastAsia="Arial" w:hAnsi="Arial"/>
          <w:sz w:val="18"/>
          <w:szCs w:val="18"/>
          <w:color w:val="auto"/>
        </w:rPr>
        <w:t xml:space="preserve">, with Jefferies LLC, or </w:t>
      </w:r>
      <w:r>
        <w:rPr>
          <w:rFonts w:ascii="Arial" w:cs="Arial" w:eastAsia="Arial" w:hAnsi="Arial"/>
          <w:sz w:val="18"/>
          <w:szCs w:val="18"/>
          <w:u w:val="single" w:color="auto"/>
          <w:color w:val="auto"/>
        </w:rPr>
        <w:t>Jefferies,</w:t>
      </w:r>
      <w:r>
        <w:rPr>
          <w:rFonts w:ascii="Arial" w:cs="Arial" w:eastAsia="Arial" w:hAnsi="Arial"/>
          <w:sz w:val="18"/>
          <w:szCs w:val="18"/>
          <w:color w:val="auto"/>
        </w:rPr>
        <w:t xml:space="preserve"> as the Company's sales agent, under which the Company could offer and sell from time to time up to $26.0 million of shares of its common stock at current market prices. During the year ended December 31, 2023, the Company sold 6,189,974 shares of common stock under this program with gross proceeds of $6.8 million ($6.7 million, net of offering expenses). During the six months ended June 30, 2024, the Company sold 13,261,311 shares of its common stock under this program with gross proceeds of $19.2 million ($18.7 million, net of offering expenses).</w:t>
      </w:r>
    </w:p>
    <w:p>
      <w:pPr>
        <w:spacing w:after="0" w:line="6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September 3, 2024, in connection with the filing of a new shelf registration statement on Form S-3, the Company filed a prospectus related to the Company's amended and restated sales agreement (which amended and restated the Original Sales Agreement), with Jefferies, as the Company’s sales agent, pursuant to which the Company is able to offer and sell up to $75.0 million of its common stock at current market prices from time to time. Since September 12, 2024 (the date the Company’s shelf registration statement on Form S-3 went effective) through December 31, 2024, the Company sold 14,271,631 shares of its common stock under this program with gross proceeds of $24.3 million ($23.8 million, net of offering expenses). During the six months ended June 30, 2025, the Company sold 9,437,364 shares of its common stock under this program with gross proceeds of $18.7 million ($18.4 million, net of offering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March 19, 2025, the Company entered into an underwriting agreement, or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xml:space="preserve">, with Leerink Partners LLC and Piper Sandler &amp; Co., as representatives of the several underwriters named therein,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xml:space="preserve">, relating to an underwritten public offering, or the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of 25,000,000 shares, or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of the Company's common stock. The offering price was $ 2.00 per share, and the Underwriters agreed to purchase the Shares from the Company pursuant to the Underwriting Agreement at a price of $1.88 per share. Under the terms of the Underwriting Agreement, the Company granted the Underwriters a 30-day option to purchase up to 3,750,000 additional shares of common stock, or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 at the public offering price per share, and the Underwriters partially exercised their option and purchased 850,000 Additional Shares on April 22, 2025.</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proceeds from the Offering of the Shares were $46.5 million, after deducting underwriting discounts and commissions and estimated offering expenses and net proceeds from the Offering of the Additional Shares were $1.6 million, after deducting underwriting discounts and commissions and estimated offering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Common Stock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connection with the Vifor License Agreement, CSL Vifor owns 7,571,429 shares of common stock that are unregistered under the Securities Act. See Note 8, </w:t>
      </w:r>
      <w:r>
        <w:rPr>
          <w:rFonts w:ascii="Arial" w:cs="Arial" w:eastAsia="Arial" w:hAnsi="Arial"/>
          <w:sz w:val="18"/>
          <w:szCs w:val="18"/>
          <w:i w:val="1"/>
          <w:iCs w:val="1"/>
          <w:color w:val="auto"/>
        </w:rPr>
        <w:t>Liability Related to Settlement Royalties, Working Capital Fund Liability and Liability Related to Sale of Future</w:t>
      </w:r>
      <w:r>
        <w:rPr>
          <w:rFonts w:ascii="Arial" w:cs="Arial" w:eastAsia="Arial" w:hAnsi="Arial"/>
          <w:sz w:val="18"/>
          <w:szCs w:val="18"/>
          <w:color w:val="auto"/>
        </w:rPr>
        <w:t xml:space="preserve"> </w:t>
      </w:r>
      <w:r>
        <w:rPr>
          <w:rFonts w:ascii="Arial" w:cs="Arial" w:eastAsia="Arial" w:hAnsi="Arial"/>
          <w:sz w:val="18"/>
          <w:szCs w:val="18"/>
          <w:i w:val="1"/>
          <w:iCs w:val="1"/>
          <w:color w:val="auto"/>
        </w:rPr>
        <w:t>Royalties</w:t>
      </w:r>
      <w:r>
        <w:rPr>
          <w:rFonts w:ascii="Arial" w:cs="Arial" w:eastAsia="Arial" w:hAnsi="Arial"/>
          <w:sz w:val="18"/>
          <w:szCs w:val="18"/>
          <w:color w:val="auto"/>
        </w:rPr>
        <w:t>, for more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In connection with the BlackRock Credit Agreement, described in more detail in Note 7, </w:t>
      </w:r>
      <w:r>
        <w:rPr>
          <w:rFonts w:ascii="Arial" w:cs="Arial" w:eastAsia="Arial" w:hAnsi="Arial"/>
          <w:sz w:val="18"/>
          <w:szCs w:val="18"/>
          <w:i w:val="1"/>
          <w:iCs w:val="1"/>
          <w:color w:val="auto"/>
        </w:rPr>
        <w:t>Indebtedness</w:t>
      </w:r>
      <w:r>
        <w:rPr>
          <w:rFonts w:ascii="Arial" w:cs="Arial" w:eastAsia="Arial" w:hAnsi="Arial"/>
          <w:sz w:val="18"/>
          <w:szCs w:val="18"/>
          <w:color w:val="auto"/>
        </w:rPr>
        <w:t>, the Company issued a warrant to purchase 3,076,923 shares of the Company’s common stock, at an exercise price per share of $1.30, and upon the</w:t>
      </w:r>
    </w:p>
    <w:p>
      <w:pPr>
        <w:sectPr>
          <w:pgSz w:w="11900" w:h="16838" w:orient="portrait"/>
          <w:cols w:equalWidth="0" w:num="1">
            <w:col w:w="11240"/>
          </w:cols>
          <w:pgMar w:left="320" w:top="229" w:right="339" w:bottom="675"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675"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 of Tranche C in February 2025, the Company issued additional warrants to purchase 1,153,846 shares of the Company’s common stock at an exercise price per share of $1.30. Each warrant is exercisable for eight years from the date of issuance. The warrants and the common stock issuable upon the exercise of such warrants were not registered under the Securities Act and, accordingly, the holder thereof may only sell common stock issued upon exercise of such warrants pursuant to an effective registration statement under the Securities Act covering the resale of those shares, an exemption under Rule 144 under the Securities Act or another applicable exemption under the Securities Act.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July 21, 2025, the Warrant Holder exercised its option to purchase 2,115,384 shares of the Company's common stock under the Initial Warrant on a cashless basis at an exercise price per share of $1.30. As a result of the cashless exercise, the Company issued 1,408,588 shares to the Warrant Holder under the Initial Warrant.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information.</w:t>
      </w:r>
    </w:p>
    <w:p>
      <w:pPr>
        <w:spacing w:after="0" w:line="171" w:lineRule="exact"/>
        <w:rPr>
          <w:sz w:val="20"/>
          <w:szCs w:val="20"/>
          <w:color w:val="auto"/>
        </w:rPr>
      </w:pPr>
    </w:p>
    <w:p>
      <w:pPr>
        <w:ind w:right="6280" w:firstLine="8"/>
        <w:spacing w:after="0" w:line="375" w:lineRule="auto"/>
        <w:tabs>
          <w:tab w:leader="none" w:pos="33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AND BENEFIT PLAN </w:t>
      </w:r>
      <w:r>
        <w:rPr>
          <w:rFonts w:ascii="Arial" w:cs="Arial" w:eastAsia="Arial" w:hAnsi="Arial"/>
          <w:sz w:val="18"/>
          <w:szCs w:val="18"/>
          <w:b w:val="1"/>
          <w:bCs w:val="1"/>
          <w:i w:val="1"/>
          <w:iCs w:val="1"/>
          <w:color w:val="auto"/>
        </w:rPr>
        <w:t>Stock-Based Compensation and Benefit Plans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incurred stock-based compensation expenses of $2.7 million and $4.9 million during the three and six months ended June 30, 2025, respectively, and $2.1 million and $4.4 million for the three and six months ended June 30, 2024,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about the Company's equity plans: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2025</w:t>
            </w:r>
          </w:p>
        </w:tc>
        <w:tc>
          <w:tcPr>
            <w:tcW w:w="27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Additional</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vMerge w:val="restart"/>
          </w:tcPr>
          <w:p>
            <w:pPr>
              <w:jc w:val="center"/>
              <w:ind w:right="180"/>
              <w:spacing w:after="0"/>
              <w:rPr>
                <w:sz w:val="20"/>
                <w:szCs w:val="20"/>
                <w:color w:val="auto"/>
              </w:rPr>
            </w:pPr>
            <w:r>
              <w:rPr>
                <w:rFonts w:ascii="Arial" w:cs="Arial" w:eastAsia="Arial" w:hAnsi="Arial"/>
                <w:sz w:val="16"/>
                <w:szCs w:val="16"/>
                <w:b w:val="1"/>
                <w:bCs w:val="1"/>
                <w:color w:val="auto"/>
                <w:w w:val="99"/>
              </w:rPr>
              <w:t>Type of Award Granted</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Awards</w:t>
            </w:r>
          </w:p>
        </w:tc>
        <w:tc>
          <w:tcPr>
            <w:tcW w:w="14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Awards</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Awards</w:t>
            </w: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vMerge w:val="restart"/>
          </w:tcPr>
          <w:p>
            <w:pPr>
              <w:ind w:left="200"/>
              <w:spacing w:after="0"/>
              <w:rPr>
                <w:sz w:val="20"/>
                <w:szCs w:val="20"/>
                <w:color w:val="auto"/>
              </w:rPr>
            </w:pPr>
            <w:r>
              <w:rPr>
                <w:rFonts w:ascii="Arial" w:cs="Arial" w:eastAsia="Arial" w:hAnsi="Arial"/>
                <w:sz w:val="16"/>
                <w:szCs w:val="16"/>
                <w:b w:val="1"/>
                <w:bCs w:val="1"/>
                <w:color w:val="auto"/>
              </w:rPr>
              <w:t>Title of Plan</w:t>
            </w:r>
          </w:p>
        </w:tc>
        <w:tc>
          <w:tcPr>
            <w:tcW w:w="15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Group Eligible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Authorized for</w:t>
            </w:r>
          </w:p>
        </w:tc>
        <w:tc>
          <w:tcPr>
            <w:tcW w:w="1420" w:type="dxa"/>
            <w:vAlign w:val="bottom"/>
            <w:gridSpan w:val="2"/>
            <w:vMerge w:val="continue"/>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Authorized for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(or to be Granted)</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Grant</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Grant</w:t>
            </w:r>
          </w:p>
        </w:tc>
        <w:tc>
          <w:tcPr>
            <w:tcW w:w="0" w:type="dxa"/>
            <w:vAlign w:val="bottom"/>
          </w:tcPr>
          <w:p>
            <w:pPr>
              <w:spacing w:after="0"/>
              <w:rPr>
                <w:sz w:val="1"/>
                <w:szCs w:val="1"/>
                <w:color w:val="auto"/>
              </w:rPr>
            </w:pPr>
          </w:p>
        </w:tc>
      </w:tr>
      <w:tr>
        <w:trPr>
          <w:trHeight w:val="156"/>
        </w:trPr>
        <w:tc>
          <w:tcPr>
            <w:tcW w:w="2020" w:type="dxa"/>
            <w:vAlign w:val="bottom"/>
            <w:tcBorders>
              <w:top w:val="single" w:sz="8" w:color="auto"/>
              <w:left w:val="single" w:sz="8" w:color="DBDBDB"/>
            </w:tcBorders>
            <w:gridSpan w:val="6"/>
            <w:shd w:val="clear" w:color="auto" w:fill="DBDBDB"/>
          </w:tcPr>
          <w:p>
            <w:pPr>
              <w:ind w:left="20"/>
              <w:spacing w:after="0" w:line="156" w:lineRule="exact"/>
              <w:rPr>
                <w:sz w:val="20"/>
                <w:szCs w:val="20"/>
                <w:color w:val="auto"/>
              </w:rPr>
            </w:pPr>
            <w:r>
              <w:rPr>
                <w:rFonts w:ascii="Arial" w:cs="Arial" w:eastAsia="Arial" w:hAnsi="Arial"/>
                <w:sz w:val="14"/>
                <w:szCs w:val="14"/>
                <w:color w:val="auto"/>
              </w:rPr>
              <w:t>Keryx Equity Plans</w:t>
            </w:r>
            <w:r>
              <w:rPr>
                <w:rFonts w:ascii="Arial" w:cs="Arial" w:eastAsia="Arial" w:hAnsi="Arial"/>
                <w:sz w:val="18"/>
                <w:szCs w:val="18"/>
                <w:color w:val="auto"/>
                <w:vertAlign w:val="superscript"/>
              </w:rPr>
              <w:t>(1)(2)</w:t>
            </w:r>
          </w:p>
        </w:tc>
        <w:tc>
          <w:tcPr>
            <w:tcW w:w="100" w:type="dxa"/>
            <w:vAlign w:val="bottom"/>
            <w:tcBorders>
              <w:top w:val="single" w:sz="8" w:color="DBDBDB"/>
            </w:tcBorders>
            <w:shd w:val="clear" w:color="auto" w:fill="DBDBDB"/>
          </w:tcPr>
          <w:p>
            <w:pPr>
              <w:spacing w:after="0"/>
              <w:rPr>
                <w:sz w:val="13"/>
                <w:szCs w:val="13"/>
                <w:color w:val="auto"/>
              </w:rPr>
            </w:pPr>
          </w:p>
        </w:tc>
        <w:tc>
          <w:tcPr>
            <w:tcW w:w="1440" w:type="dxa"/>
            <w:vAlign w:val="bottom"/>
            <w:tcBorders>
              <w:top w:val="single" w:sz="8" w:color="auto"/>
            </w:tcBorders>
            <w:shd w:val="clear" w:color="auto" w:fill="DBDBDB"/>
          </w:tcPr>
          <w:p>
            <w:pPr>
              <w:ind w:left="20"/>
              <w:spacing w:after="0" w:line="155" w:lineRule="exact"/>
              <w:rPr>
                <w:sz w:val="20"/>
                <w:szCs w:val="20"/>
                <w:color w:val="auto"/>
              </w:rPr>
            </w:pPr>
            <w:r>
              <w:rPr>
                <w:rFonts w:ascii="Arial" w:cs="Arial" w:eastAsia="Arial" w:hAnsi="Arial"/>
                <w:sz w:val="16"/>
                <w:szCs w:val="16"/>
                <w:color w:val="auto"/>
              </w:rPr>
              <w:t>Employees,</w:t>
            </w:r>
          </w:p>
        </w:tc>
        <w:tc>
          <w:tcPr>
            <w:tcW w:w="100" w:type="dxa"/>
            <w:vAlign w:val="bottom"/>
            <w:tcBorders>
              <w:top w:val="single" w:sz="8" w:color="DBDBDB"/>
            </w:tcBorders>
            <w:shd w:val="clear" w:color="auto" w:fill="DBDBDB"/>
          </w:tcPr>
          <w:p>
            <w:pPr>
              <w:spacing w:after="0"/>
              <w:rPr>
                <w:sz w:val="13"/>
                <w:szCs w:val="13"/>
                <w:color w:val="auto"/>
              </w:rPr>
            </w:pPr>
          </w:p>
        </w:tc>
        <w:tc>
          <w:tcPr>
            <w:tcW w:w="1960" w:type="dxa"/>
            <w:vAlign w:val="bottom"/>
            <w:tcBorders>
              <w:top w:val="single" w:sz="8" w:color="auto"/>
            </w:tcBorders>
            <w:gridSpan w:val="5"/>
            <w:shd w:val="clear" w:color="auto" w:fill="DBDBDB"/>
          </w:tcPr>
          <w:p>
            <w:pPr>
              <w:ind w:left="20"/>
              <w:spacing w:after="0" w:line="155" w:lineRule="exact"/>
              <w:rPr>
                <w:sz w:val="20"/>
                <w:szCs w:val="20"/>
                <w:color w:val="auto"/>
              </w:rPr>
            </w:pPr>
            <w:r>
              <w:rPr>
                <w:rFonts w:ascii="Arial" w:cs="Arial" w:eastAsia="Arial" w:hAnsi="Arial"/>
                <w:sz w:val="16"/>
                <w:szCs w:val="16"/>
                <w:color w:val="auto"/>
              </w:rPr>
              <w:t>Stock options and</w:t>
            </w:r>
          </w:p>
        </w:tc>
        <w:tc>
          <w:tcPr>
            <w:tcW w:w="100" w:type="dxa"/>
            <w:vAlign w:val="bottom"/>
            <w:tcBorders>
              <w:top w:val="single" w:sz="8" w:color="DBDBDB"/>
            </w:tcBorders>
            <w:shd w:val="clear" w:color="auto" w:fill="DBDBDB"/>
          </w:tcPr>
          <w:p>
            <w:pPr>
              <w:spacing w:after="0"/>
              <w:rPr>
                <w:sz w:val="13"/>
                <w:szCs w:val="13"/>
                <w:color w:val="auto"/>
              </w:rPr>
            </w:pPr>
          </w:p>
        </w:tc>
        <w:tc>
          <w:tcPr>
            <w:tcW w:w="130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153,346</w:t>
            </w:r>
          </w:p>
        </w:tc>
        <w:tc>
          <w:tcPr>
            <w:tcW w:w="10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163,765</w:t>
            </w:r>
          </w:p>
        </w:tc>
        <w:tc>
          <w:tcPr>
            <w:tcW w:w="100" w:type="dxa"/>
            <w:vAlign w:val="bottom"/>
            <w:tcBorders>
              <w:top w:val="single" w:sz="8" w:color="DBDBDB"/>
            </w:tcBorders>
            <w:shd w:val="clear" w:color="auto" w:fill="DBDBDB"/>
          </w:tcPr>
          <w:p>
            <w:pPr>
              <w:spacing w:after="0"/>
              <w:rPr>
                <w:sz w:val="13"/>
                <w:szCs w:val="13"/>
                <w:color w:val="auto"/>
              </w:rPr>
            </w:pPr>
          </w:p>
        </w:tc>
        <w:tc>
          <w:tcPr>
            <w:tcW w:w="130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00" w:type="dxa"/>
            <w:vAlign w:val="bottom"/>
            <w:tcBorders>
              <w:left w:val="single" w:sz="8" w:color="DBDBDB"/>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directors and</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restricted stock units</w:t>
            </w: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Borders>
              <w:lef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gridSpan w:val="2"/>
            <w:shd w:val="clear" w:color="auto" w:fill="DBDBDB"/>
          </w:tcPr>
          <w:p>
            <w:pPr>
              <w:ind w:left="20"/>
              <w:spacing w:after="0" w:line="175" w:lineRule="exact"/>
              <w:rPr>
                <w:sz w:val="20"/>
                <w:szCs w:val="20"/>
                <w:color w:val="auto"/>
              </w:rPr>
            </w:pPr>
            <w:r>
              <w:rPr>
                <w:rFonts w:ascii="Arial" w:cs="Arial" w:eastAsia="Arial" w:hAnsi="Arial"/>
                <w:sz w:val="16"/>
                <w:szCs w:val="16"/>
                <w:color w:val="auto"/>
              </w:rPr>
              <w:t>consultants</w:t>
            </w:r>
          </w:p>
        </w:tc>
        <w:tc>
          <w:tcPr>
            <w:tcW w:w="2060" w:type="dxa"/>
            <w:vAlign w:val="bottom"/>
            <w:gridSpan w:val="6"/>
            <w:shd w:val="clear" w:color="auto" w:fill="DBDBDB"/>
          </w:tcPr>
          <w:p>
            <w:pPr>
              <w:ind w:left="20"/>
              <w:spacing w:after="0" w:line="175" w:lineRule="exact"/>
              <w:rPr>
                <w:sz w:val="20"/>
                <w:szCs w:val="20"/>
                <w:color w:val="auto"/>
              </w:rPr>
            </w:pPr>
            <w:r>
              <w:rPr>
                <w:rFonts w:ascii="Arial" w:cs="Arial" w:eastAsia="Arial" w:hAnsi="Arial"/>
                <w:sz w:val="16"/>
                <w:szCs w:val="16"/>
                <w:color w:val="auto"/>
              </w:rPr>
              <w:t>(RSUs)</w:t>
            </w: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auto"/>
            </w:tcBorders>
            <w:shd w:val="clear" w:color="auto" w:fill="DBDBDB"/>
          </w:tcPr>
          <w:p>
            <w:pPr>
              <w:spacing w:after="0" w:line="20" w:lineRule="exact"/>
              <w:rPr>
                <w:sz w:val="1"/>
                <w:szCs w:val="1"/>
                <w:color w:val="auto"/>
              </w:rPr>
            </w:pPr>
          </w:p>
        </w:tc>
        <w:tc>
          <w:tcPr>
            <w:tcW w:w="400" w:type="dxa"/>
            <w:vAlign w:val="bottom"/>
            <w:tcBorders>
              <w:top w:val="single" w:sz="8" w:color="auto"/>
            </w:tcBorders>
            <w:shd w:val="clear" w:color="auto" w:fill="DBDBDB"/>
          </w:tcPr>
          <w:p>
            <w:pPr>
              <w:spacing w:after="0" w:line="20" w:lineRule="exact"/>
              <w:rPr>
                <w:sz w:val="1"/>
                <w:szCs w:val="1"/>
                <w:color w:val="auto"/>
              </w:rPr>
            </w:pPr>
          </w:p>
        </w:tc>
        <w:tc>
          <w:tcPr>
            <w:tcW w:w="20" w:type="dxa"/>
            <w:vAlign w:val="bottom"/>
            <w:tcBorders>
              <w:top w:val="single" w:sz="8" w:color="auto"/>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3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gridSpan w:val="7"/>
          </w:tcPr>
          <w:p>
            <w:pPr>
              <w:ind w:left="20"/>
              <w:spacing w:after="0" w:line="162" w:lineRule="exact"/>
              <w:rPr>
                <w:sz w:val="20"/>
                <w:szCs w:val="20"/>
                <w:color w:val="auto"/>
              </w:rPr>
            </w:pPr>
            <w:r>
              <w:rPr>
                <w:rFonts w:ascii="Arial" w:cs="Arial" w:eastAsia="Arial" w:hAnsi="Arial"/>
                <w:sz w:val="16"/>
                <w:szCs w:val="16"/>
                <w:color w:val="auto"/>
              </w:rPr>
              <w:t>Akebia Therapeutics, Inc.</w:t>
            </w:r>
          </w:p>
        </w:tc>
        <w:tc>
          <w:tcPr>
            <w:tcW w:w="1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Employees,</w:t>
            </w:r>
          </w:p>
        </w:tc>
        <w:tc>
          <w:tcPr>
            <w:tcW w:w="2060" w:type="dxa"/>
            <w:vAlign w:val="bottom"/>
            <w:gridSpan w:val="6"/>
          </w:tcPr>
          <w:p>
            <w:pPr>
              <w:ind w:left="20"/>
              <w:spacing w:after="0" w:line="162" w:lineRule="exact"/>
              <w:rPr>
                <w:sz w:val="20"/>
                <w:szCs w:val="20"/>
                <w:color w:val="auto"/>
              </w:rPr>
            </w:pPr>
            <w:r>
              <w:rPr>
                <w:rFonts w:ascii="Arial" w:cs="Arial" w:eastAsia="Arial" w:hAnsi="Arial"/>
                <w:sz w:val="16"/>
                <w:szCs w:val="16"/>
                <w:color w:val="auto"/>
              </w:rPr>
              <w:t>Stock options, RSUs,</w:t>
            </w: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9,982,813</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62" w:lineRule="exact"/>
              <w:rPr>
                <w:sz w:val="20"/>
                <w:szCs w:val="20"/>
                <w:color w:val="auto"/>
              </w:rPr>
            </w:pPr>
            <w:r>
              <w:rPr>
                <w:rFonts w:ascii="Arial" w:cs="Arial" w:eastAsia="Arial" w:hAnsi="Arial"/>
                <w:sz w:val="16"/>
                <w:szCs w:val="16"/>
                <w:color w:val="auto"/>
              </w:rPr>
              <w:t>11,559,708</w:t>
            </w:r>
          </w:p>
        </w:tc>
        <w:tc>
          <w:tcPr>
            <w:tcW w:w="10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120" w:type="dxa"/>
            <w:vAlign w:val="bottom"/>
            <w:gridSpan w:val="7"/>
          </w:tcPr>
          <w:p>
            <w:pPr>
              <w:ind w:left="20"/>
              <w:spacing w:after="0" w:line="162" w:lineRule="exact"/>
              <w:rPr>
                <w:sz w:val="20"/>
                <w:szCs w:val="20"/>
                <w:color w:val="auto"/>
              </w:rPr>
            </w:pPr>
            <w:r>
              <w:rPr>
                <w:rFonts w:ascii="Arial" w:cs="Arial" w:eastAsia="Arial" w:hAnsi="Arial"/>
                <w:sz w:val="16"/>
                <w:szCs w:val="16"/>
                <w:color w:val="auto"/>
              </w:rPr>
              <w:t>2014 Incentive Plan, as</w:t>
            </w:r>
          </w:p>
        </w:tc>
        <w:tc>
          <w:tcPr>
            <w:tcW w:w="1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directors,</w:t>
            </w:r>
          </w:p>
        </w:tc>
        <w:tc>
          <w:tcPr>
            <w:tcW w:w="2060" w:type="dxa"/>
            <w:vAlign w:val="bottom"/>
            <w:gridSpan w:val="6"/>
          </w:tcPr>
          <w:p>
            <w:pPr>
              <w:ind w:left="20"/>
              <w:spacing w:after="0" w:line="162" w:lineRule="exact"/>
              <w:rPr>
                <w:sz w:val="20"/>
                <w:szCs w:val="20"/>
                <w:color w:val="auto"/>
              </w:rPr>
            </w:pPr>
            <w:r>
              <w:rPr>
                <w:rFonts w:ascii="Arial" w:cs="Arial" w:eastAsia="Arial" w:hAnsi="Arial"/>
                <w:sz w:val="16"/>
                <w:szCs w:val="16"/>
                <w:color w:val="auto"/>
              </w:rPr>
              <w:t>stock appreciation rights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gridSpan w:val="7"/>
          </w:tcPr>
          <w:p>
            <w:pPr>
              <w:ind w:left="20"/>
              <w:spacing w:after="0" w:line="176" w:lineRule="exact"/>
              <w:rPr>
                <w:sz w:val="20"/>
                <w:szCs w:val="20"/>
                <w:color w:val="auto"/>
              </w:rPr>
            </w:pPr>
            <w:r>
              <w:rPr>
                <w:rFonts w:ascii="Arial" w:cs="Arial" w:eastAsia="Arial" w:hAnsi="Arial"/>
                <w:sz w:val="15"/>
                <w:szCs w:val="15"/>
                <w:color w:val="auto"/>
              </w:rPr>
              <w:t xml:space="preserve">amended </w:t>
            </w:r>
            <w:r>
              <w:rPr>
                <w:rFonts w:ascii="Arial" w:cs="Arial" w:eastAsia="Arial" w:hAnsi="Arial"/>
                <w:sz w:val="20"/>
                <w:szCs w:val="20"/>
                <w:color w:val="auto"/>
                <w:vertAlign w:val="superscript"/>
              </w:rPr>
              <w:t>(2) (3)</w:t>
            </w:r>
          </w:p>
        </w:tc>
        <w:tc>
          <w:tcPr>
            <w:tcW w:w="15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consultants and</w:t>
            </w:r>
          </w:p>
        </w:tc>
        <w:tc>
          <w:tcPr>
            <w:tcW w:w="2060" w:type="dxa"/>
            <w:vAlign w:val="bottom"/>
            <w:gridSpan w:val="6"/>
          </w:tcPr>
          <w:p>
            <w:pPr>
              <w:ind w:left="20"/>
              <w:spacing w:after="0" w:line="175" w:lineRule="exact"/>
              <w:rPr>
                <w:sz w:val="20"/>
                <w:szCs w:val="20"/>
                <w:color w:val="auto"/>
              </w:rPr>
            </w:pPr>
            <w:r>
              <w:rPr>
                <w:rFonts w:ascii="Arial" w:cs="Arial" w:eastAsia="Arial" w:hAnsi="Arial"/>
                <w:sz w:val="16"/>
                <w:szCs w:val="16"/>
                <w:color w:val="auto"/>
              </w:rPr>
              <w:t>(SARs) and performance</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gridSpan w:val="7"/>
          </w:tcPr>
          <w:p>
            <w:pPr>
              <w:ind w:left="20"/>
              <w:spacing w:after="0" w:line="142" w:lineRule="exact"/>
              <w:rPr>
                <w:sz w:val="20"/>
                <w:szCs w:val="20"/>
                <w:color w:val="auto"/>
              </w:rPr>
            </w:pPr>
            <w:r>
              <w:rPr>
                <w:rFonts w:ascii="Arial" w:cs="Arial" w:eastAsia="Arial" w:hAnsi="Arial"/>
                <w:sz w:val="16"/>
                <w:szCs w:val="16"/>
                <w:color w:val="auto"/>
              </w:rPr>
              <w:t>(the 2014 Plan)</w:t>
            </w:r>
          </w:p>
        </w:tc>
        <w:tc>
          <w:tcPr>
            <w:tcW w:w="154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advisors</w:t>
            </w:r>
          </w:p>
        </w:tc>
        <w:tc>
          <w:tcPr>
            <w:tcW w:w="80" w:type="dxa"/>
            <w:vAlign w:val="bottom"/>
            <w:gridSpan w:val="2"/>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w w:val="73"/>
              </w:rPr>
              <w:t>awards</w:t>
            </w:r>
          </w:p>
        </w:tc>
        <w:tc>
          <w:tcPr>
            <w:tcW w:w="1580" w:type="dxa"/>
            <w:vAlign w:val="bottom"/>
            <w:gridSpan w:val="3"/>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tcBorders>
              <w:left w:val="single" w:sz="8" w:color="DBDBDB"/>
            </w:tcBorders>
            <w:gridSpan w:val="7"/>
            <w:shd w:val="clear" w:color="auto" w:fill="DBDBDB"/>
          </w:tcPr>
          <w:p>
            <w:pPr>
              <w:ind w:left="20"/>
              <w:spacing w:after="0" w:line="162" w:lineRule="exact"/>
              <w:rPr>
                <w:sz w:val="20"/>
                <w:szCs w:val="20"/>
                <w:color w:val="auto"/>
              </w:rPr>
            </w:pPr>
            <w:r>
              <w:rPr>
                <w:rFonts w:ascii="Arial" w:cs="Arial" w:eastAsia="Arial" w:hAnsi="Arial"/>
                <w:sz w:val="16"/>
                <w:szCs w:val="16"/>
                <w:color w:val="auto"/>
              </w:rPr>
              <w:t>Akebia Therapeutics, Inc.</w:t>
            </w: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Employees,</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Stock options, SARs,</w:t>
            </w:r>
          </w:p>
        </w:tc>
        <w:tc>
          <w:tcPr>
            <w:tcW w:w="1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16,012,464</w:t>
            </w: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23,453,714</w:t>
            </w: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10,390,642</w:t>
            </w: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11,340,648</w:t>
            </w:r>
          </w:p>
        </w:tc>
        <w:tc>
          <w:tcPr>
            <w:tcW w:w="0" w:type="dxa"/>
            <w:vAlign w:val="bottom"/>
          </w:tcPr>
          <w:p>
            <w:pPr>
              <w:spacing w:after="0"/>
              <w:rPr>
                <w:sz w:val="1"/>
                <w:szCs w:val="1"/>
                <w:color w:val="auto"/>
              </w:rPr>
            </w:pPr>
          </w:p>
        </w:tc>
      </w:tr>
      <w:tr>
        <w:trPr>
          <w:trHeight w:val="162"/>
        </w:trPr>
        <w:tc>
          <w:tcPr>
            <w:tcW w:w="2120" w:type="dxa"/>
            <w:vAlign w:val="bottom"/>
            <w:tcBorders>
              <w:left w:val="single" w:sz="8" w:color="DBDBDB"/>
            </w:tcBorders>
            <w:gridSpan w:val="7"/>
            <w:shd w:val="clear" w:color="auto" w:fill="DBDBDB"/>
          </w:tcPr>
          <w:p>
            <w:pPr>
              <w:ind w:left="20"/>
              <w:spacing w:after="0" w:line="162" w:lineRule="exact"/>
              <w:rPr>
                <w:sz w:val="20"/>
                <w:szCs w:val="20"/>
                <w:color w:val="auto"/>
              </w:rPr>
            </w:pPr>
            <w:r>
              <w:rPr>
                <w:rFonts w:ascii="Arial" w:cs="Arial" w:eastAsia="Arial" w:hAnsi="Arial"/>
                <w:sz w:val="16"/>
                <w:szCs w:val="16"/>
                <w:color w:val="auto"/>
              </w:rPr>
              <w:t>2023 Stock Incentive Plan,</w:t>
            </w: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officers, directors,</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restricted stock,</w:t>
            </w: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tcBorders>
              <w:left w:val="single" w:sz="8" w:color="DBDBDB"/>
            </w:tcBorders>
            <w:gridSpan w:val="7"/>
            <w:shd w:val="clear" w:color="auto" w:fill="DBDBDB"/>
          </w:tcPr>
          <w:p>
            <w:pPr>
              <w:ind w:left="20"/>
              <w:spacing w:after="0" w:line="176" w:lineRule="exact"/>
              <w:rPr>
                <w:sz w:val="20"/>
                <w:szCs w:val="20"/>
                <w:color w:val="auto"/>
              </w:rPr>
            </w:pPr>
            <w:r>
              <w:rPr>
                <w:rFonts w:ascii="Arial" w:cs="Arial" w:eastAsia="Arial" w:hAnsi="Arial"/>
                <w:sz w:val="15"/>
                <w:szCs w:val="15"/>
                <w:color w:val="auto"/>
              </w:rPr>
              <w:t>as amended</w:t>
            </w:r>
            <w:r>
              <w:rPr>
                <w:rFonts w:ascii="Arial" w:cs="Arial" w:eastAsia="Arial" w:hAnsi="Arial"/>
                <w:sz w:val="20"/>
                <w:szCs w:val="20"/>
                <w:color w:val="auto"/>
                <w:vertAlign w:val="superscript"/>
              </w:rPr>
              <w:t>(3) (4)</w:t>
            </w:r>
            <w:r>
              <w:rPr>
                <w:rFonts w:ascii="Arial" w:cs="Arial" w:eastAsia="Arial" w:hAnsi="Arial"/>
                <w:sz w:val="15"/>
                <w:szCs w:val="15"/>
                <w:color w:val="auto"/>
              </w:rPr>
              <w:t xml:space="preserve"> (the 2023</w:t>
            </w:r>
          </w:p>
        </w:tc>
        <w:tc>
          <w:tcPr>
            <w:tcW w:w="1540" w:type="dxa"/>
            <w:vAlign w:val="bottom"/>
            <w:gridSpan w:val="2"/>
            <w:shd w:val="clear" w:color="auto" w:fill="DBDBDB"/>
          </w:tcPr>
          <w:p>
            <w:pPr>
              <w:ind w:left="20"/>
              <w:spacing w:after="0" w:line="175" w:lineRule="exact"/>
              <w:rPr>
                <w:sz w:val="20"/>
                <w:szCs w:val="20"/>
                <w:color w:val="auto"/>
              </w:rPr>
            </w:pPr>
            <w:r>
              <w:rPr>
                <w:rFonts w:ascii="Arial" w:cs="Arial" w:eastAsia="Arial" w:hAnsi="Arial"/>
                <w:sz w:val="16"/>
                <w:szCs w:val="16"/>
                <w:color w:val="auto"/>
              </w:rPr>
              <w:t>consultants and</w:t>
            </w:r>
          </w:p>
        </w:tc>
        <w:tc>
          <w:tcPr>
            <w:tcW w:w="2060" w:type="dxa"/>
            <w:vAlign w:val="bottom"/>
            <w:gridSpan w:val="6"/>
            <w:shd w:val="clear" w:color="auto" w:fill="DBDBDB"/>
          </w:tcPr>
          <w:p>
            <w:pPr>
              <w:ind w:left="20"/>
              <w:spacing w:after="0" w:line="175" w:lineRule="exact"/>
              <w:rPr>
                <w:sz w:val="20"/>
                <w:szCs w:val="20"/>
                <w:color w:val="auto"/>
              </w:rPr>
            </w:pPr>
            <w:r>
              <w:rPr>
                <w:rFonts w:ascii="Arial" w:cs="Arial" w:eastAsia="Arial" w:hAnsi="Arial"/>
                <w:sz w:val="16"/>
                <w:szCs w:val="16"/>
                <w:color w:val="auto"/>
              </w:rPr>
              <w:t>unrestricted stock, RSUs,</w:t>
            </w: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DBDBDB"/>
              <w:left w:val="single" w:sz="8" w:color="DBDBDB"/>
            </w:tcBorders>
            <w:gridSpan w:val="4"/>
            <w:shd w:val="clear" w:color="auto" w:fill="DBDBDB"/>
          </w:tcPr>
          <w:p>
            <w:pPr>
              <w:ind w:left="20"/>
              <w:spacing w:after="0" w:line="142" w:lineRule="exact"/>
              <w:rPr>
                <w:sz w:val="20"/>
                <w:szCs w:val="20"/>
                <w:color w:val="auto"/>
              </w:rPr>
            </w:pPr>
            <w:r>
              <w:rPr>
                <w:rFonts w:ascii="Arial" w:cs="Arial" w:eastAsia="Arial" w:hAnsi="Arial"/>
                <w:sz w:val="16"/>
                <w:szCs w:val="16"/>
                <w:color w:val="auto"/>
              </w:rPr>
              <w:t>Plan)</w:t>
            </w:r>
          </w:p>
        </w:tc>
        <w:tc>
          <w:tcPr>
            <w:tcW w:w="36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DBDBDB"/>
            </w:tcBorders>
            <w:gridSpan w:val="2"/>
            <w:shd w:val="clear" w:color="auto" w:fill="DBDBDB"/>
          </w:tcPr>
          <w:p>
            <w:pPr>
              <w:spacing w:after="0"/>
              <w:rPr>
                <w:sz w:val="12"/>
                <w:szCs w:val="12"/>
                <w:color w:val="auto"/>
              </w:rPr>
            </w:pPr>
          </w:p>
        </w:tc>
        <w:tc>
          <w:tcPr>
            <w:tcW w:w="1540" w:type="dxa"/>
            <w:vAlign w:val="bottom"/>
            <w:tcBorders>
              <w:top w:val="single" w:sz="8" w:color="DBDBDB"/>
            </w:tcBorders>
            <w:gridSpan w:val="2"/>
            <w:shd w:val="clear" w:color="auto" w:fill="DBDBDB"/>
          </w:tcPr>
          <w:p>
            <w:pPr>
              <w:ind w:left="20"/>
              <w:spacing w:after="0" w:line="142" w:lineRule="exact"/>
              <w:rPr>
                <w:sz w:val="20"/>
                <w:szCs w:val="20"/>
                <w:color w:val="auto"/>
              </w:rPr>
            </w:pPr>
            <w:r>
              <w:rPr>
                <w:rFonts w:ascii="Arial" w:cs="Arial" w:eastAsia="Arial" w:hAnsi="Arial"/>
                <w:sz w:val="16"/>
                <w:szCs w:val="16"/>
                <w:color w:val="auto"/>
              </w:rPr>
              <w:t>advisors</w:t>
            </w:r>
          </w:p>
        </w:tc>
        <w:tc>
          <w:tcPr>
            <w:tcW w:w="2060" w:type="dxa"/>
            <w:vAlign w:val="bottom"/>
            <w:tcBorders>
              <w:top w:val="single" w:sz="8" w:color="DBDBDB"/>
            </w:tcBorders>
            <w:gridSpan w:val="6"/>
            <w:shd w:val="clear" w:color="auto" w:fill="DBDBDB"/>
          </w:tcPr>
          <w:p>
            <w:pPr>
              <w:ind w:left="20"/>
              <w:spacing w:after="0" w:line="142" w:lineRule="exact"/>
              <w:rPr>
                <w:sz w:val="20"/>
                <w:szCs w:val="20"/>
                <w:color w:val="auto"/>
              </w:rPr>
            </w:pPr>
            <w:r>
              <w:rPr>
                <w:rFonts w:ascii="Arial" w:cs="Arial" w:eastAsia="Arial" w:hAnsi="Arial"/>
                <w:sz w:val="16"/>
                <w:szCs w:val="16"/>
                <w:color w:val="auto"/>
              </w:rPr>
              <w:t>performance awards,</w:t>
            </w:r>
          </w:p>
        </w:tc>
        <w:tc>
          <w:tcPr>
            <w:tcW w:w="130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32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DBDBDB"/>
            </w:tcBorders>
            <w:shd w:val="clear" w:color="auto" w:fill="DBDBDB"/>
          </w:tcPr>
          <w:p>
            <w:pPr>
              <w:spacing w:after="0"/>
              <w:rPr>
                <w:sz w:val="12"/>
                <w:szCs w:val="12"/>
                <w:color w:val="auto"/>
              </w:rPr>
            </w:pPr>
          </w:p>
        </w:tc>
        <w:tc>
          <w:tcPr>
            <w:tcW w:w="132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300" w:type="dxa"/>
            <w:vAlign w:val="bottom"/>
            <w:tcBorders>
              <w:top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DBDBDB"/>
            </w:tcBorders>
            <w:gridSpan w:val="2"/>
            <w:shd w:val="clear" w:color="auto" w:fill="000000"/>
          </w:tcPr>
          <w:p>
            <w:pPr>
              <w:spacing w:after="0" w:line="20" w:lineRule="exact"/>
              <w:rPr>
                <w:sz w:val="1"/>
                <w:szCs w:val="1"/>
                <w:color w:val="auto"/>
              </w:rPr>
            </w:pPr>
          </w:p>
        </w:tc>
        <w:tc>
          <w:tcPr>
            <w:tcW w:w="1760" w:type="dxa"/>
            <w:vAlign w:val="bottom"/>
            <w:gridSpan w:val="5"/>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2060" w:type="dxa"/>
            <w:vAlign w:val="bottom"/>
            <w:gridSpan w:val="6"/>
            <w:vMerge w:val="restart"/>
            <w:shd w:val="clear" w:color="auto" w:fill="DBDBDB"/>
          </w:tcPr>
          <w:p>
            <w:pPr>
              <w:ind w:left="20"/>
              <w:spacing w:after="0" w:line="148" w:lineRule="exact"/>
              <w:rPr>
                <w:sz w:val="20"/>
                <w:szCs w:val="20"/>
                <w:color w:val="auto"/>
              </w:rPr>
            </w:pPr>
            <w:r>
              <w:rPr>
                <w:rFonts w:ascii="Arial" w:cs="Arial" w:eastAsia="Arial" w:hAnsi="Arial"/>
                <w:sz w:val="16"/>
                <w:szCs w:val="16"/>
                <w:color w:val="auto"/>
              </w:rPr>
              <w:t>other share-based awards</w:t>
            </w:r>
          </w:p>
        </w:tc>
        <w:tc>
          <w:tcPr>
            <w:tcW w:w="130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3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tcBorders>
              <w:left w:val="single" w:sz="8" w:color="DBDBDB"/>
            </w:tcBorders>
            <w:gridSpan w:val="7"/>
            <w:shd w:val="clear" w:color="auto" w:fill="DBDBDB"/>
          </w:tcPr>
          <w:p>
            <w:pPr>
              <w:ind w:left="20"/>
              <w:spacing w:after="0" w:line="129" w:lineRule="exact"/>
              <w:rPr>
                <w:sz w:val="20"/>
                <w:szCs w:val="20"/>
                <w:color w:val="auto"/>
              </w:rPr>
            </w:pPr>
            <w:r>
              <w:rPr>
                <w:rFonts w:ascii="Arial" w:cs="Arial" w:eastAsia="Arial" w:hAnsi="Arial"/>
                <w:sz w:val="14"/>
                <w:szCs w:val="14"/>
                <w:i w:val="1"/>
                <w:iCs w:val="1"/>
                <w:color w:val="auto"/>
              </w:rPr>
              <w:t>(replaced 2014 Plan)</w:t>
            </w:r>
          </w:p>
        </w:tc>
        <w:tc>
          <w:tcPr>
            <w:tcW w:w="14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60" w:type="dxa"/>
            <w:vAlign w:val="bottom"/>
            <w:gridSpan w:val="6"/>
            <w:vMerge w:val="continue"/>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00" w:type="dxa"/>
            <w:vAlign w:val="bottom"/>
            <w:tcBorders>
              <w:left w:val="single" w:sz="8" w:color="DBDBDB"/>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2060" w:type="dxa"/>
            <w:vAlign w:val="bottom"/>
            <w:tcBorders>
              <w:bottom w:val="single" w:sz="8" w:color="auto"/>
            </w:tcBorders>
            <w:gridSpan w:val="6"/>
            <w:shd w:val="clear" w:color="auto" w:fill="DBDBDB"/>
          </w:tcPr>
          <w:p>
            <w:pPr>
              <w:ind w:left="20"/>
              <w:spacing w:after="0"/>
              <w:rPr>
                <w:sz w:val="20"/>
                <w:szCs w:val="20"/>
                <w:color w:val="auto"/>
              </w:rPr>
            </w:pPr>
            <w:r>
              <w:rPr>
                <w:rFonts w:ascii="Arial" w:cs="Arial" w:eastAsia="Arial" w:hAnsi="Arial"/>
                <w:sz w:val="16"/>
                <w:szCs w:val="16"/>
                <w:color w:val="auto"/>
              </w:rPr>
              <w:t>and dividend equivalents</w:t>
            </w:r>
          </w:p>
        </w:tc>
        <w:tc>
          <w:tcPr>
            <w:tcW w:w="130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3" w:lineRule="auto"/>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Keryx Equity Plans consist of the Keryx Biopharmaceuticals, Inc. 1999 Share Option Plan, as amended, the 2004 Long-Term Incentive Plan, as amended, the Keryx Biopharmaceuticals, Inc. 2007 Incentive Plan, the Keryx Biopharmaceuticals Inc. Amended and Restated 2013 Incentive Plan and the Keryx Biopharmaceuticals, Inc. 2018 Equity Incentive Plan.</w:t>
      </w:r>
    </w:p>
    <w:p>
      <w:pPr>
        <w:spacing w:after="0" w:line="51" w:lineRule="exact"/>
        <w:rPr>
          <w:rFonts w:ascii="Arial" w:cs="Arial" w:eastAsia="Arial" w:hAnsi="Arial"/>
          <w:sz w:val="14"/>
          <w:szCs w:val="14"/>
          <w:color w:val="auto"/>
        </w:rPr>
      </w:pPr>
    </w:p>
    <w:p>
      <w:pPr>
        <w:ind w:left="380" w:hanging="372"/>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New awards are no longer being granted under these plans.</w:t>
      </w:r>
    </w:p>
    <w:p>
      <w:pPr>
        <w:spacing w:after="0" w:line="122" w:lineRule="exact"/>
        <w:rPr>
          <w:rFonts w:ascii="Arial" w:cs="Arial" w:eastAsia="Arial" w:hAnsi="Arial"/>
          <w:sz w:val="14"/>
          <w:szCs w:val="14"/>
          <w:color w:val="auto"/>
        </w:rPr>
      </w:pPr>
    </w:p>
    <w:p>
      <w:pPr>
        <w:jc w:val="both"/>
        <w:ind w:left="340" w:hanging="332"/>
        <w:spacing w:after="0" w:line="276"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table includes inducement awards that are subject to the terms and conditions of the applicable plan but were granted as inducement awards consistent with Nasdaq Listing Rule 5635(c)(4) and not under the applicable plan: 1,089,025 options included as outstanding under the 2014 Plan in the table and 2,556,763 options included as outstanding under the 2023 Plan in the table as of June 30, 2025 and 1,151,127 options included as outstanding under the 2014 Plan and 2,534,775 options included as outstanding under the 2023 Plan in the table as of December 31, 2024.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June 10, 2025, the 2023 Plan was amended to increase the number of shares of common stock available for issuance thereunder by 18,900,000 shares.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Options and Stock Appreciation Rights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2025, the Company issued 3,634,400 options to employees and 375,200 options to directors under the 2023 Plan. Options and SARs granted by the Company generally vest over periods of between 12 and 48 months, subject, in each case, to the individual’s continued service through the applicable vesting date. Options and SARs generally vest either 100% on the first anniversary of the grant date or in installments of (i) 25% at the one year anniversary and (ii) 12 equal quarterly installments beginning after the one year anniversary of the grant date, subject to the individual’s continuous service with the Company. Options and SARs generally expire ten years after the date of grant.</w:t>
      </w:r>
    </w:p>
    <w:p>
      <w:pPr>
        <w:sectPr>
          <w:pgSz w:w="11900" w:h="16838" w:orient="portrait"/>
          <w:cols w:equalWidth="0" w:num="1">
            <w:col w:w="11240"/>
          </w:cols>
          <w:pgMar w:left="320" w:top="229" w:right="339" w:bottom="108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08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maintains an inducement award program with a share pool that is separate from the Company's equity plans under which inducement awards may be granted consistent with Nasdaq Listing Rule 5635(c)(4). During the six months ended June 30, 2025, the Company granted 644,413 options to purchase shares of the Company’s common stock to new hires as inducements to such employees entering into employment with the Company, of which 605,213 options remained outstanding as of June 30, 2025.</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grants annual service-based stock options to employees and directors and SARs to certain executives under the 2023 Plan and previously granted options to employees and directors under the 2014 Plan. In addition, the Company issues stock options to directors, new hires and occasionally to other employees not in connection with the annual grant process.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the Company grants performance-based stock options which generally vest in connection with the achievement of specified commercial, regulatory and corporate milestones. The performance-based stock options also generally feature a time-based vesting component. The expense recognized for these awards is based on the grant date fair value of the Company’s common stock multiplied by the number of options granted and recognized over time based on the probability of meeting such commercial, regulatory and corporate milestones.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combined stock option activity for the six months ended June 30, 2025,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5"/>
                <w:szCs w:val="15"/>
                <w:color w:val="auto"/>
              </w:rPr>
            </w:pPr>
          </w:p>
        </w:tc>
        <w:tc>
          <w:tcPr>
            <w:tcW w:w="162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Weighted-Average</w:t>
            </w:r>
          </w:p>
        </w:tc>
        <w:tc>
          <w:tcPr>
            <w:tcW w:w="16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7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Life</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Exercise Price</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Value (in thousands)</w:t>
            </w:r>
          </w:p>
        </w:tc>
        <w:tc>
          <w:tcPr>
            <w:tcW w:w="0" w:type="dxa"/>
            <w:vAlign w:val="bottom"/>
          </w:tcPr>
          <w:p>
            <w:pPr>
              <w:spacing w:after="0"/>
              <w:rPr>
                <w:sz w:val="1"/>
                <w:szCs w:val="1"/>
                <w:color w:val="auto"/>
              </w:rPr>
            </w:pPr>
          </w:p>
        </w:tc>
      </w:tr>
      <w:tr>
        <w:trPr>
          <w:trHeight w:val="210"/>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 at December 31, 2024</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16,684,325</w:t>
            </w:r>
          </w:p>
        </w:tc>
        <w:tc>
          <w:tcPr>
            <w:tcW w:w="14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DBDBDB"/>
            </w:tcBorders>
            <w:shd w:val="clear" w:color="auto" w:fill="DBDBDB"/>
          </w:tcPr>
          <w:p>
            <w:pPr>
              <w:spacing w:after="0"/>
              <w:rPr>
                <w:sz w:val="18"/>
                <w:szCs w:val="18"/>
                <w:color w:val="auto"/>
              </w:rPr>
            </w:pPr>
          </w:p>
        </w:tc>
        <w:tc>
          <w:tcPr>
            <w:tcW w:w="1640" w:type="dxa"/>
            <w:vAlign w:val="bottom"/>
            <w:tcBorders>
              <w:top w:val="single" w:sz="8" w:color="auto"/>
            </w:tcBorders>
            <w:shd w:val="clear" w:color="auto" w:fill="DBDBDB"/>
          </w:tcPr>
          <w:p>
            <w:pPr>
              <w:ind w:left="860"/>
              <w:spacing w:after="0"/>
              <w:rPr>
                <w:sz w:val="20"/>
                <w:szCs w:val="20"/>
                <w:color w:val="auto"/>
              </w:rPr>
            </w:pPr>
            <w:r>
              <w:rPr>
                <w:rFonts w:ascii="Arial" w:cs="Arial" w:eastAsia="Arial" w:hAnsi="Arial"/>
                <w:sz w:val="16"/>
                <w:szCs w:val="16"/>
                <w:color w:val="auto"/>
              </w:rPr>
              <w:t>7.17 years</w:t>
            </w:r>
          </w:p>
        </w:tc>
        <w:tc>
          <w:tcPr>
            <w:tcW w:w="80" w:type="dxa"/>
            <w:vAlign w:val="bottom"/>
            <w:tcBorders>
              <w:top w:val="single" w:sz="8" w:color="DBDBDB"/>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4,654,013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7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Exercised</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(720,321)</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DBDBDB"/>
          </w:tcPr>
          <w:p>
            <w:pPr>
              <w:spacing w:after="0"/>
              <w:rPr>
                <w:sz w:val="18"/>
                <w:szCs w:val="18"/>
                <w:color w:val="auto"/>
              </w:rPr>
            </w:pPr>
          </w:p>
        </w:tc>
        <w:tc>
          <w:tcPr>
            <w:tcW w:w="1720" w:type="dxa"/>
            <w:vAlign w:val="bottom"/>
            <w:gridSpan w:val="2"/>
            <w:shd w:val="clear" w:color="auto" w:fill="DBDBDB"/>
          </w:tcPr>
          <w:p>
            <w:pPr>
              <w:ind w:left="1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Expired</w:t>
            </w:r>
          </w:p>
        </w:tc>
        <w:tc>
          <w:tcPr>
            <w:tcW w:w="1620" w:type="dxa"/>
            <w:vAlign w:val="bottom"/>
          </w:tcPr>
          <w:p>
            <w:pPr>
              <w:jc w:val="right"/>
              <w:spacing w:after="0"/>
              <w:rPr>
                <w:sz w:val="20"/>
                <w:szCs w:val="20"/>
                <w:color w:val="auto"/>
              </w:rPr>
            </w:pPr>
            <w:r>
              <w:rPr>
                <w:rFonts w:ascii="Arial" w:cs="Arial" w:eastAsia="Arial" w:hAnsi="Arial"/>
                <w:sz w:val="16"/>
                <w:szCs w:val="16"/>
                <w:color w:val="auto"/>
              </w:rPr>
              <w:t>(279,600)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17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Canceled and forfeited</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(1,105,629)</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DBDBDB"/>
          </w:tcPr>
          <w:p>
            <w:pPr>
              <w:spacing w:after="0"/>
              <w:rPr>
                <w:sz w:val="18"/>
                <w:szCs w:val="18"/>
                <w:color w:val="auto"/>
              </w:rPr>
            </w:pPr>
          </w:p>
        </w:tc>
        <w:tc>
          <w:tcPr>
            <w:tcW w:w="1720" w:type="dxa"/>
            <w:vAlign w:val="bottom"/>
            <w:gridSpan w:val="2"/>
            <w:shd w:val="clear" w:color="auto" w:fill="DBDBDB"/>
          </w:tcPr>
          <w:p>
            <w:pPr>
              <w:ind w:left="1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color w:val="auto"/>
              </w:rPr>
              <w:t>Outstanding at June 30, 2025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19,232,788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1720" w:type="dxa"/>
            <w:vAlign w:val="bottom"/>
            <w:gridSpan w:val="2"/>
          </w:tcPr>
          <w:p>
            <w:pPr>
              <w:ind w:left="860"/>
              <w:spacing w:after="0"/>
              <w:rPr>
                <w:sz w:val="20"/>
                <w:szCs w:val="20"/>
                <w:color w:val="auto"/>
              </w:rPr>
            </w:pPr>
            <w:r>
              <w:rPr>
                <w:rFonts w:ascii="Arial" w:cs="Arial" w:eastAsia="Arial" w:hAnsi="Arial"/>
                <w:sz w:val="16"/>
                <w:szCs w:val="16"/>
                <w:color w:val="auto"/>
              </w:rPr>
              <w:t>7.09 years</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28,382</w:t>
            </w:r>
          </w:p>
        </w:tc>
        <w:tc>
          <w:tcPr>
            <w:tcW w:w="0" w:type="dxa"/>
            <w:vAlign w:val="bottom"/>
          </w:tcPr>
          <w:p>
            <w:pPr>
              <w:spacing w:after="0"/>
              <w:rPr>
                <w:sz w:val="1"/>
                <w:szCs w:val="1"/>
                <w:color w:val="auto"/>
              </w:rPr>
            </w:pPr>
          </w:p>
        </w:tc>
      </w:tr>
      <w:tr>
        <w:trPr>
          <w:trHeight w:val="20"/>
        </w:trPr>
        <w:tc>
          <w:tcPr>
            <w:tcW w:w="412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5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Exercisable at June 30, 2025</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10,087,967</w:t>
            </w:r>
          </w:p>
        </w:tc>
        <w:tc>
          <w:tcPr>
            <w:tcW w:w="2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DBDBDB"/>
            </w:tcBorders>
            <w:shd w:val="clear" w:color="auto" w:fill="DBDBDB"/>
          </w:tcPr>
          <w:p>
            <w:pPr>
              <w:spacing w:after="0"/>
              <w:rPr>
                <w:sz w:val="20"/>
                <w:szCs w:val="20"/>
                <w:color w:val="auto"/>
              </w:rPr>
            </w:pPr>
          </w:p>
        </w:tc>
        <w:tc>
          <w:tcPr>
            <w:tcW w:w="1720" w:type="dxa"/>
            <w:vAlign w:val="bottom"/>
            <w:tcBorders>
              <w:bottom w:val="single" w:sz="8" w:color="DBDBDB"/>
            </w:tcBorders>
            <w:gridSpan w:val="2"/>
            <w:shd w:val="clear" w:color="auto" w:fill="DBDBDB"/>
          </w:tcPr>
          <w:p>
            <w:pPr>
              <w:ind w:left="860"/>
              <w:spacing w:after="0"/>
              <w:rPr>
                <w:sz w:val="20"/>
                <w:szCs w:val="20"/>
                <w:color w:val="auto"/>
              </w:rPr>
            </w:pPr>
            <w:r>
              <w:rPr>
                <w:rFonts w:ascii="Arial" w:cs="Arial" w:eastAsia="Arial" w:hAnsi="Arial"/>
                <w:sz w:val="16"/>
                <w:szCs w:val="16"/>
                <w:color w:val="auto"/>
              </w:rPr>
              <w:t>5.38 years</w:t>
            </w:r>
          </w:p>
        </w:tc>
        <w:tc>
          <w:tcPr>
            <w:tcW w:w="600" w:type="dxa"/>
            <w:vAlign w:val="bottom"/>
            <w:tcBorders>
              <w:bottom w:val="single" w:sz="8" w:color="DBDBDB"/>
            </w:tcBorders>
            <w:shd w:val="clear" w:color="auto" w:fill="DBDBDB"/>
          </w:tcPr>
          <w:p>
            <w:pPr>
              <w:spacing w:after="0"/>
              <w:rPr>
                <w:sz w:val="20"/>
                <w:szCs w:val="20"/>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there was approximately $13.5 million of unrecognized compensation costs related to stock options, which is expected to be recognized over a weighted average period of 2.89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RSUs granted by the Company vest in one of the following ways: (i) 100% of each RSU grant vests on the first anniversary of the grant date, (ii) one third of each RSU grant vests on the first, second and third anniversaries of the grant date, or (iii) one third of each RSU grant vests on the first anniversary of the grant date and the remaining two thirds vests in eight substantially equal quarterly installments beginning after the one year anniversary, subject, in each case, to the individual’s continued service through the applicable vesting date. The grant-date fair value of the RSUs is recognized as expense on a straight-line basis. The Company determines the fair value of the RSUs based on the closing price of the common stock on the date of the grants.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also periodically grants performance-based restricted stock units, or </w:t>
      </w:r>
      <w:r>
        <w:rPr>
          <w:rFonts w:ascii="Arial" w:cs="Arial" w:eastAsia="Arial" w:hAnsi="Arial"/>
          <w:sz w:val="18"/>
          <w:szCs w:val="18"/>
          <w:u w:val="single" w:color="auto"/>
          <w:color w:val="auto"/>
        </w:rPr>
        <w:t>PSUs</w:t>
      </w:r>
      <w:r>
        <w:rPr>
          <w:rFonts w:ascii="Arial" w:cs="Arial" w:eastAsia="Arial" w:hAnsi="Arial"/>
          <w:sz w:val="18"/>
          <w:szCs w:val="18"/>
          <w:color w:val="auto"/>
        </w:rPr>
        <w:t>, to employees under the 2023 Plan and previously granted PSUs under the 2014 Plan. The PSUs granted by the Company generally vest in connection with the achievement of specified commercial, regulatory and corporate milestones. The PSUs also generally feature a time-based vesting component. The expense recognized for these awards is based on the grant date fair value of the Company’s common stock multiplied by the number of units granted and recognized over time based on the probability of meeting such commercial, regulatory and corporate milestones.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Company has granted PSUs to certain employees under the 2023 Plan with a market condition. The PSUs also generally feature a time-based vesting component. The Company uses a Monte Carlo simulation to determine fair value of the award at the grant date. The expense recognized for these awards is based on the calculated fair value multiplied by the number of the target units granted and is amortized over the service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RSU and PSU activity is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3460" w:type="dxa"/>
            <w:vAlign w:val="bottom"/>
            <w:gridSpan w:val="5"/>
          </w:tcPr>
          <w:p>
            <w:pPr>
              <w:ind w:left="1300"/>
              <w:spacing w:after="0"/>
              <w:rPr>
                <w:sz w:val="20"/>
                <w:szCs w:val="20"/>
                <w:color w:val="auto"/>
              </w:rPr>
            </w:pPr>
            <w:r>
              <w:rPr>
                <w:rFonts w:ascii="Arial" w:cs="Arial" w:eastAsia="Arial" w:hAnsi="Arial"/>
                <w:sz w:val="16"/>
                <w:szCs w:val="16"/>
                <w:b w:val="1"/>
                <w:bCs w:val="1"/>
                <w:color w:val="auto"/>
              </w:rPr>
              <w:t>2014 Plan</w:t>
            </w:r>
          </w:p>
        </w:tc>
        <w:tc>
          <w:tcPr>
            <w:tcW w:w="3420" w:type="dxa"/>
            <w:vAlign w:val="bottom"/>
            <w:gridSpan w:val="4"/>
          </w:tcPr>
          <w:p>
            <w:pPr>
              <w:jc w:val="right"/>
              <w:ind w:right="1259"/>
              <w:spacing w:after="0"/>
              <w:rPr>
                <w:sz w:val="20"/>
                <w:szCs w:val="20"/>
                <w:color w:val="auto"/>
              </w:rPr>
            </w:pPr>
            <w:r>
              <w:rPr>
                <w:rFonts w:ascii="Arial" w:cs="Arial" w:eastAsia="Arial" w:hAnsi="Arial"/>
                <w:sz w:val="16"/>
                <w:szCs w:val="16"/>
                <w:b w:val="1"/>
                <w:bCs w:val="1"/>
                <w:color w:val="auto"/>
              </w:rPr>
              <w:t>2023 Plan</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16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39"/>
              <w:spacing w:after="0" w:line="155" w:lineRule="exact"/>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3"/>
                <w:szCs w:val="13"/>
                <w:color w:val="auto"/>
              </w:rPr>
            </w:pPr>
          </w:p>
        </w:tc>
        <w:tc>
          <w:tcPr>
            <w:tcW w:w="16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Fair Value</w:t>
            </w:r>
          </w:p>
        </w:tc>
        <w:tc>
          <w:tcPr>
            <w:tcW w:w="1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Unvested as of December 31, 2024</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1,321,423</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top w:val="single" w:sz="8" w:color="DBDBDB"/>
            </w:tcBorders>
            <w:shd w:val="clear" w:color="auto" w:fill="DBDBDB"/>
          </w:tcPr>
          <w:p>
            <w:pPr>
              <w:spacing w:after="0"/>
              <w:rPr>
                <w:sz w:val="18"/>
                <w:szCs w:val="18"/>
                <w:color w:val="auto"/>
              </w:rPr>
            </w:pP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4,108,367</w:t>
            </w:r>
          </w:p>
        </w:tc>
        <w:tc>
          <w:tcPr>
            <w:tcW w:w="14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4,414,300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7"/>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Vested</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(728,846)</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(1,382,947)</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Forfeited and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(116,309)</w:t>
            </w:r>
          </w:p>
        </w:tc>
        <w:tc>
          <w:tcPr>
            <w:tcW w:w="22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(700,153)</w:t>
            </w:r>
          </w:p>
        </w:tc>
        <w:tc>
          <w:tcPr>
            <w:tcW w:w="24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Unvested as of June 30, 2025</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476,268</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DBDBDB"/>
            </w:tcBorders>
            <w:shd w:val="clear" w:color="auto" w:fill="DBDBDB"/>
          </w:tcPr>
          <w:p>
            <w:pPr>
              <w:spacing w:after="0"/>
              <w:rPr>
                <w:sz w:val="20"/>
                <w:szCs w:val="20"/>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6,439,567</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June 30, 2025, there was $11.3 million of unrecognized compensation costs related to time-based RSUs and PSUs, which is expected to be recognized over a weighted-average period of 2.08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June 6, 2019, the Company's stockholders approved the Amended and Restated 2014 Employee Stock Purchase Plan, or </w:t>
      </w:r>
      <w:r>
        <w:rPr>
          <w:rFonts w:ascii="Arial" w:cs="Arial" w:eastAsia="Arial" w:hAnsi="Arial"/>
          <w:sz w:val="18"/>
          <w:szCs w:val="18"/>
          <w:u w:val="single" w:color="auto"/>
          <w:color w:val="auto"/>
        </w:rPr>
        <w:t>ESPP</w:t>
      </w:r>
      <w:r>
        <w:rPr>
          <w:rFonts w:ascii="Arial" w:cs="Arial" w:eastAsia="Arial" w:hAnsi="Arial"/>
          <w:sz w:val="18"/>
          <w:szCs w:val="18"/>
          <w:color w:val="auto"/>
        </w:rPr>
        <w:t>. Under the ESPP, substantially all employees may voluntarily enroll to purchase shares of the Company’s common stock through payroll deductions at a price equal to 85% of the lower of the fair market values of the stock as of the beginning or the end of the six-month offering period. An employee's payroll deductions under the ESPP are limited to 15% of the employee's compensation, and an employee may not purchase more than $25,000 worth of stock during any calendar year. In addition, an employee may not purchase more than 1,500 shares in any offering period. As of June 30, 2025 and December 31, 2024, a total of 4,354,707 and 4,448,069 shares of the Company’s common stock were available for future issuance under the ESPP, respectively. The Company issued 93,362 shares under the ESPP during the six months ended June 30,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Black-Scholes option pricing model is used to estimate the fair value of the stock options. The weighted-average assumptions used in calculating the fair values of the rights to acquire stock under the 2023 Plan, the 2014 Plan and inducement awards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Stock Options</w:t>
            </w:r>
          </w:p>
        </w:tc>
        <w:tc>
          <w:tcPr>
            <w:tcW w:w="1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Six Months Ended 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gridSpan w:val="2"/>
            <w:vMerge w:val="continue"/>
          </w:tcPr>
          <w:p>
            <w:pPr>
              <w:spacing w:after="0"/>
              <w:rPr>
                <w:sz w:val="18"/>
                <w:szCs w:val="18"/>
                <w:color w:val="auto"/>
              </w:rPr>
            </w:pPr>
          </w:p>
        </w:tc>
        <w:tc>
          <w:tcPr>
            <w:tcW w:w="1360" w:type="dxa"/>
            <w:vAlign w:val="bottom"/>
            <w:gridSpan w:val="2"/>
          </w:tcPr>
          <w:p>
            <w:pPr>
              <w:jc w:val="center"/>
              <w:ind w:left="799"/>
              <w:spacing w:after="0"/>
              <w:rPr>
                <w:sz w:val="20"/>
                <w:szCs w:val="20"/>
                <w:color w:val="auto"/>
              </w:rPr>
            </w:pPr>
            <w:r>
              <w:rPr>
                <w:rFonts w:ascii="Arial" w:cs="Arial" w:eastAsia="Arial" w:hAnsi="Arial"/>
                <w:sz w:val="16"/>
                <w:szCs w:val="16"/>
                <w:b w:val="1"/>
                <w:bCs w:val="1"/>
                <w:color w:val="auto"/>
              </w:rPr>
              <w:t>2025</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left="799"/>
              <w:spacing w:after="0"/>
              <w:rPr>
                <w:sz w:val="20"/>
                <w:szCs w:val="20"/>
                <w:color w:val="auto"/>
              </w:rPr>
            </w:pPr>
            <w:r>
              <w:rPr>
                <w:rFonts w:ascii="Arial" w:cs="Arial" w:eastAsia="Arial" w:hAnsi="Arial"/>
                <w:sz w:val="16"/>
                <w:szCs w:val="16"/>
                <w:b w:val="1"/>
                <w:bCs w:val="1"/>
                <w:color w:val="auto"/>
              </w:rPr>
              <w:t>2024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8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3.81 %</w:t>
            </w:r>
          </w:p>
        </w:tc>
        <w:tc>
          <w:tcPr>
            <w:tcW w:w="26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4.09%</w:t>
            </w:r>
          </w:p>
        </w:tc>
        <w:tc>
          <w:tcPr>
            <w:tcW w:w="120" w:type="dxa"/>
            <w:vAlign w:val="bottom"/>
            <w:tcBorders>
              <w:top w:val="single" w:sz="8" w:color="DBDBDB"/>
            </w:tcBorders>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4.24 %</w:t>
            </w:r>
          </w:p>
        </w:tc>
        <w:tc>
          <w:tcPr>
            <w:tcW w:w="24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4.66%</w:t>
            </w:r>
          </w:p>
        </w:tc>
        <w:tc>
          <w:tcPr>
            <w:tcW w:w="100" w:type="dxa"/>
            <w:vAlign w:val="bottom"/>
            <w:tcBorders>
              <w:top w:val="single" w:sz="8" w:color="DBDBDB"/>
            </w:tcBorders>
            <w:shd w:val="clear" w:color="auto" w:fill="DBDBDB"/>
          </w:tcPr>
          <w:p>
            <w:pPr>
              <w:spacing w:after="0"/>
              <w:rPr>
                <w:sz w:val="18"/>
                <w:szCs w:val="18"/>
                <w:color w:val="auto"/>
              </w:rPr>
            </w:pPr>
          </w:p>
        </w:tc>
        <w:tc>
          <w:tcPr>
            <w:tcW w:w="8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3.81%</w:t>
            </w:r>
          </w:p>
        </w:tc>
        <w:tc>
          <w:tcPr>
            <w:tcW w:w="42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4.38%</w:t>
            </w:r>
          </w:p>
        </w:tc>
        <w:tc>
          <w:tcPr>
            <w:tcW w:w="100" w:type="dxa"/>
            <w:vAlign w:val="bottom"/>
            <w:tcBorders>
              <w:top w:val="single" w:sz="8" w:color="DBDBDB"/>
            </w:tcBorders>
            <w:shd w:val="clear" w:color="auto" w:fill="DBDBDB"/>
          </w:tcPr>
          <w:p>
            <w:pPr>
              <w:spacing w:after="0"/>
              <w:rPr>
                <w:sz w:val="18"/>
                <w:szCs w:val="18"/>
                <w:color w:val="auto"/>
              </w:rPr>
            </w:pPr>
          </w:p>
        </w:tc>
        <w:tc>
          <w:tcPr>
            <w:tcW w:w="8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3.90%</w:t>
            </w:r>
          </w:p>
        </w:tc>
        <w:tc>
          <w:tcPr>
            <w:tcW w:w="42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5"/>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1100" w:type="dxa"/>
            <w:vAlign w:val="bottom"/>
          </w:tcPr>
          <w:p>
            <w:pPr>
              <w:jc w:val="right"/>
              <w:spacing w:after="0"/>
              <w:rPr>
                <w:sz w:val="20"/>
                <w:szCs w:val="20"/>
                <w:color w:val="auto"/>
              </w:rPr>
            </w:pPr>
            <w:r>
              <w:rPr>
                <w:rFonts w:ascii="Arial" w:cs="Arial" w:eastAsia="Arial" w:hAnsi="Arial"/>
                <w:sz w:val="16"/>
                <w:szCs w:val="16"/>
                <w:color w:val="auto"/>
              </w:rPr>
              <w:t>111.61 %</w:t>
            </w:r>
          </w:p>
        </w:tc>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123.58%</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109.98 %</w:t>
            </w:r>
          </w:p>
        </w:tc>
        <w:tc>
          <w:tcPr>
            <w:tcW w:w="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118.61%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111.61%</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123.58%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109.98%</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118.61%</w:t>
            </w:r>
          </w:p>
        </w:tc>
        <w:tc>
          <w:tcPr>
            <w:tcW w:w="0" w:type="dxa"/>
            <w:vAlign w:val="bottom"/>
          </w:tcPr>
          <w:p>
            <w:pPr>
              <w:spacing w:after="0"/>
              <w:rPr>
                <w:sz w:val="1"/>
                <w:szCs w:val="1"/>
                <w:color w:val="auto"/>
              </w:rPr>
            </w:pPr>
          </w:p>
        </w:tc>
      </w:tr>
      <w:tr>
        <w:trPr>
          <w:trHeight w:val="217"/>
        </w:trPr>
        <w:tc>
          <w:tcPr>
            <w:tcW w:w="21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Expected term (years)</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 years</w:t>
            </w:r>
          </w:p>
        </w:tc>
        <w:tc>
          <w:tcPr>
            <w:tcW w:w="26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6.25 years</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 years</w:t>
            </w:r>
          </w:p>
        </w:tc>
        <w:tc>
          <w:tcPr>
            <w:tcW w:w="2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6.25 years</w:t>
            </w:r>
          </w:p>
        </w:tc>
        <w:tc>
          <w:tcPr>
            <w:tcW w:w="860" w:type="dxa"/>
            <w:vAlign w:val="bottom"/>
            <w:shd w:val="clear" w:color="auto" w:fill="DBDBDB"/>
          </w:tcPr>
          <w:p>
            <w:pPr>
              <w:ind w:left="100"/>
              <w:spacing w:after="0"/>
              <w:rPr>
                <w:sz w:val="20"/>
                <w:szCs w:val="20"/>
                <w:color w:val="auto"/>
              </w:rPr>
            </w:pPr>
            <w:r>
              <w:rPr>
                <w:rFonts w:ascii="Arial" w:cs="Arial" w:eastAsia="Arial" w:hAnsi="Arial"/>
                <w:sz w:val="16"/>
                <w:szCs w:val="16"/>
                <w:color w:val="auto"/>
                <w:w w:val="98"/>
              </w:rPr>
              <w:t>5.51 years</w:t>
            </w:r>
          </w:p>
        </w:tc>
        <w:tc>
          <w:tcPr>
            <w:tcW w:w="4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6.25 years</w:t>
            </w:r>
          </w:p>
        </w:tc>
        <w:tc>
          <w:tcPr>
            <w:tcW w:w="860" w:type="dxa"/>
            <w:vAlign w:val="bottom"/>
            <w:shd w:val="clear" w:color="auto" w:fill="DBDBDB"/>
          </w:tcPr>
          <w:p>
            <w:pPr>
              <w:ind w:left="100"/>
              <w:spacing w:after="0"/>
              <w:rPr>
                <w:sz w:val="20"/>
                <w:szCs w:val="20"/>
                <w:color w:val="auto"/>
              </w:rPr>
            </w:pPr>
            <w:r>
              <w:rPr>
                <w:rFonts w:ascii="Arial" w:cs="Arial" w:eastAsia="Arial" w:hAnsi="Arial"/>
                <w:sz w:val="16"/>
                <w:szCs w:val="16"/>
                <w:color w:val="auto"/>
                <w:w w:val="98"/>
              </w:rPr>
              <w:t>5.51 years</w:t>
            </w:r>
          </w:p>
        </w:tc>
        <w:tc>
          <w:tcPr>
            <w:tcW w:w="4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DBDBDB"/>
          </w:tcPr>
          <w:p>
            <w:pPr>
              <w:spacing w:after="0"/>
              <w:rPr>
                <w:sz w:val="20"/>
                <w:szCs w:val="20"/>
                <w:color w:val="auto"/>
              </w:rPr>
            </w:pPr>
            <w:r>
              <w:rPr>
                <w:rFonts w:ascii="Arial" w:cs="Arial" w:eastAsia="Arial" w:hAnsi="Arial"/>
                <w:sz w:val="16"/>
                <w:szCs w:val="16"/>
                <w:color w:val="auto"/>
              </w:rPr>
              <w:t>6.25 years</w:t>
            </w:r>
          </w:p>
        </w:tc>
        <w:tc>
          <w:tcPr>
            <w:tcW w:w="0" w:type="dxa"/>
            <w:vAlign w:val="bottom"/>
          </w:tcPr>
          <w:p>
            <w:pPr>
              <w:spacing w:after="0"/>
              <w:rPr>
                <w:sz w:val="1"/>
                <w:szCs w:val="1"/>
                <w:color w:val="auto"/>
              </w:rPr>
            </w:pPr>
          </w:p>
        </w:tc>
      </w:tr>
      <w:tr>
        <w:trPr>
          <w:trHeight w:val="215"/>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360" w:type="dxa"/>
            <w:vAlign w:val="bottom"/>
            <w:gridSpan w:val="2"/>
          </w:tcPr>
          <w:p>
            <w:pPr>
              <w:jc w:val="center"/>
              <w:ind w:left="819"/>
              <w:spacing w:after="0"/>
              <w:rPr>
                <w:sz w:val="20"/>
                <w:szCs w:val="20"/>
                <w:color w:val="auto"/>
              </w:rPr>
            </w:pPr>
            <w:r>
              <w:rPr>
                <w:rFonts w:ascii="Arial" w:cs="Arial" w:eastAsia="Arial" w:hAnsi="Arial"/>
                <w:sz w:val="16"/>
                <w:szCs w:val="16"/>
                <w:color w:val="auto"/>
                <w:w w:val="99"/>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left="79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160" w:type="dxa"/>
            <w:vAlign w:val="bottom"/>
            <w:gridSpan w:val="2"/>
            <w:shd w:val="clear" w:color="auto" w:fill="DBDBDB"/>
          </w:tcPr>
          <w:p>
            <w:pPr>
              <w:ind w:left="20"/>
              <w:spacing w:after="0" w:line="163" w:lineRule="exact"/>
              <w:rPr>
                <w:sz w:val="20"/>
                <w:szCs w:val="20"/>
                <w:color w:val="auto"/>
              </w:rPr>
            </w:pPr>
            <w:r>
              <w:rPr>
                <w:rFonts w:ascii="Arial" w:cs="Arial" w:eastAsia="Arial" w:hAnsi="Arial"/>
                <w:sz w:val="16"/>
                <w:szCs w:val="16"/>
                <w:color w:val="auto"/>
              </w:rPr>
              <w:t>Weighted average grant</w:t>
            </w:r>
          </w:p>
        </w:tc>
        <w:tc>
          <w:tcPr>
            <w:tcW w:w="1360" w:type="dxa"/>
            <w:vAlign w:val="bottom"/>
            <w:gridSpan w:val="2"/>
            <w:vMerge w:val="restart"/>
            <w:shd w:val="clear" w:color="auto" w:fill="DBDBDB"/>
          </w:tcPr>
          <w:p>
            <w:pPr>
              <w:jc w:val="center"/>
              <w:ind w:left="819"/>
              <w:spacing w:after="0"/>
              <w:rPr>
                <w:sz w:val="20"/>
                <w:szCs w:val="20"/>
                <w:color w:val="auto"/>
              </w:rPr>
            </w:pPr>
            <w:r>
              <w:rPr>
                <w:rFonts w:ascii="Arial" w:cs="Arial" w:eastAsia="Arial" w:hAnsi="Arial"/>
                <w:sz w:val="16"/>
                <w:szCs w:val="16"/>
                <w:color w:val="auto"/>
              </w:rPr>
              <w:t>$2.99</w:t>
            </w:r>
          </w:p>
        </w:tc>
        <w:tc>
          <w:tcPr>
            <w:tcW w:w="8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360" w:type="dxa"/>
            <w:vAlign w:val="bottom"/>
            <w:gridSpan w:val="2"/>
            <w:vMerge w:val="restart"/>
            <w:shd w:val="clear" w:color="auto" w:fill="DBDBDB"/>
          </w:tcPr>
          <w:p>
            <w:pPr>
              <w:jc w:val="center"/>
              <w:ind w:left="799"/>
              <w:spacing w:after="0"/>
              <w:rPr>
                <w:sz w:val="20"/>
                <w:szCs w:val="20"/>
                <w:color w:val="auto"/>
              </w:rPr>
            </w:pPr>
            <w:r>
              <w:rPr>
                <w:rFonts w:ascii="Arial" w:cs="Arial" w:eastAsia="Arial" w:hAnsi="Arial"/>
                <w:sz w:val="16"/>
                <w:szCs w:val="16"/>
                <w:color w:val="auto"/>
                <w:w w:val="99"/>
              </w:rPr>
              <w:t>$0.91</w:t>
            </w:r>
          </w:p>
        </w:tc>
        <w:tc>
          <w:tcPr>
            <w:tcW w:w="8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4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$2.10</w:t>
            </w:r>
          </w:p>
        </w:tc>
        <w:tc>
          <w:tcPr>
            <w:tcW w:w="8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4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$1.35</w:t>
            </w:r>
          </w:p>
        </w:tc>
        <w:tc>
          <w:tcPr>
            <w:tcW w:w="8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date fair value</w:t>
            </w:r>
          </w:p>
        </w:tc>
        <w:tc>
          <w:tcPr>
            <w:tcW w:w="1360" w:type="dxa"/>
            <w:vAlign w:val="bottom"/>
            <w:gridSpan w:val="2"/>
            <w:vMerge w:val="continue"/>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60" w:type="dxa"/>
            <w:vAlign w:val="bottom"/>
            <w:gridSpan w:val="2"/>
            <w:vMerge w:val="continue"/>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420" w:type="dxa"/>
            <w:vAlign w:val="bottom"/>
            <w:vMerge w:val="continue"/>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420" w:type="dxa"/>
            <w:vAlign w:val="bottom"/>
            <w:vMerge w:val="continue"/>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160"/>
        <w:spacing w:after="0" w:line="276" w:lineRule="auto"/>
        <w:rPr>
          <w:sz w:val="20"/>
          <w:szCs w:val="20"/>
          <w:color w:val="auto"/>
        </w:rPr>
      </w:pPr>
      <w:r>
        <w:rPr>
          <w:rFonts w:ascii="Arial" w:cs="Arial" w:eastAsia="Arial" w:hAnsi="Arial"/>
          <w:sz w:val="18"/>
          <w:szCs w:val="18"/>
          <w:color w:val="auto"/>
        </w:rPr>
        <w:t>The Company has classified stock-based compensation in its unaudited condensed consolidated statements of operations and comprehensive income (loss)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8"/>
                <w:szCs w:val="18"/>
                <w:color w:val="auto"/>
              </w:rPr>
            </w:pPr>
          </w:p>
        </w:tc>
      </w:tr>
      <w:tr>
        <w:trPr>
          <w:trHeight w:val="210"/>
        </w:trPr>
        <w:tc>
          <w:tcPr>
            <w:tcW w:w="43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Cost of goods sold</w:t>
            </w:r>
          </w:p>
        </w:tc>
        <w:tc>
          <w:tcPr>
            <w:tcW w:w="1080" w:type="dxa"/>
            <w:vAlign w:val="bottom"/>
            <w:tcBorders>
              <w:top w:val="single" w:sz="8" w:color="auto"/>
            </w:tcBorders>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top w:val="single" w:sz="8" w:color="DBDBDB"/>
            </w:tcBorders>
            <w:shd w:val="clear" w:color="auto" w:fill="DBDBDB"/>
          </w:tcPr>
          <w:p>
            <w:pPr>
              <w:spacing w:after="0"/>
              <w:rPr>
                <w:sz w:val="18"/>
                <w:szCs w:val="18"/>
                <w:color w:val="auto"/>
              </w:rPr>
            </w:pPr>
          </w:p>
        </w:tc>
        <w:tc>
          <w:tcPr>
            <w:tcW w:w="1140" w:type="dxa"/>
            <w:vAlign w:val="bottom"/>
            <w:tcBorders>
              <w:top w:val="single" w:sz="8" w:color="auto"/>
            </w:tcBorders>
            <w:shd w:val="clear" w:color="auto" w:fill="DBDBDB"/>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top w:val="single" w:sz="8" w:color="DBDBDB"/>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080" w:type="dxa"/>
            <w:vAlign w:val="bottom"/>
            <w:tcBorders>
              <w:top w:val="single" w:sz="8" w:color="auto"/>
            </w:tcBorders>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217"/>
        </w:trPr>
        <w:tc>
          <w:tcPr>
            <w:tcW w:w="4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Selling, general and administrative</w:t>
            </w:r>
          </w:p>
        </w:tc>
        <w:tc>
          <w:tcPr>
            <w:tcW w:w="108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1,962</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1,593</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3,543</w:t>
            </w:r>
          </w:p>
        </w:tc>
        <w:tc>
          <w:tcPr>
            <w:tcW w:w="120" w:type="dxa"/>
            <w:vAlign w:val="bottom"/>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3,410</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10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5"/>
        </w:trPr>
        <w:tc>
          <w:tcPr>
            <w:tcW w:w="43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stock-based compensation</w:t>
            </w:r>
          </w:p>
        </w:tc>
        <w:tc>
          <w:tcPr>
            <w:tcW w:w="1080" w:type="dxa"/>
            <w:vAlign w:val="bottom"/>
            <w:tcBorders>
              <w:top w:val="single" w:sz="8" w:color="auto"/>
              <w:bottom w:val="single" w:sz="8" w:color="auto"/>
            </w:tcBorders>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2,676</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140" w:type="dxa"/>
            <w:vAlign w:val="bottom"/>
            <w:tcBorders>
              <w:top w:val="single" w:sz="8" w:color="auto"/>
              <w:bottom w:val="single" w:sz="8" w:color="auto"/>
            </w:tcBorders>
            <w:shd w:val="clear" w:color="auto" w:fill="DBDBDB"/>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Borders>
              <w:top w:val="single" w:sz="8" w:color="DBDBDB"/>
              <w:bottom w:val="single" w:sz="8" w:color="DBDBDB"/>
            </w:tcBorders>
            <w:shd w:val="clear" w:color="auto" w:fill="DBDBDB"/>
          </w:tcPr>
          <w:p>
            <w:pPr>
              <w:spacing w:after="0"/>
              <w:rPr>
                <w:sz w:val="19"/>
                <w:szCs w:val="19"/>
                <w:color w:val="auto"/>
              </w:rPr>
            </w:pPr>
          </w:p>
        </w:tc>
        <w:tc>
          <w:tcPr>
            <w:tcW w:w="1080" w:type="dxa"/>
            <w:vAlign w:val="bottom"/>
            <w:tcBorders>
              <w:top w:val="single" w:sz="8" w:color="auto"/>
              <w:bottom w:val="single" w:sz="8" w:color="auto"/>
            </w:tcBorders>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4,863</w:t>
            </w: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4,432</w:t>
            </w: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(LOSS)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calculation of net income (loss)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Numerator</w:t>
            </w:r>
          </w:p>
        </w:tc>
        <w:tc>
          <w:tcPr>
            <w:tcW w:w="3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6,359</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(26,567)</w:t>
            </w:r>
          </w:p>
        </w:tc>
        <w:tc>
          <w:tcPr>
            <w:tcW w:w="0" w:type="dxa"/>
            <w:vAlign w:val="bottom"/>
          </w:tcPr>
          <w:p>
            <w:pPr>
              <w:spacing w:after="0"/>
              <w:rPr>
                <w:sz w:val="1"/>
                <w:szCs w:val="1"/>
                <w:color w:val="auto"/>
              </w:rPr>
            </w:pPr>
          </w:p>
        </w:tc>
      </w:tr>
      <w:tr>
        <w:trPr>
          <w:trHeight w:val="251"/>
        </w:trPr>
        <w:tc>
          <w:tcPr>
            <w:tcW w:w="436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3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Denominator for basic net income (loss) per share -</w:t>
            </w:r>
          </w:p>
        </w:tc>
        <w:tc>
          <w:tcPr>
            <w:tcW w:w="340" w:type="dxa"/>
            <w:vAlign w:val="bottom"/>
            <w:shd w:val="clear" w:color="auto" w:fill="DBDBDB"/>
          </w:tcPr>
          <w:p>
            <w:pPr>
              <w:spacing w:after="0"/>
              <w:rPr>
                <w:sz w:val="14"/>
                <w:szCs w:val="14"/>
                <w:color w:val="auto"/>
              </w:rPr>
            </w:pPr>
          </w:p>
        </w:tc>
        <w:tc>
          <w:tcPr>
            <w:tcW w:w="13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262,565,500</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209,705,397</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249,106,383</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207,330,274</w:t>
            </w:r>
          </w:p>
        </w:tc>
        <w:tc>
          <w:tcPr>
            <w:tcW w:w="0" w:type="dxa"/>
            <w:vAlign w:val="bottom"/>
          </w:tcPr>
          <w:p>
            <w:pPr>
              <w:spacing w:after="0"/>
              <w:rPr>
                <w:sz w:val="1"/>
                <w:szCs w:val="1"/>
                <w:color w:val="auto"/>
              </w:rPr>
            </w:pPr>
          </w:p>
        </w:tc>
      </w:tr>
      <w:tr>
        <w:trPr>
          <w:trHeight w:val="216"/>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outstanding shares of common stock</w:t>
            </w:r>
          </w:p>
        </w:tc>
        <w:tc>
          <w:tcPr>
            <w:tcW w:w="340" w:type="dxa"/>
            <w:vAlign w:val="bottom"/>
            <w:shd w:val="clear" w:color="auto" w:fill="DBDBDB"/>
          </w:tcPr>
          <w:p>
            <w:pPr>
              <w:spacing w:after="0"/>
              <w:rPr>
                <w:sz w:val="18"/>
                <w:szCs w:val="18"/>
                <w:color w:val="auto"/>
              </w:rPr>
            </w:pPr>
          </w:p>
        </w:tc>
        <w:tc>
          <w:tcPr>
            <w:tcW w:w="132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Dilutive effect of common stock options and SARs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3,355,271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2,899,471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effect of RSUs</w:t>
            </w:r>
          </w:p>
        </w:tc>
        <w:tc>
          <w:tcPr>
            <w:tcW w:w="3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2,959,976</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2,688,180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2,215,180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1,836,580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effect of ESPP</w:t>
            </w:r>
          </w:p>
        </w:tc>
        <w:tc>
          <w:tcPr>
            <w:tcW w:w="3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8,093</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8,451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4360" w:type="dxa"/>
            <w:vAlign w:val="bottom"/>
          </w:tcPr>
          <w:p>
            <w:pPr>
              <w:ind w:left="20"/>
              <w:spacing w:after="0" w:line="142" w:lineRule="exact"/>
              <w:rPr>
                <w:sz w:val="20"/>
                <w:szCs w:val="20"/>
                <w:color w:val="auto"/>
              </w:rPr>
            </w:pPr>
            <w:r>
              <w:rPr>
                <w:rFonts w:ascii="Arial" w:cs="Arial" w:eastAsia="Arial" w:hAnsi="Arial"/>
                <w:sz w:val="16"/>
                <w:szCs w:val="16"/>
                <w:color w:val="auto"/>
              </w:rPr>
              <w:t>Denominator for diluted net income (loss) per share -</w:t>
            </w: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ind w:left="20"/>
              <w:spacing w:after="0" w:line="162" w:lineRule="exact"/>
              <w:rPr>
                <w:sz w:val="20"/>
                <w:szCs w:val="20"/>
                <w:color w:val="auto"/>
              </w:rPr>
            </w:pPr>
            <w:r>
              <w:rPr>
                <w:rFonts w:ascii="Arial" w:cs="Arial" w:eastAsia="Arial" w:hAnsi="Arial"/>
                <w:sz w:val="16"/>
                <w:szCs w:val="16"/>
                <w:color w:val="auto"/>
              </w:rPr>
              <w:t>weighted average outstanding shares of common stock and</w:t>
            </w:r>
          </w:p>
        </w:tc>
        <w:tc>
          <w:tcPr>
            <w:tcW w:w="3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271,104,020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209,705,397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256,539,065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207,330,274</w:t>
            </w: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Arial" w:cs="Arial" w:eastAsia="Arial" w:hAnsi="Arial"/>
                <w:sz w:val="16"/>
                <w:szCs w:val="16"/>
                <w:color w:val="auto"/>
              </w:rPr>
              <w:t>assumed conversions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Basic net income (loss) per share</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0.00</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0.00</w:t>
            </w:r>
          </w:p>
        </w:tc>
        <w:tc>
          <w:tcPr>
            <w:tcW w:w="8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Potentially dilutive securities including common stock options, RSUs, SARs and warrants have been excluded from the calculation of diluted net loss per share as their effects would be anti-dilutive. Therefore, for the three and six months ended June 30, 2024 in which the Company reported a net loss, the weighted average number of shares outstanding used to calculate both basic and diluted net loss per share were the same. The shares in the table below were excluded from the calculation of diluted net loss per share, prior to the use of the treasury stock method, due to their anti-dilutive effect: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0" w:type="dxa"/>
            <w:vAlign w:val="bottom"/>
          </w:tcPr>
          <w:p>
            <w:pPr>
              <w:spacing w:after="0"/>
              <w:rPr>
                <w:sz w:val="16"/>
                <w:szCs w:val="16"/>
                <w:color w:val="auto"/>
              </w:rPr>
            </w:pPr>
          </w:p>
        </w:tc>
        <w:tc>
          <w:tcPr>
            <w:tcW w:w="2240" w:type="dxa"/>
            <w:vAlign w:val="bottom"/>
          </w:tcPr>
          <w:p>
            <w:pPr>
              <w:jc w:val="right"/>
              <w:ind w:right="199"/>
              <w:spacing w:after="0"/>
              <w:rPr>
                <w:sz w:val="20"/>
                <w:szCs w:val="20"/>
                <w:color w:val="auto"/>
              </w:rPr>
            </w:pPr>
            <w:r>
              <w:rPr>
                <w:rFonts w:ascii="Arial" w:cs="Arial" w:eastAsia="Arial" w:hAnsi="Arial"/>
                <w:sz w:val="16"/>
                <w:szCs w:val="16"/>
                <w:b w:val="1"/>
                <w:bCs w:val="1"/>
                <w:color w:val="auto"/>
              </w:rPr>
              <w:t>Three and Six Months</w:t>
            </w:r>
          </w:p>
        </w:tc>
      </w:tr>
      <w:tr>
        <w:trPr>
          <w:trHeight w:val="216"/>
        </w:trPr>
        <w:tc>
          <w:tcPr>
            <w:tcW w:w="9000" w:type="dxa"/>
            <w:vAlign w:val="bottom"/>
            <w:tcBorders>
              <w:bottom w:val="single" w:sz="8" w:color="DBDBDB"/>
            </w:tcBorders>
          </w:tcPr>
          <w:p>
            <w:pPr>
              <w:spacing w:after="0"/>
              <w:rPr>
                <w:sz w:val="18"/>
                <w:szCs w:val="18"/>
                <w:color w:val="auto"/>
              </w:rPr>
            </w:pPr>
          </w:p>
        </w:tc>
        <w:tc>
          <w:tcPr>
            <w:tcW w:w="2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Ended June 30, 2024</w:t>
            </w:r>
          </w:p>
        </w:tc>
      </w:tr>
      <w:tr>
        <w:trPr>
          <w:trHeight w:val="210"/>
        </w:trPr>
        <w:tc>
          <w:tcPr>
            <w:tcW w:w="9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Warrants</w:t>
            </w:r>
          </w:p>
        </w:tc>
        <w:tc>
          <w:tcPr>
            <w:tcW w:w="2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3,076,923</w:t>
            </w:r>
          </w:p>
        </w:tc>
      </w:tr>
      <w:tr>
        <w:trPr>
          <w:trHeight w:val="215"/>
        </w:trPr>
        <w:tc>
          <w:tcPr>
            <w:tcW w:w="9000" w:type="dxa"/>
            <w:vAlign w:val="bottom"/>
          </w:tcPr>
          <w:p>
            <w:pPr>
              <w:ind w:left="20"/>
              <w:spacing w:after="0"/>
              <w:rPr>
                <w:sz w:val="20"/>
                <w:szCs w:val="20"/>
                <w:color w:val="auto"/>
              </w:rPr>
            </w:pPr>
            <w:r>
              <w:rPr>
                <w:rFonts w:ascii="Arial" w:cs="Arial" w:eastAsia="Arial" w:hAnsi="Arial"/>
                <w:sz w:val="16"/>
                <w:szCs w:val="16"/>
                <w:color w:val="auto"/>
              </w:rPr>
              <w:t>Outstanding common stock options</w:t>
            </w:r>
          </w:p>
        </w:tc>
        <w:tc>
          <w:tcPr>
            <w:tcW w:w="2240" w:type="dxa"/>
            <w:vAlign w:val="bottom"/>
          </w:tcPr>
          <w:p>
            <w:pPr>
              <w:jc w:val="right"/>
              <w:spacing w:after="0"/>
              <w:rPr>
                <w:sz w:val="20"/>
                <w:szCs w:val="20"/>
                <w:color w:val="auto"/>
              </w:rPr>
            </w:pPr>
            <w:r>
              <w:rPr>
                <w:rFonts w:ascii="Arial" w:cs="Arial" w:eastAsia="Arial" w:hAnsi="Arial"/>
                <w:sz w:val="16"/>
                <w:szCs w:val="16"/>
                <w:color w:val="auto"/>
              </w:rPr>
              <w:t>16,643,507</w:t>
            </w:r>
          </w:p>
        </w:tc>
      </w:tr>
      <w:tr>
        <w:trPr>
          <w:trHeight w:val="217"/>
        </w:trPr>
        <w:tc>
          <w:tcPr>
            <w:tcW w:w="9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Unvested RSUs</w:t>
            </w:r>
          </w:p>
        </w:tc>
        <w:tc>
          <w:tcPr>
            <w:tcW w:w="2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5,963,769</w:t>
            </w:r>
          </w:p>
        </w:tc>
      </w:tr>
      <w:tr>
        <w:trPr>
          <w:trHeight w:val="215"/>
        </w:trPr>
        <w:tc>
          <w:tcPr>
            <w:tcW w:w="9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Stock appreciation rights</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635,313</w:t>
            </w:r>
          </w:p>
        </w:tc>
      </w:tr>
      <w:tr>
        <w:trPr>
          <w:trHeight w:val="235"/>
        </w:trPr>
        <w:tc>
          <w:tcPr>
            <w:tcW w:w="9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2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26,319,512</w:t>
            </w:r>
          </w:p>
        </w:tc>
      </w:tr>
      <w:tr>
        <w:trPr>
          <w:trHeight w:val="20"/>
        </w:trPr>
        <w:tc>
          <w:tcPr>
            <w:tcW w:w="9000" w:type="dxa"/>
            <w:vAlign w:val="bottom"/>
            <w:tcBorders>
              <w:top w:val="single" w:sz="8" w:color="DBDBDB"/>
            </w:tcBorders>
          </w:tcPr>
          <w:p>
            <w:pPr>
              <w:spacing w:after="0" w:line="20" w:lineRule="exact"/>
              <w:rPr>
                <w:sz w:val="1"/>
                <w:szCs w:val="1"/>
                <w:color w:val="auto"/>
              </w:rPr>
            </w:pPr>
          </w:p>
        </w:tc>
        <w:tc>
          <w:tcPr>
            <w:tcW w:w="224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one operating segment focused on developing and commercializing innovative therapeutics primarily in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the segment are the same as those described in the summary of significant accounting policies.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determination of a single business segment is consistent with the consolidated financial information regularly reviewed by the chief executive officer, who is the Company's chief operating decision maker, or </w:t>
      </w:r>
      <w:r>
        <w:rPr>
          <w:rFonts w:ascii="Arial" w:cs="Arial" w:eastAsia="Arial" w:hAnsi="Arial"/>
          <w:sz w:val="18"/>
          <w:szCs w:val="18"/>
          <w:u w:val="single" w:color="auto"/>
          <w:color w:val="auto"/>
        </w:rPr>
        <w:t>CODM</w:t>
      </w:r>
      <w:r>
        <w:rPr>
          <w:rFonts w:ascii="Arial" w:cs="Arial" w:eastAsia="Arial" w:hAnsi="Arial"/>
          <w:sz w:val="18"/>
          <w:szCs w:val="18"/>
          <w:color w:val="auto"/>
        </w:rPr>
        <w:t>, in assessing segment performance and deciding how to allocate resources on a consolidated basis.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CODM makes decisions on resource allocation, assesses performance of the business, and monitors budget versus actual results using income from operations. Net income is also a measure that is considered in monitoring budget versus actual results. The measure of segment assets is reported on the consolidated balance sheets as total consolidated assets.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information about reported segment revenues, segment profit and significant segment expenses for the three and six months ended June 30, 2025 and 2024:</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35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360" w:type="dxa"/>
            <w:vAlign w:val="bottom"/>
            <w:tcBorders>
              <w:bottom w:val="single" w:sz="8" w:color="DBDBDB"/>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1020" w:type="dxa"/>
            <w:vAlign w:val="bottom"/>
            <w:shd w:val="clear" w:color="auto" w:fill="DBDBDB"/>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62,472</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43,648</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119,808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76,255</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Less: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4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Direct cost of product and other revenue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6,826</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3,490</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11,886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4,231</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Panion royalty</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4,331</w:t>
            </w:r>
          </w:p>
        </w:tc>
      </w:tr>
      <w:tr>
        <w:trPr>
          <w:trHeight w:val="217"/>
        </w:trPr>
        <w:tc>
          <w:tcPr>
            <w:tcW w:w="4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Excess firm purchase commitment charge</w:t>
            </w:r>
          </w:p>
        </w:tc>
        <w:tc>
          <w:tcPr>
            <w:tcW w:w="1020" w:type="dxa"/>
            <w:vAlign w:val="bottom"/>
            <w:shd w:val="clear" w:color="auto" w:fill="DBDBDB"/>
          </w:tcPr>
          <w:p>
            <w:pPr>
              <w:spacing w:after="0"/>
              <w:rPr>
                <w:sz w:val="18"/>
                <w:szCs w:val="18"/>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2,068</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2,068</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Amortization of intangible asset</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18,021</w:t>
            </w:r>
          </w:p>
        </w:tc>
      </w:tr>
      <w:tr>
        <w:trPr>
          <w:trHeight w:val="217"/>
        </w:trPr>
        <w:tc>
          <w:tcPr>
            <w:tcW w:w="4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Research and development</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11,013</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7,647</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20,767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17,379</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52,297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52,354</w:t>
            </w:r>
          </w:p>
        </w:tc>
      </w:tr>
      <w:tr>
        <w:trPr>
          <w:trHeight w:val="217"/>
        </w:trPr>
        <w:tc>
          <w:tcPr>
            <w:tcW w:w="4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License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1,473</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Income (loss) from operations</w:t>
            </w:r>
          </w:p>
        </w:tc>
        <w:tc>
          <w:tcPr>
            <w:tcW w:w="1020" w:type="dxa"/>
            <w:vAlign w:val="bottom"/>
            <w:tcBorders>
              <w:top w:val="single" w:sz="8" w:color="auto"/>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14,089</w:t>
            </w:r>
          </w:p>
        </w:tc>
        <w:tc>
          <w:tcPr>
            <w:tcW w:w="12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(8,725)</w:t>
            </w:r>
          </w:p>
        </w:tc>
        <w:tc>
          <w:tcPr>
            <w:tcW w:w="12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27,603</w:t>
            </w:r>
          </w:p>
        </w:tc>
        <w:tc>
          <w:tcPr>
            <w:tcW w:w="10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(23,660)</w:t>
            </w:r>
          </w:p>
        </w:tc>
      </w:tr>
      <w:tr>
        <w:trPr>
          <w:trHeight w:val="270"/>
        </w:trPr>
        <w:tc>
          <w:tcPr>
            <w:tcW w:w="4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income (expense)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r>
      <w:tr>
        <w:trPr>
          <w:trHeight w:val="215"/>
        </w:trPr>
        <w:tc>
          <w:tcPr>
            <w:tcW w:w="43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(4,647)</w:t>
            </w:r>
          </w:p>
        </w:tc>
      </w:tr>
      <w:tr>
        <w:trPr>
          <w:trHeight w:val="217"/>
        </w:trPr>
        <w:tc>
          <w:tcPr>
            <w:tcW w:w="43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 (expense) income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4360" w:type="dxa"/>
            <w:vAlign w:val="bottom"/>
          </w:tcPr>
          <w:p>
            <w:pPr>
              <w:ind w:left="360"/>
              <w:spacing w:after="0"/>
              <w:rPr>
                <w:sz w:val="20"/>
                <w:szCs w:val="20"/>
                <w:color w:val="auto"/>
              </w:rPr>
            </w:pPr>
            <w:r>
              <w:rPr>
                <w:rFonts w:ascii="Arial" w:cs="Arial" w:eastAsia="Arial" w:hAnsi="Arial"/>
                <w:sz w:val="16"/>
                <w:szCs w:val="16"/>
                <w:color w:val="auto"/>
              </w:rPr>
              <w:t>Change in fair value of warrant liability</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2,201</w:t>
            </w:r>
          </w:p>
        </w:tc>
      </w:tr>
      <w:tr>
        <w:trPr>
          <w:trHeight w:val="217"/>
        </w:trPr>
        <w:tc>
          <w:tcPr>
            <w:tcW w:w="43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Loss on extinguishment of debt</w:t>
            </w:r>
          </w:p>
        </w:tc>
        <w:tc>
          <w:tcPr>
            <w:tcW w:w="1020" w:type="dxa"/>
            <w:vAlign w:val="bottom"/>
            <w:shd w:val="clear" w:color="auto" w:fill="DBDBDB"/>
          </w:tcPr>
          <w:p>
            <w:pPr>
              <w:spacing w:after="0"/>
              <w:rPr>
                <w:sz w:val="18"/>
                <w:szCs w:val="18"/>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(517)</w:t>
            </w:r>
          </w:p>
        </w:tc>
      </w:tr>
      <w:tr>
        <w:trPr>
          <w:trHeight w:val="20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(loss) before income taxes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(8,582)</w:t>
            </w:r>
          </w:p>
        </w:tc>
        <w:tc>
          <w:tcPr>
            <w:tcW w:w="12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6,359</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(26,567)</w:t>
            </w:r>
          </w:p>
        </w:tc>
      </w:tr>
      <w:tr>
        <w:trPr>
          <w:trHeight w:val="235"/>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w:t>
            </w:r>
          </w:p>
        </w:tc>
        <w:tc>
          <w:tcPr>
            <w:tcW w:w="1020" w:type="dxa"/>
            <w:vAlign w:val="bottom"/>
            <w:tcBorders>
              <w:bottom w:val="single" w:sz="8" w:color="auto"/>
            </w:tcBorders>
            <w:shd w:val="clear" w:color="auto" w:fill="DBDBDB"/>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(8,582)</w:t>
            </w:r>
          </w:p>
        </w:tc>
        <w:tc>
          <w:tcPr>
            <w:tcW w:w="12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6,359</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(26,567)</w:t>
            </w: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evaluated events and transactions occurring after the balance sheet date through the filing date of this Form 10-Q with the Securities and Exchange Commission, to ensure that the unaudited condensed consolidated financial statements include appropriate disclosure of events both recognized in the accompanying unaudited condensed consolidated financial statements as of June 30, 2025, and events which occurred subsequently but were not recognized in the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2025, the Warrant Holder exercised its option to purchase 2,115,384 shares of the Company's common stock under the Initial Warrant on a cashless basis at an exercise price per share of $1.30. A cashless exercise allows the Warrant Holder to convert the warrants into shares of the Company's common stock without the need for a cash payment. Instead of paying cash upon exercise, the Warrant Holder received a reduced number of shares based on a predetermined formula. On July 23, 2025, as a result of the cashless exercise, the Company issued 1,408,588 shares to the Warrant Holder under the Initial Warrant.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unaudited condensed consolidated financial statements and related notes included in this Quarterly Report on Form 10-Q and our Annual Report on Form 10-K for the year ended December 31, 2024 filed with the United States, or </w:t>
      </w:r>
      <w:r>
        <w:rPr>
          <w:rFonts w:ascii="Arial" w:cs="Arial" w:eastAsia="Arial" w:hAnsi="Arial"/>
          <w:sz w:val="18"/>
          <w:szCs w:val="18"/>
          <w:i w:val="1"/>
          <w:iCs w:val="1"/>
          <w:u w:val="single" w:color="auto"/>
          <w:color w:val="auto"/>
        </w:rPr>
        <w:t>U.S.</w:t>
      </w:r>
      <w:r>
        <w:rPr>
          <w:rFonts w:ascii="Arial" w:cs="Arial" w:eastAsia="Arial" w:hAnsi="Arial"/>
          <w:sz w:val="18"/>
          <w:szCs w:val="18"/>
          <w:i w:val="1"/>
          <w:iCs w:val="1"/>
          <w:color w:val="auto"/>
        </w:rPr>
        <w:t xml:space="preserve">, Securities and Exchange Commission, or the </w:t>
      </w:r>
      <w:r>
        <w:rPr>
          <w:rFonts w:ascii="Arial" w:cs="Arial" w:eastAsia="Arial" w:hAnsi="Arial"/>
          <w:sz w:val="18"/>
          <w:szCs w:val="18"/>
          <w:i w:val="1"/>
          <w:iCs w:val="1"/>
          <w:u w:val="single" w:color="auto"/>
          <w:color w:val="auto"/>
        </w:rPr>
        <w:t>SEC</w:t>
      </w:r>
      <w:r>
        <w:rPr>
          <w:rFonts w:ascii="Arial" w:cs="Arial" w:eastAsia="Arial" w:hAnsi="Arial"/>
          <w:sz w:val="18"/>
          <w:szCs w:val="18"/>
          <w:i w:val="1"/>
          <w:iCs w:val="1"/>
          <w:color w:val="auto"/>
        </w:rPr>
        <w:t xml:space="preserve">, on March 13, 2025, or the </w:t>
      </w:r>
      <w:r>
        <w:rPr>
          <w:rFonts w:ascii="Arial" w:cs="Arial" w:eastAsia="Arial" w:hAnsi="Arial"/>
          <w:sz w:val="18"/>
          <w:szCs w:val="18"/>
          <w:i w:val="1"/>
          <w:iCs w:val="1"/>
          <w:u w:val="single" w:color="auto"/>
          <w:color w:val="auto"/>
        </w:rPr>
        <w:t>2024 Form 10-K</w:t>
      </w:r>
      <w:r>
        <w:rPr>
          <w:rFonts w:ascii="Arial" w:cs="Arial" w:eastAsia="Arial" w:hAnsi="Arial"/>
          <w:sz w:val="18"/>
          <w:szCs w:val="18"/>
          <w:i w:val="1"/>
          <w:iCs w:val="1"/>
          <w:color w:val="auto"/>
        </w:rPr>
        <w:t>. In addition to historical information, the following discussion and analysis contains forward-looking statements that reflect our plans, estimates, beliefs and explanations that involve significant risks and uncertainties. As a result of many factors, such as those set forth under “Risk Factors” in Part II, Item 1A. of this Quarterly Report on Form 10-Q, our actual results may differ materially from those anticipated in these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a fully integrated biopharmaceutical company with two commercial products for patients impacted by kidney disease. We have built a business focused on developing and commercializing innovative therapeutics that we believe serves as a foundation for future growth. Our team has significant expertise in hypoxia-inducible factor, or </w:t>
      </w:r>
      <w:r>
        <w:rPr>
          <w:rFonts w:ascii="Arial" w:cs="Arial" w:eastAsia="Arial" w:hAnsi="Arial"/>
          <w:sz w:val="18"/>
          <w:szCs w:val="18"/>
          <w:u w:val="single" w:color="auto"/>
          <w:color w:val="auto"/>
        </w:rPr>
        <w:t>HIF</w:t>
      </w:r>
      <w:r>
        <w:rPr>
          <w:rFonts w:ascii="Arial" w:cs="Arial" w:eastAsia="Arial" w:hAnsi="Arial"/>
          <w:sz w:val="18"/>
          <w:szCs w:val="18"/>
          <w:color w:val="auto"/>
        </w:rPr>
        <w:t xml:space="preserve">, science having developed and commercialized Vafseo® (vadadustat), an oral HIF factor prolyl hydroxylase, or </w:t>
      </w:r>
      <w:r>
        <w:rPr>
          <w:rFonts w:ascii="Arial" w:cs="Arial" w:eastAsia="Arial" w:hAnsi="Arial"/>
          <w:sz w:val="18"/>
          <w:szCs w:val="18"/>
          <w:u w:val="single" w:color="auto"/>
          <w:color w:val="auto"/>
        </w:rPr>
        <w:t>HIF-PH</w:t>
      </w:r>
      <w:r>
        <w:rPr>
          <w:rFonts w:ascii="Arial" w:cs="Arial" w:eastAsia="Arial" w:hAnsi="Arial"/>
          <w:sz w:val="18"/>
          <w:szCs w:val="18"/>
          <w:color w:val="auto"/>
        </w:rPr>
        <w:t>, inhibitor and have selected two additional HIF-based molecules for preclinical development.</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established the company as a leader in the kidney community, and we believe our cross-organizational expertise in renal disease positions the company for success.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xml:space="preserve">, is a condition in which the kidneys are progressively damaged to the point that they cannot properly filter the blood circulating in the body. This damage causes waste products to build up in the patient’s blood, leading to other health problems, including anemia, cardiovascular disease and bone disease. CKD significantly impacts the U.S. healthcare system, potentially affecting approximately 37 million patients and costing Medicare nearly $125 billion annually for treating Medicare beneficiaries with CKD or end-stage renal disease, or </w:t>
      </w:r>
      <w:r>
        <w:rPr>
          <w:rFonts w:ascii="Arial" w:cs="Arial" w:eastAsia="Arial" w:hAnsi="Arial"/>
          <w:sz w:val="18"/>
          <w:szCs w:val="18"/>
          <w:u w:val="single" w:color="auto"/>
          <w:color w:val="auto"/>
        </w:rPr>
        <w:t>ESRD</w:t>
      </w:r>
      <w:r>
        <w:rPr>
          <w:rFonts w:ascii="Arial" w:cs="Arial" w:eastAsia="Arial" w:hAnsi="Arial"/>
          <w:sz w:val="18"/>
          <w:szCs w:val="18"/>
          <w:color w:val="auto"/>
        </w:rPr>
        <w:t>, according to the Centers for Disease Control and Prevention. Our two commercial products address certain complications of kidney disease.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current portfolio includes:</w:t>
      </w:r>
    </w:p>
    <w:p>
      <w:pPr>
        <w:spacing w:after="0" w:line="104"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b w:val="1"/>
          <w:bCs w:val="1"/>
          <w:color w:val="auto"/>
        </w:rPr>
        <w:t xml:space="preserve">Vafseo </w:t>
      </w:r>
      <w:r>
        <w:rPr>
          <w:rFonts w:ascii="Arial" w:cs="Arial" w:eastAsia="Arial" w:hAnsi="Arial"/>
          <w:sz w:val="18"/>
          <w:szCs w:val="18"/>
          <w:color w:val="auto"/>
        </w:rPr>
        <w:t>was approved by the U.S. Food and Drug Administration, or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FDA</w:t>
      </w:r>
      <w:r>
        <w:rPr>
          <w:rFonts w:ascii="Arial" w:cs="Arial" w:eastAsia="Arial" w:hAnsi="Arial"/>
          <w:sz w:val="18"/>
          <w:szCs w:val="18"/>
          <w:color w:val="auto"/>
        </w:rPr>
        <w:t>, in March 2024 for the treatment of anemia due to CKD</w:t>
      </w:r>
      <w:r>
        <w:rPr>
          <w:rFonts w:ascii="Arial" w:cs="Arial" w:eastAsia="Arial" w:hAnsi="Arial"/>
          <w:sz w:val="18"/>
          <w:szCs w:val="18"/>
          <w:b w:val="1"/>
          <w:bCs w:val="1"/>
          <w:color w:val="auto"/>
        </w:rPr>
        <w:t xml:space="preserve"> </w:t>
      </w:r>
      <w:r>
        <w:rPr>
          <w:rFonts w:ascii="Arial" w:cs="Arial" w:eastAsia="Arial" w:hAnsi="Arial"/>
          <w:sz w:val="18"/>
          <w:szCs w:val="18"/>
          <w:color w:val="auto"/>
        </w:rPr>
        <w:t>in adult patients on dialysis for at least three months. Shipment of Vafseo commenced in January 2025. We have commercial supply agreements for the purchase of Vafseo in place with dialysis organizations caring for nearly 100% of dialysis patients in the U.S. The current U.S. market opportunity for the treatment of anemia due to CKD in patients with dialysis is approximately $1 billion based on current erythropoiesis stimulating agent, or ESA, pricing and Vafseo is the only oral HIF-based treatment available in the U.S.</w:t>
      </w:r>
    </w:p>
    <w:p>
      <w:pPr>
        <w:spacing w:after="0" w:line="68"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We are committed to pursuing a path for label expansion for Vafseo for CKD non-dialysis dependent patients. We continue to work towards our goal to initiate VALOR, a Phase 3 cardiovascular outcome study of approximately 1,500 U.S. subjects with late-stage CKD anemia not on dialysis with a comparator to ESA, by the end of 2025 and recently requested a Type-C meeting with the FDA. The study will be one part of what we believe will be a robust data package that will likely include data from the 1,700 U.S. patients in the global Phase 3 PRO</w:t>
      </w:r>
      <w:r>
        <w:rPr>
          <w:rFonts w:ascii="Arial" w:cs="Arial" w:eastAsia="Arial" w:hAnsi="Arial"/>
          <w:sz w:val="23"/>
          <w:szCs w:val="23"/>
          <w:color w:val="auto"/>
          <w:vertAlign w:val="subscript"/>
        </w:rPr>
        <w:t>2</w:t>
      </w:r>
      <w:r>
        <w:rPr>
          <w:rFonts w:ascii="Arial" w:cs="Arial" w:eastAsia="Arial" w:hAnsi="Arial"/>
          <w:sz w:val="18"/>
          <w:szCs w:val="18"/>
          <w:color w:val="auto"/>
        </w:rPr>
        <w:t>TECT program, as well as safety data from the commercial use of Vafseo in the U.S. in dialysis patients, and data on the use of Vafseo in Japan in dialysis and non-dialysis patients where Vafseo has been in the market since 2020.</w:t>
      </w:r>
    </w:p>
    <w:p>
      <w:pPr>
        <w:spacing w:after="0" w:line="86"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 xml:space="preserve">In the European Union, or </w:t>
      </w:r>
      <w:r>
        <w:rPr>
          <w:rFonts w:ascii="Arial" w:cs="Arial" w:eastAsia="Arial" w:hAnsi="Arial"/>
          <w:sz w:val="18"/>
          <w:szCs w:val="18"/>
          <w:u w:val="single" w:color="auto"/>
          <w:color w:val="auto"/>
        </w:rPr>
        <w:t>EU</w:t>
      </w:r>
      <w:r>
        <w:rPr>
          <w:rFonts w:ascii="Arial" w:cs="Arial" w:eastAsia="Arial" w:hAnsi="Arial"/>
          <w:sz w:val="18"/>
          <w:szCs w:val="18"/>
          <w:color w:val="auto"/>
        </w:rPr>
        <w:t xml:space="preserve">, the United Kingdom, or </w:t>
      </w:r>
      <w:r>
        <w:rPr>
          <w:rFonts w:ascii="Arial" w:cs="Arial" w:eastAsia="Arial" w:hAnsi="Arial"/>
          <w:sz w:val="18"/>
          <w:szCs w:val="18"/>
          <w:u w:val="single" w:color="auto"/>
          <w:color w:val="auto"/>
        </w:rPr>
        <w:t>UK</w:t>
      </w:r>
      <w:r>
        <w:rPr>
          <w:rFonts w:ascii="Arial" w:cs="Arial" w:eastAsia="Arial" w:hAnsi="Arial"/>
          <w:sz w:val="18"/>
          <w:szCs w:val="18"/>
          <w:color w:val="auto"/>
        </w:rPr>
        <w:t>, Switzerland and Australia, Vafseo is approved for the treatment of symptomatic anemia associated with CKD in adults on chronic maintenance dialysis. Our partner MEDICE Arzneimittel Pütter GmbH</w:t>
      </w:r>
    </w:p>
    <w:p>
      <w:pPr>
        <w:spacing w:after="0" w:line="2" w:lineRule="exact"/>
        <w:rPr>
          <w:sz w:val="20"/>
          <w:szCs w:val="20"/>
          <w:color w:val="auto"/>
        </w:rPr>
      </w:pPr>
    </w:p>
    <w:p>
      <w:pPr>
        <w:jc w:val="both"/>
        <w:ind w:left="660" w:hanging="4"/>
        <w:spacing w:after="0" w:line="258" w:lineRule="auto"/>
        <w:tabs>
          <w:tab w:leader="none" w:pos="8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 KG, or </w:t>
      </w:r>
      <w:r>
        <w:rPr>
          <w:rFonts w:ascii="Arial" w:cs="Arial" w:eastAsia="Arial" w:hAnsi="Arial"/>
          <w:sz w:val="18"/>
          <w:szCs w:val="18"/>
          <w:u w:val="single" w:color="auto"/>
          <w:color w:val="auto"/>
        </w:rPr>
        <w:t>Medice</w:t>
      </w:r>
      <w:r>
        <w:rPr>
          <w:rFonts w:ascii="Arial" w:cs="Arial" w:eastAsia="Arial" w:hAnsi="Arial"/>
          <w:sz w:val="18"/>
          <w:szCs w:val="18"/>
          <w:color w:val="auto"/>
        </w:rPr>
        <w:t>, has an exclusive license to develop and commercialize Vafseo for the treatment of anemia in patients with CKD in defined territories and launched Vafseo in Germany, Austria, Switzerland, the Netherlands and certain other countries in Europe in 2024.</w:t>
      </w:r>
    </w:p>
    <w:p>
      <w:pPr>
        <w:spacing w:after="0" w:line="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In Japan, Vafseo is approved as a treatment for anemia due to CKD in both dialysis dependent and non-dialysis dependent patients and is marketed and sold by our collaborator Mitsubishi Tanabe Pharma Corporation, or </w:t>
      </w:r>
      <w:r>
        <w:rPr>
          <w:rFonts w:ascii="Arial" w:cs="Arial" w:eastAsia="Arial" w:hAnsi="Arial"/>
          <w:sz w:val="18"/>
          <w:szCs w:val="18"/>
          <w:u w:val="single" w:color="auto"/>
          <w:color w:val="auto"/>
        </w:rPr>
        <w:t>MTPC</w:t>
      </w:r>
      <w:r>
        <w:rPr>
          <w:rFonts w:ascii="Arial" w:cs="Arial" w:eastAsia="Arial" w:hAnsi="Arial"/>
          <w:sz w:val="18"/>
          <w:szCs w:val="18"/>
          <w:color w:val="auto"/>
        </w:rPr>
        <w:t>. In Taiwan, Vafseo is approved for the treatment of symptomatic anemia due to CKD in adult patients on chronic maintenance dialysis and launched in October 2024 by Tai Tien Pharmaceutical Company, an affiliate of MTPC. In Korea, Vafseo is approved as an anemia treatment for patients with CKD on hemodialysis.</w:t>
      </w:r>
    </w:p>
    <w:p>
      <w:pPr>
        <w:spacing w:after="0" w:line="7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b w:val="1"/>
          <w:bCs w:val="1"/>
          <w:color w:val="auto"/>
        </w:rPr>
        <w:t xml:space="preserve">Auryxia® (ferric citrate) </w:t>
      </w:r>
      <w:r>
        <w:rPr>
          <w:rFonts w:ascii="Arial" w:cs="Arial" w:eastAsia="Arial" w:hAnsi="Arial"/>
          <w:sz w:val="18"/>
          <w:szCs w:val="18"/>
          <w:color w:val="auto"/>
        </w:rPr>
        <w:t>is an orally administered medicine approved and marketed in the U.S. for two indications: (1) the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serum phosphorus levels in adult patients with dialysis dependent chronic kidney disease, or </w:t>
      </w:r>
      <w:r>
        <w:rPr>
          <w:rFonts w:ascii="Arial" w:cs="Arial" w:eastAsia="Arial" w:hAnsi="Arial"/>
          <w:sz w:val="18"/>
          <w:szCs w:val="18"/>
          <w:u w:val="single" w:color="auto"/>
          <w:color w:val="auto"/>
        </w:rPr>
        <w:t>DD-CKD</w:t>
      </w:r>
      <w:r>
        <w:rPr>
          <w:rFonts w:ascii="Arial" w:cs="Arial" w:eastAsia="Arial" w:hAnsi="Arial"/>
          <w:sz w:val="18"/>
          <w:szCs w:val="18"/>
          <w:color w:val="auto"/>
        </w:rPr>
        <w:t xml:space="preserve">, and (2) the treatment of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xml:space="preserve">, in adult patients with non-dialysis-dependent chronic kidney disease, or </w:t>
      </w:r>
      <w:r>
        <w:rPr>
          <w:rFonts w:ascii="Arial" w:cs="Arial" w:eastAsia="Arial" w:hAnsi="Arial"/>
          <w:sz w:val="18"/>
          <w:szCs w:val="18"/>
          <w:u w:val="single" w:color="auto"/>
          <w:color w:val="auto"/>
        </w:rPr>
        <w:t>NDD-CKD</w:t>
      </w:r>
      <w:r>
        <w:rPr>
          <w:rFonts w:ascii="Arial" w:cs="Arial" w:eastAsia="Arial" w:hAnsi="Arial"/>
          <w:sz w:val="18"/>
          <w:szCs w:val="18"/>
          <w:color w:val="auto"/>
        </w:rPr>
        <w:t>.</w:t>
      </w:r>
    </w:p>
    <w:p>
      <w:pPr>
        <w:spacing w:after="0" w:line="6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 xml:space="preserve">Today, we market Auryxia in the U.S. Auryxia became part of our portfolio in 2018 and has historically contributed meaningful revenue to the business. In March 2025, Auryxia lost exclusivity, or </w:t>
      </w:r>
      <w:r>
        <w:rPr>
          <w:rFonts w:ascii="Arial" w:cs="Arial" w:eastAsia="Arial" w:hAnsi="Arial"/>
          <w:sz w:val="18"/>
          <w:szCs w:val="18"/>
          <w:u w:val="single" w:color="auto"/>
          <w:color w:val="auto"/>
        </w:rPr>
        <w:t>LoE</w:t>
      </w:r>
      <w:r>
        <w:rPr>
          <w:rFonts w:ascii="Arial" w:cs="Arial" w:eastAsia="Arial" w:hAnsi="Arial"/>
          <w:sz w:val="18"/>
          <w:szCs w:val="18"/>
          <w:color w:val="auto"/>
        </w:rPr>
        <w:t>. We believe the dynamics of</w:t>
      </w:r>
    </w:p>
    <w:p>
      <w:pPr>
        <w:sectPr>
          <w:pgSz w:w="11900" w:h="16838" w:orient="portrait"/>
          <w:cols w:equalWidth="0" w:num="1">
            <w:col w:w="11240"/>
          </w:cols>
          <w:pgMar w:left="320" w:top="229" w:right="339" w:bottom="1134"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134"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Auryxia reimbursement being included in the ESRD bundle could result in a slower revenue decline after the LoE date than in other LoE situations, but the impact of LoE on future Auryxia revenues will depend on many factors, including our ability to maintain contracts with dialysis organizations, the timing and number of additional generics and the pricing of generics and other products on the market that compete with Auryxia.</w:t>
      </w:r>
    </w:p>
    <w:p>
      <w:pPr>
        <w:spacing w:after="0" w:line="55"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 xml:space="preserve">Ferric citrate hydrate has also been approved in Japan, and is marketed and sold by our Japanese sublicensee, Japan Tobacco, Inc., and its subsidiary, Torii Pharmaceutical Co., Ltd., collectively, </w:t>
      </w:r>
      <w:r>
        <w:rPr>
          <w:rFonts w:ascii="Arial" w:cs="Arial" w:eastAsia="Arial" w:hAnsi="Arial"/>
          <w:sz w:val="18"/>
          <w:szCs w:val="18"/>
          <w:u w:val="single" w:color="auto"/>
          <w:color w:val="auto"/>
        </w:rPr>
        <w:t>JT and Torii</w:t>
      </w:r>
      <w:r>
        <w:rPr>
          <w:rFonts w:ascii="Arial" w:cs="Arial" w:eastAsia="Arial" w:hAnsi="Arial"/>
          <w:sz w:val="18"/>
          <w:szCs w:val="18"/>
          <w:color w:val="auto"/>
        </w:rPr>
        <w:t>, as an oral treatment for the improvement of</w:t>
      </w:r>
    </w:p>
    <w:p>
      <w:pPr>
        <w:spacing w:after="0" w:line="1" w:lineRule="exact"/>
        <w:rPr>
          <w:sz w:val="20"/>
          <w:szCs w:val="20"/>
          <w:color w:val="auto"/>
        </w:rPr>
      </w:pPr>
    </w:p>
    <w:p>
      <w:pPr>
        <w:jc w:val="both"/>
        <w:ind w:left="660"/>
        <w:spacing w:after="0" w:line="223" w:lineRule="auto"/>
        <w:rPr>
          <w:sz w:val="20"/>
          <w:szCs w:val="20"/>
          <w:color w:val="auto"/>
        </w:rPr>
      </w:pPr>
      <w:r>
        <w:rPr>
          <w:rFonts w:ascii="Arial" w:cs="Arial" w:eastAsia="Arial" w:hAnsi="Arial"/>
          <w:sz w:val="18"/>
          <w:szCs w:val="18"/>
          <w:color w:val="auto"/>
        </w:rPr>
        <w:t xml:space="preserve">hyperphosphatemia in patients with CKD, including DD-CKD and NDD-CKD, and for the treatment of adult patients with IDA under the trade name Riona in Japan. Averoa SAS, or </w:t>
      </w:r>
      <w:r>
        <w:rPr>
          <w:rFonts w:ascii="Arial" w:cs="Arial" w:eastAsia="Arial" w:hAnsi="Arial"/>
          <w:sz w:val="18"/>
          <w:szCs w:val="18"/>
          <w:u w:val="single" w:color="auto"/>
          <w:color w:val="auto"/>
        </w:rPr>
        <w:t>Averoa</w:t>
      </w:r>
      <w:r>
        <w:rPr>
          <w:rFonts w:ascii="Arial" w:cs="Arial" w:eastAsia="Arial" w:hAnsi="Arial"/>
          <w:sz w:val="18"/>
          <w:szCs w:val="18"/>
          <w:color w:val="auto"/>
        </w:rPr>
        <w:t xml:space="preserve">, has an exclusive license to develop and commercialize ferric citrate in the European Economic Area, or </w:t>
      </w:r>
      <w:r>
        <w:rPr>
          <w:rFonts w:ascii="Arial" w:cs="Arial" w:eastAsia="Arial" w:hAnsi="Arial"/>
          <w:sz w:val="18"/>
          <w:szCs w:val="18"/>
          <w:u w:val="single" w:color="auto"/>
          <w:color w:val="auto"/>
        </w:rPr>
        <w:t>EEA</w:t>
      </w:r>
      <w:r>
        <w:rPr>
          <w:rFonts w:ascii="Arial" w:cs="Arial" w:eastAsia="Arial" w:hAnsi="Arial"/>
          <w:sz w:val="18"/>
          <w:szCs w:val="18"/>
          <w:color w:val="auto"/>
        </w:rPr>
        <w:t>, Turkey, Switzerland, the UK, the Balkans and certain countries in Eastern Europe and the Middle East. Averoa applied for marketing authorization for ferric citrate in Europe in April 2024. In March 2025, the Committee for Medicinal</w:t>
      </w:r>
    </w:p>
    <w:p>
      <w:pPr>
        <w:jc w:val="both"/>
        <w:ind w:left="660" w:right="20"/>
        <w:spacing w:after="0" w:line="237" w:lineRule="auto"/>
        <w:rPr>
          <w:sz w:val="20"/>
          <w:szCs w:val="20"/>
          <w:color w:val="auto"/>
        </w:rPr>
      </w:pPr>
      <w:r>
        <w:rPr>
          <w:rFonts w:ascii="Arial" w:cs="Arial" w:eastAsia="Arial" w:hAnsi="Arial"/>
          <w:sz w:val="18"/>
          <w:szCs w:val="18"/>
          <w:color w:val="auto"/>
        </w:rPr>
        <w:t xml:space="preserve">Products for Human Use of the European Medicines Agency adopted a positive opinion recommending the European Commission, or </w:t>
      </w:r>
      <w:r>
        <w:rPr>
          <w:rFonts w:ascii="Arial" w:cs="Arial" w:eastAsia="Arial" w:hAnsi="Arial"/>
          <w:sz w:val="18"/>
          <w:szCs w:val="18"/>
          <w:u w:val="single" w:color="auto"/>
          <w:color w:val="auto"/>
        </w:rPr>
        <w:t>EC</w:t>
      </w:r>
      <w:r>
        <w:rPr>
          <w:rFonts w:ascii="Arial" w:cs="Arial" w:eastAsia="Arial" w:hAnsi="Arial"/>
          <w:sz w:val="18"/>
          <w:szCs w:val="18"/>
          <w:color w:val="auto"/>
        </w:rPr>
        <w:t>, to approve Averoa’s marketing authorization. The EC granted marketing authorization in June 2025.</w:t>
      </w:r>
    </w:p>
    <w:p>
      <w:pPr>
        <w:spacing w:after="0" w:line="7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color w:val="auto"/>
        </w:rPr>
        <w:t xml:space="preserve">Our HIF-based product candidates and other pipeline assets </w:t>
      </w:r>
      <w:r>
        <w:rPr>
          <w:rFonts w:ascii="Arial" w:cs="Arial" w:eastAsia="Arial" w:hAnsi="Arial"/>
          <w:sz w:val="18"/>
          <w:szCs w:val="18"/>
          <w:color w:val="auto"/>
        </w:rPr>
        <w:t>are being evaluated to target areas of unmet needs. The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HIF laid the foundation to explore the central role of oxygen sensing in many diseases. As we have seen through the development of Vafseo as a treatment for anemia due to CKD, when stabilized, HIF triggers wide-ranging adaptive, protective responses during hypoxic or ischemic conditions. We have selected two additional HIF molecules for preclinical development: AKB-9090, potentially for cardiac surgery-related acute kidney injury, or </w:t>
      </w:r>
      <w:r>
        <w:rPr>
          <w:rFonts w:ascii="Arial" w:cs="Arial" w:eastAsia="Arial" w:hAnsi="Arial"/>
          <w:sz w:val="18"/>
          <w:szCs w:val="18"/>
          <w:u w:val="single" w:color="auto"/>
          <w:color w:val="auto"/>
        </w:rPr>
        <w:t>CS-AKI</w:t>
      </w:r>
      <w:r>
        <w:rPr>
          <w:rFonts w:ascii="Arial" w:cs="Arial" w:eastAsia="Arial" w:hAnsi="Arial"/>
          <w:sz w:val="18"/>
          <w:szCs w:val="18"/>
          <w:color w:val="auto"/>
        </w:rPr>
        <w:t xml:space="preserve">, or acute respiratory distress syndrome, or </w:t>
      </w:r>
      <w:r>
        <w:rPr>
          <w:rFonts w:ascii="Arial" w:cs="Arial" w:eastAsia="Arial" w:hAnsi="Arial"/>
          <w:sz w:val="18"/>
          <w:szCs w:val="18"/>
          <w:u w:val="single" w:color="auto"/>
          <w:color w:val="auto"/>
        </w:rPr>
        <w:t>ARDS</w:t>
      </w:r>
      <w:r>
        <w:rPr>
          <w:rFonts w:ascii="Arial" w:cs="Arial" w:eastAsia="Arial" w:hAnsi="Arial"/>
          <w:sz w:val="18"/>
          <w:szCs w:val="18"/>
          <w:color w:val="auto"/>
        </w:rPr>
        <w:t xml:space="preserve">, and AKB-10108 for retinopathy of prematurity, or </w:t>
      </w:r>
      <w:r>
        <w:rPr>
          <w:rFonts w:ascii="Arial" w:cs="Arial" w:eastAsia="Arial" w:hAnsi="Arial"/>
          <w:sz w:val="18"/>
          <w:szCs w:val="18"/>
          <w:u w:val="single" w:color="auto"/>
          <w:color w:val="auto"/>
        </w:rPr>
        <w:t>ROP</w:t>
      </w:r>
      <w:r>
        <w:rPr>
          <w:rFonts w:ascii="Arial" w:cs="Arial" w:eastAsia="Arial" w:hAnsi="Arial"/>
          <w:sz w:val="18"/>
          <w:szCs w:val="18"/>
          <w:color w:val="auto"/>
        </w:rPr>
        <w:t>, in neonates.</w:t>
      </w:r>
    </w:p>
    <w:p>
      <w:pPr>
        <w:spacing w:after="0" w:line="61" w:lineRule="exact"/>
        <w:rPr>
          <w:sz w:val="20"/>
          <w:szCs w:val="20"/>
          <w:color w:val="auto"/>
        </w:rPr>
      </w:pPr>
    </w:p>
    <w:p>
      <w:pPr>
        <w:ind w:left="660" w:right="500"/>
        <w:spacing w:after="0" w:line="253" w:lineRule="auto"/>
        <w:rPr>
          <w:sz w:val="20"/>
          <w:szCs w:val="20"/>
          <w:color w:val="auto"/>
        </w:rPr>
      </w:pPr>
      <w:r>
        <w:rPr>
          <w:rFonts w:ascii="Arial" w:cs="Arial" w:eastAsia="Arial" w:hAnsi="Arial"/>
          <w:sz w:val="18"/>
          <w:szCs w:val="18"/>
          <w:color w:val="auto"/>
        </w:rPr>
        <w:t xml:space="preserve">In June 2021, we acquired from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xml:space="preserve">, an exclusive global license under certain intellectual property rights to research, develop and commercialize praliciguat, an investigational oral soluble guanylate cyclase, or </w:t>
      </w:r>
      <w:r>
        <w:rPr>
          <w:rFonts w:ascii="Arial" w:cs="Arial" w:eastAsia="Arial" w:hAnsi="Arial"/>
          <w:sz w:val="18"/>
          <w:szCs w:val="18"/>
          <w:u w:val="single" w:color="auto"/>
          <w:color w:val="auto"/>
        </w:rPr>
        <w:t>sGC</w:t>
      </w:r>
      <w:r>
        <w:rPr>
          <w:rFonts w:ascii="Arial" w:cs="Arial" w:eastAsia="Arial" w:hAnsi="Arial"/>
          <w:sz w:val="18"/>
          <w:szCs w:val="18"/>
          <w:color w:val="auto"/>
        </w:rPr>
        <w:t>, stimulator. We believe there is potential to explore the use of praliciguat for indications within kidney disease.</w:t>
      </w:r>
    </w:p>
    <w:p>
      <w:pPr>
        <w:spacing w:after="0" w:line="74"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We continue to explore additional commercial and development opportunities to expand our pipeline and portfolio of novel therapeutics through both internal research and external innovation to leverage our fully integrated team.</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Performance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generate product revenue from commercial sales of Auryxia and Vafseo to a limited number of customers, including dialysis organizations, wholesale distributors, certain specialty pharmacy providers and our authorized generic distribution partner, Mylan Therapeutics, Inc., or </w:t>
      </w:r>
      <w:r>
        <w:rPr>
          <w:rFonts w:ascii="Arial" w:cs="Arial" w:eastAsia="Arial" w:hAnsi="Arial"/>
          <w:sz w:val="18"/>
          <w:szCs w:val="18"/>
          <w:u w:val="single" w:color="auto"/>
          <w:color w:val="auto"/>
        </w:rPr>
        <w:t>AG Partner</w:t>
      </w:r>
      <w:r>
        <w:rPr>
          <w:rFonts w:ascii="Arial" w:cs="Arial" w:eastAsia="Arial" w:hAnsi="Arial"/>
          <w:sz w:val="18"/>
          <w:szCs w:val="18"/>
          <w:color w:val="auto"/>
        </w:rPr>
        <w:t>. Our net product revenue includes many variables, including judgments and estimates of discounts, rebates and product returns, which can fluctuate from quarter-to-quarter and year-over-year.</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exclusive rights under a series of patents and patent applications to commercialize Auryxia in the U.S. that protected us from generic drug competition until March 20, 2025. Following LoE, since March 2025, our AG Partner has been selling an authorized generic version of Auryxia in the U.S. The impact of LoE on future Auryxia revenues will depend on many factors, including our ability to maintain contracts with dialysis organizations, the timing and number of additional generics and the pricing of generics and other products on the market that compete with Auryxia.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Collaboration and Other Revenue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License, collaboration and other revenue includes revenue earned under our agreements with our partners, including license fees, royalty payments and revenue from product we supply.</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expect to continue to generate revenue from our collaboration, license and supply agreements with Medice, MTPC, JT and Torii and any other collaborations into which we have entered or may enter.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goods sold, or </w:t>
      </w:r>
      <w:r>
        <w:rPr>
          <w:rFonts w:ascii="Arial" w:cs="Arial" w:eastAsia="Arial" w:hAnsi="Arial"/>
          <w:sz w:val="18"/>
          <w:szCs w:val="18"/>
          <w:i w:val="1"/>
          <w:iCs w:val="1"/>
          <w:u w:val="single" w:color="auto"/>
          <w:color w:val="auto"/>
        </w:rPr>
        <w:t>COGS</w:t>
      </w:r>
      <w:r>
        <w:rPr>
          <w:rFonts w:ascii="Arial" w:cs="Arial" w:eastAsia="Arial" w:hAnsi="Arial"/>
          <w:sz w:val="18"/>
          <w:szCs w:val="18"/>
          <w:i w:val="1"/>
          <w:iCs w:val="1"/>
          <w:color w:val="auto"/>
        </w:rPr>
        <w:t xml:space="preserve"> </w:t>
      </w:r>
      <w:r>
        <w:rPr>
          <w:rFonts w:ascii="Arial" w:cs="Arial" w:eastAsia="Arial" w:hAnsi="Arial"/>
          <w:sz w:val="18"/>
          <w:szCs w:val="18"/>
          <w:color w:val="auto"/>
        </w:rPr>
        <w:t>- Cost of product and other revenue includes costs closely correlated or directly related to the costs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manufacture commercial drug substance and drug product, including at our contract manufacturing organizations, or </w:t>
      </w:r>
      <w:r>
        <w:rPr>
          <w:rFonts w:ascii="Arial" w:cs="Arial" w:eastAsia="Arial" w:hAnsi="Arial"/>
          <w:sz w:val="18"/>
          <w:szCs w:val="18"/>
          <w:u w:val="single" w:color="auto"/>
          <w:color w:val="auto"/>
        </w:rPr>
        <w:t>CMOs</w:t>
      </w:r>
      <w:r>
        <w:rPr>
          <w:rFonts w:ascii="Arial" w:cs="Arial" w:eastAsia="Arial" w:hAnsi="Arial"/>
          <w:sz w:val="18"/>
          <w:szCs w:val="18"/>
          <w:color w:val="auto"/>
        </w:rPr>
        <w:t>, as well as indirect costs. Direct and indirect costs include fees for packaging, shipping, insurance and quality assurance, idle capacity charges, changes in reserves for excess inventory, write-offs for inventory that fails to meet specifications or is otherwise no longer suitable for commercial sale, including scrap, changes in our firm purchase commitment liability and royalties due to the licensor of Auryxia related to U.S. and Japan product sales recognized during the period.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Cost of product and other revenue also includes costs to manufacture drug product provided to MTPC and Medice for commercial sales of Vafseo in Japan and in the EEA, the UK,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 respectively, as well as to our AG Partner. In addition, cost of product and other revenue includes personnel-related costs, including salaries and bonuses, employee benefits and stock-based compensation attributable to employees in particular functions and associated directly with the manufacturing of our commercial products.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Cost of product and other revenue for a newly launched product does not include the full cost of manufacturing until the initial pre-launch inventory is depleted and additional inventory is manufactured and sold. Until we received regulatory approval for Vafseo in the U.S., we recorded costs incurred to manufacture the U.S. pre-launch inventory, such as raw materials, drug substance and drug product conversion costs as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expense.</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Cost of goods sold - Amortization of intangible asset </w:t>
      </w:r>
      <w:r>
        <w:rPr>
          <w:rFonts w:ascii="Arial" w:cs="Arial" w:eastAsia="Arial" w:hAnsi="Arial"/>
          <w:sz w:val="18"/>
          <w:szCs w:val="18"/>
          <w:color w:val="auto"/>
        </w:rPr>
        <w:t>- In addition, COGS included the amortization of development product rights for Auryxia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end of 2024.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consist primarily of costs incurred for the development of Vafseo and costs associated with our pipeline which includes:</w:t>
      </w:r>
    </w:p>
    <w:p>
      <w:pPr>
        <w:spacing w:after="0" w:line="117" w:lineRule="exact"/>
        <w:rPr>
          <w:sz w:val="20"/>
          <w:szCs w:val="20"/>
          <w:color w:val="auto"/>
        </w:rPr>
      </w:pPr>
    </w:p>
    <w:p>
      <w:pPr>
        <w:ind w:left="740" w:hanging="408"/>
        <w:spacing w:after="0" w:line="281"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employee benefits, stock-based compensation and travel expenses for employees engaged in R&amp;D functions;</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feasibility and potential new manufacturing processes and methods for our commercial products;</w:t>
      </w:r>
    </w:p>
    <w:p>
      <w:pPr>
        <w:spacing w:after="0" w:line="63"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registration and related fees for non-commercial products;</w:t>
      </w:r>
    </w:p>
    <w:p>
      <w:pPr>
        <w:spacing w:after="0" w:line="63" w:lineRule="exact"/>
        <w:rPr>
          <w:rFonts w:ascii="Arial" w:cs="Arial" w:eastAsia="Arial" w:hAnsi="Arial"/>
          <w:sz w:val="18"/>
          <w:szCs w:val="18"/>
          <w:color w:val="auto"/>
        </w:rPr>
      </w:pPr>
    </w:p>
    <w:p>
      <w:pPr>
        <w:ind w:left="740" w:hanging="408"/>
        <w:spacing w:after="0" w:line="281"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expenses incurred under agreements with contract research organizations, or </w:t>
      </w:r>
      <w:r>
        <w:rPr>
          <w:rFonts w:ascii="Arial" w:cs="Arial" w:eastAsia="Arial" w:hAnsi="Arial"/>
          <w:sz w:val="18"/>
          <w:szCs w:val="18"/>
          <w:u w:val="single" w:color="auto"/>
          <w:color w:val="auto"/>
        </w:rPr>
        <w:t>CROs</w:t>
      </w:r>
      <w:r>
        <w:rPr>
          <w:rFonts w:ascii="Arial" w:cs="Arial" w:eastAsia="Arial" w:hAnsi="Arial"/>
          <w:sz w:val="18"/>
          <w:szCs w:val="18"/>
          <w:color w:val="auto"/>
        </w:rPr>
        <w:t>, and investigative sites that conduct our clinical trials;</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trial materials through CMOs;</w:t>
      </w:r>
    </w:p>
    <w:p>
      <w:pPr>
        <w:spacing w:after="0" w:line="63" w:lineRule="exact"/>
        <w:rPr>
          <w:rFonts w:ascii="Arial" w:cs="Arial" w:eastAsia="Arial" w:hAnsi="Arial"/>
          <w:sz w:val="18"/>
          <w:szCs w:val="18"/>
          <w:color w:val="auto"/>
        </w:rPr>
      </w:pPr>
    </w:p>
    <w:p>
      <w:pPr>
        <w:ind w:left="740" w:hanging="408"/>
        <w:spacing w:after="0" w:line="281"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supplies associated with our laboratory space as well as our R&amp;D team;</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discovery and development for preclinical, clinical and regulatory activities; and</w:t>
      </w:r>
    </w:p>
    <w:p>
      <w:pPr>
        <w:spacing w:after="0" w:line="63"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the pre-launch inventory build for Vafseo in the U.S. prior to the FDA approval in March 2024.</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R&amp;D costs are expensed as incurred. Advance payments made for goods or services to be received in the future for use in R&amp;D activities are recorded as prepaid expenses and other current assets. The prepaid amounts are expensed as the benefits are consumed. Costs for certain development activities are recognized based on an evaluation of the progress to completion of specific tasks using information and data provided to us by our vendors and our clinical sites.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cannot determine with certainty the duration and completion costs of our R&amp;D projects, the costs of related clinical development, or if, when, or to what extent we will generate revenue from the commercialization or sale of any of our product candidates.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inception through June 30, 2025, we have incurred $1.7 billion in R&amp;D expenses. We expect to incur significant R&amp;D expenditures for the foreseeable future as we continue the development of Auryxia, Vafseo and any other product or product candidate, including those that may be in-licensed or acquired.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significant portion of our R&amp;D costs have been external costs, which we track on a program-by-program basis as well as costs related to possible new manufacturing processes and methods associated with our commercial products. These external costs include fees paid to investigators, consultants, central laboratories and CROs in connection with our clinical trials and costs related to acquiring and manufacturing clinical trial materials, including costs paid to CMOs to manufacture clinical trial materials.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do not track our internal personnel and facilities costs on a program-by-program basis as our personnel are deployed across multiple R&amp;D projects.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products and product candidates has technical, clinical, regulatory, and commercial risk, including those discussed more fully under the heading “Risk Factors” in Part II, Item 1A of this Form 10-Q. A change in the outcome of any of the variables with respect to the development of Auryxia, Vafseo or any other product or product candidate could result in a significant change in the costs and timing associated with that development.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Selling, general and administrative, or </w:t>
      </w:r>
      <w:r>
        <w:rPr>
          <w:rFonts w:ascii="Arial" w:cs="Arial" w:eastAsia="Arial" w:hAnsi="Arial"/>
          <w:sz w:val="18"/>
          <w:szCs w:val="18"/>
          <w:u w:val="single" w:color="auto"/>
          <w:color w:val="auto"/>
        </w:rPr>
        <w:t>SG&amp;A</w:t>
      </w:r>
      <w:r>
        <w:rPr>
          <w:rFonts w:ascii="Arial" w:cs="Arial" w:eastAsia="Arial" w:hAnsi="Arial"/>
          <w:sz w:val="18"/>
          <w:szCs w:val="18"/>
          <w:color w:val="auto"/>
        </w:rPr>
        <w:t>, expenses consist primarily of compensation for personnel, including stock-based compensation related to commercial, marketing, executive, finance and accounting, information technology, corporate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business development and human resource functions. Other SG&amp;A expenses include costs for marketing initiatives for our commercial products, market research and analysis on our commercial products and potential product candidates, conferences and trade shows, travel expenses, professional services fees (including legal, patent, accounting, audit, tax, and consulting fees), insurance costs, general corporate expenses and allocated facilities-related expenses, including rent and maintenance of facilities.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License expenses relate to royalties due to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for sales of Auryxia in the U.S. and Riona in Japan.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Other income (expense), net consists primarily of interest income on our interest-bearing accounts, interest expense related to our term loans, accretion of the debt discount on our term loans as well as amortization of the discount on the liability related to the termination fees associated with the termination agreement with BioVectra Inc., or </w:t>
      </w:r>
      <w:r>
        <w:rPr>
          <w:rFonts w:ascii="Arial" w:cs="Arial" w:eastAsia="Arial" w:hAnsi="Arial"/>
          <w:sz w:val="18"/>
          <w:szCs w:val="18"/>
          <w:u w:val="single" w:color="auto"/>
          <w:color w:val="auto"/>
        </w:rPr>
        <w:t>BioVectra</w:t>
      </w:r>
      <w:r>
        <w:rPr>
          <w:rFonts w:ascii="Arial" w:cs="Arial" w:eastAsia="Arial" w:hAnsi="Arial"/>
          <w:sz w:val="18"/>
          <w:szCs w:val="18"/>
          <w:color w:val="auto"/>
        </w:rPr>
        <w:t xml:space="preserve">, entered into in December 2022, or the </w:t>
      </w:r>
      <w:r>
        <w:rPr>
          <w:rFonts w:ascii="Arial" w:cs="Arial" w:eastAsia="Arial" w:hAnsi="Arial"/>
          <w:sz w:val="18"/>
          <w:szCs w:val="18"/>
          <w:u w:val="single" w:color="auto"/>
          <w:color w:val="auto"/>
        </w:rPr>
        <w:t>BioVectra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accompanying notes to the unaudited condensed consolidated financial statements included in Part I, Item 1 of this Form 10-Q for further information on the BioVectra Termination Agreement. Other income (expense) also includes non-cash interest on our liability related to settlement royalties and the amortization of the discount and deferred gain related to our Working Capital Fund (as defined below) liability to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in the</w:t>
      </w:r>
    </w:p>
    <w:p>
      <w:pPr>
        <w:jc w:val="both"/>
        <w:spacing w:after="0" w:line="266" w:lineRule="auto"/>
        <w:rPr>
          <w:sz w:val="20"/>
          <w:szCs w:val="20"/>
          <w:color w:val="auto"/>
        </w:rPr>
      </w:pPr>
      <w:r>
        <w:rPr>
          <w:rFonts w:ascii="Arial" w:cs="Arial" w:eastAsia="Arial" w:hAnsi="Arial"/>
          <w:sz w:val="18"/>
          <w:szCs w:val="18"/>
          <w:color w:val="auto"/>
        </w:rPr>
        <w:t>accompanying notes to the unaudited condensed consolidated financial statements included in Part I, Item 1 of this Form 10-Q for further information on our arrangements with CSL Vifor.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Change in fair value of warrant liability relates to the change in fair value of our warrant liability related to a warrant agreement with Kreos Capital VII Aggregator SCSp, an affiliate of Kreos Capital VII (UK) Limited, or </w:t>
      </w:r>
      <w:r>
        <w:rPr>
          <w:rFonts w:ascii="Arial" w:cs="Arial" w:eastAsia="Arial" w:hAnsi="Arial"/>
          <w:sz w:val="18"/>
          <w:szCs w:val="18"/>
          <w:u w:val="single" w:color="auto"/>
          <w:color w:val="auto"/>
        </w:rPr>
        <w:t>Kreos.</w:t>
      </w:r>
      <w:r>
        <w:rPr>
          <w:rFonts w:ascii="Arial" w:cs="Arial" w:eastAsia="Arial" w:hAnsi="Arial"/>
          <w:sz w:val="18"/>
          <w:szCs w:val="18"/>
          <w:color w:val="auto"/>
        </w:rPr>
        <w:t xml:space="preserve"> See Note 3,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Indebtedness</w:t>
      </w:r>
      <w:r>
        <w:rPr>
          <w:rFonts w:ascii="Arial" w:cs="Arial" w:eastAsia="Arial" w:hAnsi="Arial"/>
          <w:sz w:val="18"/>
          <w:szCs w:val="18"/>
          <w:color w:val="auto"/>
        </w:rPr>
        <w:t>, in the accompanying notes to the unaudited condensed consolidated financial statements included in Part I, Item 1 of this Form 10-Q for further information on the warrant liability.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March 19, 2025, we entered into an underwriting agreement, or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xml:space="preserve">, with Leerink Partners LLC and Piper Sandler &amp; Co., as representatives of the several underwriters named therein,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xml:space="preserve">, relating to an underwritten public offering, or the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of 25,000,000 shares, or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of our common stock. The offering price was $2.00 per share, and the Underwriters agreed to purchase the Shares from us pursuant to the Underwriting Agreement at a price of $1.88 per share. Under the terms of the Underwriting Agreement, we granted the Underwriters a 30-day option to purchase up to 3,750,000 additional shares of common stock, or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 at the public offering price per share, and the Underwriters partially exercised their option and purchased 850,000 Additional Shares on April 22, 2025.</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proceeds from the Offering of the Shares were $46.5 million, after deducting underwriting discounts and commissions and estimated offering expenses and net proceeds from the Offering of the Additional Shares were $1.6 million, after deducting underwriting discounts and commissions and estimated offering expenses.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Under BlackRock Term Loans</w:t>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On February 3, 2025, we and Kreos,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entered into the Second Amendment to the Agreement for the Provision of a Loan Facility, or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which amended certain provisions of</w:t>
      </w:r>
    </w:p>
    <w:p>
      <w:pPr>
        <w:jc w:val="both"/>
        <w:spacing w:after="0" w:line="226" w:lineRule="auto"/>
        <w:rPr>
          <w:sz w:val="20"/>
          <w:szCs w:val="20"/>
          <w:color w:val="auto"/>
        </w:rPr>
      </w:pPr>
      <w:r>
        <w:rPr>
          <w:rFonts w:ascii="Arial" w:cs="Arial" w:eastAsia="Arial" w:hAnsi="Arial"/>
          <w:sz w:val="18"/>
          <w:szCs w:val="18"/>
          <w:color w:val="auto"/>
        </w:rPr>
        <w:t xml:space="preserve">the Agreement for the Provision of a Loan Facility, dated January 29, 2024, or the </w:t>
      </w:r>
      <w:r>
        <w:rPr>
          <w:rFonts w:ascii="Arial" w:cs="Arial" w:eastAsia="Arial" w:hAnsi="Arial"/>
          <w:sz w:val="18"/>
          <w:szCs w:val="18"/>
          <w:u w:val="single" w:color="auto"/>
          <w:color w:val="auto"/>
        </w:rPr>
        <w:t>BlackRock Credit Agreement</w:t>
      </w:r>
      <w:r>
        <w:rPr>
          <w:rFonts w:ascii="Arial" w:cs="Arial" w:eastAsia="Arial" w:hAnsi="Arial"/>
          <w:sz w:val="18"/>
          <w:szCs w:val="18"/>
          <w:color w:val="auto"/>
        </w:rPr>
        <w:t>. The BlackRock Credit Agreement provides for a senior secured term loan facility in the aggregate principal amount of up to $55.0 million, subject to certain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customary conditions,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Term Loan Facility provided us access to three tranches: (i) an initial tranche of $37.0 million, which was funded on January 29, 2024, (ii) an additional tranche of $8.0 million, which was funded on April 19, 2024, and (iii) a final tranche of $10.0 million, which was available in a single draw through an expiry date of December 31, 2024, or the </w:t>
      </w:r>
      <w:r>
        <w:rPr>
          <w:rFonts w:ascii="Arial" w:cs="Arial" w:eastAsia="Arial" w:hAnsi="Arial"/>
          <w:sz w:val="18"/>
          <w:szCs w:val="18"/>
          <w:u w:val="single" w:color="auto"/>
          <w:color w:val="auto"/>
        </w:rPr>
        <w:t>Prior Tranche C Loan</w:t>
      </w:r>
      <w:r>
        <w:rPr>
          <w:rFonts w:ascii="Arial" w:cs="Arial" w:eastAsia="Arial" w:hAnsi="Arial"/>
          <w:sz w:val="18"/>
          <w:szCs w:val="18"/>
          <w:color w:val="auto"/>
        </w:rPr>
        <w:t xml:space="preserve">. As a result of the Second Amendment, the Prior Tranche C Loan expiry date was extended until February 3, 2025, or the </w:t>
      </w:r>
      <w:r>
        <w:rPr>
          <w:rFonts w:ascii="Arial" w:cs="Arial" w:eastAsia="Arial" w:hAnsi="Arial"/>
          <w:sz w:val="18"/>
          <w:szCs w:val="18"/>
          <w:u w:val="single" w:color="auto"/>
          <w:color w:val="auto"/>
        </w:rPr>
        <w:t>Extended Tranche C Loan</w:t>
      </w:r>
      <w:r>
        <w:rPr>
          <w:rFonts w:ascii="Arial" w:cs="Arial" w:eastAsia="Arial" w:hAnsi="Arial"/>
          <w:sz w:val="18"/>
          <w:szCs w:val="18"/>
          <w:color w:val="auto"/>
        </w:rPr>
        <w:t>. The terms of the Extended Tranche C Loan are substantially similar to the terms of the Prior Tranche C Loan, however, interest will accrue on the Extended Tranche C Loan as if it was advanced on December 31, 2024.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February 3, 2025, we received $9.3 million on the Extended Tranche C Loan, after deducting debt issuance costs, interest, fees and expenses.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February 3, 2025, in connection with the drawdown of the Extended Tranche C Loan, in accordance with the warrant agreement, dated as of January 29, 2024, between the Company and Kreos Capital VII Aggregator SCSp,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we issued a warrant to the Warrant Holder to purchase 1,153,846 shares of our common stock, at an exercise price per share of $1.30. The warrant shall be exercisable for eight years from the date of issuance.</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Indebtedness,</w:t>
      </w:r>
      <w:r>
        <w:rPr>
          <w:rFonts w:ascii="Arial" w:cs="Arial" w:eastAsia="Arial" w:hAnsi="Arial"/>
          <w:sz w:val="18"/>
          <w:szCs w:val="18"/>
          <w:color w:val="auto"/>
        </w:rPr>
        <w:t xml:space="preserve"> in the accompanying notes to the unaudited condensed consolidated financial statements included in Part I, Item 1 of this Form 10-Q for further information.</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July 21, 2025, the Warrant Holder exercised its option to purchase 2,115,384 shares of our common stock under the Initial Warrant on a cashless basis at an exercise price per share of $1.30. On July 23, 2025, as a result of the cashless exercise, we issued 1,408,588 shares to the Warrant Holder.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(ATM) Offering</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September 3, 2024, in connection with the filing of a new shelf registration statement on Form S-3, we filed a prospectus related to our amended and restated sales agreement with Jefferies LLC (which amended and restated the prior sales agreement), pursuant to which we are able to offer and sell up to $75.0 million of our common stock at current market prices from time to time. Since September 12, 2024 (the date our shelf registration statement on Form S-3 went effective) through December 31, 2024, we sold 14,271,631 shares of our common stock under this program with gross proceeds of $24.3 million ($23.8 million, net of offering expenses). During the six months ended June 30, 2025, we sold 9,437,364 shares of our common stock under this program with gross proceeds of $18.7 million ($18.4 million, net of offering expenses).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Akebia Therapeutics, Inc. |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8"/>
                <w:szCs w:val="18"/>
                <w:color w:val="auto"/>
              </w:rPr>
            </w:pPr>
          </w:p>
        </w:tc>
        <w:tc>
          <w:tcPr>
            <w:tcW w:w="1840" w:type="dxa"/>
            <w:vAlign w:val="bottom"/>
            <w:gridSpan w:val="3"/>
          </w:tcPr>
          <w:p>
            <w:pPr>
              <w:ind w:left="100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18"/>
                <w:szCs w:val="18"/>
                <w:color w:val="auto"/>
              </w:rPr>
            </w:pP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09"/>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Product revenue, net</w:t>
            </w: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60,461</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41,209</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19,252</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47 %</w:t>
            </w:r>
          </w:p>
        </w:tc>
      </w:tr>
      <w:tr>
        <w:trPr>
          <w:trHeight w:val="215"/>
        </w:trPr>
        <w:tc>
          <w:tcPr>
            <w:tcW w:w="4280" w:type="dxa"/>
            <w:vAlign w:val="bottom"/>
            <w:tcBorders>
              <w:bottom w:val="single" w:sz="8" w:color="DBDBDB"/>
            </w:tcBorders>
            <w:gridSpan w:val="2"/>
          </w:tcPr>
          <w:p>
            <w:pPr>
              <w:ind w:left="360"/>
              <w:spacing w:after="0"/>
              <w:rPr>
                <w:sz w:val="20"/>
                <w:szCs w:val="20"/>
                <w:color w:val="auto"/>
              </w:rPr>
            </w:pPr>
            <w:r>
              <w:rPr>
                <w:rFonts w:ascii="Arial" w:cs="Arial" w:eastAsia="Arial" w:hAnsi="Arial"/>
                <w:sz w:val="16"/>
                <w:szCs w:val="16"/>
                <w:color w:val="auto"/>
              </w:rPr>
              <w:t>License, collaboration and other revenue</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4280" w:type="dxa"/>
            <w:vAlign w:val="bottom"/>
            <w:gridSpan w:val="2"/>
            <w:shd w:val="clear" w:color="auto" w:fill="DBDBDB"/>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62,472</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43,648</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18,824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43 %</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Cost of product and other revenue</w:t>
            </w:r>
          </w:p>
        </w:tc>
        <w:tc>
          <w:tcPr>
            <w:tcW w:w="3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9,919</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8,036</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1,883</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Amortization of intangible asset</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(9,011)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4280" w:type="dxa"/>
            <w:vAlign w:val="bottom"/>
            <w:tcBorders>
              <w:top w:val="single" w:sz="8" w:color="DBDBDB"/>
            </w:tcBorders>
            <w:gridSpan w:val="2"/>
            <w:shd w:val="clear" w:color="auto" w:fill="DBDBDB"/>
          </w:tcPr>
          <w:p>
            <w:pPr>
              <w:ind w:left="480"/>
              <w:spacing w:after="0"/>
              <w:rPr>
                <w:sz w:val="20"/>
                <w:szCs w:val="20"/>
                <w:color w:val="auto"/>
              </w:rPr>
            </w:pPr>
            <w:r>
              <w:rPr>
                <w:rFonts w:ascii="Arial" w:cs="Arial" w:eastAsia="Arial" w:hAnsi="Arial"/>
                <w:sz w:val="16"/>
                <w:szCs w:val="16"/>
                <w:color w:val="auto"/>
              </w:rPr>
              <w:t>Total cost of goods sold</w:t>
            </w:r>
          </w:p>
        </w:tc>
        <w:tc>
          <w:tcPr>
            <w:tcW w:w="32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9,919</w:t>
            </w:r>
          </w:p>
        </w:tc>
        <w:tc>
          <w:tcPr>
            <w:tcW w:w="12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17,047</w:t>
            </w:r>
          </w:p>
        </w:tc>
        <w:tc>
          <w:tcPr>
            <w:tcW w:w="120" w:type="dxa"/>
            <w:vAlign w:val="bottom"/>
            <w:tcBorders>
              <w:top w:val="single" w:sz="8" w:color="DBDBDB"/>
            </w:tcBorders>
            <w:shd w:val="clear" w:color="auto" w:fill="DBDBDB"/>
          </w:tcPr>
          <w:p>
            <w:pPr>
              <w:spacing w:after="0"/>
              <w:rPr>
                <w:sz w:val="18"/>
                <w:szCs w:val="18"/>
                <w:color w:val="auto"/>
              </w:rPr>
            </w:pPr>
          </w:p>
        </w:tc>
        <w:tc>
          <w:tcPr>
            <w:tcW w:w="44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(7,128)</w:t>
            </w:r>
          </w:p>
        </w:tc>
        <w:tc>
          <w:tcPr>
            <w:tcW w:w="8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11,013</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7,647</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3,366</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26,555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License</w:t>
            </w:r>
          </w:p>
        </w:tc>
        <w:tc>
          <w:tcPr>
            <w:tcW w:w="3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18 %</w:t>
            </w:r>
          </w:p>
        </w:tc>
      </w:tr>
      <w:tr>
        <w:trPr>
          <w:trHeight w:val="209"/>
        </w:trPr>
        <w:tc>
          <w:tcPr>
            <w:tcW w:w="4280" w:type="dxa"/>
            <w:vAlign w:val="bottom"/>
            <w:tcBorders>
              <w:bottom w:val="single" w:sz="8" w:color="DBDBDB"/>
            </w:tcBorders>
            <w:gridSpan w:val="2"/>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38,464</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35,326</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r>
      <w:tr>
        <w:trPr>
          <w:trHeight w:val="210"/>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Income (loss) from operations</w:t>
            </w:r>
          </w:p>
        </w:tc>
        <w:tc>
          <w:tcPr>
            <w:tcW w:w="3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14,089</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(8,725)</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22,814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Other expense, net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(4,674)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214 %</w:t>
            </w:r>
          </w:p>
        </w:tc>
      </w:tr>
      <w:tr>
        <w:trPr>
          <w:trHeight w:val="217"/>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3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(6,980)</w:t>
            </w:r>
          </w:p>
        </w:tc>
        <w:tc>
          <w:tcPr>
            <w:tcW w:w="12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(9,311)</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(399)%</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8,829</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Product Revenue, Net—</w:t>
      </w:r>
      <w:r>
        <w:rPr>
          <w:rFonts w:ascii="Arial" w:cs="Arial" w:eastAsia="Arial" w:hAnsi="Arial"/>
          <w:sz w:val="18"/>
          <w:szCs w:val="18"/>
          <w:color w:val="auto"/>
        </w:rPr>
        <w:t>Net product revenue is derived from sales of Auryxia and Vafseo in the U.S. We distribute Auryxia and Vafseo</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through a limited number of dialysis organizations, wholesale distributors, certain specialty pharmacy providers and our AG Partner.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product revenue was $60.5 million for the three months ended June 30, 2025, compared to $41.2 million for the three months ended June 30, 2024. The increase was primarily due to Vafseo's entry to the market in January 2025 and an increase in sales volumes of Auryxia.</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Auryxia lost exclusivity in the U.S. in March 2025, which may have a negative impact on future Auryxia revenue. We believe the dynamics of Auryxia reimbursement being included in the ESRD bundle could result in a slower revenue decline after the LoE date than in other LoE scenarios. Additionally, since March 2025, our AG Partner has been selling an authorized generic version of Auryxia in the U.S., which may slightly offset a revenue decline following the LoE. However, our ability to continue to generate revenue from sales of Auryxia following LoE will depend on many factors, including our ability to maintain contracts with dialysis organizations, the timing and number of additional generics that enter the market and the pricing of generics and other products on the market that compete with Auryxia.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revenue by product for the three months ended June 30, 2025 and 2024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 June 30,</w:t>
            </w: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210"/>
        </w:trPr>
        <w:tc>
          <w:tcPr>
            <w:tcW w:w="7560" w:type="dxa"/>
            <w:vAlign w:val="bottom"/>
            <w:shd w:val="clear" w:color="auto" w:fill="DBDBDB"/>
          </w:tcPr>
          <w:p>
            <w:pPr>
              <w:ind w:left="20"/>
              <w:spacing w:after="0" w:line="210" w:lineRule="exact"/>
              <w:rPr>
                <w:sz w:val="20"/>
                <w:szCs w:val="20"/>
                <w:color w:val="auto"/>
              </w:rPr>
            </w:pPr>
            <w:r>
              <w:rPr>
                <w:rFonts w:ascii="Arial" w:cs="Arial" w:eastAsia="Arial" w:hAnsi="Arial"/>
                <w:sz w:val="16"/>
                <w:szCs w:val="16"/>
                <w:color w:val="auto"/>
              </w:rPr>
              <w:t>Vafseo</w:t>
            </w:r>
            <w:r>
              <w:rPr>
                <w:rFonts w:ascii="Arial" w:cs="Arial" w:eastAsia="Arial" w:hAnsi="Arial"/>
                <w:sz w:val="21"/>
                <w:szCs w:val="21"/>
                <w:color w:val="auto"/>
                <w:vertAlign w:val="superscript"/>
              </w:rPr>
              <w:t>(1)</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13,279</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6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Auryxia</w:t>
            </w:r>
            <w:r>
              <w:rPr>
                <w:rFonts w:ascii="Arial" w:cs="Arial" w:eastAsia="Arial" w:hAnsi="Arial"/>
                <w:sz w:val="21"/>
                <w:szCs w:val="21"/>
                <w:color w:val="auto"/>
                <w:vertAlign w:val="superscript"/>
              </w:rPr>
              <w:t>(2)</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47,183</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41,209</w:t>
            </w:r>
          </w:p>
        </w:tc>
      </w:tr>
      <w:tr>
        <w:trPr>
          <w:trHeight w:val="23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product revenues</w:t>
            </w: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60,461</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41,209</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Vafseo entered the U.S. market in January 2025.</w:t>
      </w:r>
    </w:p>
    <w:p>
      <w:pPr>
        <w:spacing w:after="0" w:line="113" w:lineRule="exact"/>
        <w:rPr>
          <w:rFonts w:ascii="Arial" w:cs="Arial" w:eastAsia="Arial" w:hAnsi="Arial"/>
          <w:sz w:val="16"/>
          <w:szCs w:val="16"/>
          <w:color w:val="auto"/>
        </w:rPr>
      </w:pPr>
    </w:p>
    <w:p>
      <w:pPr>
        <w:ind w:left="580" w:hanging="248"/>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the authorized generic version of Auryxia sold and distributed by our AG Partner during the three months ended June 30, 2025.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License, collaboration and other revenue was $2.0 million for the three months ended June 30,</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2025, compared to $2.4 million for the three months ended June 30, 2024. The decrease was primarily due to revenue recognized in connection with our supply agreement with MTPC during the three months ended June 30, 2024.</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Cost of Goods Sold—Cost of Product and Other Revenue—</w:t>
      </w:r>
      <w:r>
        <w:rPr>
          <w:rFonts w:ascii="Arial" w:cs="Arial" w:eastAsia="Arial" w:hAnsi="Arial"/>
          <w:sz w:val="18"/>
          <w:szCs w:val="18"/>
          <w:color w:val="auto"/>
        </w:rPr>
        <w:t>Cost of product and other revenue was $9.9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compared to $ 8.0 million for the three months ended June 30, 2024. The increase was primarily due to a $4.9 million benefit that we recorded during the three months ended June 30, 2024 due to our ability to sell inventory previously written-down as excess inventory and lower Auryxia volume during the three months ended June 30, 2024, which was partially offset by a charge of $2.1 million related to our firm purchase commitment liability during the three months ended June 30, 2024.</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capitalizing our Vafseo costs in March 2024, in connection with the FDA's approval of Vafseo for the treatment of anemia due to CKD in adult patients on dialysis for at least three months. Prior to the capitalization of Vafseo inventory costs, such costs were recorded as research and development expenses in the period incurred. Cost of product and other revenue for Vafseo was $0.5 million for the three months ended June 30, 2025, comprised of manufacturing and overhead costs as the associated inventory costs such as raw materials, drug substance and drug product conversion costs were expensed previously. If Vafseo inventory sold during the three months ended June 30, 2025 was valued at cost, our cost of product and other revenue would have been $1.1 million. As of June 30, 2025, we had $26.5 million of reduced-cost Vafseo inventory. We expect our cost of product and other revenue for Vafseo will increase, reflecting the full cost of manufacturing, subsequent to the utilization of our reduced-cost Vafseo inventory.</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Cost of Goods Sold—Amortization of Intangible Asset—</w:t>
      </w:r>
      <w:r>
        <w:rPr>
          <w:rFonts w:ascii="Arial" w:cs="Arial" w:eastAsia="Arial" w:hAnsi="Arial"/>
          <w:sz w:val="18"/>
          <w:szCs w:val="18"/>
          <w:color w:val="auto"/>
        </w:rPr>
        <w:t>Amortization of intangible asset related to the acquired developed product rights for</w:t>
      </w:r>
      <w:r>
        <w:rPr>
          <w:rFonts w:ascii="Arial" w:cs="Arial" w:eastAsia="Arial" w:hAnsi="Arial"/>
          <w:sz w:val="18"/>
          <w:szCs w:val="18"/>
          <w:i w:val="1"/>
          <w:iCs w:val="1"/>
          <w:color w:val="auto"/>
        </w:rPr>
        <w:t xml:space="preserve"> </w:t>
      </w:r>
      <w:r>
        <w:rPr>
          <w:rFonts w:ascii="Arial" w:cs="Arial" w:eastAsia="Arial" w:hAnsi="Arial"/>
          <w:sz w:val="18"/>
          <w:szCs w:val="18"/>
          <w:color w:val="auto"/>
        </w:rPr>
        <w:t>Auryxia, and was amortized using a straight-line method over its estimated useful life of approximately six years. Our intangible asset was fully amortized as of December 31, 2024. We recorded no amortization expense and $9.0 million in amortization expense for the three months ended June 30, 2025 and 2024, respectively, related to the developed product rights for Auryxia.</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R&amp;D Expenses—</w:t>
      </w:r>
      <w:r>
        <w:rPr>
          <w:rFonts w:ascii="Arial" w:cs="Arial" w:eastAsia="Arial" w:hAnsi="Arial"/>
          <w:sz w:val="18"/>
          <w:szCs w:val="18"/>
          <w:color w:val="auto"/>
        </w:rPr>
        <w:t>R&amp;D expenses were $11.0 million for the three months ended June 30, 2025, compared to $7.6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2024. The increase was primarily driven by increased clinical trial activities related to Vafseo as well as our other programs and higher headcount related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our external research and development expenses by program, as well as costs not allocated to programs, for the three months ended June 30, 2025 and 2024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Vafseo clinical trial and other external costs</w:t>
            </w:r>
          </w:p>
        </w:tc>
        <w:tc>
          <w:tcPr>
            <w:tcW w:w="1140" w:type="dxa"/>
            <w:vAlign w:val="bottom"/>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4,730</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162"/>
        </w:trPr>
        <w:tc>
          <w:tcPr>
            <w:tcW w:w="7580" w:type="dxa"/>
            <w:vAlign w:val="bottom"/>
          </w:tcPr>
          <w:p>
            <w:pPr>
              <w:ind w:left="20"/>
              <w:spacing w:after="0" w:line="162" w:lineRule="exact"/>
              <w:rPr>
                <w:sz w:val="20"/>
                <w:szCs w:val="20"/>
                <w:color w:val="auto"/>
              </w:rPr>
            </w:pPr>
            <w:r>
              <w:rPr>
                <w:rFonts w:ascii="Arial" w:cs="Arial" w:eastAsia="Arial" w:hAnsi="Arial"/>
                <w:sz w:val="16"/>
                <w:szCs w:val="16"/>
                <w:color w:val="auto"/>
              </w:rPr>
              <w:t>External costs for other programs, including feasibility and new processes and methods associated with</w:t>
            </w:r>
          </w:p>
        </w:tc>
        <w:tc>
          <w:tcPr>
            <w:tcW w:w="1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commercial product</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external R&amp;D expenses</w:t>
            </w:r>
          </w:p>
        </w:tc>
        <w:tc>
          <w:tcPr>
            <w:tcW w:w="114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5,859</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Internal personnel, consulting, facilities and 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5,154</w:t>
            </w:r>
          </w:p>
        </w:tc>
        <w:tc>
          <w:tcPr>
            <w:tcW w:w="12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4,820</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R&amp;D expenses</w:t>
            </w:r>
          </w:p>
        </w:tc>
        <w:tc>
          <w:tcPr>
            <w:tcW w:w="1140" w:type="dxa"/>
            <w:vAlign w:val="bottom"/>
            <w:tcBorders>
              <w:bottom w:val="single" w:sz="8" w:color="auto"/>
            </w:tcBorders>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11,013</w:t>
            </w:r>
          </w:p>
        </w:tc>
        <w:tc>
          <w:tcPr>
            <w:tcW w:w="12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10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7,647</w:t>
            </w:r>
          </w:p>
        </w:tc>
        <w:tc>
          <w:tcPr>
            <w:tcW w:w="0" w:type="dxa"/>
            <w:vAlign w:val="bottom"/>
          </w:tcPr>
          <w:p>
            <w:pPr>
              <w:spacing w:after="0"/>
              <w:rPr>
                <w:sz w:val="1"/>
                <w:szCs w:val="1"/>
                <w:color w:val="auto"/>
              </w:rPr>
            </w:pP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incur significant R&amp;D expenses in future periods in support of ongoing or planned studies with respect to the development of our product candidates as well as Vafseo.</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were $26.6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compared to $26.9 million for the three months ended June 30, 2024. The decrease was largely due to lower costs associated with our patient assistance program related to Auryxia and decreased professional fees, partially offset by marketing costs in connection with the Vafseo U.S. launch during the three months ended June 30, 2025.</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License Expenses—</w:t>
      </w:r>
      <w:r>
        <w:rPr>
          <w:rFonts w:ascii="Arial" w:cs="Arial" w:eastAsia="Arial" w:hAnsi="Arial"/>
          <w:sz w:val="18"/>
          <w:szCs w:val="18"/>
          <w:color w:val="auto"/>
        </w:rPr>
        <w:t>License expenses related to royalties due to Panion relating to sales of Riona in Japan were $0.9 million and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2025 and 2024, respectively.</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Other expense, net, was $6.9 million for the three months ended June 30, 2025, compared to $2.2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ended June 30, 2024. The increase was primarily due to non-cash interest expense related to the settlement royalty liability in connection with the Termination and Settlement Agreement entered into on July 10, 2024 between us and CSL Vifor, or the </w:t>
      </w:r>
      <w:r>
        <w:rPr>
          <w:rFonts w:ascii="Arial" w:cs="Arial" w:eastAsia="Arial" w:hAnsi="Arial"/>
          <w:sz w:val="18"/>
          <w:szCs w:val="18"/>
          <w:u w:val="single" w:color="auto"/>
          <w:color w:val="auto"/>
        </w:rPr>
        <w:t>Vifor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partially offset by interest income related to our money market funds. See Note 8, </w:t>
      </w:r>
      <w:r>
        <w:rPr>
          <w:rFonts w:ascii="Arial" w:cs="Arial" w:eastAsia="Arial" w:hAnsi="Arial"/>
          <w:sz w:val="18"/>
          <w:szCs w:val="18"/>
          <w:i w:val="1"/>
          <w:iCs w:val="1"/>
          <w:color w:val="auto"/>
        </w:rPr>
        <w:t>Liability Related to Settlement Royalties,</w:t>
      </w:r>
      <w:r>
        <w:rPr>
          <w:rFonts w:ascii="Arial" w:cs="Arial" w:eastAsia="Arial" w:hAnsi="Arial"/>
          <w:sz w:val="18"/>
          <w:szCs w:val="18"/>
          <w:color w:val="auto"/>
        </w:rPr>
        <w:t xml:space="preserve"> </w:t>
      </w:r>
      <w:r>
        <w:rPr>
          <w:rFonts w:ascii="Arial" w:cs="Arial" w:eastAsia="Arial" w:hAnsi="Arial"/>
          <w:sz w:val="18"/>
          <w:szCs w:val="18"/>
          <w:i w:val="1"/>
          <w:iCs w:val="1"/>
          <w:color w:val="auto"/>
        </w:rPr>
        <w:t>Working Capital Fund Liability and Liability Related to Sale of Future Royalties</w:t>
      </w:r>
      <w:r>
        <w:rPr>
          <w:rFonts w:ascii="Arial" w:cs="Arial" w:eastAsia="Arial" w:hAnsi="Arial"/>
          <w:sz w:val="18"/>
          <w:szCs w:val="18"/>
          <w:color w:val="auto"/>
        </w:rPr>
        <w:t>, in the accompanying notes to the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Part I, Item 1 of this Form 10-Q for further information on our arrangements with CSL Vifor.</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Change in fair value of warrant liability was $7.0 million and $2.3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 June 30,</w:t>
            </w:r>
          </w:p>
        </w:tc>
        <w:tc>
          <w:tcPr>
            <w:tcW w:w="440" w:type="dxa"/>
            <w:vAlign w:val="bottom"/>
          </w:tcPr>
          <w:p>
            <w:pPr>
              <w:spacing w:after="0"/>
              <w:rPr>
                <w:sz w:val="18"/>
                <w:szCs w:val="18"/>
                <w:color w:val="auto"/>
              </w:rPr>
            </w:pPr>
          </w:p>
        </w:tc>
        <w:tc>
          <w:tcPr>
            <w:tcW w:w="1840" w:type="dxa"/>
            <w:vAlign w:val="bottom"/>
            <w:gridSpan w:val="3"/>
          </w:tcPr>
          <w:p>
            <w:pPr>
              <w:ind w:left="100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18"/>
                <w:szCs w:val="18"/>
                <w:color w:val="auto"/>
              </w:rPr>
            </w:pP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09"/>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Product revenue, net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116,252</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72,218</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44,034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61 %</w:t>
            </w:r>
          </w:p>
        </w:tc>
      </w:tr>
      <w:tr>
        <w:trPr>
          <w:trHeight w:val="215"/>
        </w:trPr>
        <w:tc>
          <w:tcPr>
            <w:tcW w:w="4280" w:type="dxa"/>
            <w:vAlign w:val="bottom"/>
            <w:tcBorders>
              <w:bottom w:val="single" w:sz="8" w:color="DBDBDB"/>
            </w:tcBorders>
            <w:gridSpan w:val="2"/>
          </w:tcPr>
          <w:p>
            <w:pPr>
              <w:ind w:left="360"/>
              <w:spacing w:after="0"/>
              <w:rPr>
                <w:sz w:val="20"/>
                <w:szCs w:val="20"/>
                <w:color w:val="auto"/>
              </w:rPr>
            </w:pPr>
            <w:r>
              <w:rPr>
                <w:rFonts w:ascii="Arial" w:cs="Arial" w:eastAsia="Arial" w:hAnsi="Arial"/>
                <w:sz w:val="16"/>
                <w:szCs w:val="16"/>
                <w:color w:val="auto"/>
              </w:rPr>
              <w:t>License, collaboration and other revenue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3,556</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4280" w:type="dxa"/>
            <w:vAlign w:val="bottom"/>
            <w:gridSpan w:val="2"/>
            <w:shd w:val="clear" w:color="auto" w:fill="DBDBDB"/>
          </w:tcPr>
          <w:p>
            <w:pPr>
              <w:ind w:left="480"/>
              <w:spacing w:after="0"/>
              <w:rPr>
                <w:sz w:val="20"/>
                <w:szCs w:val="20"/>
                <w:color w:val="auto"/>
              </w:rPr>
            </w:pPr>
            <w:r>
              <w:rPr>
                <w:rFonts w:ascii="Arial" w:cs="Arial" w:eastAsia="Arial" w:hAnsi="Arial"/>
                <w:sz w:val="16"/>
                <w:szCs w:val="16"/>
                <w:color w:val="auto"/>
              </w:rPr>
              <w:t>Total revenues</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119,808</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76,255</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43,553</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57 %</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Cost of product and other revenue</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17,544</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10,630</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6,914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Amortization of intangible asset</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(18,021)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4280" w:type="dxa"/>
            <w:vAlign w:val="bottom"/>
            <w:tcBorders>
              <w:top w:val="single" w:sz="8" w:color="DBDBDB"/>
            </w:tcBorders>
            <w:gridSpan w:val="2"/>
            <w:shd w:val="clear" w:color="auto" w:fill="DBDBDB"/>
          </w:tcPr>
          <w:p>
            <w:pPr>
              <w:ind w:left="480"/>
              <w:spacing w:after="0"/>
              <w:rPr>
                <w:sz w:val="20"/>
                <w:szCs w:val="20"/>
                <w:color w:val="auto"/>
              </w:rPr>
            </w:pPr>
            <w:r>
              <w:rPr>
                <w:rFonts w:ascii="Arial" w:cs="Arial" w:eastAsia="Arial" w:hAnsi="Arial"/>
                <w:sz w:val="16"/>
                <w:szCs w:val="16"/>
                <w:color w:val="auto"/>
              </w:rPr>
              <w:t>Total cost of goods sold</w:t>
            </w:r>
          </w:p>
        </w:tc>
        <w:tc>
          <w:tcPr>
            <w:tcW w:w="36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17,544</w:t>
            </w:r>
          </w:p>
        </w:tc>
        <w:tc>
          <w:tcPr>
            <w:tcW w:w="12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28,651</w:t>
            </w:r>
          </w:p>
        </w:tc>
        <w:tc>
          <w:tcPr>
            <w:tcW w:w="120" w:type="dxa"/>
            <w:vAlign w:val="bottom"/>
            <w:tcBorders>
              <w:top w:val="single" w:sz="8" w:color="DBDBDB"/>
            </w:tcBorders>
            <w:shd w:val="clear" w:color="auto" w:fill="DBDBDB"/>
          </w:tcPr>
          <w:p>
            <w:pPr>
              <w:spacing w:after="0"/>
              <w:rPr>
                <w:sz w:val="18"/>
                <w:szCs w:val="18"/>
                <w:color w:val="auto"/>
              </w:rPr>
            </w:pPr>
          </w:p>
        </w:tc>
        <w:tc>
          <w:tcPr>
            <w:tcW w:w="44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(11,107)</w:t>
            </w:r>
          </w:p>
        </w:tc>
        <w:tc>
          <w:tcPr>
            <w:tcW w:w="8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20,767</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17,379</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3,388</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52,297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52,354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License</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1,597</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4280" w:type="dxa"/>
            <w:vAlign w:val="bottom"/>
            <w:tcBorders>
              <w:top w:val="single" w:sz="8" w:color="DBDBDB"/>
            </w:tcBorders>
            <w:gridSpan w:val="2"/>
            <w:shd w:val="clear" w:color="auto" w:fill="DBDBDB"/>
          </w:tcPr>
          <w:p>
            <w:pPr>
              <w:ind w:left="48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shd w:val="clear" w:color="auto" w:fill="DBDBDB"/>
          </w:tcPr>
          <w:p>
            <w:pPr>
              <w:spacing w:after="0"/>
              <w:rPr>
                <w:sz w:val="18"/>
                <w:szCs w:val="18"/>
                <w:color w:val="auto"/>
              </w:rPr>
            </w:pP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74,661</w:t>
            </w:r>
          </w:p>
        </w:tc>
        <w:tc>
          <w:tcPr>
            <w:tcW w:w="12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bottom w:val="single" w:sz="8" w:color="auto"/>
            </w:tcBorders>
            <w:shd w:val="clear" w:color="auto" w:fill="DBDBDB"/>
          </w:tcPr>
          <w:p>
            <w:pPr>
              <w:spacing w:after="0"/>
              <w:rPr>
                <w:sz w:val="18"/>
                <w:szCs w:val="18"/>
                <w:color w:val="auto"/>
              </w:rPr>
            </w:pP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71,264</w:t>
            </w:r>
          </w:p>
        </w:tc>
        <w:tc>
          <w:tcPr>
            <w:tcW w:w="120" w:type="dxa"/>
            <w:vAlign w:val="bottom"/>
            <w:tcBorders>
              <w:top w:val="single" w:sz="8" w:color="DBDBDB"/>
            </w:tcBorders>
            <w:shd w:val="clear" w:color="auto" w:fill="DBDBDB"/>
          </w:tcPr>
          <w:p>
            <w:pPr>
              <w:spacing w:after="0"/>
              <w:rPr>
                <w:sz w:val="18"/>
                <w:szCs w:val="18"/>
                <w:color w:val="auto"/>
              </w:rPr>
            </w:pPr>
          </w:p>
        </w:tc>
        <w:tc>
          <w:tcPr>
            <w:tcW w:w="440" w:type="dxa"/>
            <w:vAlign w:val="bottom"/>
            <w:tcBorders>
              <w:top w:val="single" w:sz="8" w:color="auto"/>
              <w:bottom w:val="single" w:sz="8" w:color="auto"/>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3,397</w:t>
            </w:r>
          </w:p>
        </w:tc>
        <w:tc>
          <w:tcPr>
            <w:tcW w:w="8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bottom w:val="single" w:sz="8" w:color="auto"/>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5 %</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27,603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51,263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(14,419)</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(4,591)</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(9,828)</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214 %</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(9,026)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7"/>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517</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6,359</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(26,567)</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32,926</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3914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 change not meaningful.</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Product Revenue, Net—</w:t>
      </w:r>
      <w:r>
        <w:rPr>
          <w:rFonts w:ascii="Arial" w:cs="Arial" w:eastAsia="Arial" w:hAnsi="Arial"/>
          <w:sz w:val="18"/>
          <w:szCs w:val="18"/>
          <w:color w:val="auto"/>
        </w:rPr>
        <w:t>Net product revenue is derived from sales of Auryxia and Vafseo in the U.S. We distribute Auryxia and Vafseo</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through a limited number of dialysis organizations, wholesale distributors, certain specialty pharmacy providers and our AG Partner.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product revenue was $116.3 million for the six months ended June 30, 2025, compared to $72.2 million for the six months ended June 30, 2024. The increase was primarily due to Vafseo's entry to the market in January 2025 and an increase in sales volumes of Auryxia.</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Auryxia lost exclusivity in the U.S. in March 2025, which may have a negative impact on future Auryxia revenue. We believe the dynamics of Auryxia reimbursement being included in the ESRD bundle could result in a slower revenue decline after the LoE date than in other LoE scenarios. Additionally, since March 2025, our AG Partner has been selling an authorized generic version of Auryxia in the U.S., which may slightly offset a revenue decline following the LoE. However, our ability to continue to generate revenue from sales of Auryxia following LoE will depend on many factors, including our ability to maintain contracts with dialysis organizations, the timing and number of additional generics that enter the market and the pricing of generics and other products on the market that compete with Auryxia.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revenue by product for the six months ended June 30, 2025 and 2024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210"/>
        </w:trPr>
        <w:tc>
          <w:tcPr>
            <w:tcW w:w="7560" w:type="dxa"/>
            <w:vAlign w:val="bottom"/>
            <w:shd w:val="clear" w:color="auto" w:fill="DBDBDB"/>
          </w:tcPr>
          <w:p>
            <w:pPr>
              <w:ind w:left="20"/>
              <w:spacing w:after="0" w:line="210" w:lineRule="exact"/>
              <w:rPr>
                <w:sz w:val="20"/>
                <w:szCs w:val="20"/>
                <w:color w:val="auto"/>
              </w:rPr>
            </w:pPr>
            <w:r>
              <w:rPr>
                <w:rFonts w:ascii="Arial" w:cs="Arial" w:eastAsia="Arial" w:hAnsi="Arial"/>
                <w:sz w:val="16"/>
                <w:szCs w:val="16"/>
                <w:color w:val="auto"/>
              </w:rPr>
              <w:t>Vafseo</w:t>
            </w:r>
            <w:r>
              <w:rPr>
                <w:rFonts w:ascii="Arial" w:cs="Arial" w:eastAsia="Arial" w:hAnsi="Arial"/>
                <w:sz w:val="21"/>
                <w:szCs w:val="21"/>
                <w:color w:val="auto"/>
                <w:vertAlign w:val="superscript"/>
              </w:rPr>
              <w:t>(1)</w:t>
            </w: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25,313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6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Auryxia</w:t>
            </w:r>
            <w:r>
              <w:rPr>
                <w:rFonts w:ascii="Arial" w:cs="Arial" w:eastAsia="Arial" w:hAnsi="Arial"/>
                <w:sz w:val="21"/>
                <w:szCs w:val="21"/>
                <w:color w:val="auto"/>
                <w:vertAlign w:val="superscript"/>
              </w:rPr>
              <w:t>(2)</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90,939</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72,218</w:t>
            </w:r>
          </w:p>
        </w:tc>
      </w:tr>
      <w:tr>
        <w:trPr>
          <w:trHeight w:val="23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product revenues</w:t>
            </w: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116,252</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72,218</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Vafseo entered the U.S. market in January 2025.</w:t>
      </w:r>
    </w:p>
    <w:p>
      <w:pPr>
        <w:spacing w:after="0" w:line="113" w:lineRule="exact"/>
        <w:rPr>
          <w:rFonts w:ascii="Arial" w:cs="Arial" w:eastAsia="Arial" w:hAnsi="Arial"/>
          <w:sz w:val="16"/>
          <w:szCs w:val="16"/>
          <w:color w:val="auto"/>
        </w:rPr>
      </w:pPr>
    </w:p>
    <w:p>
      <w:pPr>
        <w:ind w:left="580" w:hanging="248"/>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the authorized generic version of Auryxia sold and distributed by our AG Partner during the six months ended June 30, 2025.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License, collaboration and other revenue was $3.6 million for the six months ended June 30,</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2025, compared to $4.0 million for the six months ended June 30, 2024. The decrease was primarily due to revenue recognized in connection with our supply agreement with MTPC during the six months ended June 30, 2024.</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Cost of Goods Sold—Cost of Product and Other Revenue—</w:t>
      </w:r>
      <w:r>
        <w:rPr>
          <w:rFonts w:ascii="Arial" w:cs="Arial" w:eastAsia="Arial" w:hAnsi="Arial"/>
          <w:sz w:val="18"/>
          <w:szCs w:val="18"/>
          <w:color w:val="auto"/>
        </w:rPr>
        <w:t>Cost of product and other revenue was $17.5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compared to $10.6 million for the six months ended June 30, 2024. The increase was primarily due to a $8.6 million benefit that we recorded during the six months ended June 30, 2024 due to our ability to sell inventory previously written-down as excess inventory and lower Auryxia volume during the six months ended June 30, 2024, which was partially offset by a charge of $2.1 million related to our firm purchase commitment liability during the six months ended June 30, 2024.</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capitalizing our Vafseo costs in March 2024, in connection with the FDA's approval of Vafseo for the treatment of anemia due to CKD in adult patients on dialysis for at least three months. Prior to the capitalization of Vafseo inventory costs, such costs were recorded as research and development expenses in the period incurred. Cost of product and other revenue for Vafseo was $1.9 million for the six months ended June 30, 2025, comprised of manufacturing and overhead costs as the associated inventory costs such as raw materials, drug substance and drug product conversion costs were expensed previously. If Vafseo inventory sold during the six months ended June 30, 2025 was valued at cost, our cost of product and other revenue would have been $3.0 million. As of June 30, 2025, we had $26.5 million of reduced-cost Vafseo inventory. We expect our cost of product and other revenue for Vafseo will increase, reflecting the full cost of manufacturing, subsequent to the utilization of our reduced-cost Vafseo inventory.</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Cost of Goods Sold—Amortization of Intangible Asset—</w:t>
      </w:r>
      <w:r>
        <w:rPr>
          <w:rFonts w:ascii="Arial" w:cs="Arial" w:eastAsia="Arial" w:hAnsi="Arial"/>
          <w:sz w:val="18"/>
          <w:szCs w:val="18"/>
          <w:color w:val="auto"/>
        </w:rPr>
        <w:t>Amortization of intangible asset related to the acquired developed product rights for</w:t>
      </w:r>
      <w:r>
        <w:rPr>
          <w:rFonts w:ascii="Arial" w:cs="Arial" w:eastAsia="Arial" w:hAnsi="Arial"/>
          <w:sz w:val="18"/>
          <w:szCs w:val="18"/>
          <w:i w:val="1"/>
          <w:iCs w:val="1"/>
          <w:color w:val="auto"/>
        </w:rPr>
        <w:t xml:space="preserve"> </w:t>
      </w:r>
      <w:r>
        <w:rPr>
          <w:rFonts w:ascii="Arial" w:cs="Arial" w:eastAsia="Arial" w:hAnsi="Arial"/>
          <w:sz w:val="18"/>
          <w:szCs w:val="18"/>
          <w:color w:val="auto"/>
        </w:rPr>
        <w:t>Auryxia, and was amortized using a straight-line method over its estimated useful life of approximately six years. Our intangible asset was fully amortized as of December 31, 2024. We recorded no amortization expense and $18.0 million in amortization expense for the six months ended June 30, 2025 and 2024, respectively, related to the developed product rights for Auryxia.</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R&amp;D Expenses—</w:t>
      </w:r>
      <w:r>
        <w:rPr>
          <w:rFonts w:ascii="Arial" w:cs="Arial" w:eastAsia="Arial" w:hAnsi="Arial"/>
          <w:sz w:val="18"/>
          <w:szCs w:val="18"/>
          <w:color w:val="auto"/>
        </w:rPr>
        <w:t>R&amp;D expenses were $ 20.8 million for the six months ended June 30, 2025, compared to $17.4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2024. The increase was primarily due to clinical trial activities related to Vafseo as well as our other programs.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our external research and development expenses by program, as well as costs not allocated to programs, for the six months ended June 30, 2025 and 2024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Vafseo clinical trial and other external costs</w:t>
            </w:r>
          </w:p>
        </w:tc>
        <w:tc>
          <w:tcPr>
            <w:tcW w:w="1140" w:type="dxa"/>
            <w:vAlign w:val="bottom"/>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7,760</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3,291</w:t>
            </w:r>
          </w:p>
        </w:tc>
        <w:tc>
          <w:tcPr>
            <w:tcW w:w="0" w:type="dxa"/>
            <w:vAlign w:val="bottom"/>
          </w:tcPr>
          <w:p>
            <w:pPr>
              <w:spacing w:after="0"/>
              <w:rPr>
                <w:sz w:val="1"/>
                <w:szCs w:val="1"/>
                <w:color w:val="auto"/>
              </w:rPr>
            </w:pPr>
          </w:p>
        </w:tc>
      </w:tr>
      <w:tr>
        <w:trPr>
          <w:trHeight w:val="162"/>
        </w:trPr>
        <w:tc>
          <w:tcPr>
            <w:tcW w:w="7580" w:type="dxa"/>
            <w:vAlign w:val="bottom"/>
          </w:tcPr>
          <w:p>
            <w:pPr>
              <w:ind w:left="20"/>
              <w:spacing w:after="0" w:line="162" w:lineRule="exact"/>
              <w:rPr>
                <w:sz w:val="20"/>
                <w:szCs w:val="20"/>
                <w:color w:val="auto"/>
              </w:rPr>
            </w:pPr>
            <w:r>
              <w:rPr>
                <w:rFonts w:ascii="Arial" w:cs="Arial" w:eastAsia="Arial" w:hAnsi="Arial"/>
                <w:sz w:val="16"/>
                <w:szCs w:val="16"/>
                <w:color w:val="auto"/>
              </w:rPr>
              <w:t>External costs for other programs, including feasibility and new processes and methods associated with</w:t>
            </w:r>
          </w:p>
        </w:tc>
        <w:tc>
          <w:tcPr>
            <w:tcW w:w="1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2,599</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2,790</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commercial product</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external R&amp;D expenses</w:t>
            </w:r>
          </w:p>
        </w:tc>
        <w:tc>
          <w:tcPr>
            <w:tcW w:w="114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10,359</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6,081</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Internal personnel, consulting, facilities and 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10,408</w:t>
            </w:r>
          </w:p>
        </w:tc>
        <w:tc>
          <w:tcPr>
            <w:tcW w:w="12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11,298</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R&amp;D expenses</w:t>
            </w:r>
          </w:p>
        </w:tc>
        <w:tc>
          <w:tcPr>
            <w:tcW w:w="1140" w:type="dxa"/>
            <w:vAlign w:val="bottom"/>
            <w:tcBorders>
              <w:bottom w:val="single" w:sz="8" w:color="auto"/>
            </w:tcBorders>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20,767</w:t>
            </w:r>
          </w:p>
        </w:tc>
        <w:tc>
          <w:tcPr>
            <w:tcW w:w="120" w:type="dxa"/>
            <w:vAlign w:val="bottom"/>
            <w:tcBorders>
              <w:bottom w:val="single" w:sz="8" w:color="DBDBDB"/>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17,379</w:t>
            </w:r>
          </w:p>
        </w:tc>
        <w:tc>
          <w:tcPr>
            <w:tcW w:w="0" w:type="dxa"/>
            <w:vAlign w:val="bottom"/>
          </w:tcPr>
          <w:p>
            <w:pPr>
              <w:spacing w:after="0"/>
              <w:rPr>
                <w:sz w:val="1"/>
                <w:szCs w:val="1"/>
                <w:color w:val="auto"/>
              </w:rPr>
            </w:pP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incur significant R&amp;D expenses in future periods in support of ongoing or planned studies with respect to the development of our product candidates as well as Vafseo.</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were $52.3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compared to $52.4 million for the six months ended June 30, 2024. The decrease was largely due to lower costs associated with our patient assistance program related to Auryxia and decreased professional fees, partially offset by marketing costs in connection with the Vafseo U.S. launch during the six months ended June 30, 2025.</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License Expenses—</w:t>
      </w:r>
      <w:r>
        <w:rPr>
          <w:rFonts w:ascii="Arial" w:cs="Arial" w:eastAsia="Arial" w:hAnsi="Arial"/>
          <w:sz w:val="18"/>
          <w:szCs w:val="18"/>
          <w:color w:val="auto"/>
        </w:rPr>
        <w:t>License expenses related to royalties due to Panion relating to sales of Riona in Japan were $1.6 million and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2025 and 2024,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Restructuring Expenses—</w:t>
      </w:r>
      <w:r>
        <w:rPr>
          <w:rFonts w:ascii="Arial" w:cs="Arial" w:eastAsia="Arial" w:hAnsi="Arial"/>
          <w:sz w:val="18"/>
          <w:szCs w:val="18"/>
          <w:color w:val="auto"/>
        </w:rPr>
        <w:t>There were no restructuring expenses and $0.1 million of restructuring expenses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and 2024, respectively.</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Other expense, net, was $14.4 million for the six months ended June 30, 2025, compared to $4.6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ended June 30, 2024. The increase was primarily due to non-cash interest expense related to the settlement royalty liability in connection with the Vifor Termination Agreement, partially offset by interest income related to our money market funds. See Note 8, </w:t>
      </w:r>
      <w:r>
        <w:rPr>
          <w:rFonts w:ascii="Arial" w:cs="Arial" w:eastAsia="Arial" w:hAnsi="Arial"/>
          <w:sz w:val="18"/>
          <w:szCs w:val="18"/>
          <w:i w:val="1"/>
          <w:iCs w:val="1"/>
          <w:color w:val="auto"/>
        </w:rPr>
        <w:t>Liability</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Settlement Royalties, Working Capital Fund Liability and Liability Related to Sale of Future Royalties</w:t>
      </w:r>
      <w:r>
        <w:rPr>
          <w:rFonts w:ascii="Arial" w:cs="Arial" w:eastAsia="Arial" w:hAnsi="Arial"/>
          <w:sz w:val="18"/>
          <w:szCs w:val="18"/>
          <w:color w:val="auto"/>
        </w:rPr>
        <w:t>, in the accompanying notes</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to the unaudited condensed consolidated financial statements included in Part I, Item 1 of this Form 10-Q for further information on our arrangements with CSL Vifor.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Change in fair value of warrant liability was $6.8 million and $2.2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and 2024, respectively.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During the six months ended June 30, 2024, we recorded a $ 0.5 million loss on the extinguishment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repayment of the Pharmakon Term Loans. We did not record any loss on the extinguishment of debt during the six months ended June 30,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we had cash and cash equivalents of $137.3 million and restricted cash of $1.7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funded our operations principally through sales of our common stock, including through our employee stock purchase plan,</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product sales, payments received from our collaboration and licensing partners, borrowings under term loans, a working capital payment from CSL Vifor also referred to as a Working Capital Fund liability and a royalty transaction. From inception through June 30, 2025, we raised approximately $929.2 million of net proceeds from the sale of equity, including $567.9 million from various underwritten public offerings, $291.3 million from at-the-market offerings pursuant to our sales agreement with Jefferies LLC and prior sales agreements with Cantor</w:t>
      </w:r>
    </w:p>
    <w:p>
      <w:pPr>
        <w:spacing w:after="0"/>
        <w:rPr>
          <w:sz w:val="20"/>
          <w:szCs w:val="20"/>
          <w:color w:val="auto"/>
        </w:rPr>
      </w:pPr>
      <w:r>
        <w:rPr>
          <w:rFonts w:ascii="Arial" w:cs="Arial" w:eastAsia="Arial" w:hAnsi="Arial"/>
          <w:sz w:val="18"/>
          <w:szCs w:val="18"/>
          <w:color w:val="auto"/>
        </w:rPr>
        <w:t>Fitzgerald &amp; Co., and $70.0 million from the sale of 7,571,429 shares of common stock to CSL Vifor.</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generated net income of $0.2 million and $6.4 million during the three and six months ended June 30, 2025, respectively, and incurred net loss of $8.6 million and $26.6 million during the three and six months ended June 30, 2024, respectively. As of June 30, 2025 and December 31, 2024, we had an accumulated deficit of $1.7 billion.</w:t>
      </w:r>
    </w:p>
    <w:p>
      <w:pPr>
        <w:spacing w:after="0" w:line="7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had exclusive rights under a series of patents and patent applications to commercialize Auryxia in the U.S. that protected us from generic drug competition until March 2025. While we believe the dynamics of Auryxia reimbursement being included in the ESRD bundle could result</w:t>
      </w:r>
    </w:p>
    <w:p>
      <w:pPr>
        <w:jc w:val="both"/>
        <w:spacing w:after="0" w:line="226" w:lineRule="auto"/>
        <w:rPr>
          <w:sz w:val="20"/>
          <w:szCs w:val="20"/>
          <w:color w:val="auto"/>
        </w:rPr>
      </w:pPr>
      <w:r>
        <w:rPr>
          <w:rFonts w:ascii="Arial" w:cs="Arial" w:eastAsia="Arial" w:hAnsi="Arial"/>
          <w:sz w:val="18"/>
          <w:szCs w:val="18"/>
          <w:color w:val="auto"/>
        </w:rPr>
        <w:t>in a slower revenue decline after the LoE date than in other LoE scenarios, the impact of LoE on future Auryxia revenues will depend on many factors, including our ability to maintain contracts with dialysis organizations, the timing and number of additional generics and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pricing of generics and other products on the market that compete with Auryxia. Additionally, since March 2025, our AG Partner has been selling an authorized generic version of Auryxia in the U.S., which may slightly offset the revenue decline following the LoE.</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existing cash resources and the cash we expect to generate from product, royalty, supply and license revenues are sufficient to fund our current operating plan for the foreseeable future, including to commercialize Vafseo and Auryxia, pursue label expansion for Vafseo, and advance our other existing programs. However, if our operating performance deteriorates significantly from the levels expected in our long-term operating plan, it would have an adverse effect on our liquidity and capital resources and could affect our ability to achieve and maintain profitability or continue as a going concern in the future. In addition, we may also seek to sell additional private or public equity, enter into new debt transactions, explore potential strategic transactions or a combination of these approaches or other strategic alternatives. If we raise additional funds by issuing equity securities, our shareholders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to us in amounts or on terms acceptable to us, if at all. If we are unable to raise additional capital in sufficient amounts when needed or on attractive terms, we may not be able to pursue development and commercial activities related to Auryxia and Vafseo, or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additional products and product candidates, including those that may be in-licensed or acquired. Any of these events could significantly harm our business, financial condition and prospects.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current operating plan will be achieved in the time frame anticipated by us, or that our cash resources will fund our operating plan for the period of time anticipated by us, or that additional funding will be available on terms acceptable to us, or at all. Our forecast of the period of time through which our financial resources will be adequate to support our operations is a forward-looking statement and involves numerous risks and uncertainties, and actual results could vary as a result of a number of factors, many of which are outside our control. We have based this estimate on assumptions that may be substantially different than actual results, and we could utilize our available capital resources sooner than we currently expect. Our future funding requirements, both near- and long-term, will depend on many factors including, but not limited to, those described under Part II, Item 1A. Risk Factors under the heading "Risks Related to our Financial Position, Need for Additional Capital and Growth Strategy."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Agreements and Other Funding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BlackRock Term Loans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we entered into the BlackRock Credit Agreement, which provides for a senior secured term loan facility, in the aggregate principal amount of $55.0 million,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The Term Loan Facility was available in three tranches</w:t>
      </w:r>
    </w:p>
    <w:p>
      <w:pPr>
        <w:spacing w:after="0" w:line="2" w:lineRule="exact"/>
        <w:rPr>
          <w:sz w:val="20"/>
          <w:szCs w:val="20"/>
          <w:color w:val="auto"/>
        </w:rPr>
      </w:pPr>
    </w:p>
    <w:p>
      <w:pPr>
        <w:jc w:val="both"/>
        <w:ind w:firstLine="8"/>
        <w:spacing w:after="0" w:line="258"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Tranche A — $37.0 million was funded on the Closing Date and used to repay the Pharmakon Term Loans; (ii) Tranche B — $8.0 million was funded on April 19, 2024, and (iii) Tranche C — $10.0 million was funded on February 3, 2025, collectively, the </w:t>
      </w:r>
      <w:r>
        <w:rPr>
          <w:rFonts w:ascii="Arial" w:cs="Arial" w:eastAsia="Arial" w:hAnsi="Arial"/>
          <w:sz w:val="18"/>
          <w:szCs w:val="18"/>
          <w:u w:val="single" w:color="auto"/>
          <w:color w:val="auto"/>
        </w:rPr>
        <w:t>Term Loans</w:t>
      </w:r>
      <w:r>
        <w:rPr>
          <w:rFonts w:ascii="Arial" w:cs="Arial" w:eastAsia="Arial" w:hAnsi="Arial"/>
          <w:sz w:val="18"/>
          <w:szCs w:val="18"/>
          <w:color w:val="auto"/>
          <w:highlight w:val="white"/>
        </w:rPr>
        <w:t>.</w:t>
      </w:r>
      <w:r>
        <w:rPr>
          <w:rFonts w:ascii="Arial" w:cs="Arial" w:eastAsia="Arial" w:hAnsi="Arial"/>
          <w:sz w:val="18"/>
          <w:szCs w:val="18"/>
          <w:color w:val="auto"/>
        </w:rPr>
        <w:t xml:space="preserve"> The Term Loan Facility matures on January 29, 2028, or the </w:t>
      </w:r>
      <w:r>
        <w:rPr>
          <w:rFonts w:ascii="Arial" w:cs="Arial" w:eastAsia="Arial" w:hAnsi="Arial"/>
          <w:sz w:val="18"/>
          <w:szCs w:val="18"/>
          <w:u w:val="single" w:color="auto"/>
          <w:color w:val="auto"/>
        </w:rPr>
        <w:t>BlackRock Maturity Date</w:t>
      </w:r>
      <w:r>
        <w:rPr>
          <w:rFonts w:ascii="Arial" w:cs="Arial" w:eastAsia="Arial" w:hAnsi="Arial"/>
          <w:sz w:val="18"/>
          <w:szCs w:val="18"/>
          <w:color w:val="auto"/>
        </w:rPr>
        <w:t>.</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required to make interest-only payments until December 31, 2026 after which, we will begin making equal monthly principal payments. In the event of certain prespecified events, the repayment schedule will be accelerated.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Term Loan Facility will accrue interest at a floating annual rate equal to the sum of (i) term Secured Overnight Financing Rate, or </w:t>
      </w:r>
      <w:r>
        <w:rPr>
          <w:rFonts w:ascii="Arial" w:cs="Arial" w:eastAsia="Arial" w:hAnsi="Arial"/>
          <w:sz w:val="18"/>
          <w:szCs w:val="18"/>
          <w:u w:val="single" w:color="auto"/>
          <w:color w:val="auto"/>
        </w:rPr>
        <w:t>SOFR</w:t>
      </w:r>
      <w:r>
        <w:rPr>
          <w:rFonts w:ascii="Arial" w:cs="Arial" w:eastAsia="Arial" w:hAnsi="Arial"/>
          <w:sz w:val="18"/>
          <w:szCs w:val="18"/>
          <w:color w:val="auto"/>
        </w:rPr>
        <w:t>, for a tenor of one month (subject to a floor of 4.25% per annum) plus (ii) a margin of 6.75% per annum (subject to an overall cap of 15.00% per annum on the all-in interest rate). During the continuance of any payment event of default the interest rate on such overdue sum will automatically increase by an additional 3.0% per annum, and may be subject to an additional late fee of 2.0% of such overdue sum.</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obligations under the Term Loan Facility are secured by substantially all of our existing and after-acquired assets. The BlackRock Credit Agreement requires us to either (i) maintain cash and cash equivalents, measured as of the last day of each fiscal month, greater than or equal to $15.0 million or (ii) earn consolidated revenue, measured as of the last day of each fiscal month for the trailing twelve-month period, of $150.0 million. The BlackRock Credit Agreement contains certain representations and warranties, affirmative and negative covenants that limit our ability to engage in specified types of transactions and other provisions typical within a credit agreement. If an event of default occurs and is continuing under the BlackRock Credit Agreement, BlackRock is entitled to take enforcement action, including acceleration of amounts due which could limit our ability to make certain payments under the Vifor Termination Agreement. If we prepay the Term Loans prior to the BlackRock Maturity Date, we will be required to pay a prepayment fee ranging from 1.0% to 4.0% of the amount prepaid.</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the Closing Date, the Warrant Holder received a warrant to purchase 3,076,923 shares of our common stock, at an exercise price per share of $1.30, and upon the borrowing of Tranche C in February 2025, we issued additional warrants to purchase 1,153,846 shares of our common stock at an exercise price per share of $1.30. Each warrant is exercisable for eight years from the date of issuance.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Indebtedness,</w:t>
      </w:r>
      <w:r>
        <w:rPr>
          <w:rFonts w:ascii="Arial" w:cs="Arial" w:eastAsia="Arial" w:hAnsi="Arial"/>
          <w:sz w:val="18"/>
          <w:szCs w:val="18"/>
          <w:color w:val="auto"/>
        </w:rPr>
        <w:t xml:space="preserve"> in the accompanying notes to the unaudited condensed consolidated financial statements included in Part I, Item 1 of this Form 10-Q for further information.</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July 21, 2025, the Warrant Holder exercised its option to purchase 2,115,384 shares of our common stock under the Initial Warrant on a cashless basis at an exercise price per share of $1.30. On July 23, 2025, as a result of the cashless exercise, we issued 1,408,588 shares to the Warrant Holder.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Liability Related to Settlement Royalties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On July 10, 2024, we and CSL Vifor entered into the Vifor Termination Agreement. Pursuant to the terms of the Vifor Termination Agreement, we will pay CSL Vifor decreasing quarterly tiered royalty payments ranging from a high single-digit percentage of our net sales of Vafseo up to $450.0 million to a mid-single digit percentage of our net sales of Vafseo above $450.0 million, in each case, in the U.S. during a calendar year, or the </w:t>
      </w:r>
      <w:r>
        <w:rPr>
          <w:rFonts w:ascii="Arial" w:cs="Arial" w:eastAsia="Arial" w:hAnsi="Arial"/>
          <w:sz w:val="18"/>
          <w:szCs w:val="18"/>
          <w:u w:val="single" w:color="auto"/>
          <w:color w:val="auto"/>
        </w:rPr>
        <w:t>Settlement Royalty Payments</w:t>
      </w:r>
      <w:r>
        <w:rPr>
          <w:rFonts w:ascii="Arial" w:cs="Arial" w:eastAsia="Arial" w:hAnsi="Arial"/>
          <w:sz w:val="18"/>
          <w:szCs w:val="18"/>
          <w:color w:val="auto"/>
        </w:rPr>
        <w:t>. The Settlement Royalty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Payments commenced upon the first sale of Vafseo by us, our affiliates or third-party licensees to a third party for use in the U.S., and will continue until the later of the (i) expiration of the last-to-expire valid claim listed in the FDA Orange Book that would be infringed by the making, using, selling or importing of Vafseo in the U.S. or (ii) the expiration of marketing or regulatory exclusivity for Vafseo in the U.S., or the </w:t>
      </w:r>
      <w:r>
        <w:rPr>
          <w:rFonts w:ascii="Arial" w:cs="Arial" w:eastAsia="Arial" w:hAnsi="Arial"/>
          <w:sz w:val="18"/>
          <w:szCs w:val="18"/>
          <w:u w:val="single" w:color="auto"/>
          <w:color w:val="auto"/>
        </w:rPr>
        <w:t>Settlement Royalty Term</w:t>
      </w:r>
      <w:r>
        <w:rPr>
          <w:rFonts w:ascii="Arial" w:cs="Arial" w:eastAsia="Arial" w:hAnsi="Arial"/>
          <w:sz w:val="18"/>
          <w:szCs w:val="18"/>
          <w:color w:val="auto"/>
        </w:rPr>
        <w:t xml:space="preserve">. Beginning on July 1, 2027 and throughout the Settlement Royalty Term, we have the option to make a one-time payment to CSL Vifor, or the </w:t>
      </w:r>
      <w:r>
        <w:rPr>
          <w:rFonts w:ascii="Arial" w:cs="Arial" w:eastAsia="Arial" w:hAnsi="Arial"/>
          <w:sz w:val="18"/>
          <w:szCs w:val="18"/>
          <w:u w:val="single" w:color="auto"/>
          <w:color w:val="auto"/>
        </w:rPr>
        <w:t>Royalty Buy-Down Option,</w:t>
      </w:r>
      <w:r>
        <w:rPr>
          <w:rFonts w:ascii="Arial" w:cs="Arial" w:eastAsia="Arial" w:hAnsi="Arial"/>
          <w:sz w:val="18"/>
          <w:szCs w:val="18"/>
          <w:color w:val="auto"/>
        </w:rPr>
        <w:t xml:space="preserve"> upon which the Settlement Royalty Payments will be adjusted as of the date of exercise of the Royalty Buy-Down Option such that we will then only pay CSL Vifor quarterly royalty payments based on a mid-single digit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percentage of our net sales of Vafseo up to $ 450.0 million in the U.S. during a calendar year in lieu of the above Settlement Royalty Payments. If we exercise the Royalty Buy-Down Option, the WCF Royalty Payments will continue as described below.</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WCF Royalty Payments, as described below, the Settlement Royalty Payments and the Royalty Buy-Down Option are in consideration for the termination of the Vifor License Agreement and all obligations thereunder, and the covenants and agreements set forth in the Vifor Termination Agreement, including the settlement and release of all disputes and claims arising from the Vifor License Agreement.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a result of the Vifor Termination Agreement, we concluded that CSL Vifor no longer met the definition of a customer and, therefore, the arrangement should not be considered a revenue contract with a customer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therefore determined that the $ 43.3 million received from Vifor in connection with the Vifor License Agreement and related investment agreements should be classified as debt and we are amortizing such amount using the effective interest method over the Settlement Royalty Term. The liability related to settlement royalties and the amortization are based on our current estimates of future royalties expected to be paid over the life of the arrangement. The annual effective interest rate as of June 30, 2025 was 37.0% which is reflected as interest expense in the unaudited condensed consolidated statements of operations and comprehensive income (loss). The Company recognized interest expense related to the settlement royalties liability of $5.4 million and $10.8 million for the three and six months ended June 30, 2025, respectively. As of June 30, 2025, $14.7 million and $48.7 million of the settlement royalties liability is classified as a current and non-current liability, respectively.</w:t>
      </w:r>
    </w:p>
    <w:p>
      <w:pPr>
        <w:spacing w:after="0" w:line="77"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 xml:space="preserve">See Note 8, </w:t>
      </w:r>
      <w:r>
        <w:rPr>
          <w:rFonts w:ascii="Arial" w:cs="Arial" w:eastAsia="Arial" w:hAnsi="Arial"/>
          <w:sz w:val="17"/>
          <w:szCs w:val="17"/>
          <w:i w:val="1"/>
          <w:iCs w:val="1"/>
          <w:color w:val="auto"/>
        </w:rPr>
        <w:t>Liability Related to Settlement Royalties, Working Capital Fund Liability and Liability Related to Sale of Future Royalties</w:t>
      </w:r>
      <w:r>
        <w:rPr>
          <w:rFonts w:ascii="Arial" w:cs="Arial" w:eastAsia="Arial" w:hAnsi="Arial"/>
          <w:sz w:val="17"/>
          <w:szCs w:val="17"/>
          <w:color w:val="auto"/>
        </w:rPr>
        <w:t>, in the accompanying notes to the unaudited condensed consolidated financial statements in Part I, Item 1 of this Form 10-Q for further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Working Capital Fund Liability</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February 2022, we amended our agreement with CSL Vifor and they contributed $40.0 million to a working capital fund, or the </w:t>
      </w:r>
      <w:r>
        <w:rPr>
          <w:rFonts w:ascii="Arial" w:cs="Arial" w:eastAsia="Arial" w:hAnsi="Arial"/>
          <w:sz w:val="18"/>
          <w:szCs w:val="18"/>
          <w:u w:val="single" w:color="auto"/>
          <w:color w:val="auto"/>
        </w:rPr>
        <w:t>Working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Capital Fund</w:t>
      </w:r>
      <w:r>
        <w:rPr>
          <w:rFonts w:ascii="Arial" w:cs="Arial" w:eastAsia="Arial" w:hAnsi="Arial"/>
          <w:sz w:val="18"/>
          <w:szCs w:val="18"/>
          <w:color w:val="auto"/>
        </w:rPr>
        <w:t>, established to partially fund our costs of purchasing Vafseo from our contract manufacturers.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terms of the Vifor Termination Agreement, and generally consistent with the terms of the Vifor License Agreement, we agreed to repay the Working Capital Fund to CSL Vifor through quarterly tiered royalty payments ranging from 8% to 14% of our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$40.0 million, or (ii) May 31, 2028, or the </w:t>
      </w:r>
      <w:r>
        <w:rPr>
          <w:rFonts w:ascii="Arial" w:cs="Arial" w:eastAsia="Arial" w:hAnsi="Arial"/>
          <w:sz w:val="18"/>
          <w:szCs w:val="18"/>
          <w:u w:val="single" w:color="auto"/>
          <w:color w:val="auto"/>
        </w:rPr>
        <w:t>WCF Royalty Term</w:t>
      </w:r>
      <w:r>
        <w:rPr>
          <w:rFonts w:ascii="Arial" w:cs="Arial" w:eastAsia="Arial" w:hAnsi="Arial"/>
          <w:sz w:val="18"/>
          <w:szCs w:val="18"/>
          <w:color w:val="auto"/>
        </w:rPr>
        <w:t>. The WCF Royalty Payments are subject to certain minimum true-up milestones.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Working Capital Fund is considered a debt arrangement with zero coupon interest and we impute interest on the Working Capital Fund liability at a rate of 15.0% per annum. As of June 30, 2025, $10.0 million and $30.6 million of the Working Capital Fund liability is classified as a current and non-current liability, respectively, based on management’s estimated timing of the repayment of the Working Capital Fund liability to CSL Vifor.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accompanying notes to the unaudited condensed consolidated financial statements in Part I, Item 1 of this Form 10-Q for further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Liability Related to Sale of Future Royalties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2021, we sold to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our right to receive royalties and sales milestones for Vafseo in Japan and certain other Asian countries, such countries collectively, the </w:t>
      </w:r>
      <w:r>
        <w:rPr>
          <w:rFonts w:ascii="Arial" w:cs="Arial" w:eastAsia="Arial" w:hAnsi="Arial"/>
          <w:sz w:val="18"/>
          <w:szCs w:val="18"/>
          <w:u w:val="single" w:color="auto"/>
          <w:color w:val="auto"/>
        </w:rPr>
        <w:t>MTPC Territory</w:t>
      </w:r>
      <w:r>
        <w:rPr>
          <w:rFonts w:ascii="Arial" w:cs="Arial" w:eastAsia="Arial" w:hAnsi="Arial"/>
          <w:sz w:val="18"/>
          <w:szCs w:val="18"/>
          <w:color w:val="auto"/>
        </w:rPr>
        <w:t xml:space="preserve">, such payments collectively the </w:t>
      </w:r>
      <w:r>
        <w:rPr>
          <w:rFonts w:ascii="Arial" w:cs="Arial" w:eastAsia="Arial" w:hAnsi="Arial"/>
          <w:sz w:val="18"/>
          <w:szCs w:val="18"/>
          <w:u w:val="single" w:color="auto"/>
          <w:color w:val="auto"/>
        </w:rPr>
        <w:t>Royalty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in each case, payable to us under the Collaboration Agreement dated December 11, 2015, between us and MTPC, or the </w:t>
      </w:r>
      <w:r>
        <w:rPr>
          <w:rFonts w:ascii="Arial" w:cs="Arial" w:eastAsia="Arial" w:hAnsi="Arial"/>
          <w:sz w:val="18"/>
          <w:szCs w:val="18"/>
          <w:u w:val="single" w:color="auto"/>
          <w:color w:val="auto"/>
        </w:rPr>
        <w:t>MTPC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Royalty Interest Payments are subject to an annual maximum “cap” of $13.0 million, after which we will receive 85% of the Royalty Interest Payments for the remainder of that year. The Royalty Interest Payments are also subject to an aggregate maximum “cap” of $150.0 million, after which the Royalty Interest Payments will revert back to us.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received $44.8 million from HCR, net of certain transaction expenses, which we recorded as a liability at the transaction date. We amortize the liability related to the sale of future royalties using the effective interest method over the life of the arrangement. The annual effective interest rate as of June 30, 2025 was 0%. We retain the right to receive all potential future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regulatory milestones for Vafseo under the MTPC Agreement. We recorded non-cash royalty revenue of $0.5 million during each of the three months ended June 30, 2025 and 2024, and $0.9 million during each of the six months ended June 30, 2025 and 2024. As of June 30, 2025, $2.2 million and $51.1 million of the liability related to the sale of future royalties is classified as a current and non-current liability, respectively.</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in the accompanying notes to the unaudited condensed consolidated financial statements in Part I, Item 1 of this Form 10-Q for further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in connection with the Cambridge Lease (as defined below), we had $1.7 million in a letter of credit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and Officer Indemnification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entered into indemnification agreements with our directors and certain officers that will require us, among other things, to indemnify them against certain liabilities that may arise by reason of their status or service as directors or officers. No demands have been made upon us to provide indemnification under such agreements and there are no claims that we are aware of that could have a material effect on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 Other Than Debt Agreements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party to contractual obligations involving commitments to make payments to third parties in the future. Certain contractual obligations are reflected on our condensed consolidated balance sheet as of June 30, 2025, while others are considered future obligations. Our material cash requirements as of June 30, 2025, include contractual obligations and commitments arising in the normal course of business, including leases, license agreements, manufacturing agreements and unconditional purchase commitments which are described in more detail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Lease</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We lease approximately 65,167 square feet of office, storage and laboratory space in Cambridge, Massachusetts under non-cancelable operating leases, collectively the </w:t>
      </w:r>
      <w:r>
        <w:rPr>
          <w:rFonts w:ascii="Arial" w:cs="Arial" w:eastAsia="Arial" w:hAnsi="Arial"/>
          <w:sz w:val="18"/>
          <w:szCs w:val="18"/>
          <w:u w:val="single" w:color="auto"/>
          <w:color w:val="auto"/>
        </w:rPr>
        <w:t>Cambridge Lease</w:t>
      </w:r>
      <w:r>
        <w:rPr>
          <w:rFonts w:ascii="Arial" w:cs="Arial" w:eastAsia="Arial" w:hAnsi="Arial"/>
          <w:sz w:val="18"/>
          <w:szCs w:val="18"/>
          <w:color w:val="auto"/>
        </w:rPr>
        <w:t>. The office, storage and lab lease expires on September 11, 2026, and we are currently marketing the furnished office space for sublease.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Leases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Panion License Agreement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have a license agreement with Panion, under which we are required to pay royalties related to the sale of Auryxia. The royalty payment obligations are contingent upon generating product revenue, and the amount and timing of such payments are not known.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 Item 1 of this Form 10-Q for further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Cyclerion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June 2021, we entered into a license agreement, or the </w:t>
      </w:r>
      <w:r>
        <w:rPr>
          <w:rFonts w:ascii="Arial" w:cs="Arial" w:eastAsia="Arial" w:hAnsi="Arial"/>
          <w:sz w:val="18"/>
          <w:szCs w:val="18"/>
          <w:u w:val="single" w:color="auto"/>
          <w:color w:val="auto"/>
        </w:rPr>
        <w:t>Cyclerion Agreement</w:t>
      </w:r>
      <w:r>
        <w:rPr>
          <w:rFonts w:ascii="Arial" w:cs="Arial" w:eastAsia="Arial" w:hAnsi="Arial"/>
          <w:sz w:val="18"/>
          <w:szCs w:val="18"/>
          <w:color w:val="auto"/>
        </w:rPr>
        <w:t>, with Cyclerion, as amended in December 2024, under which we obtained an exclusive global license under certain intellectual property rights to research, develop and commercialize praliciguat, an investigational oral soluble guanylate cyclase stimulator.</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Cyclerion Agreement, as amended, Cyclerion is eligible to receive up to an aggregate of $198.5 million from us in specified development and regulatory milestone payments on a product-by-product basis. Cyclerion will also be eligible to receive specified commercial milestones as well as tiered royalties ranging from mid-single-digit percentage to twenty percent of net sales, on a product-by-product basis, and subject to reduction upon expiration of patent rights or the launch of a generic product in the territory.</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various supply arrangements to which we are a party, and we are obligated to pay for drug substance and drug product for commercial use. Under one of our agreements, we are required to purchase a minimum quantity of Auryxia drug</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substance at a predetermined price. We are also obligated to purchase a certain percentage of the global demand for Vafseo drug substance and drug product based on certain quarterly and annual forecasts we provide to certain suppliers. Our supply agreements for Vafseo drug substance and drug product provide for a volume-based pricing structure. We may also be required to reimburse certain suppliers for reasonable expenses.</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Under Former Manufacturing and Unconditional Purchase Commitments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2022, we and BioVectra terminated any and all existing agreements for BioVectra to supply us Auryxia drug substance. Under the BioVectra Termination Agreement, we agreed to pay BioVectra a total of $32.5 million consisting of (i) an upfront payment of $17.5 million that was paid in December 2022 and (ii) six quarterly payments of $2.5 million which commenced in April 2024 and were completed in July 2025. In addition, we and BioVectra have released one another from all existing and future claims and liabilities and agreed to return certain materials and documents.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Third Party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Commitments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agreements in the normal course of business with various vendors, which are generally cancellable upon notice. Payments due upon cancellation consist only of payments for services provided or expenses incurred, including non-cancellable obligations of service providers, up to the date of cancellation. In addition, we contract with various organizations to conduct R&amp;D activities with remaining contract costs to us of approximately $57.7 million as of June 30, 2025. The scope of the services under these R&amp;D contracts can be modified upon mutual agreement of the parties, and the contracts or scope of services can be cancelled by us upon written notice. In some instances, the contracts may be cancelled by the third party upon written notice.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2660" w:type="dxa"/>
            <w:vAlign w:val="bottom"/>
            <w:gridSpan w:val="2"/>
          </w:tcPr>
          <w:p>
            <w:pPr>
              <w:jc w:val="right"/>
              <w:ind w:right="59"/>
              <w:spacing w:after="0"/>
              <w:rPr>
                <w:sz w:val="20"/>
                <w:szCs w:val="20"/>
                <w:color w:val="auto"/>
              </w:rPr>
            </w:pPr>
            <w:r>
              <w:rPr>
                <w:rFonts w:ascii="Arial" w:cs="Arial" w:eastAsia="Arial" w:hAnsi="Arial"/>
                <w:sz w:val="18"/>
                <w:szCs w:val="18"/>
                <w:color w:val="auto"/>
              </w:rPr>
              <w:t>for  each  applicable  period: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NET CASH PROVIDED BY/(USED IN) </w:t>
            </w:r>
            <w:r>
              <w:rPr>
                <w:rFonts w:ascii="Arial" w:cs="Arial" w:eastAsia="Arial" w:hAnsi="Arial"/>
                <w:sz w:val="16"/>
                <w:szCs w:val="16"/>
                <w:color w:val="auto"/>
              </w:rPr>
              <w:t>(</w:t>
            </w:r>
            <w:r>
              <w:rPr>
                <w:rFonts w:ascii="Arial" w:cs="Arial" w:eastAsia="Arial" w:hAnsi="Arial"/>
                <w:sz w:val="16"/>
                <w:szCs w:val="16"/>
                <w:i w:val="1"/>
                <w:iCs w:val="1"/>
                <w:color w:val="auto"/>
              </w:rPr>
              <w:t>in thousands</w:t>
            </w:r>
            <w:r>
              <w:rPr>
                <w:rFonts w:ascii="Arial" w:cs="Arial" w:eastAsia="Arial" w:hAnsi="Arial"/>
                <w:sz w:val="16"/>
                <w:szCs w:val="16"/>
                <w:color w:val="auto"/>
              </w:rPr>
              <w:t>):</w:t>
            </w:r>
          </w:p>
        </w:tc>
        <w:tc>
          <w:tcPr>
            <w:tcW w:w="2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DBDBDB"/>
            </w:tcBorders>
            <w:vMerge w:val="continue"/>
          </w:tcPr>
          <w:p>
            <w:pPr>
              <w:spacing w:after="0"/>
              <w:rPr>
                <w:sz w:val="18"/>
                <w:szCs w:val="18"/>
                <w:color w:val="auto"/>
              </w:rPr>
            </w:pPr>
          </w:p>
        </w:tc>
        <w:tc>
          <w:tcPr>
            <w:tcW w:w="2140" w:type="dxa"/>
            <w:vAlign w:val="bottom"/>
            <w:tcBorders>
              <w:bottom w:val="single" w:sz="8" w:color="DBDBDB"/>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56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Operating activities</w:t>
            </w:r>
          </w:p>
        </w:tc>
        <w:tc>
          <w:tcPr>
            <w:tcW w:w="214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(29,498)</w:t>
            </w:r>
          </w:p>
        </w:tc>
        <w:tc>
          <w:tcPr>
            <w:tcW w:w="0" w:type="dxa"/>
            <w:vAlign w:val="bottom"/>
          </w:tcPr>
          <w:p>
            <w:pPr>
              <w:spacing w:after="0"/>
              <w:rPr>
                <w:sz w:val="1"/>
                <w:szCs w:val="1"/>
                <w:color w:val="auto"/>
              </w:rPr>
            </w:pPr>
          </w:p>
        </w:tc>
      </w:tr>
      <w:tr>
        <w:trPr>
          <w:trHeight w:val="215"/>
        </w:trPr>
        <w:tc>
          <w:tcPr>
            <w:tcW w:w="5640" w:type="dxa"/>
            <w:vAlign w:val="bottom"/>
          </w:tcPr>
          <w:p>
            <w:pPr>
              <w:ind w:left="360"/>
              <w:spacing w:after="0"/>
              <w:rPr>
                <w:sz w:val="20"/>
                <w:szCs w:val="20"/>
                <w:color w:val="auto"/>
              </w:rPr>
            </w:pPr>
            <w:r>
              <w:rPr>
                <w:rFonts w:ascii="Arial" w:cs="Arial" w:eastAsia="Arial" w:hAnsi="Arial"/>
                <w:sz w:val="16"/>
                <w:szCs w:val="16"/>
                <w:color w:val="auto"/>
              </w:rPr>
              <w:t>Investing activities</w:t>
            </w:r>
          </w:p>
        </w:tc>
        <w:tc>
          <w:tcPr>
            <w:tcW w:w="2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56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Financing activities</w:t>
            </w:r>
          </w:p>
        </w:tc>
        <w:tc>
          <w:tcPr>
            <w:tcW w:w="214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76,662</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26,115</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21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85,448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(3,412)</w:t>
            </w:r>
          </w:p>
        </w:tc>
        <w:tc>
          <w:tcPr>
            <w:tcW w:w="0" w:type="dxa"/>
            <w:vAlign w:val="bottom"/>
          </w:tcPr>
          <w:p>
            <w:pPr>
              <w:spacing w:after="0"/>
              <w:rPr>
                <w:sz w:val="1"/>
                <w:szCs w:val="1"/>
                <w:color w:val="auto"/>
              </w:rPr>
            </w:pPr>
          </w:p>
        </w:tc>
      </w:tr>
      <w:tr>
        <w:trPr>
          <w:trHeight w:val="217"/>
        </w:trPr>
        <w:tc>
          <w:tcPr>
            <w:tcW w:w="5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14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53,550</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44,579</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214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41,167</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operating activities was $8.8 million for the six months ended June 30, 2025. Net cash provided by operating activities for the six months ended June 30, 2025 consisted of net income of $6.4 million as well as net non-cash adjustments of $27.0 million, including a change in fair value of the warrant liability of $6.8 million, offset by a reduction of $24.6 million in working capital.</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operating activities was $29.5 million for the six months ended June 30, 2024. Net cash used in operating activities consisted of a net loss of $26.6 million and net non-cash adjustments of $25.9 million, including amortization of our intangible asset of $18.0 million, and a reduction of $28.8 million in working capital.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Immaterial net cash was provided by investing activities for the six months ended June 30, 2025. Immaterial net cash was used in investing activities for the six months ended June 30, 2024.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financing activities was $76.7 million for the six months ended June 30, 2025, which primarily consisted of proceeds of $10.0 million from the issuance of debt under the BlackRock Credit Agreement and net proceeds of $66.4 million from the sale of common stock from our March 2025 underwritten public offering and under our ATM facility.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financing activities was $26.1 million for the six months ended June 30, 2024, which primarily consisted of proceeds of $45.0 million from the issuance of debt under the BlackRock Credit Agreement and net proceeds of $18.7 million from the sale of common stock under our ATM Facility, partially offset by principal payments of debt of $37.1 million primarily related to the Pharmakon Term Loans which were repaid in January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a discussion of recent accounting pronouncements,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the unaudited condensed consolidated financial statements included in Part I, Item 1 of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Judgments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unaudited condensed consolidated financial statements, which have been prepared in accordance with U.S. generally accepted accounting principles. The preparation of these unaudited condensed consolidated financial statements requires us to make estimates and judgments that affect the reported amounts of assets, liabilities, revenues and expenses and the related disclosure of contingent assets and liabilities in our unaudited condensed consolidated financial statements. On an ongoing basis, we evaluate our estimates and judgments, including those related to accrued expenses, other long-term liabilities, a liability related to settlement royalties, revenues, including various rebates, returns and reserves related to product sales, inventories, classification of expenses between cost of goods sold, R&amp;D and selling, general and administrative, long-term assets, including our right-of-use assets and goodwill.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six months ended June 30, 2025, there were no material changes to our methodologies used for our critical accounting estimates as reported in our 2024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information under this item.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maintain disclosure controls and procedures that are designed to provide reasonable assurance that information required to be disclosed by us in the reports that we file or submit under the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not effective as of June 30, 2025 due to the material weakness in internal control over financial reporting described below.</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previously disclosed in our Annual Report on Form 10-K, that was filed with the SEC on March 13, 2025, or </w:t>
      </w:r>
      <w:r>
        <w:rPr>
          <w:rFonts w:ascii="Arial" w:cs="Arial" w:eastAsia="Arial" w:hAnsi="Arial"/>
          <w:sz w:val="18"/>
          <w:szCs w:val="18"/>
          <w:u w:val="single" w:color="auto"/>
          <w:color w:val="auto"/>
        </w:rPr>
        <w:t>2024 Form 10-K</w:t>
      </w:r>
      <w:r>
        <w:rPr>
          <w:rFonts w:ascii="Arial" w:cs="Arial" w:eastAsia="Arial" w:hAnsi="Arial"/>
          <w:sz w:val="18"/>
          <w:szCs w:val="18"/>
          <w:color w:val="auto"/>
        </w:rPr>
        <w:t xml:space="preserve">, as of December 31, 2024, our management identified a material weakness in our internal control over financial reporting. Specifically, we did not effectively document controls that operated with a sufficient level of precision to evaluate the completeness, accuracy and reasonableness of the product sales forecast, which is used in the evaluation of excess inventory, including the calculation of excess firm purchase commitments and the classification of current and non-current inventory, or the </w:t>
      </w:r>
      <w:r>
        <w:rPr>
          <w:rFonts w:ascii="Arial" w:cs="Arial" w:eastAsia="Arial" w:hAnsi="Arial"/>
          <w:sz w:val="18"/>
          <w:szCs w:val="18"/>
          <w:u w:val="single" w:color="auto"/>
          <w:color w:val="auto"/>
        </w:rPr>
        <w:t>Remaining Control Deficiencies</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of the Material Weakness — Inventories</w:t>
      </w:r>
    </w:p>
    <w:p>
      <w:pPr>
        <w:spacing w:after="0" w:line="1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management has taken and plans to continue to take actions to remediate the Remaining Control Deficiencies in our internal control over financial reporting.</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begun the following remediation plan: increasing the level of precision of our review controls that support the completeness, accuracy and reasonableness of the sales forecast used to support our inventory evaluations, including the identification and consideration of contrary evidence that could detect a potential error in the sales forecast.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management continues to evaluate and work to improve our internal control over financial reporting, management may determine it is necessary to take additional measures to address the material weakness. Until the controls have been operating for a sufficient period of time and management has concluded, through testing, that these controls are operating effectively, the material weakness described above will continue to exist.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for the ongoing efforts to remediate the material weakness as noted in the preceding paragraphs, there have been no changes in our internal control over financial reporting (as defined by Rule 13a-15(f) or 15d-15(f) under the Exchange Act) during the period covered by this Quarterly Report on Form 10-Q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may be involved in legal proceedings arising from the normal course of business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Proceedings Against Akebia</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September 2018, Dr. Reddy’s Laboratories Limited filed an opposition to our issued Indian Patent No. 287720 covering the composition of matter of vadadustat in the Indian Patent Office. In response to a preliminary opinion, we requested to amend the claims, and the amended claims were published on May 9, 2025.</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6, 2024, Sandoz AG filed an opposition against our issued European Patent No. 3007695 covering vadadustat once daily dosing regimen in the European Patent Office. On March 18, 2025, we timely submitted a Patent Proprietor’s Reply to the Notice of Opposition.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We face a variety of risks and uncertainties in our business. Additional risks and uncertainties not presently known to us or that we currently believe to be immaterial may also become important factors that affect our business, reputation, results of operations, financial condition and stock price which can be materially and adversely affected. If any of the following risks occurs, our business, financial condition, financial statements, results of operations and future growth prospects could be materially and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Need for Additional Capital and Growth Strategy</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and cannot guarantee when, if ever, we will become and remain profitable.</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Investment in pharmaceutical product development and commercialization is highly speculative because it requires upfront capital expenditures and significant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xml:space="preserve">, expenses. Despite the investment in assets and R&amp;D, there is significant risk that a product candidate will fail to gain marketing approval or that an approved product will not be commercially viable. Since our inception, we have devoted most of our resources to R&amp;D, including our preclinical and clinical development activities, commercializing Auryxia and Vafseo and providing general and administrative support for these operations. We have funded our operations principally through product sales, payments received from our collaboration and licensing partners, borrowings under term loans, sales of our common stock, including through our employee stock purchase plan, a working capital payment from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and a royalty transaction. Prior to our 2018 merger, or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with Keryx Biopharmaceuticals, Inc., or </w:t>
      </w:r>
      <w:r>
        <w:rPr>
          <w:rFonts w:ascii="Arial" w:cs="Arial" w:eastAsia="Arial" w:hAnsi="Arial"/>
          <w:sz w:val="18"/>
          <w:szCs w:val="18"/>
          <w:u w:val="single" w:color="auto"/>
          <w:color w:val="auto"/>
        </w:rPr>
        <w:t>Keryx</w:t>
      </w:r>
      <w:r>
        <w:rPr>
          <w:rFonts w:ascii="Arial" w:cs="Arial" w:eastAsia="Arial" w:hAnsi="Arial"/>
          <w:sz w:val="18"/>
          <w:szCs w:val="18"/>
          <w:color w:val="auto"/>
        </w:rPr>
        <w:t>, whereby Keryx became our wholly owned subsidiary, we had no products approved for commercial sale and had not generated any revenue from the sale of products. We currently have two commercial products and believe that our existing cash resources and the cash we expect to generate from product, royalty, supply and license revenues are sufficient to fund our current operating plan for the foreseeable future, including to commercialize Vafseo and Auryxia, pursue label expansion for Vafseo, and advance our other existing programs. However, we have incurred net losses each year since our inception, and although we generated net income of $0.2 million and $6.4 million for the three and six months ended June 30, 2025, respectively, we cannot guarantee when, if ever, we will become and remain profitable. As of June 30, 2025, we had an accumulated deficit of $1.7 billion.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March 2022, we received a complete response letter, or </w:t>
      </w:r>
      <w:r>
        <w:rPr>
          <w:rFonts w:ascii="Arial" w:cs="Arial" w:eastAsia="Arial" w:hAnsi="Arial"/>
          <w:sz w:val="18"/>
          <w:szCs w:val="18"/>
          <w:u w:val="single" w:color="auto"/>
          <w:color w:val="auto"/>
        </w:rPr>
        <w:t>CRL</w:t>
      </w:r>
      <w:r>
        <w:rPr>
          <w:rFonts w:ascii="Arial" w:cs="Arial" w:eastAsia="Arial" w:hAnsi="Arial"/>
          <w:sz w:val="18"/>
          <w:szCs w:val="18"/>
          <w:color w:val="auto"/>
        </w:rPr>
        <w:t xml:space="preserve">, from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Food and Drug Administration, or </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regarding our new drug application, or </w:t>
      </w:r>
      <w:r>
        <w:rPr>
          <w:rFonts w:ascii="Arial" w:cs="Arial" w:eastAsia="Arial" w:hAnsi="Arial"/>
          <w:sz w:val="18"/>
          <w:szCs w:val="18"/>
          <w:u w:val="single" w:color="auto"/>
          <w:color w:val="auto"/>
        </w:rPr>
        <w:t>NDA</w:t>
      </w:r>
      <w:r>
        <w:rPr>
          <w:rFonts w:ascii="Arial" w:cs="Arial" w:eastAsia="Arial" w:hAnsi="Arial"/>
          <w:sz w:val="18"/>
          <w:szCs w:val="18"/>
          <w:color w:val="auto"/>
        </w:rPr>
        <w:t xml:space="preserve">, for vadadustat for the treatment of anemia associated with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xml:space="preserve">. Following a Formal Dispute Resolution Request, or </w:t>
      </w:r>
      <w:r>
        <w:rPr>
          <w:rFonts w:ascii="Arial" w:cs="Arial" w:eastAsia="Arial" w:hAnsi="Arial"/>
          <w:sz w:val="18"/>
          <w:szCs w:val="18"/>
          <w:u w:val="single" w:color="auto"/>
          <w:color w:val="auto"/>
        </w:rPr>
        <w:t>FDRR</w:t>
      </w:r>
      <w:r>
        <w:rPr>
          <w:rFonts w:ascii="Arial" w:cs="Arial" w:eastAsia="Arial" w:hAnsi="Arial"/>
          <w:sz w:val="18"/>
          <w:szCs w:val="18"/>
          <w:color w:val="auto"/>
        </w:rPr>
        <w:t>, to the FDA in 2022 for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vadadustat, we filed a resubmission to our NDA in 2023. On March 27, 2024, the FDA approved our NDA for vadadustat under the trade name Vafseo for the treatment of anemia due to CKD in adults who have been receiving dialysis for at least three months. However, we expended significant additional resources to obtain the approval of Vafseo, the commercialization of Vafseo was delayed and Vafseo was approved for a narrower indication than we initially pursued, which had and could continue to have an adverse effect on our business.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generate product revenue and achieve and maintain profitability depends on our ability to manage expenses and the overall success of Auryxia, Vafseo and any current or future product candidates, including those that may be in-licensed or acquired, which depends on several factors, including:</w:t>
      </w:r>
    </w:p>
    <w:p>
      <w:pPr>
        <w:spacing w:after="0" w:line="63" w:lineRule="exact"/>
        <w:rPr>
          <w:sz w:val="20"/>
          <w:szCs w:val="20"/>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adequate or favorable pricing and reimbursement from private and governmental payors for Auryxia, Vafseo and any other product or product candidate, including those that may be in-licensed or acquired;</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market acceptance of Auryxia, Vafseo and any other product candidate, including those that may be in-licensed or acquired;</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any market in which Auryxia, Vafseo and any other product or product candidate, including those that may be in-licensed or acquired, receives approval and obtaining adequate market share in those markets;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marketing approvals for Auryxia, Vafseo and any other product, including those that may be in-licensed or acquired;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obtaining regulatory approval for any label expansion for Vafseo, including the timing and scope thereof;</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maintain contracts with dialysis organizations for the sale of Auryxia and Vafseo in the U.S.;</w:t>
      </w:r>
    </w:p>
    <w:p>
      <w:pPr>
        <w:spacing w:after="0" w:line="32" w:lineRule="exact"/>
        <w:rPr>
          <w:rFonts w:ascii="Arial" w:cs="Arial" w:eastAsia="Arial" w:hAnsi="Arial"/>
          <w:sz w:val="22"/>
          <w:szCs w:val="22"/>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perceived advantages or disadvantages of our products or product candidates as compared to alternative treatments, including their respective safety, tolerability and efficacy profiles, the potential convenience and ease of administration and cost;</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 acceptable safety and tolerability profile of our approved products, including the frequency and severity of any side effects;</w:t>
      </w:r>
    </w:p>
    <w:p>
      <w:pPr>
        <w:spacing w:after="0" w:line="1" w:lineRule="exact"/>
        <w:rPr>
          <w:rFonts w:ascii="Arial" w:cs="Arial" w:eastAsia="Arial" w:hAnsi="Arial"/>
          <w:sz w:val="18"/>
          <w:szCs w:val="18"/>
          <w:color w:val="auto"/>
        </w:rPr>
      </w:pPr>
    </w:p>
    <w:p>
      <w:pPr>
        <w:ind w:left="660" w:hanging="328"/>
        <w:spacing w:after="0" w:line="285"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based, in part, on their perception of our clinical trial data and/or the actual or perceived safety, tolerability and efficacy profile;</w:t>
      </w:r>
    </w:p>
    <w:p>
      <w:pPr>
        <w:spacing w:after="0" w:line="34" w:lineRule="exact"/>
        <w:rPr>
          <w:rFonts w:ascii="Arial" w:cs="Arial" w:eastAsia="Arial" w:hAnsi="Arial"/>
          <w:sz w:val="18"/>
          <w:szCs w:val="18"/>
          <w:color w:val="auto"/>
        </w:rPr>
      </w:pPr>
    </w:p>
    <w:p>
      <w:pPr>
        <w:ind w:left="660" w:right="20" w:hanging="328"/>
        <w:spacing w:after="0" w:line="241"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timing and scope of marketing approvals for any product candidate, if approved, including those that may be in-licensed or acquired;</w:t>
      </w:r>
    </w:p>
    <w:p>
      <w:pPr>
        <w:spacing w:after="0" w:line="1" w:lineRule="exact"/>
        <w:rPr>
          <w:rFonts w:ascii="Arial" w:cs="Arial" w:eastAsia="Arial" w:hAnsi="Arial"/>
          <w:sz w:val="22"/>
          <w:szCs w:val="22"/>
          <w:color w:val="auto"/>
        </w:rPr>
      </w:pPr>
    </w:p>
    <w:p>
      <w:pPr>
        <w:jc w:val="both"/>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timing and number of additional generic versions of Auryxia that enter the market following loss of exclusivity, or </w:t>
      </w:r>
      <w:r>
        <w:rPr>
          <w:rFonts w:ascii="Arial" w:cs="Arial" w:eastAsia="Arial" w:hAnsi="Arial"/>
          <w:sz w:val="18"/>
          <w:szCs w:val="18"/>
          <w:u w:val="single" w:color="auto"/>
          <w:color w:val="auto"/>
        </w:rPr>
        <w:t>LoE</w:t>
      </w:r>
      <w:r>
        <w:rPr>
          <w:rFonts w:ascii="Arial" w:cs="Arial" w:eastAsia="Arial" w:hAnsi="Arial"/>
          <w:sz w:val="18"/>
          <w:szCs w:val="18"/>
          <w:color w:val="auto"/>
        </w:rPr>
        <w:t>, for Auryxia which occurred in March 2025, the pricing of generic versions of Auryxia, the impact of the LoE on the product revenue from Auryxia, including the impact on the price of Auryxia;</w:t>
      </w:r>
    </w:p>
    <w:p>
      <w:pPr>
        <w:spacing w:after="0" w:line="16"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establishing and maintaining supply and manufacturing relationships with third parties that can provide adequate supplies of products that are compliant with good manufacturing practices, or </w:t>
      </w:r>
      <w:r>
        <w:rPr>
          <w:rFonts w:ascii="Arial" w:cs="Arial" w:eastAsia="Arial" w:hAnsi="Arial"/>
          <w:sz w:val="18"/>
          <w:szCs w:val="18"/>
          <w:u w:val="single" w:color="auto"/>
          <w:color w:val="auto"/>
        </w:rPr>
        <w:t>GMPs</w:t>
      </w:r>
      <w:r>
        <w:rPr>
          <w:rFonts w:ascii="Arial" w:cs="Arial" w:eastAsia="Arial" w:hAnsi="Arial"/>
          <w:sz w:val="18"/>
          <w:szCs w:val="18"/>
          <w:color w:val="auto"/>
        </w:rPr>
        <w:t>, to support the clinical development and the market demand for Auryxia, Vafseo and any other product and product candidate, including those that may be in-licensed or acquired;</w:t>
      </w:r>
    </w:p>
    <w:p>
      <w:pPr>
        <w:spacing w:after="0" w:line="49"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potential impact of geopolitical pressures, including tariffs and global trade policies, or the BIOSECURE Act on our ability to conduct our business as currently conducted;</w:t>
      </w:r>
    </w:p>
    <w:p>
      <w:pPr>
        <w:spacing w:after="0" w:line="31" w:lineRule="exact"/>
        <w:rPr>
          <w:rFonts w:ascii="Arial" w:cs="Arial" w:eastAsia="Arial" w:hAnsi="Arial"/>
          <w:sz w:val="22"/>
          <w:szCs w:val="22"/>
          <w:color w:val="auto"/>
        </w:rPr>
      </w:pPr>
    </w:p>
    <w:p>
      <w:pPr>
        <w:jc w:val="both"/>
        <w:ind w:left="660" w:hanging="328"/>
        <w:spacing w:after="0" w:line="268"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current and future restrictions or limitations on our approved or future indications and patient populations or other adverse regulatory actions or in the event that the FDA requires Risk Evaluation and Mitigation Strategies, or </w:t>
      </w:r>
      <w:r>
        <w:rPr>
          <w:rFonts w:ascii="Arial" w:cs="Arial" w:eastAsia="Arial" w:hAnsi="Arial"/>
          <w:sz w:val="18"/>
          <w:szCs w:val="18"/>
          <w:u w:val="single" w:color="auto"/>
          <w:color w:val="auto"/>
        </w:rPr>
        <w:t>REMS</w:t>
      </w:r>
      <w:r>
        <w:rPr>
          <w:rFonts w:ascii="Arial" w:cs="Arial" w:eastAsia="Arial" w:hAnsi="Arial"/>
          <w:sz w:val="18"/>
          <w:szCs w:val="18"/>
          <w:color w:val="auto"/>
        </w:rPr>
        <w:t>, or risk management plans that use restrictive risk minimization strategies;</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collaborators' and our sales, marketing, manufacturing and distribution strategies and operations;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effectively with any products for the same or similar indications as our products (including generics);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and trade secrets.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collaboration, license and other revenue also depends on our partners’ ability to successfully market and sell Vafseo and Auryxia in the territories in which they have licensed our products. For example, in May 2023, we entered into a license agreement with MEDICE Arzneimittel Pütter GmbH &amp; Co. KG, or </w:t>
      </w:r>
      <w:r>
        <w:rPr>
          <w:rFonts w:ascii="Arial" w:cs="Arial" w:eastAsia="Arial" w:hAnsi="Arial"/>
          <w:sz w:val="18"/>
          <w:szCs w:val="18"/>
          <w:u w:val="single" w:color="auto"/>
          <w:color w:val="auto"/>
        </w:rPr>
        <w:t>Medice</w:t>
      </w:r>
      <w:r>
        <w:rPr>
          <w:rFonts w:ascii="Arial" w:cs="Arial" w:eastAsia="Arial" w:hAnsi="Arial"/>
          <w:sz w:val="18"/>
          <w:szCs w:val="18"/>
          <w:color w:val="auto"/>
        </w:rPr>
        <w:t xml:space="preserve">, pursuant to which we granted Medice an exclusive license to develop and commercialize Vafseo for the treatment of anemia in patients with CKD in the European Economic Area, or the </w:t>
      </w:r>
      <w:r>
        <w:rPr>
          <w:rFonts w:ascii="Arial" w:cs="Arial" w:eastAsia="Arial" w:hAnsi="Arial"/>
          <w:sz w:val="18"/>
          <w:szCs w:val="18"/>
          <w:u w:val="single" w:color="auto"/>
          <w:color w:val="auto"/>
        </w:rPr>
        <w:t>EEA</w:t>
      </w:r>
      <w:r>
        <w:rPr>
          <w:rFonts w:ascii="Arial" w:cs="Arial" w:eastAsia="Arial" w:hAnsi="Arial"/>
          <w:sz w:val="18"/>
          <w:szCs w:val="18"/>
          <w:color w:val="auto"/>
        </w:rPr>
        <w:t xml:space="preserve">, the United Kingdom, or </w:t>
      </w:r>
      <w:r>
        <w:rPr>
          <w:rFonts w:ascii="Arial" w:cs="Arial" w:eastAsia="Arial" w:hAnsi="Arial"/>
          <w:sz w:val="18"/>
          <w:szCs w:val="18"/>
          <w:u w:val="single" w:color="auto"/>
          <w:color w:val="auto"/>
        </w:rPr>
        <w:t>UK</w:t>
      </w:r>
      <w:r>
        <w:rPr>
          <w:rFonts w:ascii="Arial" w:cs="Arial" w:eastAsia="Arial" w:hAnsi="Arial"/>
          <w:sz w:val="18"/>
          <w:szCs w:val="18"/>
          <w:color w:val="auto"/>
        </w:rPr>
        <w:t xml:space="preserve">,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 Vafseo is currently marketed and sold by Medice in certain countries in the Medice Territory. If Medice’s launch of Vafseo in certain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countries in the Medice Territory is delayed or their sales are lower than anticipated, we may not receive the revenue that we expect from Medice on the timing anticipated, or at all.</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2024, we entered into a Termination and Settlement Agreement with CSL Vifor, or the </w:t>
      </w:r>
      <w:r>
        <w:rPr>
          <w:rFonts w:ascii="Arial" w:cs="Arial" w:eastAsia="Arial" w:hAnsi="Arial"/>
          <w:sz w:val="18"/>
          <w:szCs w:val="18"/>
          <w:u w:val="single" w:color="auto"/>
          <w:color w:val="auto"/>
        </w:rPr>
        <w:t>Vifor Termination Agreement</w:t>
      </w:r>
      <w:r>
        <w:rPr>
          <w:rFonts w:ascii="Arial" w:cs="Arial" w:eastAsia="Arial" w:hAnsi="Arial"/>
          <w:sz w:val="18"/>
          <w:szCs w:val="18"/>
          <w:color w:val="auto"/>
        </w:rPr>
        <w:t xml:space="preserve">. Pursuant to the Vifor Termination Agreement, we agreed, among other things, to terminate, effective immediately, the Second Amended and Restated License Agreement that we entered into with CSL Vifor in February 2022, as amended in May 2024, or the </w:t>
      </w:r>
      <w:r>
        <w:rPr>
          <w:rFonts w:ascii="Arial" w:cs="Arial" w:eastAsia="Arial" w:hAnsi="Arial"/>
          <w:sz w:val="18"/>
          <w:szCs w:val="18"/>
          <w:u w:val="single" w:color="auto"/>
          <w:color w:val="auto"/>
        </w:rPr>
        <w:t>Vifor License Agreement</w:t>
      </w:r>
      <w:r>
        <w:rPr>
          <w:rFonts w:ascii="Arial" w:cs="Arial" w:eastAsia="Arial" w:hAnsi="Arial"/>
          <w:sz w:val="18"/>
          <w:szCs w:val="18"/>
          <w:color w:val="auto"/>
        </w:rPr>
        <w:t xml:space="preserve">, pursuant to which we granted CSL Vifor an exclusive license to sell Vafseo to Fresenius Medical Care North America and its affiliates, including Fresenius Kidney Care Group LLC, to certain third-party dialysis organizations approved by us, to independent dialysis organizations that are members of certain group purchasing organizations, or </w:t>
      </w:r>
      <w:r>
        <w:rPr>
          <w:rFonts w:ascii="Arial" w:cs="Arial" w:eastAsia="Arial" w:hAnsi="Arial"/>
          <w:sz w:val="18"/>
          <w:szCs w:val="18"/>
          <w:u w:val="single" w:color="auto"/>
          <w:color w:val="auto"/>
        </w:rPr>
        <w:t>GPOs</w:t>
      </w:r>
      <w:r>
        <w:rPr>
          <w:rFonts w:ascii="Arial" w:cs="Arial" w:eastAsia="Arial" w:hAnsi="Arial"/>
          <w:sz w:val="18"/>
          <w:szCs w:val="18"/>
          <w:color w:val="auto"/>
        </w:rPr>
        <w:t>, and to certain non-retail specialty pharmacies in the U.S., which represents a significant portion of the potential market for Vafseo. As a result, we have regained our rights to sell Vafseo to Fresenius Kidney Care North America and its affiliates and certain other third-party dialysis organizations in the U.S.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Pursuant to the Vifor License Agreement, CSL Vifor contributed $40.0 million to a working capital facility, or </w:t>
      </w:r>
      <w:r>
        <w:rPr>
          <w:rFonts w:ascii="Arial" w:cs="Arial" w:eastAsia="Arial" w:hAnsi="Arial"/>
          <w:sz w:val="18"/>
          <w:szCs w:val="18"/>
          <w:u w:val="single" w:color="auto"/>
          <w:color w:val="auto"/>
        </w:rPr>
        <w:t>Working Capital Fund</w:t>
      </w:r>
      <w:r>
        <w:rPr>
          <w:rFonts w:ascii="Arial" w:cs="Arial" w:eastAsia="Arial" w:hAnsi="Arial"/>
          <w:sz w:val="18"/>
          <w:szCs w:val="18"/>
          <w:color w:val="auto"/>
        </w:rPr>
        <w:t xml:space="preserve">, established to partially fund our costs of purchasing Vafseo from our contract manufacturers. Pursuant to the terms of the Vifor Termination Agreement, we have agreed to repay the Working Capital Fund to CSL Vifor through quarterly tiered royalty payments ranging from 8% to 14% of our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$ 40.0 million, or (ii) May 31, 2028. The WCF Royalty Payments are subject to minimum true-up milestones of $10.0 million, $20.0 million and $40.0 million, or the </w:t>
      </w:r>
      <w:r>
        <w:rPr>
          <w:rFonts w:ascii="Arial" w:cs="Arial" w:eastAsia="Arial" w:hAnsi="Arial"/>
          <w:sz w:val="18"/>
          <w:szCs w:val="18"/>
          <w:u w:val="single" w:color="auto"/>
          <w:color w:val="auto"/>
        </w:rPr>
        <w:t>WCF Royalty True-Up</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on each of May 31, 2026, May 31, 2027 and May 31, 2028, respectively, or the </w:t>
      </w:r>
      <w:r>
        <w:rPr>
          <w:rFonts w:ascii="Arial" w:cs="Arial" w:eastAsia="Arial" w:hAnsi="Arial"/>
          <w:sz w:val="18"/>
          <w:szCs w:val="18"/>
          <w:u w:val="single" w:color="auto"/>
          <w:color w:val="auto"/>
        </w:rPr>
        <w:t>WCF Royalty True-Up Dates</w:t>
      </w:r>
      <w:r>
        <w:rPr>
          <w:rFonts w:ascii="Arial" w:cs="Arial" w:eastAsia="Arial" w:hAnsi="Arial"/>
          <w:sz w:val="18"/>
          <w:szCs w:val="18"/>
          <w:color w:val="auto"/>
        </w:rPr>
        <w:t>. If the cumulative total of the WCF Royalty Payments paid to CSL Vifor on any given WCF Royalty True-Up Date is less than the respective WCF Royalty True-Up Payment, we will pay CSL Vifor a one-time payment equal to the difference between the WCF Royalty True-Up Payment and the cumulative total of the WCF Royalty Payments paid by us through such WCF Royalty True-Up Date. If we are not successful in commercializing Vafseo, including maintaining contracts with dialysis organizations on favorable terms, or at all, our expected revenue related to Vafseo would be adversely impacted, and we may be unable to repay all or part of the WCF Royalty Payments, which could have a material adverse impact on our consolidated financial statements and our ability to achieve and maintain profitability.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achieve and maintain profitability also depends on our ability to manage our expenses. We expect to continue to incur substantial additional operating expenses, including additional R&amp;D expenses related to our pipeline and additional R&amp;D and selling, general and administrative expenses for ongoing development, post-marketing requirements and commercialization of Auryxia and Vafseo and any other products, including those that may be in-licensed or acquired, which could lead to operating losses for the foreseeable future. Our prior losses have had, and expected future losses will continue to have, an adverse effect on our stockholders’ (deficit) equity and working capital.</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addition to any further costs not currently contemplated in our operating plan, our ability to achieve and maintain profitability and our financial position will depend, in part, on the rate of our future expenditures, the timing of our product, collaboration, license and other revenue, the timing and amount of any repayment of the WCF Royalty Payments, our continued compliance with the terms of the Agreement for the Provision of a Loan Facility, as amended, or the </w:t>
      </w:r>
      <w:r>
        <w:rPr>
          <w:rFonts w:ascii="Arial" w:cs="Arial" w:eastAsia="Arial" w:hAnsi="Arial"/>
          <w:sz w:val="18"/>
          <w:szCs w:val="18"/>
          <w:u w:val="single" w:color="auto"/>
          <w:color w:val="auto"/>
        </w:rPr>
        <w:t>BlackRock Credit Agreement</w:t>
      </w:r>
      <w:r>
        <w:rPr>
          <w:rFonts w:ascii="Arial" w:cs="Arial" w:eastAsia="Arial" w:hAnsi="Arial"/>
          <w:sz w:val="18"/>
          <w:szCs w:val="18"/>
          <w:color w:val="auto"/>
        </w:rPr>
        <w:t xml:space="preserve">, with Kreos Capital VII (UK) Limited,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and our ability to obtain additional funding, should it be needed. In addition, we expect to continue to incur significant expenses if and as we:</w:t>
      </w:r>
    </w:p>
    <w:p>
      <w:pPr>
        <w:spacing w:after="0" w:line="20" w:lineRule="exact"/>
        <w:rPr>
          <w:sz w:val="20"/>
          <w:szCs w:val="20"/>
          <w:color w:val="auto"/>
        </w:rPr>
      </w:pPr>
    </w:p>
    <w:p>
      <w:pPr>
        <w:ind w:left="660" w:hanging="328"/>
        <w:spacing w:after="0" w:line="285"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our commercialization activities for Auryxia, Vafseo and any other product or product candidate for which we obtain approval, including those that may be in-licensed or acquired;</w:t>
      </w:r>
    </w:p>
    <w:p>
      <w:pPr>
        <w:spacing w:after="0" w:line="2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seek regulatory approval for any label expansion for Vafseo;</w:t>
      </w:r>
    </w:p>
    <w:p>
      <w:pPr>
        <w:spacing w:after="0" w:line="31" w:lineRule="exact"/>
        <w:rPr>
          <w:rFonts w:ascii="Arial" w:cs="Arial" w:eastAsia="Arial" w:hAnsi="Arial"/>
          <w:sz w:val="22"/>
          <w:szCs w:val="22"/>
          <w:color w:val="auto"/>
        </w:rPr>
      </w:pPr>
    </w:p>
    <w:p>
      <w:pPr>
        <w:ind w:left="660" w:hanging="328"/>
        <w:spacing w:after="0" w:line="281"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and enroll patients in any clinical trials, including post-marketing studies or any other clinical trials for Auryxia, Vafseo or any other product or product candidate, including those that may be in-licensed or acquired;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marketing approval for any product candidate, including those that may be in-licensed or acquired;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marketing approvals for Auryxia, Vafseo and any other product, including those that may be in-licensed or acquired;</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manufacture Auryxia, Vafseo and any other product or product candidate, including those that may be in-licensed or acquired, for commercial sale and clinical trials;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discovery and development activities for additional product candidates or platforms that may lead to the discovery of additional product candidates;</w:t>
      </w:r>
    </w:p>
    <w:p>
      <w:pPr>
        <w:spacing w:after="0" w:line="1"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transactions, including strategic, merger, collaboration, acquisition and licensing transactions, pursuant to which we would market and develop commercial products, or develop and commercialize other product candidates and technologies;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80" w:hanging="328"/>
        <w:spacing w:after="0" w:line="27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repay, and pay any associated pre-payment penalties, if applicable, the term loans in an aggregate principal amount of $55.0 million, or the </w:t>
      </w:r>
      <w:r>
        <w:rPr>
          <w:rFonts w:ascii="Arial" w:cs="Arial" w:eastAsia="Arial" w:hAnsi="Arial"/>
          <w:sz w:val="18"/>
          <w:szCs w:val="18"/>
          <w:u w:val="single" w:color="auto"/>
          <w:color w:val="auto"/>
        </w:rPr>
        <w:t>Term Loans</w:t>
      </w:r>
      <w:r>
        <w:rPr>
          <w:rFonts w:ascii="Arial" w:cs="Arial" w:eastAsia="Arial" w:hAnsi="Arial"/>
          <w:sz w:val="18"/>
          <w:szCs w:val="18"/>
          <w:color w:val="auto"/>
        </w:rPr>
        <w:t>, that were made available to us pursuant to the BlackRock Credit Agreement;</w:t>
      </w:r>
    </w:p>
    <w:p>
      <w:pPr>
        <w:spacing w:after="0" w:line="5"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royalty, milestone or other payments under our current and any future in-licensing agreements and the Vifor Termination Agreement;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decisions with respect to our personnel, including the retention of key employees;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decisions with respect to our infrastructure, including to support our operations as a fully integrated, publicly traded biopharmaceutical company;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any additional delays or encounter issues with any of the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expended and may in the future expend significant resources on our legal proceedings, as described above under Part II, Item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 including any legal proceedings that may be brought by or against us in the future.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expenses could increase beyond expectations if we are required by the FDA, the European Medicines Agency, or the </w:t>
      </w:r>
      <w:r>
        <w:rPr>
          <w:rFonts w:ascii="Arial" w:cs="Arial" w:eastAsia="Arial" w:hAnsi="Arial"/>
          <w:sz w:val="18"/>
          <w:szCs w:val="18"/>
          <w:u w:val="single" w:color="auto"/>
          <w:color w:val="auto"/>
        </w:rPr>
        <w:t>EMA</w:t>
      </w:r>
      <w:r>
        <w:rPr>
          <w:rFonts w:ascii="Arial" w:cs="Arial" w:eastAsia="Arial" w:hAnsi="Arial"/>
          <w:sz w:val="18"/>
          <w:szCs w:val="18"/>
          <w:color w:val="auto"/>
        </w:rPr>
        <w:t>, or other regulatory authorities, or if we otherwise believe it is necessary, to change our manufacturing processes or assays, to amend or replace our study protocols, to perform studies different from or larger than those currently planned, to conduct any additional clinical trials, whether in order to obtain approval or as a post-approval study, including the post-approval studies required for Vafseo and any other additional clinical trial that we decide to conduct for Vafseo, or if there are any delays in completing any of these activities.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commercialization, we are unable to accurately predict the timing or amount of increased expenses or the associated revenue. The net losses we incur may fluctuate significantly from quarter to quarter and year to year, such that a period-to-period comparison of our results of operations may not be a good indication of our future performance. In any particular quarter, our product revenue, the progress of our clinical development and our operating results could be below the expectations of securities analysts or investors, which could cause our stock price to decline.</w:t>
      </w:r>
    </w:p>
    <w:p>
      <w:pPr>
        <w:spacing w:after="0" w:line="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ability to generate revenue would be negatively affected if dialysis organizations are unwilling to include Auryxia or Vafseo in their formulary or the size of our addressable patient population is not as significant as we estimate, the indication approved by regulatory authorities is narrower than we sought, or the patient population for treatment is narrowed by competition, physician choice, coverage or reimbursement, or payor or treatment guidelines. Even though we generate product revenue from Auryxia and Vafseo in the U.S. and</w:t>
      </w:r>
    </w:p>
    <w:p>
      <w:pPr>
        <w:jc w:val="both"/>
        <w:spacing w:after="0" w:line="226" w:lineRule="auto"/>
        <w:rPr>
          <w:sz w:val="20"/>
          <w:szCs w:val="20"/>
          <w:color w:val="auto"/>
        </w:rPr>
      </w:pPr>
      <w:r>
        <w:rPr>
          <w:rFonts w:ascii="Arial" w:cs="Arial" w:eastAsia="Arial" w:hAnsi="Arial"/>
          <w:sz w:val="18"/>
          <w:szCs w:val="18"/>
          <w:color w:val="auto"/>
        </w:rPr>
        <w:t>royalties from Riona (ferric citrate hydrate) and Vafseo in Japan, and Vafseo in Europe and other territories where it is approved, and may generate revenue and royalties from the sale of any products that may be approved in the future, including those that may be in-licensed or</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acquired, we may never generate revenue and royalties that are significant enough for us to become and remain profitable, and we may need to obtain additional financing to continue to fund our operating plan.</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require substantial additional financing to fund our business. A failure to obtain this necessary capital when needed, or on acceptable terms, could force us to delay, limit, reduce or terminate our product development or commercialization efforts.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2025, our cash and cash equivalents were $137.3 million. We expect to continue to expend substantial amounts of cash for the foreseeable future as we continue to commercialize Auryxia in the U.S.; develop and commercialize Vafseo in the U.S.; and develop and commercialize any other product or product candidate, including those that may be in-licensed or acquired. These expenditures will include costs associated with R&amp;D, manufacturing, potentially obtaining marketing approvals and marketing products approved for sale. In addition, other unanticipated costs may arise. Because the outcomes of our current and anticipated clinical trials are highly uncertain, we cannot reasonably estimate the actual amount of funding necessary to successfully complete clinical development for any current or future product candidates or to complete post-marketing studies for Auryxia and Vafseo. Our future capital requirements depend on many factors, including:</w:t>
      </w:r>
    </w:p>
    <w:p>
      <w:pPr>
        <w:spacing w:after="0" w:line="21" w:lineRule="exact"/>
        <w:rPr>
          <w:sz w:val="20"/>
          <w:szCs w:val="20"/>
          <w:color w:val="auto"/>
        </w:rPr>
      </w:pPr>
    </w:p>
    <w:p>
      <w:pPr>
        <w:ind w:left="660" w:hanging="328"/>
        <w:spacing w:after="0" w:line="281"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conducting clinical trials or any post-marketing requirements or any other clinical trials for Auryxia, Vafseo and any other product or product candidate, including those that may be in-licensed or acquired;</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timing of commercialization activities, including product manufacturing, marketing, sales and distribution costs, for Auryxia, Vafseo and any other product or product candidate, including those that may be in-licensed or acquired;</w:t>
      </w:r>
    </w:p>
    <w:p>
      <w:pPr>
        <w:spacing w:after="0" w:line="1"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our meetings with the FDA, the EMA and other regulatory authorities and any consequential effects, including on timing of and ability to obtain and maintain marketing approval, label expansion, study design, study size and resulting operating costs;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difficulties or delays in conducting our clinical trials, or enrolling patients in our clinical trials, for Auryxia, Vafseo or any other product candidates;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our efforts to obtain marketing approval for any product candidates, including those that may be in-licensed or acquired, including any additional clinical trials or post-approval commitments imposed by regulatory authorities;</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label expansion for Vafseo or marketing approvals for any product candidate, including those that may be in-licensed or acquired, including to fund the preparation, filing and prosecution of regulatory submissions;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maintaining marketing approvals for Auryxia, Vafseo or any other product, including those that may be in-licensed or acquired;</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number of additional generic versions of Auryxia that enter the market following LoE for Auryxia which occurred in March 2025, the pricing of generic versions of Auryxia, the impact of the LoE on product revenue from Auryxia, including the impact on the price of Auryxia;</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securing and validating commercial manufacturing for any of our products and product candidates, including those that may be in-licensed or acquired, and maintaining our manufacturing arrangements for Auryxia and Vafseo or any other product or product candidate, including those that may be in-licensed or acquired, or securing and validating additional arrangements;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and maintaining, defending and enforcing our intellectual property rights, including litigation costs and the outcome of such litigation;</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any legal proceedings to which we are a party;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status as a publicly traded company on the Nasdaq Capital Market;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decisions with respect to personnel;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decisions with respect to infrastructure; and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engage in transactions, including strategic, merger, collaboration, acquisition and licensing transactions, pursuant to which we could develop and market commercial products, or develop other product candidates and technologies.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need to obtain substantial additional financing to fund our business. If we are unable to raise capital when needed or on attractive terms, we could be forced to delay, reduce or eliminate our R&amp;D programs and/or commercialization efforts.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existing cash resources and the cash we expect to generate from product, royalty, supply and license revenues are sufficient to fund our current operating plan for the foreseeable future, including to commercialize Vafseo and Auryxia, pursue label expansion for Vafseo and advance our other existing programs. However, if our operating performance deteriorates significantly from the levels expected in our long-term operating plan, it would have an adverse effect on our liquidity and capital resources and could affect our ability to achieve or maintain profitability or continue as a going concern in the future. Our forecast of the period of time through which our financial resources will be adequate to support our operations is a forward-looking statement and involves numerous risks and uncertainties, and actual results could vary as a result of a number of factors, many of which are outside our control. We have based this estimate on assumptions that may be substantially different than actual results, and we could utilize our available capital resources sooner than we currently expect. In addition, if we fail to satisfy any of the covenants under the BlackRock Credit Agreement, and the loan is accelerated, or if certain pre-specified events occur and we are required to make principal payments to BlackRock sooner than we currently anticipate, such event could have a material adverse effect on our business. There can be no assurance that the current operating plan will be achieved in the time frame anticipated by us, or that our cash resources and cash we expect to generate will fund our operating plan for the period anticipated by us, or that additional funding will be available on terms acceptable to us, or at all.</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additional fundraising efforts may divert our management’s attention away from their day-to-day activities, which may adversely affect our ability to develop and commercialize Auryxia, Vafseo and any other products or product candidates, including those that may be in-licensed or acquired. Also, additional funds may not be available to us in sufficient amounts or on acceptable terms or at all. In addition, raising funds in the current economic environment may present additional challenges. For example, any sustained disruption in the capital markets from adverse macroeconomic conditions and an uncertain geopolitical environment, such as tariffs, rising inflation, increasing interest rates, slower economic growth or recession, global trade policies, global supply chain disruptions, the Russia-Ukraine war, the Israel-Hamas war and the war in the Middle East and tensions between China and Taiwan, could negatively impact our ability to raise capital, and we cannot predict the extent or duration of such macroeconomic disruptions. If we are unable to raise additional capital in sufficient amounts when needed or on terms acceptable to us, we may have to significantly delay, scale back or discontinue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development and/or commercialization of Auryxia, Vafseo and any other products or product candidates, including those that may be in-licensed or acquired. Any of these events could significantly harm our business, financial condition and prospects.</w:t>
      </w:r>
    </w:p>
    <w:p>
      <w:pPr>
        <w:spacing w:after="0" w:line="47"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products and product candidates on unfavorable terms to us.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finance future cash needs through product revenue and royalty and license revenue, and we may seek to sell public or private equity, enter into new debt transactions, explore potential strategic transactions or a combination of these approaches or other strategic alternatives. To the extent that we raise additional capital through the sale of equity or convertible debt securities, the ownership interests of our common stockholders will be diluted, our fixed payment obligations may increase, any such securities may have rights senior to those of our common stock, and the terms may include liquidation or other preferences and anti-dilution protections that adversely affect the rights of our common stockholders. For example, since September 12, 2024 (the date our shelf registration statement on Form S-3 went effective) through December 31, 2024, we sold 14,271,631 shares of our common stock in an at-the-market offering with gross proceeds of $24.3 million, and during the six months ended June 30, 2025, we sold 9,437,364 shares of our common stock under this program with gross proceeds of $18.7 million. In addition, on March 21, 2025, we sold 25,000,000 shares of our common stock in an underwritten public offering with net proceeds of $46.5 million, and on April 22, 2025, we sold an additional 850,000 shares of our common stock in connection with the partial exercise of the underwriters' 30-day option to purchase additional shares in such underwritten public offering with net proceeds of $1.6 million. Additional debt financing, if available, may involve agreements that would restrict our operations and potentially impair our competitiveness, such as limitations on our ability to incur additional debt, make capital expenditures, declare dividends, acquire, sell or license intellectual property rights, and other operating restrictions that could adversely impact our ability to conduct our business. If we raise additional funds through strategic transactions, we may have to relinquish valuable rights to our portfolio and future revenue streams, and enter into agreements that would restrict our operations and strategic flexibility. If we raise additional funds through strategic transactions with third parties, we may have to do so at an earlier stage than otherwise would be desirable. In connection with any such strategic transactions, we may be required to relinquish valuable rights to our product and product candidates, future revenue streams or research programs or grant licenses on terms that are not favorable to us. If we are unable to raise additional funds when needed, we may not be able to pursue planned development and commercialization activities and we may need to grant rights to develop and market product candidates that we would otherwise prefer to develop and market ourselves.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not be successful in our efforts to identify, acquire, in-license, discover, develop and commercialize additional products or product candidates or our decisions to prioritize the development of certain product candidates over others may not be successful, which could impair our ability to grow.</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continue to focus a substantial amount of our efforts to develop and commercialize Auryxia and Vafseo, a key element of our long-term growth strategy is to develop additional product candidates and acquire, in-license, develop and/or market additional products and product candidates.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regardless of whether product candidates are ultimately identified. Our R&amp;D programs may initially show promise, yet fail to yield product candidates for clinical development or commercialization for many reasons, including the following:</w:t>
      </w:r>
    </w:p>
    <w:p>
      <w:pPr>
        <w:spacing w:after="0" w:line="63"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a lack of efficacy or other characteristics that indicate that they are unlikely to be drugs that will receive marketing approval and/or achieve market acceptance;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we develop and seek regulatory approval for may not be approved by the FDA on a timely basis, or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party patents or other exclusive rights;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commercially reasonable;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or</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 party payors, if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any of these events occur, we may be forced to abandon our R&amp;D efforts for one or more of our programs, or we may not be able to identify, discover, develop or commercialize additional product candidates, including those that may be in-licensed or acquired, which may have a material adverse effect on our business.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we have limited financial and managerial resources, we have focused on products, research programs and product candidates for specific indications. As a result, we have had to, and in the future may need to, forgo or delay pursuit of opportunities with other product candidates or for other indications, or may out license rights to product candidates, that later prove to have greater commercial potential. For example, as a result of receipt of the CRL and implementation of the reductions in workforce, we delayed certain research activities. Our resource allocation decisions may cause us to fail to capitalize on viable commercial products or profitable market opportunities on a timely basis, or at all. Our spending on current and future R&amp;D programs and product candidates for specific indications may not yield any commercially viable products.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our internal research capabilities are limited, we may be dependent upon other pharmaceutical and biotechnology companies, academic scientists and institutions, and other researchers to sell or license product candidates, products or technology to us. As a result, our rights to these product candidates may be limited or we may be required to make future payments to such third parties if we are successful in developing such product candidates. The success of this strategy depends partly upon our ability to identify, select, and acquire promising product candidates and products. The process of identifying, selecting, negotiating and implementing a license or acquisition of a product candidate or an approved product is lengthy and complex. Other companies, including some with substantially greater financial, marketing and sales resources, may compete with us for the license or acquisition of a product candidate or an approved product. We have limited resources to identify and execute the acquisition or in-licensing of third party products, businesses, and technologies and integrate them into our current infrastructure.</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the EMA, the Japanese Pharmaceuticals and Medical Devices Agency, or </w:t>
      </w:r>
      <w:r>
        <w:rPr>
          <w:rFonts w:ascii="Arial" w:cs="Arial" w:eastAsia="Arial" w:hAnsi="Arial"/>
          <w:sz w:val="18"/>
          <w:szCs w:val="18"/>
          <w:u w:val="single" w:color="auto"/>
          <w:color w:val="auto"/>
        </w:rPr>
        <w:t>PMDA</w:t>
      </w:r>
      <w:r>
        <w:rPr>
          <w:rFonts w:ascii="Arial" w:cs="Arial" w:eastAsia="Arial" w:hAnsi="Arial"/>
          <w:sz w:val="18"/>
          <w:szCs w:val="18"/>
          <w:color w:val="auto"/>
        </w:rPr>
        <w:t>, or other regulatory authorities, or post-approval testing or other requirements if approved.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of our products will be manufactured in a cost effective manner, achieve market acceptance or not require substantial post-marketing clinical trials.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Accordingly, there can be no assurance that we will ever be able to identify, acquire, in-license or develop suitable additional products or product candidates, which could materially adversely affect our future growth and prospects. We may focus our efforts and resources on potential products, product candidates or other programs that ultimately prove to be unsuccessful.</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part of our business strategy, we may engage in additional strategic transactions to expand and diversify our portfolio, including through the merger, acquisition or in-license of assets, businesses, or rights to products, product candidates or technologies or through strategic alliances or collaborations, similar to the Merger and our existing and prior collaboration and license arrangements. We may not identify suitable strategic transactions, or complete such transactions in a timely manner, on favorable terms,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 transaction and may experience losses related to our investments in such transactions. Integration of an acquired company or assets into our existing business may not be successful and may disrupt ongoing operations, require the hiring of additional personnel and the implementation and integration of additional internal systems and infrastructure,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our business, results of operations and financial condition. For example, on June 4, 2021, we entered into a license agreement, or the </w:t>
      </w:r>
      <w:r>
        <w:rPr>
          <w:rFonts w:ascii="Arial" w:cs="Arial" w:eastAsia="Arial" w:hAnsi="Arial"/>
          <w:sz w:val="18"/>
          <w:szCs w:val="18"/>
          <w:u w:val="single" w:color="auto"/>
          <w:color w:val="auto"/>
        </w:rPr>
        <w:t>Cyclerion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with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pursuant to which Cyclerion granted us an exclusive global license under certain intellectual property rights to research, develop and commercialize praliciguat, an investigational oral soluble guanylate cyclase stimulator. In December 2024, we entered into an amendment to the Cyclerion Agreement and we now control all clinical and commercial manufacturing of</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praliciguat, which will be conducted by a third-party manufacturer. Although we have progressed preclinical studies for praliciguat, we needed to do additional work to manufacture product for clinical trials than originally anticipated before we could initiate the trials,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when the clinical trials are started, we may be unsuccessful in developing praliciguat. If any of the assumptions that we made in valuing the transaction, including the costs or timing of development of praliciguat as a result of the additional manufacturing work or otherwise, or the potential benefits of praliciguat, were incorrect, we may not recognize the anticipated benefits of the transaction and our business could be harmed.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transactions may entail numerous operational, financial and legal risks, including:</w:t>
      </w:r>
    </w:p>
    <w:p>
      <w:pPr>
        <w:spacing w:after="0" w:line="117" w:lineRule="exact"/>
        <w:rPr>
          <w:sz w:val="20"/>
          <w:szCs w:val="20"/>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incurring substantial debt, dilutive issuances of securities or depletion of cash to pay for acquisitions;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contingent liabilities, possible intellectual property infringement claims, violations of laws, tax liabilities and commercial disputes;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integrating operations, processes, systems and personnel of any acquired business;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amortization expenses or, in the case of a write-down of the value of acquired assets, impairment losses, and corresponding adjustments to the estimated useful life of the developed product rights for Auryxia;</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 due to changes in management and ownership;</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retain personnel, customers, distributors, vendors and other business partners integral to an in-licensed or acquired product, product candidate or technology;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development or commercial experience and where competitors in such markets have stronger market positions;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challenges associated with managing an increasingly diversified business.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we are unable to successfully manage any transaction in which we may engage, our ability to develop new products and continue to expand and diversify our portfolio may be limited.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Arrangements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obligations in connection with the BlackRock Credit Agreement and requirements and restrictions in the BlackRock Credit Agreement could adversely affect our financial condition and restrict our operations.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entered into the BlackRock Credit Agreement, which provides for a senior secured term loan facility, in the aggregate principal amount of $55.0 million,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The initial tranche of $37.0 million, or the </w:t>
      </w:r>
      <w:r>
        <w:rPr>
          <w:rFonts w:ascii="Arial" w:cs="Arial" w:eastAsia="Arial" w:hAnsi="Arial"/>
          <w:sz w:val="18"/>
          <w:szCs w:val="18"/>
          <w:u w:val="single" w:color="auto"/>
          <w:color w:val="auto"/>
        </w:rPr>
        <w:t>Tranche A Loan</w:t>
      </w:r>
      <w:r>
        <w:rPr>
          <w:rFonts w:ascii="Arial" w:cs="Arial" w:eastAsia="Arial" w:hAnsi="Arial"/>
          <w:sz w:val="18"/>
          <w:szCs w:val="18"/>
          <w:color w:val="auto"/>
        </w:rPr>
        <w:t xml:space="preserve">, closed 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an additional amount of $8.0 million, or the </w:t>
      </w:r>
      <w:r>
        <w:rPr>
          <w:rFonts w:ascii="Arial" w:cs="Arial" w:eastAsia="Arial" w:hAnsi="Arial"/>
          <w:sz w:val="18"/>
          <w:szCs w:val="18"/>
          <w:u w:val="single" w:color="auto"/>
          <w:color w:val="auto"/>
        </w:rPr>
        <w:t>Tranche B Loan</w:t>
      </w:r>
      <w:r>
        <w:rPr>
          <w:rFonts w:ascii="Arial" w:cs="Arial" w:eastAsia="Arial" w:hAnsi="Arial"/>
          <w:sz w:val="18"/>
          <w:szCs w:val="18"/>
          <w:color w:val="auto"/>
        </w:rPr>
        <w:t xml:space="preserve">, was drawn on April 19, 2024, and an additional $10.0 million was drawn on February 3, 2025, or the </w:t>
      </w:r>
      <w:r>
        <w:rPr>
          <w:rFonts w:ascii="Arial" w:cs="Arial" w:eastAsia="Arial" w:hAnsi="Arial"/>
          <w:sz w:val="18"/>
          <w:szCs w:val="18"/>
          <w:u w:val="single" w:color="auto"/>
          <w:color w:val="auto"/>
        </w:rPr>
        <w:t>Tranche C Loan</w:t>
      </w:r>
      <w:r>
        <w:rPr>
          <w:rFonts w:ascii="Arial" w:cs="Arial" w:eastAsia="Arial" w:hAnsi="Arial"/>
          <w:sz w:val="18"/>
          <w:szCs w:val="18"/>
          <w:color w:val="auto"/>
        </w:rPr>
        <w:t xml:space="preserve"> and, together with the Tranche A Loan and the Tranche B Loan, the </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See Note 7, </w:t>
      </w:r>
      <w:r>
        <w:rPr>
          <w:rFonts w:ascii="Arial" w:cs="Arial" w:eastAsia="Arial" w:hAnsi="Arial"/>
          <w:sz w:val="18"/>
          <w:szCs w:val="18"/>
          <w:i w:val="1"/>
          <w:iCs w:val="1"/>
          <w:color w:val="auto"/>
        </w:rPr>
        <w:t>Indebtedness</w:t>
      </w:r>
      <w:r>
        <w:rPr>
          <w:rFonts w:ascii="Arial" w:cs="Arial" w:eastAsia="Arial" w:hAnsi="Arial"/>
          <w:sz w:val="18"/>
          <w:szCs w:val="18"/>
          <w:color w:val="auto"/>
        </w:rPr>
        <w:t xml:space="preserve">, to our unaudited condensed consolidated financial statements in Part I, Item 1. Financial Statements of this Form 10-Q for additional information regarding our obligations under the BlackRock Credit Agreement. The Term Loan Facility has a maturity date of January 29, 2028, or the </w:t>
      </w:r>
      <w:r>
        <w:rPr>
          <w:rFonts w:ascii="Arial" w:cs="Arial" w:eastAsia="Arial" w:hAnsi="Arial"/>
          <w:sz w:val="18"/>
          <w:szCs w:val="18"/>
          <w:u w:val="single" w:color="auto"/>
          <w:color w:val="auto"/>
        </w:rPr>
        <w:t>Maturity Date</w:t>
      </w:r>
      <w:r>
        <w:rPr>
          <w:rFonts w:ascii="Arial" w:cs="Arial" w:eastAsia="Arial" w:hAnsi="Arial"/>
          <w:sz w:val="18"/>
          <w:szCs w:val="18"/>
          <w:color w:val="auto"/>
        </w:rPr>
        <w:t>.</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BlackRock Credit Agreement contains certain representations and warranties, affirmative covenants, negative covenants, financial covenants, events of default and other provisions and conditions that are customarily required for similar financings. The financial covenants under the BlackRock Credit Agreement require us to either (i) maintain cash and cash equivalents, measured as of the last day of each fiscal month, greater than or equal to $15.0 million or (ii) earn consolidated revenue, measured as of the last day of each fiscal month for the trailing twelve-month period, of $150.0 million. Failure to maintain compliance with these or other covenants would result in an event of default under the BlackRock Credit Agreement, which could result in enforcement action, including acceleration of amounts due under the BlackRock Credit Agreement, or limit our ability to make certain payments under the Vifor Termination Agreement.</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 Loan Facility will accrue interest at a floating annual rate equal to the sum of (x) term Secured Overnight Financing Rate for a tenor of one month (subject to a floor of 4.25% per annum) plus (y) a margin of 6.75% per annum (subject to an overall cap of 15.00% per annum on the all-in interest rate). During the continuance of any payment event of default under the BlackRock Credit Agreement, the interest rate on such overdue sum will automatically increase by an additional 3.0% per annum, and may be subject to an additional late fee of 2.0% of</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such overdue sum. The Term Loan Facility does not amortize during the period commencing on the Closing Date and ending on December 31, 2026 (as extended at our option), or the </w:t>
      </w:r>
      <w:r>
        <w:rPr>
          <w:rFonts w:ascii="Arial" w:cs="Arial" w:eastAsia="Arial" w:hAnsi="Arial"/>
          <w:sz w:val="18"/>
          <w:szCs w:val="18"/>
          <w:u w:val="single" w:color="auto"/>
          <w:color w:val="auto"/>
        </w:rPr>
        <w:t>Interest Only Period</w:t>
      </w:r>
      <w:r>
        <w:rPr>
          <w:rFonts w:ascii="Arial" w:cs="Arial" w:eastAsia="Arial" w:hAnsi="Arial"/>
          <w:sz w:val="18"/>
          <w:szCs w:val="18"/>
          <w:color w:val="auto"/>
        </w:rPr>
        <w:t>. We are required to pay interest and, after the Interest Only Period, principal on the first calendar day of each month. In the event of certain prespecified events, the repayment schedule will be accelerated. If any of these events occur, and we are required to repay principal sooner than we anticipate, it would have an adverse effect on our business.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there is an acceleration of our and certain of our subsidiaries’ liabilities under the BlackRock Credit Agreement as a result of an event of default or otherwise, we may not have sufficient funds or may be unable to arrange for additional financing to repay the liabilities or to make any accelerated payments, and BlackRock could seek to enforce security interests in the collateral securing the BlackRock Credit Agreement, which would have a material adverse effect on our business, financial condition and results of operations.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our obligations in connection with the BlackRock Credit Agreement could have additional significant adverse consequences, including, among other things:</w:t>
      </w:r>
    </w:p>
    <w:p>
      <w:pPr>
        <w:spacing w:after="0" w:line="85" w:lineRule="exact"/>
        <w:rPr>
          <w:sz w:val="20"/>
          <w:szCs w:val="20"/>
          <w:color w:val="auto"/>
        </w:rPr>
      </w:pPr>
    </w:p>
    <w:p>
      <w:pPr>
        <w:jc w:val="both"/>
        <w:ind w:left="660" w:hanging="328"/>
        <w:spacing w:after="0" w:line="242" w:lineRule="auto"/>
        <w:tabs>
          <w:tab w:leader="none" w:pos="628" w:val="left"/>
        </w:tabs>
        <w:numPr>
          <w:ilvl w:val="0"/>
          <w:numId w:val="28"/>
        </w:numPr>
        <w:rPr>
          <w:rFonts w:ascii="Arial" w:cs="Arial" w:eastAsia="Arial" w:hAnsi="Arial"/>
          <w:sz w:val="22"/>
          <w:szCs w:val="22"/>
          <w:color w:val="auto"/>
        </w:rPr>
      </w:pPr>
      <w:r>
        <w:rPr>
          <w:rFonts w:ascii="Arial" w:cs="Arial" w:eastAsia="Arial" w:hAnsi="Arial"/>
          <w:sz w:val="18"/>
          <w:szCs w:val="18"/>
          <w:color w:val="auto"/>
        </w:rPr>
        <w:t>restricting our activities, including limitations on transferring certain of our assets, engaging in certain transactions, terminating certain agreements, incurring certain additional indebtedness, creating certain liens, paying cash dividends or making certain other distributions and investments;</w:t>
      </w:r>
    </w:p>
    <w:p>
      <w:pPr>
        <w:spacing w:after="0" w:line="55" w:lineRule="exact"/>
        <w:rPr>
          <w:rFonts w:ascii="Arial" w:cs="Arial" w:eastAsia="Arial" w:hAnsi="Arial"/>
          <w:sz w:val="22"/>
          <w:szCs w:val="22"/>
          <w:color w:val="auto"/>
        </w:rPr>
      </w:pPr>
    </w:p>
    <w:p>
      <w:pPr>
        <w:ind w:left="620" w:hanging="288"/>
        <w:spacing w:after="0"/>
        <w:tabs>
          <w:tab w:leader="none" w:pos="620" w:val="left"/>
        </w:tabs>
        <w:numPr>
          <w:ilvl w:val="0"/>
          <w:numId w:val="28"/>
        </w:numPr>
        <w:rPr>
          <w:rFonts w:ascii="Arial" w:cs="Arial" w:eastAsia="Arial" w:hAnsi="Arial"/>
          <w:sz w:val="22"/>
          <w:szCs w:val="22"/>
          <w:color w:val="auto"/>
        </w:rPr>
      </w:pPr>
      <w:r>
        <w:rPr>
          <w:rFonts w:ascii="Arial" w:cs="Arial" w:eastAsia="Arial" w:hAnsi="Arial"/>
          <w:sz w:val="18"/>
          <w:szCs w:val="18"/>
          <w:color w:val="auto"/>
        </w:rPr>
        <w:t>limiting our flexibility in planning for, or reacting to, changes in our business and our industry;</w:t>
      </w:r>
    </w:p>
    <w:p>
      <w:pPr>
        <w:spacing w:after="0" w:line="71" w:lineRule="exact"/>
        <w:rPr>
          <w:rFonts w:ascii="Arial" w:cs="Arial" w:eastAsia="Arial" w:hAnsi="Arial"/>
          <w:sz w:val="22"/>
          <w:szCs w:val="22"/>
          <w:color w:val="auto"/>
        </w:rPr>
      </w:pPr>
    </w:p>
    <w:p>
      <w:pPr>
        <w:ind w:left="660" w:hanging="328"/>
        <w:spacing w:after="0" w:line="249" w:lineRule="auto"/>
        <w:tabs>
          <w:tab w:leader="none" w:pos="628" w:val="left"/>
        </w:tabs>
        <w:numPr>
          <w:ilvl w:val="0"/>
          <w:numId w:val="28"/>
        </w:numPr>
        <w:rPr>
          <w:rFonts w:ascii="Arial" w:cs="Arial" w:eastAsia="Arial" w:hAnsi="Arial"/>
          <w:sz w:val="22"/>
          <w:szCs w:val="22"/>
          <w:color w:val="auto"/>
        </w:rPr>
      </w:pPr>
      <w:r>
        <w:rPr>
          <w:rFonts w:ascii="Arial" w:cs="Arial" w:eastAsia="Arial" w:hAnsi="Arial"/>
          <w:sz w:val="18"/>
          <w:szCs w:val="18"/>
          <w:color w:val="auto"/>
        </w:rPr>
        <w:t>placing us at a possible competitive disadvantage compared to our competitors who have a smaller amount of debt or competitors with comparable debt at more favorable interest rates; and</w:t>
      </w:r>
    </w:p>
    <w:p>
      <w:pPr>
        <w:spacing w:after="0" w:line="62" w:lineRule="exact"/>
        <w:rPr>
          <w:rFonts w:ascii="Arial" w:cs="Arial" w:eastAsia="Arial" w:hAnsi="Arial"/>
          <w:sz w:val="22"/>
          <w:szCs w:val="22"/>
          <w:color w:val="auto"/>
        </w:rPr>
      </w:pPr>
    </w:p>
    <w:p>
      <w:pPr>
        <w:ind w:left="660" w:right="20" w:hanging="328"/>
        <w:spacing w:after="0" w:line="237" w:lineRule="auto"/>
        <w:tabs>
          <w:tab w:leader="none" w:pos="628" w:val="left"/>
        </w:tabs>
        <w:numPr>
          <w:ilvl w:val="0"/>
          <w:numId w:val="28"/>
        </w:numPr>
        <w:rPr>
          <w:rFonts w:ascii="Arial" w:cs="Arial" w:eastAsia="Arial" w:hAnsi="Arial"/>
          <w:sz w:val="22"/>
          <w:szCs w:val="22"/>
          <w:color w:val="auto"/>
        </w:rPr>
      </w:pPr>
      <w:r>
        <w:rPr>
          <w:rFonts w:ascii="Arial" w:cs="Arial" w:eastAsia="Arial" w:hAnsi="Arial"/>
          <w:sz w:val="18"/>
          <w:szCs w:val="18"/>
          <w:color w:val="auto"/>
        </w:rPr>
        <w:t>limiting our ability to borrow additional amounts for working capital, capital expenditures, R&amp;D efforts, acquisitions, debt service requirements, execution of our business strategy and other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w:t>
      </w:r>
    </w:p>
    <w:p>
      <w:pPr>
        <w:spacing w:after="0" w:line="119"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Our Royalty Interest Acquisition Agreement with HealthCare Royalty Partners IV, L.P. contains various covenants and other provisions, which, if violated, could materially adversely affect our financial condition.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2021, we entered into a royalty interest acquisition agreement, or the </w:t>
      </w:r>
      <w:r>
        <w:rPr>
          <w:rFonts w:ascii="Arial" w:cs="Arial" w:eastAsia="Arial" w:hAnsi="Arial"/>
          <w:sz w:val="18"/>
          <w:szCs w:val="18"/>
          <w:u w:val="single" w:color="auto"/>
          <w:color w:val="auto"/>
        </w:rPr>
        <w:t>Royalty Agreement</w:t>
      </w:r>
      <w:r>
        <w:rPr>
          <w:rFonts w:ascii="Arial" w:cs="Arial" w:eastAsia="Arial" w:hAnsi="Arial"/>
          <w:sz w:val="18"/>
          <w:szCs w:val="18"/>
          <w:color w:val="auto"/>
        </w:rPr>
        <w:t xml:space="preserve">, with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pursuant to which we sold to HCR our right to receive royalties and sales milestones for Vafseo, collectively the </w:t>
      </w:r>
      <w:r>
        <w:rPr>
          <w:rFonts w:ascii="Arial" w:cs="Arial" w:eastAsia="Arial" w:hAnsi="Arial"/>
          <w:sz w:val="18"/>
          <w:szCs w:val="18"/>
          <w:u w:val="single" w:color="auto"/>
          <w:color w:val="auto"/>
        </w:rPr>
        <w:t>Royalty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in each case, payable to us under our Collaboration Agreement dated December 11, 2015, or the </w:t>
      </w:r>
      <w:r>
        <w:rPr>
          <w:rFonts w:ascii="Arial" w:cs="Arial" w:eastAsia="Arial" w:hAnsi="Arial"/>
          <w:sz w:val="18"/>
          <w:szCs w:val="18"/>
          <w:u w:val="single" w:color="auto"/>
          <w:color w:val="auto"/>
        </w:rPr>
        <w:t>MTPC Agreement</w:t>
      </w:r>
      <w:r>
        <w:rPr>
          <w:rFonts w:ascii="Arial" w:cs="Arial" w:eastAsia="Arial" w:hAnsi="Arial"/>
          <w:sz w:val="18"/>
          <w:szCs w:val="18"/>
          <w:color w:val="auto"/>
        </w:rPr>
        <w:t xml:space="preserve">, with Mitsubishi Tanabe Pharma Corporation, or </w:t>
      </w:r>
      <w:r>
        <w:rPr>
          <w:rFonts w:ascii="Arial" w:cs="Arial" w:eastAsia="Arial" w:hAnsi="Arial"/>
          <w:sz w:val="18"/>
          <w:szCs w:val="18"/>
          <w:u w:val="single" w:color="auto"/>
          <w:color w:val="auto"/>
        </w:rPr>
        <w:t>MTPC</w:t>
      </w:r>
      <w:r>
        <w:rPr>
          <w:rFonts w:ascii="Arial" w:cs="Arial" w:eastAsia="Arial" w:hAnsi="Arial"/>
          <w:sz w:val="18"/>
          <w:szCs w:val="18"/>
          <w:color w:val="auto"/>
        </w:rPr>
        <w:t xml:space="preserve">, subject to an annual maximum “cap” of $13.0 million, or the </w:t>
      </w:r>
      <w:r>
        <w:rPr>
          <w:rFonts w:ascii="Arial" w:cs="Arial" w:eastAsia="Arial" w:hAnsi="Arial"/>
          <w:sz w:val="18"/>
          <w:szCs w:val="18"/>
          <w:u w:val="single" w:color="auto"/>
          <w:color w:val="auto"/>
        </w:rPr>
        <w:t>Annual Cap</w:t>
      </w:r>
      <w:r>
        <w:rPr>
          <w:rFonts w:ascii="Arial" w:cs="Arial" w:eastAsia="Arial" w:hAnsi="Arial"/>
          <w:sz w:val="18"/>
          <w:szCs w:val="18"/>
          <w:color w:val="auto"/>
        </w:rPr>
        <w:t xml:space="preserve">, and an aggregate maximum “cap” of $150.0 million, or the </w:t>
      </w:r>
      <w:r>
        <w:rPr>
          <w:rFonts w:ascii="Arial" w:cs="Arial" w:eastAsia="Arial" w:hAnsi="Arial"/>
          <w:sz w:val="18"/>
          <w:szCs w:val="18"/>
          <w:u w:val="single" w:color="auto"/>
          <w:color w:val="auto"/>
        </w:rPr>
        <w:t>Aggregate Cap</w:t>
      </w:r>
      <w:r>
        <w:rPr>
          <w:rFonts w:ascii="Arial" w:cs="Arial" w:eastAsia="Arial" w:hAnsi="Arial"/>
          <w:sz w:val="18"/>
          <w:szCs w:val="18"/>
          <w:color w:val="auto"/>
        </w:rPr>
        <w:t>. Under the Royalty Agreement, we are required to comply with various covenants, including obligations to take certain actions, such as actions with respect to the Royalty Interest Payments, the MTPC Agreement, our agreement with MTPC for the commercial supply of Vafseo drug product, and our intellectual property. In addition, the Royalty Agreement includes customary events of default upon the occurrence of enumerated events, including failure to perform certain covenants and the occurrence of insolvency events. Upon the occurrence of an event of default, HCR would have the ability to exercise all available remedies in law and equity, which could have a material adverse effect on our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19" w:lineRule="exact"/>
        <w:rPr>
          <w:sz w:val="20"/>
          <w:szCs w:val="20"/>
          <w:color w:val="auto"/>
        </w:rPr>
      </w:pPr>
    </w:p>
    <w:p>
      <w:pPr>
        <w:ind w:right="680"/>
        <w:spacing w:after="0" w:line="309" w:lineRule="auto"/>
        <w:rPr>
          <w:sz w:val="20"/>
          <w:szCs w:val="20"/>
          <w:color w:val="auto"/>
        </w:rPr>
      </w:pPr>
      <w:r>
        <w:rPr>
          <w:rFonts w:ascii="Arial" w:cs="Arial" w:eastAsia="Arial" w:hAnsi="Arial"/>
          <w:sz w:val="17"/>
          <w:szCs w:val="17"/>
          <w:b w:val="1"/>
          <w:bCs w:val="1"/>
          <w:i w:val="1"/>
          <w:iCs w:val="1"/>
          <w:color w:val="auto"/>
        </w:rPr>
        <w:t>Our business is substantially dependent on the commercial success of Auryxia and Vafseo. If we are unable to continue to successfully commercialize Auryxia and Vafseo, our results of operations and financial condition will be materially harmed.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and our ability to generate product revenue largely depend on our, and our collaborators’, ability to successfully commercialize Auryxia and Vafseo. Our ability to generate revenue depends on our ability to execute on our commercialization plans, and the size of the market for, and the level of market acceptance of, Auryxia, Vafseo and any other product or product candidate, including those that may be in-licensed or acquired. If we are not able to maintain contracts with dialysis organizations and other customers for the sale of Auryxia and Vafseo on favorable terms, or at all, our revenue and results of operations will be adversely affected. If the size of any market for which a product or product candidate is approved decreases or is smaller than we anticipate, our revenue and results of operations could be materially adversely affected. For example, the approval for Vafseo in the U.S. is limited to the treatment of anemia due to CKD in adults who have been receiving dialysis for at least three months instead of all such adults. This limitation could affect the level of market acceptance of Vafseo.</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had exclusive rights under a series of patents and patent applications to commercialize Auryxia in the U.S. that protected us from generic drug competition until March 20, 2025. Following LoE, the number of generic versions of Auryxia that enter the market, and the timing thereof, will adversely affect our revenue from Auryxia. On February 5, 2025, we entered into an Authorized Generic Distribution and Supply Agreement with Mylan Pharmaceuticals, Inc., or </w:t>
      </w:r>
      <w:r>
        <w:rPr>
          <w:rFonts w:ascii="Arial" w:cs="Arial" w:eastAsia="Arial" w:hAnsi="Arial"/>
          <w:sz w:val="18"/>
          <w:szCs w:val="18"/>
          <w:u w:val="single" w:color="auto"/>
          <w:color w:val="auto"/>
        </w:rPr>
        <w:t>AG Partner</w:t>
      </w:r>
      <w:r>
        <w:rPr>
          <w:rFonts w:ascii="Arial" w:cs="Arial" w:eastAsia="Arial" w:hAnsi="Arial"/>
          <w:sz w:val="18"/>
          <w:szCs w:val="18"/>
          <w:color w:val="auto"/>
        </w:rPr>
        <w:t>, pursuant to which, since March 20, 2025, they have been selling an authorized generic version of Auryxia. Currently, no additional generics of Auryxia have entered the market, but the FDA could approve another generic at any time. The impact of LoE on future Auryxia revenues will depend on many factors, including our ability to maintain contracts with dialysis organizations, the timing and number of additional generics and the pricing of generics and other products on the market that compete with Auryxia. If</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Auryxia sales decline faster than we anticipate following LoE, our results of operations and financial condition will be materially harmed.</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Given the concentration of dialysis clinics in large networks, with DaVita, Inc., or </w:t>
      </w:r>
      <w:r>
        <w:rPr>
          <w:rFonts w:ascii="Arial" w:cs="Arial" w:eastAsia="Arial" w:hAnsi="Arial"/>
          <w:sz w:val="18"/>
          <w:szCs w:val="18"/>
          <w:u w:val="single" w:color="auto"/>
          <w:color w:val="auto"/>
        </w:rPr>
        <w:t>DaVita</w:t>
      </w:r>
      <w:r>
        <w:rPr>
          <w:rFonts w:ascii="Arial" w:cs="Arial" w:eastAsia="Arial" w:hAnsi="Arial"/>
          <w:sz w:val="18"/>
          <w:szCs w:val="18"/>
          <w:color w:val="auto"/>
        </w:rPr>
        <w:t xml:space="preserve">, Fresenius Kidney Care Group LLC, or </w:t>
      </w:r>
      <w:r>
        <w:rPr>
          <w:rFonts w:ascii="Arial" w:cs="Arial" w:eastAsia="Arial" w:hAnsi="Arial"/>
          <w:sz w:val="18"/>
          <w:szCs w:val="18"/>
          <w:u w:val="single" w:color="auto"/>
          <w:color w:val="auto"/>
        </w:rPr>
        <w:t>Fresenius</w:t>
      </w:r>
      <w:r>
        <w:rPr>
          <w:rFonts w:ascii="Arial" w:cs="Arial" w:eastAsia="Arial" w:hAnsi="Arial"/>
          <w:sz w:val="18"/>
          <w:szCs w:val="18"/>
          <w:color w:val="auto"/>
        </w:rPr>
        <w:t xml:space="preserve">, and U.S. Renal Care, or </w:t>
      </w:r>
      <w:r>
        <w:rPr>
          <w:rFonts w:ascii="Arial" w:cs="Arial" w:eastAsia="Arial" w:hAnsi="Arial"/>
          <w:sz w:val="18"/>
          <w:szCs w:val="18"/>
          <w:u w:val="single" w:color="auto"/>
          <w:color w:val="auto"/>
        </w:rPr>
        <w:t>USRC</w:t>
      </w:r>
      <w:r>
        <w:rPr>
          <w:rFonts w:ascii="Arial" w:cs="Arial" w:eastAsia="Arial" w:hAnsi="Arial"/>
          <w:sz w:val="18"/>
          <w:szCs w:val="18"/>
          <w:color w:val="auto"/>
        </w:rPr>
        <w:t>, accounting for a vast majority of the dialysis population in the U.S., treatment is usually driven by medical protocols that are implemented across the entire network of clinics. Dialysis organizations require large data sets to adopt medical protocols. If dialysis organizations do not add Vafseo to their medical protocols in a timely manner, or at all, or do not keep Vafseo on their medical protocols, or if the protocols service smaller populations than the current label, our results of operations could be materially adversely affected. For example, in the quarter ended June 30, 2025, most Vafseo revenue was driven by mid-sized dialysis organizations. If we are unable to increase sales to the large and small dialysis organizations, our results of operations will be negatively impacted.</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Oral-only phosphate binders, including Auryxia, are included in the end-stage renal disease, or ESRD, Prospective Payment System, or </w:t>
      </w:r>
      <w:r>
        <w:rPr>
          <w:rFonts w:ascii="Arial" w:cs="Arial" w:eastAsia="Arial" w:hAnsi="Arial"/>
          <w:sz w:val="18"/>
          <w:szCs w:val="18"/>
          <w:u w:val="single" w:color="auto"/>
          <w:color w:val="auto"/>
        </w:rPr>
        <w:t>PPS</w:t>
      </w:r>
      <w:r>
        <w:rPr>
          <w:rFonts w:ascii="Arial" w:cs="Arial" w:eastAsia="Arial" w:hAnsi="Arial"/>
          <w:sz w:val="18"/>
          <w:szCs w:val="18"/>
          <w:color w:val="auto"/>
        </w:rPr>
        <w:t>, bundle payment, as of January 2025, however, it will take time for dialysis organizations to implement internal mechanisms to dispense phosphate binders which could negatively impact the market for phosphate binders, including Auryxia, and divert dialysis organizations' attention from focusing on other therapeutic areas such as anemia management, which in turn could negatively impact the market for Vafseo. In addition, dialysis organizations may choose lower cost binders over Auryxia, or binders that may have features or benefits more aligned with the dialysis organization's operational activities, which could negatively impact Auryxia revenue.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revenue growth for Auryxia has been negatively impacted by the COVID-19 pandemic since 2021 primarily as the CKD patient populations that we serve experienced both high hospitalization and mortality rates due to COVID-19, and the pandemic had an adverse impact on the phosphate binder market in which Auryxia competes. Labor shortages and costs have also adversely impacted dialysis providers. These impacts have refocused clinical efforts in addressing bone and mineral disorders like hyperphosphatemia to more acute operational issues to ensure patients receive dialysis treatments and still some patients have been rescheduled or missed treatments due to labor shortages. We believe this and potentially other factors, led to the reduction in the phosphate binder market, which has not experienced growth since early 2020. While we are unable to quantify the impact of the COVID-19 pandemic on future Auryxia revenues and revenue growth, the COVID-19 pandemic and the ongoing impacts from the COVID-19 pandemic continue to adversely and disproportionately impact CKD patients and the phosphate binder market. Therefore, we expect the impacts from the pandemic to continue to have a negative impact on our Auryxia revenue growth for the foreseeable future.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 acceptance is also critical to our ability to generate significant product revenue. Any product may achieve only limited market acceptance or none at all. If Auryxia, Vafseo or any of our future products is not accepted by the market to the extent that we expect or market acceptance decreases, we may not be able to generate significant product revenue and our business would be materially harmed. Market acceptance of Auryxia, Vafseo or any other approved product depends on a number of factors, including:</w:t>
      </w:r>
    </w:p>
    <w:p>
      <w:pPr>
        <w:spacing w:after="0" w:line="68" w:lineRule="exact"/>
        <w:rPr>
          <w:sz w:val="20"/>
          <w:szCs w:val="20"/>
          <w:color w:val="auto"/>
        </w:rPr>
      </w:pPr>
    </w:p>
    <w:p>
      <w:pPr>
        <w:ind w:left="660" w:hanging="328"/>
        <w:spacing w:after="0" w:line="277"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availability of adequate coverage and reimbursement by, and the availability of discounts, rebates and price concessions to dialysis organizations, third party payors, pharmacy benefit managers, or </w:t>
      </w:r>
      <w:r>
        <w:rPr>
          <w:rFonts w:ascii="Arial" w:cs="Arial" w:eastAsia="Arial" w:hAnsi="Arial"/>
          <w:sz w:val="18"/>
          <w:szCs w:val="18"/>
          <w:u w:val="single" w:color="auto"/>
          <w:color w:val="auto"/>
        </w:rPr>
        <w:t>PBMs</w:t>
      </w:r>
      <w:r>
        <w:rPr>
          <w:rFonts w:ascii="Arial" w:cs="Arial" w:eastAsia="Arial" w:hAnsi="Arial"/>
          <w:sz w:val="18"/>
          <w:szCs w:val="18"/>
          <w:color w:val="auto"/>
          <w:highlight w:val="white"/>
        </w:rPr>
        <w:t>, and governmental authorities;</w:t>
      </w:r>
    </w:p>
    <w:p>
      <w:pPr>
        <w:spacing w:after="0" w:line="2"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availability of discounts and rebates to dialysis organizations to facilitate access for patients;</w:t>
      </w:r>
    </w:p>
    <w:p>
      <w:pPr>
        <w:ind w:left="660" w:right="280" w:hanging="328"/>
        <w:spacing w:after="0" w:line="250"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 at dialysis organizations and their willingness to include or continue to include Auryxia or Vafseo in their formulary or protocols and the scope of such protocols;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trials and in the post-marketing setting;</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patients’ adherence or non-adherence to the prescribed treatment regimen;</w:t>
      </w:r>
    </w:p>
    <w:p>
      <w:pPr>
        <w:spacing w:after="0" w:line="31" w:lineRule="exact"/>
        <w:rPr>
          <w:rFonts w:ascii="Arial" w:cs="Arial" w:eastAsia="Arial" w:hAnsi="Arial"/>
          <w:sz w:val="22"/>
          <w:szCs w:val="22"/>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complications of the disease treated by the product;</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product label approved by regulatory authorities, including any warnings or limitations that may be required on the label as a consequence of potential safety risks associated with the product;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countries in which marketing approvals are obtained;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claims we and our partners are able to make regarding the safety and efficacy of the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physician and patient communications and education programs;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safety and efficacy of the product in relation to alternative treatments;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receipt of marketing approvals and product launch relative to competing products and potential generic entrants;</w:t>
      </w:r>
    </w:p>
    <w:p>
      <w:pPr>
        <w:spacing w:after="0" w:line="84"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success of, or withdrawal from the market of, competing products;</w:t>
      </w: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of competing products;</w:t>
      </w:r>
    </w:p>
    <w:p>
      <w:pPr>
        <w:spacing w:after="0" w:line="45"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frequency and severity of adverse side effects;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or adverse publicity about our products or favorable or adverse publicity about competing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and our partners’ sales, marketing, manufacturing and distribution strategies and operations;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restrictions on the use of the product together with other medications, if any.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our ability to generate net product revenue depends on our ability to control the expenses associated with commercializing a product, including internal expenses, manufacturing costs, rebates, product returns and other adjustments. We do not have control over many of the expenses required to commercialize our products, and if we experience increased costs or expenses, we may not be able to afford the commercial activities required to successfully commercialize our products, which could have an adverse effect on our business. In addition, our net product revenue requires judgement and includes estimates for rebates and product returns, which can fluctuate from quarter-to-quarter and year-over-year. If our net product revenue is lower than anticipated, including as a result of higher expenses or product returns, our business could be harmed.</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Several healthcare facilities, including DaVita, have previously restricted access for non-patients as a result of the COVID-19 pandemic, resulting in restricted access for certain members of our sales force. Such precautionary measures have since been relaxed at certain healthcare facilities and, as a result, members of our sales force have resumed in person interactions with those customers. Nevertheless, some restrictions remain and restrictions on our customer-facing employees’ in-person interactions with healthcare providers have, and could</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continue to, negatively impact our access to healthcare providers and ultimately our sales, including with respect to Vafseo. In addition, restrictions on access to healthcare providers and patients could be imposed in the future due to a resurgence in COVID-19 cases, including from more contagious or severe variants, or from outbreaks of other infectious diseases, which could result in declines or changes in prescription trends and customer orders, and which could have a material adverse effect on our business, results of operations, and financial condition.</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maintain sales and marketing capabilities or enter into or maintain agreements with third parties, we may not be successful in commercializing Auryxia, Vafseo or any other product candidates that may be approved.</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order to market Auryxia, Vafseo and any other approved product, we intend to continue to invest in sales and marketing, which will require substantial effort and significant management and financial resources. We have built a commercial infrastructure and sales force in the U.S. for Auryxia and Vafseo. If the sales and marketing team cannot successfully commercialize Auryxia or Vafseo, it could have a material adverse effect on our product revenue and our financial condition. Additionally, training a sales force to successfully sell and market a new commercial product is expensive and time-consuming and could delay any commercial launch or market acceptance of such product. We may underestimate the size of the sales force required for a successful product launch, and we may need to expand our sales and marketing team to a greater extent than we already have, which would increase our costs more than we anticipated.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devote significant effort to recruiting individuals with experience in the sales and marketing of pharmaceutical products. Competition for personnel with these skills is significant and retaining qualified personnel with experience in our industry is difficult. If key sales and marketing employees decide to leave, we may not be able to hire and train new employees quickly enough to meet our needs. At the same time, we may face high turnover, requiring us to expend time and resources to source, train and integrate new employees.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are risks involved with maintaining our own sales and marketing capabilities, including the following:</w:t>
      </w:r>
    </w:p>
    <w:p>
      <w:pPr>
        <w:spacing w:after="0" w:line="143" w:lineRule="exact"/>
        <w:rPr>
          <w:sz w:val="20"/>
          <w:szCs w:val="20"/>
          <w:color w:val="auto"/>
        </w:rPr>
      </w:pPr>
    </w:p>
    <w:p>
      <w:pPr>
        <w:ind w:left="620" w:hanging="288"/>
        <w:spacing w:after="0"/>
        <w:tabs>
          <w:tab w:leader="none" w:pos="6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potential inability to recruit, train and retain adequate numbers of effective sales and marketing personnel;</w:t>
      </w:r>
    </w:p>
    <w:p>
      <w:pPr>
        <w:spacing w:after="0" w:line="85" w:lineRule="exact"/>
        <w:rPr>
          <w:rFonts w:ascii="Arial" w:cs="Arial" w:eastAsia="Arial" w:hAnsi="Arial"/>
          <w:sz w:val="22"/>
          <w:szCs w:val="22"/>
          <w:color w:val="auto"/>
        </w:rPr>
      </w:pPr>
    </w:p>
    <w:p>
      <w:pPr>
        <w:ind w:left="660" w:right="20" w:hanging="328"/>
        <w:spacing w:after="0" w:line="237" w:lineRule="auto"/>
        <w:tabs>
          <w:tab w:leader="none" w:pos="628" w:val="left"/>
        </w:tabs>
        <w:numPr>
          <w:ilvl w:val="0"/>
          <w:numId w:val="31"/>
        </w:numPr>
        <w:rPr>
          <w:rFonts w:ascii="Arial" w:cs="Arial" w:eastAsia="Arial" w:hAnsi="Arial"/>
          <w:sz w:val="22"/>
          <w:szCs w:val="22"/>
          <w:color w:val="auto"/>
        </w:rPr>
      </w:pPr>
      <w:r>
        <w:rPr>
          <w:rFonts w:ascii="Arial" w:cs="Arial" w:eastAsia="Arial" w:hAnsi="Arial"/>
          <w:sz w:val="18"/>
          <w:szCs w:val="18"/>
          <w:color w:val="auto"/>
        </w:rPr>
        <w:t>potential lack of complementary products to be offered by sales personnel, which may put us at a competitive disadvantage relative to companies with more extensive product lines; and</w:t>
      </w:r>
    </w:p>
    <w:p>
      <w:pPr>
        <w:spacing w:after="0" w:line="58" w:lineRule="exact"/>
        <w:rPr>
          <w:rFonts w:ascii="Arial" w:cs="Arial" w:eastAsia="Arial" w:hAnsi="Arial"/>
          <w:sz w:val="22"/>
          <w:szCs w:val="22"/>
          <w:color w:val="auto"/>
        </w:rPr>
      </w:pPr>
    </w:p>
    <w:p>
      <w:pPr>
        <w:ind w:left="620" w:hanging="288"/>
        <w:spacing w:after="0"/>
        <w:tabs>
          <w:tab w:leader="none" w:pos="6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costs and expenses associated with maintaining our own sales and marketing organization.</w:t>
      </w:r>
    </w:p>
    <w:p>
      <w:pPr>
        <w:spacing w:after="0" w:line="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w:t>
      </w:r>
      <w:r>
        <w:rPr>
          <w:rFonts w:ascii="Arial" w:cs="Arial" w:eastAsia="Arial" w:hAnsi="Arial"/>
          <w:sz w:val="18"/>
          <w:szCs w:val="18"/>
          <w:color w:val="auto"/>
        </w:rPr>
        <w:t>f we are unable to maintain our own sales and marketing capabilities, we will not be successful in commercializing Auryxia, Vafseo and any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other product candidate that may be approved. Also, if we are unable to maintain our arrangements with third parties with respect to sales and marketing, if we are unsuccessful in entering into additional arrangements with third parties to sell and market our products or we are unable to do so on terms that are favorable to us, or if such third parties are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unable to carry out their obligations under such arrangements, it will be difficult to successfully commercialize our product and product candidates, including Vafseo.</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or our partners', failure to obtain or maintain adequate coverage, pricing and reimbursement for Auryxia, Vafseo or any other future approved products, could have a material adverse effect on our or our collaboration partners’ ability to sell such approved products profitably and otherwise have a material adverse impact on our business.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 acceptance and sales of any approved products, including Auryxia and Vafseo, depends significantly on the availability of adequate coverage and reimbursement from third party payors and may be affected by existing and future healthcare reform measures. Governmental authorities, dialysis organizations, third party payors, and PBMs decide which drugs they will cover, as well as establish formularies or implement other mechanisms to manage utilization of products and determine reimbursement levels. We cannot be sure that coverage or adequate reimbursement will be available for Auryxia, Vafseo or any of our potential future products. Even if we obtain coverage for an approved product, third party payors may not establish adequate reimbursement amounts, which may reduce the demand for our product and prompt us to have to reduce pricing for the product. If reimbursement is not available or is limited, we may not be able to successfully commercialize certain of our products. Coverage and reimbursement by a governmental authority, dialysis organization, third-party payor or PBMs may depend upon a number of factors, including the determination that use of a product is:</w:t>
      </w:r>
    </w:p>
    <w:p>
      <w:pPr>
        <w:spacing w:after="0" w:line="73"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the health plan;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effective.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Obtaining coverage and reimbursement approval for a product from a governmental authority, dialysis organization, PBM or a third-party payor is a time consuming and costly process that could require us to provide supporting scientific, clinical and cost-effectiveness data for the use of our products to the payor. In the U.S., there are multiple governmental authorities, PBMs and third-party payors with varying coverage and reimbursement levels for pharmaceutical products, and the timing of commencement of reimbursement by a governmental payor can be dependent on the assignment of codes via the Healthcare Common Procedural Coding System, which codes are assigned on a quarterly basis. Within Medicare, for oral drugs dispensed by pharmacies and also administered in facilities, coverage and reimbursement may vary depending on the setting. Centers for Medicare &amp; Medicaid Services, or </w:t>
      </w:r>
      <w:r>
        <w:rPr>
          <w:rFonts w:ascii="Arial" w:cs="Arial" w:eastAsia="Arial" w:hAnsi="Arial"/>
          <w:sz w:val="18"/>
          <w:szCs w:val="18"/>
          <w:u w:val="single" w:color="auto"/>
          <w:color w:val="auto"/>
        </w:rPr>
        <w:t>CMS</w:t>
      </w:r>
      <w:r>
        <w:rPr>
          <w:rFonts w:ascii="Arial" w:cs="Arial" w:eastAsia="Arial" w:hAnsi="Arial"/>
          <w:sz w:val="18"/>
          <w:szCs w:val="18"/>
          <w:color w:val="auto"/>
        </w:rPr>
        <w:t>, local Medicare administrative contractors, Medicare Advantage and/or Part D plans and/or PBMs operating on behalf of such plans, may have some responsibility for determining the medical necessity of such drugs, and therefore coverage, for different patients. Different reimbursement methodologies may apply, and CMS may have some discretion in interpreting their application in certain settings.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an oral drug, Auryxia was covered by Medicare under Part D until January 1, 2025, for the treatment of patients with hyperphosphatemia. In January 2011, CMS implemented the ESRD PPS, a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As of January 2025, oral ESRD-related drugs without injectable or intravenous equivalents, including Auryxia and all other phosphate lowering medications, are included in the ESRD bundle and separate Medicare payment for these drugs are no longer available. In addition, dialysis organizations will receive a Transitional Drug Add-on Payment Adjustment, or </w:t>
      </w:r>
      <w:r>
        <w:rPr>
          <w:rFonts w:ascii="Arial" w:cs="Arial" w:eastAsia="Arial" w:hAnsi="Arial"/>
          <w:sz w:val="18"/>
          <w:szCs w:val="18"/>
          <w:u w:val="single" w:color="auto"/>
          <w:color w:val="auto"/>
        </w:rPr>
        <w:t>TDAPA</w:t>
      </w:r>
      <w:r>
        <w:rPr>
          <w:rFonts w:ascii="Arial" w:cs="Arial" w:eastAsia="Arial" w:hAnsi="Arial"/>
          <w:sz w:val="18"/>
          <w:szCs w:val="18"/>
          <w:color w:val="auto"/>
        </w:rPr>
        <w:t xml:space="preserve">, payment for claims that include phosphate binders for the next two years. Vafseo, which we began selling in January 2025, is also included in the ESRD bundle and ESRD facilities will receive a TDAPA for Vafseo as a new renal dialysis drug meeting certain criteria for a period of at least two years starting on January 1, 2025. TDAPA provides separate payment based on the drug’s Average Sales Price, or </w:t>
      </w:r>
      <w:r>
        <w:rPr>
          <w:rFonts w:ascii="Arial" w:cs="Arial" w:eastAsia="Arial" w:hAnsi="Arial"/>
          <w:sz w:val="18"/>
          <w:szCs w:val="18"/>
          <w:u w:val="single" w:color="auto"/>
          <w:color w:val="auto"/>
        </w:rPr>
        <w:t>ASP</w:t>
      </w:r>
      <w:r>
        <w:rPr>
          <w:rFonts w:ascii="Arial" w:cs="Arial" w:eastAsia="Arial" w:hAnsi="Arial"/>
          <w:sz w:val="18"/>
          <w:szCs w:val="18"/>
          <w:color w:val="auto"/>
        </w:rPr>
        <w:t>, that will be in addition to the base rate in order to facilitate the adoption of innovative therapies. If the TDAPA reimbursement amount for Auryxia or Vafseo is lower than anticipated, or if the TDAPA is eliminated, it would have an adverse impact on our revenue. Additionally, in the post-TDAPA period, CMS currently expects to increase the single bundled payment base rate paid to the dialysis facility for each dialysis treatment to reflect that bundled drugs will be reimbursed as part of the single bundled payment for Medicare patients. However, there can be no assurances that any increase in the single bundled payment base rate will be sufficient to adequately reimburse the dialysis facilities for Auryxia at a price that allows us to continue to sell Auryxia at a profit.</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July 2024, Ardelyx, Inc., or </w:t>
      </w:r>
      <w:r>
        <w:rPr>
          <w:rFonts w:ascii="Arial" w:cs="Arial" w:eastAsia="Arial" w:hAnsi="Arial"/>
          <w:sz w:val="18"/>
          <w:szCs w:val="18"/>
          <w:u w:val="single" w:color="auto"/>
          <w:color w:val="auto"/>
        </w:rPr>
        <w:t>Ardelyx</w:t>
      </w:r>
      <w:r>
        <w:rPr>
          <w:rFonts w:ascii="Arial" w:cs="Arial" w:eastAsia="Arial" w:hAnsi="Arial"/>
          <w:sz w:val="18"/>
          <w:szCs w:val="18"/>
          <w:color w:val="auto"/>
        </w:rPr>
        <w:t xml:space="preserve">, filed a complaint in the United States District Court for the District of Columbia against the U.S. Department of Health and Human Services, or </w:t>
      </w:r>
      <w:r>
        <w:rPr>
          <w:rFonts w:ascii="Arial" w:cs="Arial" w:eastAsia="Arial" w:hAnsi="Arial"/>
          <w:sz w:val="18"/>
          <w:szCs w:val="18"/>
          <w:u w:val="single" w:color="auto"/>
          <w:color w:val="auto"/>
        </w:rPr>
        <w:t>HHS</w:t>
      </w:r>
      <w:r>
        <w:rPr>
          <w:rFonts w:ascii="Arial" w:cs="Arial" w:eastAsia="Arial" w:hAnsi="Arial"/>
          <w:sz w:val="18"/>
          <w:szCs w:val="18"/>
          <w:color w:val="auto"/>
        </w:rPr>
        <w:t>, CMS and other parties, which alleged that CMS’s plan to include oral-only phosphate lowering therapies in the ESRD PPS violated its statutory and regulatory authority under the Medicare Improvements for Patients and Providers Act, which established the ESRD PPS bundled payment system for dialysis services. In October 2024, Ardelyx filed a motion for a preliminary injunction to enjoin CMS from including oral-only phosphate lowering therapies in the ESRD PPS. CMS had earlier filed a motion to dismiss the complaint on jurisdictional grounds. On November 8, 2024, the district court denied Ardelyx’s motion for a preliminary injunction and it granted the government’s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motion to dismiss. Thereafter, Ardelyx moved for reconsideration, but the district court also denied that request. On December 26, 2024, Ardelyx filed a notice of appeal with the U.S. Court of Appeals for the DC Circuit. Briefing of the case has been completed and oral argument is scheduled for September 25, 2025. If Ardelyx is successful in its claims, oral-only phosphate lowering therapies, including Auryxia, may be removed from the ESRD bundle, which could reduce anticipated revenue for Auryxia.</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Medicaid reimbursement of drugs varies by state. Private third-party payor reimbursement policies also vary and may or may not be consistent with Medicare reimbursement methodologies. Manufacturers of outpatient prescription drugs may be required to provide discounts or rebates under government healthcare programs or to certain third-party payors in order to obtain coverage of such products.</w:t>
      </w:r>
    </w:p>
    <w:p>
      <w:pPr>
        <w:spacing w:after="0" w:line="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Additionally, we will be required to enter into contracts with dialysis organizations, GPOs, third party payors and/or PBMs offering rebates or discounts on our products in order to obtain favorable formulary status and we may not be able to agree upon commercially reasonable</w:t>
      </w:r>
    </w:p>
    <w:p>
      <w:pPr>
        <w:jc w:val="both"/>
        <w:spacing w:after="0" w:line="226" w:lineRule="auto"/>
        <w:rPr>
          <w:sz w:val="20"/>
          <w:szCs w:val="20"/>
          <w:color w:val="auto"/>
        </w:rPr>
      </w:pPr>
      <w:r>
        <w:rPr>
          <w:rFonts w:ascii="Arial" w:cs="Arial" w:eastAsia="Arial" w:hAnsi="Arial"/>
          <w:sz w:val="18"/>
          <w:szCs w:val="18"/>
          <w:color w:val="auto"/>
        </w:rPr>
        <w:t>terms with such dialysis organizations, GPOs, third party payors or PBMs, or provide data sufficient to obtain favorable coverage and reimbursement for many reasons, including that we may be at a competitive disadvantage relative to companies with more extensive product</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lines. In addition, dialysis organizations, GPOs, third party payors, PBMs and/or other entities that purchase our products may impose restrictions on our ability to raise prices for our products over time without incurring additional costs. Three dialysis organizations, DaVita, Fresenius Medical Care Rx and USRC, in the aggregate, accounted for a significant percentage of our gross revenue during the three months ended June 30, 2025. Due to a variety of factors, including coverage of our products in the ESRD bundle and to support commercial availability of Vafseo in 2025, there were changes to the manner in which we distributed our products, which we implemented in January 2025. This included, for example, reducing the number of mainline wholesalers in our distribution network, distribution of products through specialty distributors, and an increased focus on direct sales through contracts with dialysis organizations. If we are not able to enter into and maintain agreements with wholesalers, specialty distributors, the dialysis organizations and other purchasers for the sale of our products on favorable terms, on a timely basis or at all, our business may be materially harmed. In addition, if dialysis organizations or other purchasers do not purchase as much product as we anticipate or terminate our arrangements, or if due to changes in distribution, dialysis organizations and/or specialty pharmacies are not able to meet market demand causing slower dispensing times and potentially impacting refill rates, it would adversely impact the market opportunity for our products, our product revenues and operating results.</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the U.S. dialysis market is unique and is dominated by three providers: DaVita, Fresenius Medical Care Rx and USRC, which account for a vast majority of the dialysis population in the U.S. If we are not able to maintain supply agreements with these, and other, dialysis organizations for the sale of Vafseo and Auryxia on favorable terms, in a timely basis or at all, our business may be materially harmed.</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Similar to how payor coverage may affect the sales of a product, formulary status within dialysis organizations may affect what products are prescribed within that specific organization. Therefore, if a product is not on a formulary, the prescribers within that organization may be less likely to prescribe that product or may have a difficult time prescribing that product, resulting in less sales. Further, one dialysis organization’s determination to add a product to their formulary does not assure that other dialysis organizations will also add the product to theirs. There is always a risk a dialysis organization will not contract with a drug manufacturer for a specific product, or will terminate their contract, resulting in that product not being on that organization’s formulary. If any dialysis organization does not add Auryxia or Vafseo to the formulary, or removes Auryxia or Vafseo from the formulary, our business may be materially harmed.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may be unable to sell Auryxia or Vafseo to dialysis providers on a profitable basis if CMS significantly reduces the level of reimbursement for dialysis services and providers choose to use alternative therapies or look to re-negotiate their contracts with us. Our profitability may also be affected if our costs of production increase faster than increases in reimbursement levels. Adequate coverage and reimbursement of our products by government and private insurance plans, including Medicare Advantage plans, are central to patient and provider acceptance of any products for which we receive marketing approval. Existing competitive products may enter into sole source agreements with dialysis providers that impact the ability for new product innovations and new competitors may face price pressure based on existing contracts with dialysis providers.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in many countries outside the U.S., a drug must be approved for reimbursement before it can be marketed or sold in that country. In some cases, the prices that we intend to charge for our products are also subject to approval. Approval by the EMA or another regulatory authority does not ensure approval by reimbursement authorities in that jurisdiction, and approval by one reimbursement authority outside the U.S. does not ensure approval by any other reimbursement authorities.</w:t>
      </w:r>
    </w:p>
    <w:p>
      <w:pPr>
        <w:spacing w:after="0" w:line="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However, the failure to obtain reimbursement in one jurisdiction may negatively impact the ability to obtain reimbursement in another jurisdiction. In addition, we plan to rely on partners to obtain approval by reimbursement authorities outside the U.S. Our partners may not be able to obtain such reimbursement approvals on a timely basis, if at all, and favorable pricing in certain countries depends on a number of factors, some of which are outside of our partners' control. Vafseo was approved in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Japan for the treatment of adult patients with anemia due to CKD and is being marketed by MTPC in Japan under the trade name Vafseo. Pricing and reimbursement strategy is a key component of MTPC’s commercialization plans for Vafseo in Japan. If coverage and reimbursement terms change, MTPC may not be able to, or may decide not to, continue commercialization of Vafseo in Japan. Furthermore, Vafseo was approved in Europe and Australia for the treatment of symptomatic anemia associated with CKD in adults on chronic maintenance dialysis. In Europe, reimbursement is obtained on a country-by-country basis and it is a time consuming process. In May 2023, we entered into the license agreement with Medice, pursuant to which we granted Medice an exclusive license to develop and commercialize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Vafseo for the treatment of anemia in patients with CKD in the Medice Territory. Medice launched and has received pricing and reimbursement for Vafseo in certain countries in Europe and is working on launching and securing pricing and reimbursement for Vafseo in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other markets across Europe. There is no guarantee of the timing or extent of reimbursement that they will receive in each country, if at all. If Medice is not able to obtain favorable pricing in the Medice Territory, or if such approvals are delayed, it will affect Medice’s sales of Vafseo in the Medice Territory, which could have an adverse effect on our results of operations.</w:t>
      </w:r>
    </w:p>
    <w:p>
      <w:pPr>
        <w:spacing w:after="0" w:line="87"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development and commercialization of new drugs is highly competitive and subject to rapid and significant technological change. Our future success depends on our ability to demonstrate and maintain a competitive advantage with respect to the development and commercialization of Auryxia, Vafseo and any other product or product candidate, including those that may be in-licensed or acquired. Our objective is to successfully commercialize Auryxia and Vafseo and develop and commercialize new products with clinically proven efficacy, convenience, tolerability and/or safety. In many cases, any approved products that we commercialize will compete with existing, market-leading products. If existing or new competitors of Auryxia or Vafseo take market share from us, it could have an adverse impact on our revenue and our business.</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had exclusive rights under a series of patents and patent applications to commercialize Auryxia in the U.S. that protected us from generic drug competition until March 20, 2025. Following LoE, the number of additional generic versions of Auryxia that enter the market, and the timing thereof, will affect our revenue from Auryxia. We and our licensors,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xml:space="preserve">, and, as applicable, Dr. Hsu, entered into settlement agreements with all of the third parties who submitted Paragraph IV certification notice letters regarding Abbreviated New Drug Applications, or </w:t>
      </w:r>
      <w:r>
        <w:rPr>
          <w:rFonts w:ascii="Arial" w:cs="Arial" w:eastAsia="Arial" w:hAnsi="Arial"/>
          <w:sz w:val="18"/>
          <w:szCs w:val="18"/>
          <w:u w:val="single" w:color="auto"/>
          <w:color w:val="auto"/>
        </w:rPr>
        <w:t>ANDAs</w:t>
      </w:r>
      <w:r>
        <w:rPr>
          <w:rFonts w:ascii="Arial" w:cs="Arial" w:eastAsia="Arial" w:hAnsi="Arial"/>
          <w:sz w:val="18"/>
          <w:szCs w:val="18"/>
          <w:color w:val="auto"/>
        </w:rPr>
        <w:t>, submitted to the FDA, pursuant to which we granted licenses to market a generic version of Auryxia in the U.S. beginning on March 20, 2025 (subject to FDA approval). In addition, on February 5, 2025, we entered into an Authorized Generic Distribution and Supply Agreement with our AG Partner, pursuant to which, since March 20, 2025, they have been selling an authorized generic version of Auryxia. Currently, no additional generics of Auryxia have entered the market, but the FDA could approve another generic</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at any time. The impact of LoE on future Auryxia revenues will depend on many factors, including our ability to maintain contracts with dialysis organizations, the timing and number of additional generics and the pricing of generics and other products on the market that</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compete with Auryxia. If Auryxia sales decline faster than we anticipate following LoE, our results of operations and financial condition will be materially harmed.</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Auryxia is competing in the hyperphosphatemia market in the U.S. with other FDA-approved phosphate binders such as Renagel® (sevelamer hydrochloride) and Renvela® (sevelamer carbonate), both marketed by Sanofi, PhosLo® and Phoslyra® (calcium acetate), marketed by Fresenius Medical Care North America, Fosrenol® (lanthanum carbonate), marketed by Shire Pharmaceuticals Group plc, and Velphoro® (sucroferric oxyhydroxide), marketed by Fresenius Medical Care North America, as well as over-the-counter calcium carbonate products such as TUMS® and metal-based options such as aluminum, lanthanum and magnesium. Most of the phosphate binders listed above are now also available in generic forms. In addition, other agents are in development, including OPKO Health Inc.’s Alpharen™ Tablets (fermagate tablets) and Unicycive’s RENAZORB™ (lanthanum dioxycarbonate), or could otherwise enter the market that may impact the market for Auryxia. In October 2023, the FDA approved XPHOZAH® (tenapanor), a phosphate absorption inhibitor that is marketed by Ardelyx and indicated to reduce serum phosphorus in adults with CKD on dialysis as add-on therapy in patients who have an inadequate response to phosphate binders or who are intolerant of any dose of phosphate binder therapy, which may adversely impact the market for Auryxia.</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Auryxia is competing in the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market in the U.S. with over-the-counter oral iron, ferrous sulfate, other prescription oral iron formulations, including ferrous gluconate, ferrous fumerate, and polysaccharide iron complex, and intravenous iron formulations, including Feraheme® (ferumoxytol injection), Venofer® (iron sucrose injection), Ferrlicit® (sodium ferric gluconate complex in sucrose injection), Injectafer® (ferric carboxymaltose injection), and Triferic® (ferric pyrophosphate citrate). In addition, other new therapies for the treatment of IDA may impact the market for Auryxia, such as Shield Therapeutics plc's Feraccru® (ferric maltol), which is available in Europe for the treatment of IDA and Accrufer® (ferric maltol), which was launched in the U.S. for the treatment of IDA in July 2021.</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Japan, our Japanese sublicensee, Japan Tobacco International, or JT, and its subsidiary, Torii Pharmaceutical Co., Ltd., or </w:t>
      </w:r>
      <w:r>
        <w:rPr>
          <w:rFonts w:ascii="Arial" w:cs="Arial" w:eastAsia="Arial" w:hAnsi="Arial"/>
          <w:sz w:val="18"/>
          <w:szCs w:val="18"/>
          <w:u w:val="single" w:color="auto"/>
          <w:color w:val="auto"/>
        </w:rPr>
        <w:t>Torii</w:t>
      </w:r>
      <w:r>
        <w:rPr>
          <w:rFonts w:ascii="Arial" w:cs="Arial" w:eastAsia="Arial" w:hAnsi="Arial"/>
          <w:sz w:val="18"/>
          <w:szCs w:val="18"/>
          <w:color w:val="auto"/>
        </w:rPr>
        <w:t>, commercialize Riona. In the hyperphosphatemia market, Riona competes with Fosrenol® (lanthanum carbonate hydrate) marketed by Bayer Yakuhin Ltd., generic lanthanum carbonate hydrate products, and Phozevel® (tenapor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-316230</wp:posOffset>
            </wp:positionV>
            <wp:extent cx="1841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415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hydrochloride) marketed by Kyowa Kirin Co., Ltd. In the IDA market in Japan, Riona competes with Ferromia® (sodium ferrous citrate) marketed by Alfresa Pharma Corporation and Fero-Gradumet® (dried ferrous sulfate) marketed by Viatris Inc.</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Auryxia’s commercial opportunities may be reduced or eliminated if our competitors develop and market products that are less expensive, more effective, safer or offer greater patient convenience than Auryxia. Other companies have product candidates in various stages of preclinical or clinical development to treat diseases and complications of the diseases for which we are marketing Auryxia.</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Drugs that may compete with Vafseo include Epogen® (epoetin alfa) and Aranesp® (darbepoetin alfa), both commercialized by Amgen, Procrit® (epoetin alfa) and Eprex® (epoetin alfa), commercialized by Johnson &amp; Johnson in the U.S. and Europe, respectively, Mircera® (methoxy PEG-epoetin beta), commercialized by CSL Vifor in the U.S. and Roche Holding Ltd., or Roche, outside of the U.S., Evrenzo® (roxadustat) in Europe commercialized by Astellas Pharma Inc., or Astellas, Eporatio® (epoetin theta) in Europe commercialized by Teva Pharmaceuticals Ltd., Silapo® (epoetin zeta) in Europe commercialized by Stada Arzneimittel AG, Epoetin Alfa Hexal® (epoetin alfa) in Europe commercialized by Hexal AG, Binocrit® (epoetin alfa-biosimilar) in Europe commercialized by Sandoz, and NeoRecormon® (epoetin beta) in Europe commercialized by Roche.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and our partners may also face competition from potential new anemia therapies. There are several other oral hypoxia-inducible factor prolyl hydroxylase inhibitor product candidates in various stages of development for anemia indications in territories outside the U.S. that may be in direct competition with Vafseo if and when they are approved and launched commercially. These candidates are being developed by companies such as JT and Bayer HealthCare AG, or </w:t>
      </w:r>
      <w:r>
        <w:rPr>
          <w:rFonts w:ascii="Arial" w:cs="Arial" w:eastAsia="Arial" w:hAnsi="Arial"/>
          <w:sz w:val="18"/>
          <w:szCs w:val="18"/>
          <w:u w:val="single" w:color="auto"/>
          <w:color w:val="auto"/>
        </w:rPr>
        <w:t>Bayer</w:t>
      </w:r>
      <w:r>
        <w:rPr>
          <w:rFonts w:ascii="Arial" w:cs="Arial" w:eastAsia="Arial" w:hAnsi="Arial"/>
          <w:sz w:val="18"/>
          <w:szCs w:val="18"/>
          <w:color w:val="auto"/>
        </w:rPr>
        <w:t>. In Europe, roxadustat is approved for the treatment of anemia in patients with CKD.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Furthermore, certain companies are developing potential new therapies for the treatment of renal-related diseases that could potentially reduce injectable erythropoiesis stimulating agent, or </w:t>
      </w:r>
      <w:r>
        <w:rPr>
          <w:rFonts w:ascii="Arial" w:cs="Arial" w:eastAsia="Arial" w:hAnsi="Arial"/>
          <w:sz w:val="18"/>
          <w:szCs w:val="18"/>
          <w:u w:val="single" w:color="auto"/>
          <w:color w:val="auto"/>
        </w:rPr>
        <w:t>ESA</w:t>
      </w:r>
      <w:r>
        <w:rPr>
          <w:rFonts w:ascii="Arial" w:cs="Arial" w:eastAsia="Arial" w:hAnsi="Arial"/>
          <w:sz w:val="18"/>
          <w:szCs w:val="18"/>
          <w:color w:val="auto"/>
        </w:rPr>
        <w:t xml:space="preserve">, utilization and thus limit the market potential for Vafseo if they are approved and launched commercially. Other new therapies are in development for the treatment of conditions inclusive of renal anemia that may impact the market for anemia-targeted treatment. In addition, other new therapies for the treatment of patients with CKD not on dialysis, or </w:t>
      </w:r>
      <w:r>
        <w:rPr>
          <w:rFonts w:ascii="Arial" w:cs="Arial" w:eastAsia="Arial" w:hAnsi="Arial"/>
          <w:sz w:val="18"/>
          <w:szCs w:val="18"/>
          <w:u w:val="single" w:color="auto"/>
          <w:color w:val="auto"/>
        </w:rPr>
        <w:t>NDD-CKD,</w:t>
      </w:r>
      <w:r>
        <w:rPr>
          <w:rFonts w:ascii="Arial" w:cs="Arial" w:eastAsia="Arial" w:hAnsi="Arial"/>
          <w:sz w:val="18"/>
          <w:szCs w:val="18"/>
          <w:color w:val="auto"/>
        </w:rPr>
        <w:t xml:space="preserve"> may slow the progression of NDD-CKD patients becoming patients with dialysis dependent CKD, or </w:t>
      </w:r>
      <w:r>
        <w:rPr>
          <w:rFonts w:ascii="Arial" w:cs="Arial" w:eastAsia="Arial" w:hAnsi="Arial"/>
          <w:sz w:val="18"/>
          <w:szCs w:val="18"/>
          <w:u w:val="single" w:color="auto"/>
          <w:color w:val="auto"/>
        </w:rPr>
        <w:t>DD-CKD</w:t>
      </w:r>
      <w:r>
        <w:rPr>
          <w:rFonts w:ascii="Arial" w:cs="Arial" w:eastAsia="Arial" w:hAnsi="Arial"/>
          <w:sz w:val="18"/>
          <w:szCs w:val="18"/>
          <w:color w:val="auto"/>
        </w:rPr>
        <w:t>, thereby reducing the DD-CKD patient population which may impact the market opportunity for Vafseo.</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Japan, vadadustat is sold under the name Vafseo, which is approved for patients with CKD, including both DD-CKD and NDD-CKD, and competes with roxadustat, daprodustat and enarodustat. Roxadustat is approved for the treatment of DD-CKD patients and NDD-CKD patients. In addition, daprodustat, GSK’s product candidate, and enarodustat, JT’s product candidate, are approved in Japan for the treatment of anemia due to CKD, and molidustat, Bayer HealthCare AG's product, is approved in Japan for the treatment of renal anemia. In China, roxadustat is commercialized for the treatment of anemia due to CKD in DD-CKD patients and for the treatment of anemia due to CKD in NDD-CKD patients.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 biosimilar is a biologic product that is licensed for marketing based on demonstrating that it is highly similar to an existing, FDA-approved branded biologic product (i.e., a reference biologic product). The patents for the existing, branded biologic product must expire in a given market before biosimilars may enter that market without the risk of being sued for patent infringement. In addition, an application for a biosimilar product can only be approved by the FDA 12 years after the existing, branded product was licensed under a Biologics License Application, or </w:t>
      </w:r>
      <w:r>
        <w:rPr>
          <w:rFonts w:ascii="Arial" w:cs="Arial" w:eastAsia="Arial" w:hAnsi="Arial"/>
          <w:sz w:val="18"/>
          <w:szCs w:val="18"/>
          <w:u w:val="single" w:color="auto"/>
          <w:color w:val="auto"/>
        </w:rPr>
        <w:t>BLA</w:t>
      </w:r>
      <w:r>
        <w:rPr>
          <w:rFonts w:ascii="Arial" w:cs="Arial" w:eastAsia="Arial" w:hAnsi="Arial"/>
          <w:sz w:val="18"/>
          <w:szCs w:val="18"/>
          <w:color w:val="auto"/>
        </w:rPr>
        <w:t>. The patents for epoetin alfa, an injectable ESA, expired in 2004 in the EU, and the remaining patents expired between 2012 and 2016 in the U.S. The introduction of biosimilars into the injectable ESA market in the U.S. will constitute additional competition for Vafseo. In the U.S., Pfizer’s biosimilar version of injectable ESAs, Retacrit® (epoetin alfa-epbx), was approved by the FDA in May 2018 and launched in November 2018 and several biosimilar versions of injectable ESAs are available for sale in the EU.</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marketing approvals, recruiting patients and manufacturing pharmaceutical products. Large and established companies such as Amgen, Roche and GSK, among others, compete in the market for drug products to treat kidney disease. In particular, these companies have greater experience and expertise in conducting preclinical testing and clinical trials, obtaining marketing approvals,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are developing obsolete. Smaller and other early-stage companies may also prove to be significant competitors. As a result of all of these factors, our competitors may succeed in obtaining patent protection and/or marketing approval, or discovering, developing and commercializing competitive products, before, or more effectively than, we do. If we are not able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to compete effectively against potential competitors, our business will not grow and our financial condition and operations will suffer.</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The commercialization of ferric citrate, branded as Riona in Japan, Vafseo in Europe, Japan and other territories where it is approved, and our current and potential future efforts with respect to the development and commercialization of our products and product candidates outside of the U.S. subject us to a variety of risks associated with international operations, which could materially adversely affect our business.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Japanese sublicensee, JT, and its subsidiary, Torii, commercialize Riona, the trade name for ferric citrate hydrate in Japan, as an oral treatment for the improvement of hyperphosphatemia in patients with CKD, including DD-CKD and NDD-CKD, and for the treatment of adult patients with IDA in Japan. In Japan and certain other countries in Asia, we granted MTPC exclusive rights to commercialize Vafseo, which has been approved and is being marketed by MTPC in Japan under the trade name Vafseo. In May 2023, we entered into the license agreement with Medice, pursuant to which we granted Medice an exclusive license to develop and commercialize Vafseo for the treatment of anemia in patients with CKD in the Medice Territory. Pursuant to the license agreement, we transferred the marketing authorization issued by the EMA, UK, the Swiss Agency for Therapeutic Products and the Australian Therapeutic Goods Administration to Medice. We also granted Averoa SAS, or </w:t>
      </w:r>
      <w:r>
        <w:rPr>
          <w:rFonts w:ascii="Arial" w:cs="Arial" w:eastAsia="Arial" w:hAnsi="Arial"/>
          <w:sz w:val="18"/>
          <w:szCs w:val="18"/>
          <w:u w:val="single" w:color="auto"/>
          <w:color w:val="auto"/>
        </w:rPr>
        <w:t>Averoa</w:t>
      </w:r>
      <w:r>
        <w:rPr>
          <w:rFonts w:ascii="Arial" w:cs="Arial" w:eastAsia="Arial" w:hAnsi="Arial"/>
          <w:sz w:val="18"/>
          <w:szCs w:val="18"/>
          <w:color w:val="auto"/>
        </w:rPr>
        <w:t xml:space="preserve">, an exclusive license to develop and commercialize ferric citrate in the EEA, Turkey, Switzerland, UK, Balkans, and certain countries in Eastern Europe and the Middle East, or the </w:t>
      </w:r>
      <w:r>
        <w:rPr>
          <w:rFonts w:ascii="Arial" w:cs="Arial" w:eastAsia="Arial" w:hAnsi="Arial"/>
          <w:sz w:val="18"/>
          <w:szCs w:val="18"/>
          <w:u w:val="single" w:color="auto"/>
          <w:color w:val="auto"/>
        </w:rPr>
        <w:t>Averoa Territory</w:t>
      </w:r>
      <w:r>
        <w:rPr>
          <w:rFonts w:ascii="Arial" w:cs="Arial" w:eastAsia="Arial" w:hAnsi="Arial"/>
          <w:sz w:val="18"/>
          <w:szCs w:val="18"/>
          <w:color w:val="auto"/>
        </w:rPr>
        <w:t>, which has been approved by the EMA under the trade name XOANACYL®.</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have conducted and in the future may conduct clinical trials outside of the U.S. for any product or product candidate that may be in-licensed or acquired. As a result of these and other activities, we are or may become subject to additional risks in developing and commercializing Auryxia and Vafseo outside the U.S., including, among others:</w:t>
      </w:r>
    </w:p>
    <w:p>
      <w:pPr>
        <w:spacing w:after="0" w:line="63" w:lineRule="exact"/>
        <w:rPr>
          <w:sz w:val="20"/>
          <w:szCs w:val="20"/>
          <w:color w:val="auto"/>
        </w:rPr>
      </w:pPr>
    </w:p>
    <w:p>
      <w:pPr>
        <w:ind w:left="660" w:hanging="328"/>
        <w:spacing w:after="0" w:line="281"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regulatory, compliance and economic developments, weakness or instability that could restrict our ability to manufacture, market and sell our products;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healthcare policies of foreign jurisdictions;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 and our compliance therewith;</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or manage relationships with qualified local distributors and trading companies;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compliance with laws, including the U.S. Foreign Corrupt Practices Act, or </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the UK Bribery Act or similar local regulation, the EU General Data Protection Regulation, or </w:t>
      </w:r>
      <w:r>
        <w:rPr>
          <w:rFonts w:ascii="Arial" w:cs="Arial" w:eastAsia="Arial" w:hAnsi="Arial"/>
          <w:sz w:val="18"/>
          <w:szCs w:val="18"/>
          <w:u w:val="single" w:color="auto"/>
          <w:color w:val="auto"/>
        </w:rPr>
        <w:t>GDPR</w:t>
      </w:r>
      <w:r>
        <w:rPr>
          <w:rFonts w:ascii="Arial" w:cs="Arial" w:eastAsia="Arial" w:hAnsi="Arial"/>
          <w:sz w:val="18"/>
          <w:szCs w:val="18"/>
          <w:color w:val="auto"/>
        </w:rPr>
        <w:t>, and similar data protection laws, and tax, employment, immigration and labor laws;</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increasing interest rates, or political instability in particular foreign economies and markets;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global pandemics, or natural disasters including earthquakes, typhoons, floods and fires.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receive revenues from royalty payments converted to U.S. dollars based on net sales of Riona and Vafseo in Japanese yen, the Euro, the Pound Sterling, the Swiss Franc, and may receive payments in other foreign currencies. The exchange rates between these currencies on the one hand, and the U.S. dollar, on the other hand, have changed substantially in recent years and may fluctuate substantially in the future. Our results of operations could be adversely affected over time by certain movements in exchange rates, particularly if these currencies depreciate against the U.S. dollar.</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 As and if we continue to expand our commercialization efforts, we may encounter new risks.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19"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we will incur additional costs in connection with, and may experience delays in completing, or ultimately be unable to complete, the development of any of our product candidates.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 of failure in drug development is high. Before obtaining marketing approval from regulatory authorities for the sale of any product candidate, we must complete preclinical development and conduct extensive clinical trials to demonstrate the safety and efficacy of our product candidates in humans. Preclinical studies and clinical trials are expensive, difficult to design and implement, can take several years to complete, and their outcomes are inherently uncertain. Failure can occur at any time during the process.</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be unable to successfully complete clinical trials of Auryxia, Vafseo and our product candidates or to successfully obtain approval of label expansion for Vafseo or approval of our product candidates, if the results of those trials and studies are not positive or are only modestly positive, or if there are concerns with the product profile due to efficacy or safety. Further, the results of preclinical studies and early clinical trials of our product candidates may not be predictive of the results of later-stage clinical trials, interim results of a clinical trial do not necessarily predict final results, and results of Phase 3 clinical trials for one indication may not be predictive of results of Phase 3 clinical trials for another indication. For example, we announced positive results from the INNO</w:t>
      </w:r>
      <w:r>
        <w:rPr>
          <w:rFonts w:ascii="Arial" w:cs="Arial" w:eastAsia="Arial" w:hAnsi="Arial"/>
          <w:sz w:val="28"/>
          <w:szCs w:val="28"/>
          <w:color w:val="auto"/>
          <w:vertAlign w:val="subscript"/>
        </w:rPr>
        <w:t>2</w:t>
      </w:r>
      <w:r>
        <w:rPr>
          <w:rFonts w:ascii="Arial" w:cs="Arial" w:eastAsia="Arial" w:hAnsi="Arial"/>
          <w:sz w:val="18"/>
          <w:szCs w:val="18"/>
          <w:color w:val="auto"/>
        </w:rPr>
        <w:t>VATE program; however, while Vafseo achieved the primary and key secondary efficacy endpoints in each of the two PRO</w:t>
      </w:r>
      <w:r>
        <w:rPr>
          <w:rFonts w:ascii="Arial" w:cs="Arial" w:eastAsia="Arial" w:hAnsi="Arial"/>
          <w:sz w:val="28"/>
          <w:szCs w:val="28"/>
          <w:color w:val="auto"/>
          <w:vertAlign w:val="subscript"/>
        </w:rPr>
        <w:t>2</w:t>
      </w:r>
      <w:r>
        <w:rPr>
          <w:rFonts w:ascii="Arial" w:cs="Arial" w:eastAsia="Arial" w:hAnsi="Arial"/>
          <w:sz w:val="18"/>
          <w:szCs w:val="18"/>
          <w:color w:val="auto"/>
        </w:rPr>
        <w:t>TECT studies, the PRO</w:t>
      </w:r>
      <w:r>
        <w:rPr>
          <w:rFonts w:ascii="Arial" w:cs="Arial" w:eastAsia="Arial" w:hAnsi="Arial"/>
          <w:sz w:val="28"/>
          <w:szCs w:val="28"/>
          <w:color w:val="auto"/>
          <w:vertAlign w:val="subscript"/>
        </w:rPr>
        <w:t>2</w:t>
      </w:r>
      <w:r>
        <w:rPr>
          <w:rFonts w:ascii="Arial" w:cs="Arial" w:eastAsia="Arial" w:hAnsi="Arial"/>
          <w:sz w:val="18"/>
          <w:szCs w:val="18"/>
          <w:color w:val="auto"/>
        </w:rPr>
        <w:t xml:space="preserve">TECT program did not meet the primary major adverse cardiovascular event, or </w:t>
      </w:r>
      <w:r>
        <w:rPr>
          <w:rFonts w:ascii="Arial" w:cs="Arial" w:eastAsia="Arial" w:hAnsi="Arial"/>
          <w:sz w:val="18"/>
          <w:szCs w:val="18"/>
          <w:u w:val="single" w:color="auto"/>
          <w:color w:val="auto"/>
        </w:rPr>
        <w:t>MACE</w:t>
      </w:r>
      <w:r>
        <w:rPr>
          <w:rFonts w:ascii="Arial" w:cs="Arial" w:eastAsia="Arial" w:hAnsi="Arial"/>
          <w:sz w:val="18"/>
          <w:szCs w:val="18"/>
          <w:color w:val="auto"/>
        </w:rPr>
        <w:t>, safety endpoint. Many companies in the biopharmaceutical industry have suffered significant setbacks in late-stage clinical trials after achieving positive results in early-stage development, and we may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For example, in March 2022, we received the CRL for Vafseo indicating that the FDA had determined that it could not approve the NDA in its present form, thus delaying any potential approval of Vafseo. Following submission of the FDRR to the FDA in 2022, we filed a resubmission to our NDA for vadadustat for the treatment of anemia due to CKD only in adult DD-CKD patients in 2023. On March 27, 2024, the FDA approved our NDA for vadadustat under the trade name of Vafseo for the treatment of anemia due to CKD in adults who have been receiving dialysis for at least three months. However, we expended significant additional resources to obtain the approval of Vafseo, the approved indication is limited to the treatment of anemia due to CKD in adults who have been receiving dialysis for at least three months and the commercialization of Vafseo was delayed, which had and could continue to have an adverse effect on our business.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several lifecycle management and label expansion opportunities currently under evaluation for Vafseo, one of which is the potential for alternative dosing, and another of which is label expansion for the treatment of adult patients with NDD-CKD. However, we will be required to complete additional clinical trials before seeking approval for label expansion for the treatment of adult patients with NDD-CKD and we may be required to generate additional clinical data before seeking approval for alternative dosing. Clinical trials are time consuming and expensive, and even though Vafseo is approved for adult patients with anemia due to CKD on dialysis for at least three months, we may not be successful in any of our lifecycle management or label expansion opportunities in the timeframe anticipated by us, or at all. For example, we continue to work towards our goal to initiate VALOR, a Phase 3 cardiovascular outcome study of approximately 1,500 U.S. subjects with late-stage CKD anemia not on dialysis with a comparator to ESA, by the end of 2025 and recently requested a Type-C meeting with the FDA. However, the FDA may not agree with our study design or we may not successfully demonstrate safety and/or efficacy needed to obtain regulatory approval or we may be unable to start the trial when anticipated or successfully complete the trial when anticipated, or at all. If the clinical trials for our label expansion opportunities are not successful or take longer than anticipated, or if we do not obtain FDA approval of label expansion for Vafseo for the treatment of adult patients with NDD-CKD or for alternative dosing in a timely manner, or at all, it could impact future revenue and have an adverse effect on our business. In addition, it is impossible to predict when or if any of our other product candidates will prove effective or safe in humans or will receive marketing approval or on what terms.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experience numerous unforeseen events during, or as a result of, preclinical development or clinical trials that could delay, prevent or make more challenging our ability to receive or maintain marketing approval or commercialize our product candidates. We may be required to complete additional clinical trials for Auryxia, Vafseo and any other product or product candidate, including those that may be in-licensed or acquired, in order to obtain or maintain required regulatory approvals. Our preclinical studies and clinical trials may take longer to complete than currently anticipated, or may be delayed, suspended, required to be repeated, prematurely terminated or may not successfully demonstrate safety and/or efficacy needed to obtain or maintain regulatory approval for a variety of other reasons, such as:</w:t>
      </w:r>
    </w:p>
    <w:p>
      <w:pPr>
        <w:spacing w:after="0" w:line="74" w:lineRule="exact"/>
        <w:rPr>
          <w:sz w:val="20"/>
          <w:szCs w:val="20"/>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may be greater than we anticipate;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63" w:lineRule="exact"/>
        <w:rPr>
          <w:rFonts w:ascii="Arial" w:cs="Arial" w:eastAsia="Arial" w:hAnsi="Arial"/>
          <w:sz w:val="18"/>
          <w:szCs w:val="18"/>
          <w:color w:val="auto"/>
        </w:rPr>
      </w:pPr>
    </w:p>
    <w:p>
      <w:pPr>
        <w:ind w:left="660" w:hanging="328"/>
        <w:spacing w:after="0" w:line="273"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participants may drop out of these clinical trials at a higher rate than we anticipate;</w:t>
      </w:r>
    </w:p>
    <w:p>
      <w:pPr>
        <w:spacing w:after="0" w:line="1" w:lineRule="exact"/>
        <w:rPr>
          <w:rFonts w:ascii="Arial" w:cs="Arial" w:eastAsia="Arial" w:hAnsi="Arial"/>
          <w:sz w:val="18"/>
          <w:szCs w:val="18"/>
          <w:color w:val="auto"/>
        </w:rPr>
      </w:pPr>
    </w:p>
    <w:p>
      <w:pPr>
        <w:ind w:left="660" w:right="160" w:hanging="328"/>
        <w:spacing w:after="0" w:line="253"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third-party contractors, such as our contract research organizations, or </w:t>
      </w:r>
      <w:r>
        <w:rPr>
          <w:rFonts w:ascii="Arial" w:cs="Arial" w:eastAsia="Arial" w:hAnsi="Arial"/>
          <w:sz w:val="18"/>
          <w:szCs w:val="18"/>
          <w:u w:val="single" w:color="auto"/>
          <w:color w:val="auto"/>
        </w:rPr>
        <w:t>CROs</w:t>
      </w:r>
      <w:r>
        <w:rPr>
          <w:rFonts w:ascii="Arial" w:cs="Arial" w:eastAsia="Arial" w:hAnsi="Arial"/>
          <w:sz w:val="18"/>
          <w:szCs w:val="18"/>
          <w:color w:val="auto"/>
        </w:rPr>
        <w:t>, may fail to comply with regulatory requirements, perform effectively, or meet their contractual obligations to us in a timely manner, or at all, or we may fail to communicate effectively or provide the appropriate level of oversight of such third-party contractors;</w:t>
      </w:r>
    </w:p>
    <w:p>
      <w:pPr>
        <w:spacing w:after="0" w:line="20"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or quality of our starting materials, drug substance and drug product necessary to conduct clinical trials of our product candidates may be insufficient or inadequate;</w:t>
      </w:r>
    </w:p>
    <w:p>
      <w:pPr>
        <w:spacing w:after="0" w:line="1"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independent data monitoring committees, institutional review boards, safety committees, or ethics committees, may require that we suspend or terminate our clinical trials for various reasons, including noncompliance with regulatory requirements, unforeseen safety issues or adverse side effects, failure to demonstrate a benefit from using our product candidate, or a finding that the participants are being exposed to unacceptable health risks;</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results that may be interpreted in a manner different than we interpret them, and we may decide, or regulators may require us, to conduct additional clinical trials, repeat a clinical trial or abandon product development programs;</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lack of adequate funding to continue a clinical trial, including unforeseen costs due to enrollment delays, requirements to conduct additional clinical trials or repeat a clinical trial and increased expenses associated with the services of our CROs and other third parties;</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we may fail to initiate, delay or fail to complete a clinical trial as a result of an Investigational New Drug application, or </w:t>
      </w:r>
      <w:r>
        <w:rPr>
          <w:rFonts w:ascii="Arial" w:cs="Arial" w:eastAsia="Arial" w:hAnsi="Arial"/>
          <w:sz w:val="18"/>
          <w:szCs w:val="18"/>
          <w:u w:val="single" w:color="auto"/>
          <w:color w:val="auto"/>
        </w:rPr>
        <w:t>IND</w:t>
      </w:r>
      <w:r>
        <w:rPr>
          <w:rFonts w:ascii="Arial" w:cs="Arial" w:eastAsia="Arial" w:hAnsi="Arial"/>
          <w:sz w:val="18"/>
          <w:szCs w:val="18"/>
          <w:color w:val="auto"/>
        </w:rPr>
        <w:t>, being placed on clinical hold by the FDA, the EMA, the PMDA, or other regulatory authorities, or for other reasons, such as failure to recruit or enroll suitable patients or patients' failure to return for post-treatment follow up;</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determine to expand or otherwise change a clinical trial, including after it has begun;</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sites and investigators deviating from the clinical protocol, failing to conduct the trial in accordance with regulatory requirements, or dropping out of a trial, or failure by us or our CROs to communicate effectively or provide the appropriate level of oversight of such clinical sites and investigators;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an inability, delay, or failure in identifying and maintaining a sufficient number of clinical trial sites, many of which may already be engaged in other clinical programs;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a delay or failure in reaching agreement with the FDA, the EMA, the PMDA or other regulatory authorities on a clinical trial design upon which we are able to execute;</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a delay or failure in obtaining authorization to commence a clinical trial or inability to comply with conditions imposed by a regulatory authority regarding the scope or design of a clinical trial;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delays in reaching, or failure to reach, agreement on acceptable terms with prospective clinical trial sites and prospective CROs, the terms of which can be subject to extensive negotiation and may vary significantly among different CROs and clinical trial sites;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the EMA, the PMDA or other regulatory authorities may require us to submit additional data or impose further requirements before permitting us to initiate a clinical trial or during an ongoing clinical trial;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the EMA, the PMDA or other regulatory authorities may disagree with our clinical trial design and our interpretation of data from clinical trials, or may change the requirements for approval even after it has reviewed and commented on the design for our clinical trials;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third parties with which we work may fail to comply with good practice quality guidelines and regulations, or </w:t>
      </w:r>
      <w:r>
        <w:rPr>
          <w:rFonts w:ascii="Arial" w:cs="Arial" w:eastAsia="Arial" w:hAnsi="Arial"/>
          <w:sz w:val="18"/>
          <w:szCs w:val="18"/>
          <w:u w:val="single" w:color="auto"/>
          <w:color w:val="auto"/>
        </w:rPr>
        <w:t>GxP</w:t>
      </w:r>
      <w:r>
        <w:rPr>
          <w:rFonts w:ascii="Arial" w:cs="Arial" w:eastAsia="Arial" w:hAnsi="Arial"/>
          <w:sz w:val="18"/>
          <w:szCs w:val="18"/>
          <w:color w:val="auto"/>
          <w:highlight w:val="white"/>
        </w:rPr>
        <w:t>, including good</w:t>
      </w:r>
      <w:r>
        <w:rPr>
          <w:rFonts w:ascii="Arial" w:cs="Arial" w:eastAsia="Arial" w:hAnsi="Arial"/>
          <w:sz w:val="18"/>
          <w:szCs w:val="18"/>
          <w:color w:val="auto"/>
        </w:rPr>
        <w:t xml:space="preserve"> laboratory practice, good clinical practice, or </w:t>
      </w:r>
      <w:r>
        <w:rPr>
          <w:rFonts w:ascii="Arial" w:cs="Arial" w:eastAsia="Arial" w:hAnsi="Arial"/>
          <w:sz w:val="18"/>
          <w:szCs w:val="18"/>
          <w:u w:val="single" w:color="auto"/>
          <w:color w:val="auto"/>
        </w:rPr>
        <w:t>GCP</w:t>
      </w:r>
      <w:r>
        <w:rPr>
          <w:rFonts w:ascii="Arial" w:cs="Arial" w:eastAsia="Arial" w:hAnsi="Arial"/>
          <w:sz w:val="18"/>
          <w:szCs w:val="18"/>
          <w:color w:val="auto"/>
        </w:rPr>
        <w:t xml:space="preserve">, and current good manufacturing practice, or </w:t>
      </w:r>
      <w:r>
        <w:rPr>
          <w:rFonts w:ascii="Arial" w:cs="Arial" w:eastAsia="Arial" w:hAnsi="Arial"/>
          <w:sz w:val="18"/>
          <w:szCs w:val="18"/>
          <w:u w:val="single" w:color="auto"/>
          <w:color w:val="auto"/>
        </w:rPr>
        <w:t>cGMP</w:t>
      </w:r>
      <w:r>
        <w:rPr>
          <w:rFonts w:ascii="Arial" w:cs="Arial" w:eastAsia="Arial" w:hAnsi="Arial"/>
          <w:sz w:val="18"/>
          <w:szCs w:val="18"/>
          <w:color w:val="auto"/>
          <w:highlight w:val="white"/>
        </w:rPr>
        <w:t>;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foregoing occurs, the following may result:</w:t>
      </w:r>
    </w:p>
    <w:p>
      <w:pPr>
        <w:spacing w:after="0" w:line="158" w:lineRule="exact"/>
        <w:rPr>
          <w:sz w:val="20"/>
          <w:szCs w:val="20"/>
          <w:color w:val="auto"/>
        </w:rPr>
      </w:pPr>
    </w:p>
    <w:p>
      <w:pPr>
        <w:ind w:left="660" w:hanging="328"/>
        <w:spacing w:after="0" w:line="236"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re</w:t>
      </w:r>
      <w:r>
        <w:rPr>
          <w:rFonts w:ascii="Arial" w:cs="Arial" w:eastAsia="Arial" w:hAnsi="Arial"/>
          <w:sz w:val="18"/>
          <w:szCs w:val="18"/>
          <w:color w:val="auto"/>
        </w:rPr>
        <w:t>gulators may require that we conduct additional clinical trials, repeat clinical trials or conduct other studies beyond those that we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currently contemplate;</w:t>
      </w:r>
    </w:p>
    <w:p>
      <w:pPr>
        <w:spacing w:after="0" w:line="32" w:lineRule="exact"/>
        <w:rPr>
          <w:rFonts w:ascii="Arial" w:cs="Arial" w:eastAsia="Arial" w:hAnsi="Arial"/>
          <w:sz w:val="22"/>
          <w:szCs w:val="22"/>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delayed in obtaining marketing approval for our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obtain marketing approval for our product candidates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obtain approval for indications or patient populations that are not as broad as intended or desired;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right="20" w:hanging="328"/>
        <w:spacing w:after="0" w:line="281" w:lineRule="auto"/>
        <w:tabs>
          <w:tab w:leader="none" w:pos="6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obtain approval with labeling that includes significant use or distribution restrictions or safety warnings that would reduce the potential market for any approved product or inhibit our ability to successfully commercialize any approved product;</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REMS or FDA-imposed risk management plan that use risk minimization strategies to ensure that the benefits of certain prescription drugs outweigh their risks, may be required;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subject to additional post-marketing restrictions and/or requirements; or</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may be removed from the market after obtaining marketing approval.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 development costs may also increase if we experience development delays or delays in receiving the requisite marketing approvals. Our preclinical studies or clinical trials may need to be restructured or may not be completed on schedule, or at all. Significant preclinical or clinical trial delays also could shorten any periods during which we may have the exclusive right to commercialize Vafseo for potential future indications or any product candidate that is approved, including those that may be in-licensed or acquired, or allow our competitors to bring products to market before we do. This could impair our ability to successfully commercialize our product candidates and may harm our business and results of operations.</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Auryxia, Vafseo or any other product or product candidate, including those that may be in-licensed or acquired.</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Identifying and qualifying patients to participate in clinical trials is critical to the success of our clinical trials. The timing of our clinical trials depends, in part, on the speed at which we can recruit patients to participate in our clinical trials. Patients may be unwilling to participate in our clinical trials because of concerns about investigational research studies, the time and commitment needed to participate in a study, adverse events observed with the product candidate under study, the current standard of care, competitor products and/or other investigational agents, in each case for the same indications and/or similar patient populations. In addition, in the case of clinical trials of any product candidate, patients currently receiving treatment with the current standard of care or a competitor product may be reluctant to</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participate in a clinical trial with an investigational drug. Additionally, it is often more difficult to enroll special or particular subpopulations of patients, such as pediatric or elderly patients, due to a number of factors including parental or other caregiver considerations, concerns and</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burdens. For example, we began enrolling sites in a post-approval pediatric study for the control of serum phosphorus levels in adult patients with DD-CKD, or the </w:t>
      </w:r>
      <w:r>
        <w:rPr>
          <w:rFonts w:ascii="Arial" w:cs="Arial" w:eastAsia="Arial" w:hAnsi="Arial"/>
          <w:sz w:val="18"/>
          <w:szCs w:val="18"/>
          <w:u w:val="single" w:color="auto"/>
          <w:color w:val="auto"/>
        </w:rPr>
        <w:t>Hyperphosphatemia Indication</w:t>
      </w:r>
      <w:r>
        <w:rPr>
          <w:rFonts w:ascii="Arial" w:cs="Arial" w:eastAsia="Arial" w:hAnsi="Arial"/>
          <w:sz w:val="18"/>
          <w:szCs w:val="18"/>
          <w:color w:val="auto"/>
        </w:rPr>
        <w:t>, of Auryxia in the second quarter of 2022, which began patient recruitment in the third quarter of 2022, but enrollment of eligible pediatric patients in study sites continues to be very slow despite efforts to do so.</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Finally, competition for clinical trial sites may limit our access to patients appropriate for our clinical trials. As a result, the timeline for recruiting patients and conducting studies may be delayed. These delays could result in increased costs, delays in advancing our development of any product or product candidate, or termination of the clinical trial altogether.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Patient enrollment is affected by many factors, including:</w:t>
      </w:r>
    </w:p>
    <w:p>
      <w:pPr>
        <w:spacing w:after="0" w:line="45" w:lineRule="exact"/>
        <w:rPr>
          <w:sz w:val="20"/>
          <w:szCs w:val="20"/>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 including study complexity;</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perceived risks and benefits of the product or product candidate under study, including as a result of adverse effects observed in similar or competing therapies;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the product or product candidate being studied in relation to available therapies or other product candidates in development;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participation length and demands on patients and caregivers;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site staffing shortages and turnover;</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trial sites and investigators failing to perform effectively;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not be able to initiate or complete clinical trials in a timely manner, or at all,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clinical trials, any of which may delay approval, or result in failure to maintain or obtain approval, of our products or product candidates, which would have a material adverse effect on our business.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Further, if we are slow or unable to adapt to changes in existing requirements or the adoption of new requirements or policies governing clinical trials, our development plans may be impacted. For example, in December 2022, with the passage of Food and Drug Omnibus Reform Act, or </w:t>
      </w:r>
      <w:r>
        <w:rPr>
          <w:rFonts w:ascii="Arial" w:cs="Arial" w:eastAsia="Arial" w:hAnsi="Arial"/>
          <w:sz w:val="18"/>
          <w:szCs w:val="18"/>
          <w:u w:val="single" w:color="auto"/>
          <w:color w:val="auto"/>
        </w:rPr>
        <w:t>FDORA</w:t>
      </w:r>
      <w:r>
        <w:rPr>
          <w:rFonts w:ascii="Arial" w:cs="Arial" w:eastAsia="Arial" w:hAnsi="Arial"/>
          <w:sz w:val="18"/>
          <w:szCs w:val="18"/>
          <w:color w:val="auto"/>
        </w:rPr>
        <w:t xml:space="preserve">, Congress required sponsors to develop and submit a diversity action plan, or </w:t>
      </w:r>
      <w:r>
        <w:rPr>
          <w:rFonts w:ascii="Arial" w:cs="Arial" w:eastAsia="Arial" w:hAnsi="Arial"/>
          <w:sz w:val="18"/>
          <w:szCs w:val="18"/>
          <w:u w:val="single" w:color="auto"/>
          <w:color w:val="auto"/>
        </w:rPr>
        <w:t>DAP</w:t>
      </w:r>
      <w:r>
        <w:rPr>
          <w:rFonts w:ascii="Arial" w:cs="Arial" w:eastAsia="Arial" w:hAnsi="Arial"/>
          <w:sz w:val="18"/>
          <w:szCs w:val="18"/>
          <w:color w:val="auto"/>
        </w:rPr>
        <w:t>, for each phase 3 clinical trial or any other “pivotal study” of a new drug or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the draft DAP guidance from its website. That action, along with similar actions by the Trump Administration to remove many other healthcare webpages, is currently the subject of ongoing litigation. On July 3, 2025, the U.S. District Court for the District of Columbia ruled that the administration’s actions to remove these webpages, including the draft</w:t>
      </w:r>
    </w:p>
    <w:p>
      <w:pPr>
        <w:spacing w:after="0" w:line="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DAP guidance, is unlawful under the Administrative Procedure Act, or </w:t>
      </w:r>
      <w:r>
        <w:rPr>
          <w:rFonts w:ascii="Arial" w:cs="Arial" w:eastAsia="Arial" w:hAnsi="Arial"/>
          <w:sz w:val="18"/>
          <w:szCs w:val="18"/>
          <w:u w:val="single" w:color="auto"/>
          <w:color w:val="auto"/>
        </w:rPr>
        <w:t>APA</w:t>
      </w:r>
      <w:r>
        <w:rPr>
          <w:rFonts w:ascii="Arial" w:cs="Arial" w:eastAsia="Arial" w:hAnsi="Arial"/>
          <w:sz w:val="18"/>
          <w:szCs w:val="18"/>
          <w:color w:val="auto"/>
        </w:rPr>
        <w:t>. The court ordered the restoration of many of these webpages.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marketing applications.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regulatory landscape related to clinical trials in the European Union recently evolved. The EU Clinical Trials Regulation, or </w:t>
      </w:r>
      <w:r>
        <w:rPr>
          <w:rFonts w:ascii="Arial" w:cs="Arial" w:eastAsia="Arial" w:hAnsi="Arial"/>
          <w:sz w:val="18"/>
          <w:szCs w:val="18"/>
          <w:u w:val="single" w:color="auto"/>
          <w:color w:val="auto"/>
        </w:rPr>
        <w:t>CTR</w:t>
      </w:r>
      <w:r>
        <w:rPr>
          <w:rFonts w:ascii="Arial" w:cs="Arial" w:eastAsia="Arial" w:hAnsi="Arial"/>
          <w:sz w:val="18"/>
          <w:szCs w:val="18"/>
          <w:color w:val="auto"/>
        </w:rPr>
        <w:t xml:space="preserve">, which was adopted in April 2014 and repeals the EU Clinical Trials Directive, became applicable on January 31, 2022. While the Clinical Trials Directive required a separate clinical trial application, or </w:t>
      </w:r>
      <w:r>
        <w:rPr>
          <w:rFonts w:ascii="Arial" w:cs="Arial" w:eastAsia="Arial" w:hAnsi="Arial"/>
          <w:sz w:val="18"/>
          <w:szCs w:val="18"/>
          <w:u w:val="single" w:color="auto"/>
          <w:color w:val="auto"/>
        </w:rPr>
        <w:t>CTA</w:t>
      </w:r>
      <w:r>
        <w:rPr>
          <w:rFonts w:ascii="Arial" w:cs="Arial" w:eastAsia="Arial" w:hAnsi="Arial"/>
          <w:sz w:val="18"/>
          <w:szCs w:val="18"/>
          <w:color w:val="auto"/>
        </w:rPr>
        <w:t>,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conducted and intend to conduct certain of our clinical trials globally. However, there are additional risks unique to conducting trials outside of the U.S., and the FDA and other foreign equivalents may not accept data from such trials, in which case our development plans may be delayed, which could materially harm our business.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conducted and intend to continue conducting certain of our clinical trials globally. The acceptance by the FDA or other regulatory authorities of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even where foreign clinical trial data are not intended to serve as the sole basis for approval, the FDA will not accept the data as support for an application for marketing approval unless the clinical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could result in the need for additional trials, which could be costly and time -consuming, and which may result in current or future product candidates that we may develop not receiving approval for commercialization in the applicable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foreign regulatory requirements;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exchange fluctuations;</w:t>
      </w:r>
    </w:p>
    <w:p>
      <w:pPr>
        <w:spacing w:after="0" w:line="117" w:lineRule="exact"/>
        <w:rPr>
          <w:sz w:val="20"/>
          <w:szCs w:val="20"/>
          <w:color w:val="auto"/>
        </w:rPr>
      </w:pPr>
    </w:p>
    <w:p>
      <w:pPr>
        <w:ind w:left="960" w:right="3460"/>
        <w:spacing w:after="0" w:line="375" w:lineRule="auto"/>
        <w:rPr>
          <w:sz w:val="20"/>
          <w:szCs w:val="20"/>
          <w:color w:val="auto"/>
        </w:rPr>
      </w:pPr>
      <w:r>
        <w:rPr>
          <w:rFonts w:ascii="Arial" w:cs="Arial" w:eastAsia="Arial" w:hAnsi="Arial"/>
          <w:sz w:val="18"/>
          <w:szCs w:val="18"/>
          <w:color w:val="auto"/>
        </w:rPr>
        <w:t>compliance with foreign manufacturing, customs, shipment and storage requirements; cultural differences in medical practice and clinical research;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diminished protection of intellectual property in some countries; and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interruptions or delays in our trials resulting from geopolitical events, such as war or terrorism.</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Auryxia, Vafseo or any other product or product candidate, including those that may be in-licensed or acquired, may cause undesirable side effects or have other properties that may delay or prevent marketing approval or limit their commercial potential.</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Undesirable effects caused by, or other undesirable properties of, Auryxia, Vafseo or any other product or product candidate, including those that may be in-licensed or acquired, or competing commercial products or product candidates in development that utilize a common mechanism of action could cause us or regulatory authorities to interrupt, delay or halt clinical trials, could result in a more restrictive label or the delay, denial or withdrawal of marketing approval by the FDA or other regulatory authorities, and could lead to potential product liability claims. In addition, results of our clinical trials could reveal a high frequency of undesirable effects or unexpected characteristics. For example, in March 2022, we received the CRL from the FDA for our NDA for Vafseo in which the FDA concluded that the data in the NDA did not support a favorable benefit-risk assessment of Vafseo for dialysis and non-dialysis patients. The FDA expressed safety concerns noting failure to meet non-inferiority in MACE in the non-dialysis patient population, the increased risk of thromboembolic events, driven by vascular access thrombosis in dialysis patients, and the risk of drug-induced liver injury. As a result, we filed the FDRR and, following the FDRR, we filed a resubmission to our NDA, and the FDA approved Vafseo on March 27, 2024. However, the approved indication is limited to the treatment of anemia due to CKD in adults who have been receiving dialysis for at least three months.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or others identify undesirable effects caused by, or other undesirable properties of, Auryxia, Vafseo or any other product or product candidate, including those that may be in-licensed or acquired, or if known undesirable effects are more frequent or severe than in the past, or if any of the foregoing are perceived to have occurred, either before or after receipt of marketing approval, a number of potentially significant negative consequences could result, including:</w:t>
      </w:r>
    </w:p>
    <w:p>
      <w:pPr>
        <w:spacing w:after="0" w:line="9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our product candidates may not be approved by regulatory authorities;</w:t>
      </w:r>
    </w:p>
    <w:p>
      <w:pPr>
        <w:spacing w:after="0" w:line="31" w:lineRule="exact"/>
        <w:rPr>
          <w:rFonts w:ascii="Arial" w:cs="Arial" w:eastAsia="Arial" w:hAnsi="Arial"/>
          <w:sz w:val="22"/>
          <w:szCs w:val="22"/>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recruitment could be slowed, and enrolled patients may not want to complete the clinical trial;</w:t>
      </w:r>
    </w:p>
    <w:p>
      <w:pPr>
        <w:spacing w:after="0" w:line="90" w:lineRule="exact"/>
        <w:rPr>
          <w:rFonts w:ascii="Arial" w:cs="Arial" w:eastAsia="Arial" w:hAnsi="Arial"/>
          <w:sz w:val="18"/>
          <w:szCs w:val="18"/>
          <w:color w:val="auto"/>
        </w:rPr>
      </w:pPr>
    </w:p>
    <w:p>
      <w:pPr>
        <w:jc w:val="both"/>
        <w:ind w:left="660" w:right="80" w:hanging="328"/>
        <w:spacing w:after="0" w:line="231" w:lineRule="auto"/>
        <w:tabs>
          <w:tab w:leader="none" w:pos="628" w:val="left"/>
        </w:tabs>
        <w:numPr>
          <w:ilvl w:val="0"/>
          <w:numId w:val="41"/>
        </w:numPr>
        <w:rPr>
          <w:rFonts w:ascii="Arial" w:cs="Arial" w:eastAsia="Arial" w:hAnsi="Arial"/>
          <w:sz w:val="22"/>
          <w:szCs w:val="22"/>
          <w:color w:val="auto"/>
        </w:rPr>
      </w:pPr>
      <w:r>
        <w:rPr>
          <w:rFonts w:ascii="Arial" w:cs="Arial" w:eastAsia="Arial" w:hAnsi="Arial"/>
          <w:sz w:val="18"/>
          <w:szCs w:val="18"/>
          <w:color w:val="auto"/>
        </w:rPr>
        <w:t>regulatory authorities may require warnings on the label, such as the warning on Auryxia’s label regarding iron overload or the boxed warning on Vafseo’s label regarding increased risk of death, myocardial infarction, stroke, venous thromboembolism and thrombosis of vascular access;</w:t>
      </w:r>
    </w:p>
    <w:p>
      <w:pPr>
        <w:spacing w:after="0" w:line="33" w:lineRule="exact"/>
        <w:rPr>
          <w:rFonts w:ascii="Arial" w:cs="Arial" w:eastAsia="Arial" w:hAnsi="Arial"/>
          <w:sz w:val="22"/>
          <w:szCs w:val="22"/>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REMS or FDA-imposed risk management plans that use restrictive risk minimization strategies may be required;</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patients’ non-adherence to the prescribed treatment regimen;</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decide to, or be required to, send drug warnings or safety alerts to physicians, pharmacists and hospitals (or the FDA or other regulatory authorities may choose to issue such alerts), or we may decide to conduct a product recall or be requested to do so by the FDA or other regulatory authority;</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reformulation of the product, additional non-clinical or clinical trials, restrictive changes in labeling or changes to or re-approvals of manufacturing facilities may be required;</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precluded from pursuing additional development opportunities to enhance the clinical profile of a product within its indicated populations, or studying the product or product candidate in additional indications and populations or in new formulations; and</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be investigated by the government or sued and held liable for harm caused to patients, including in class action lawsuits;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from achieving or maintaining, whether on a restricted basis or at all, marketing approval and, ultimately, market acceptance or penetration of Auryxia, Vafseo or any other product or product candidate, including those that may be in-licensed or acquired. In addition, any of these events could substantially increase our costs, and could significantly impact our ability to successfully commercialize Auryxia, Vafseo or any other product and product candidate, including those that may be in-licensed or acquired, and generate product revenue.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patient populations treated with Auryxia and Vafseo have CKD, a serious disease that increases the risk of cardiovascular disease including heart attacks and stroke and, in its most severe form, results in, kidney failure and the need for dialysis or kidney transplant. Many patients with CKD are elderly with comorbidities making them susceptible to significant health risks. Therefore, the likelihood of these patients having adverse events, including serious adverse events is high.</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global INNO</w:t>
      </w:r>
      <w:r>
        <w:rPr>
          <w:rFonts w:ascii="Arial" w:cs="Arial" w:eastAsia="Arial" w:hAnsi="Arial"/>
          <w:sz w:val="23"/>
          <w:szCs w:val="23"/>
          <w:color w:val="auto"/>
          <w:vertAlign w:val="subscript"/>
        </w:rPr>
        <w:t>2</w:t>
      </w:r>
      <w:r>
        <w:rPr>
          <w:rFonts w:ascii="Arial" w:cs="Arial" w:eastAsia="Arial" w:hAnsi="Arial"/>
          <w:sz w:val="18"/>
          <w:szCs w:val="18"/>
          <w:color w:val="auto"/>
        </w:rPr>
        <w:t xml:space="preserve">VATE Phase 3 program, the incidence of treatment emergent adverse events, or </w:t>
      </w:r>
      <w:r>
        <w:rPr>
          <w:rFonts w:ascii="Arial" w:cs="Arial" w:eastAsia="Arial" w:hAnsi="Arial"/>
          <w:sz w:val="18"/>
          <w:szCs w:val="18"/>
          <w:u w:val="single" w:color="auto"/>
          <w:color w:val="auto"/>
        </w:rPr>
        <w:t>TEAEs</w:t>
      </w:r>
      <w:r>
        <w:rPr>
          <w:rFonts w:ascii="Arial" w:cs="Arial" w:eastAsia="Arial" w:hAnsi="Arial"/>
          <w:sz w:val="18"/>
          <w:szCs w:val="18"/>
          <w:color w:val="auto"/>
        </w:rPr>
        <w:t>, during the Correction and Conversion study in Vafseo-treated patients was 83.8% and 85.5% in darbepoetin alfa treated patients. During the study, the most common TEAEs reported in Vafseo/darbepoetin alfa treated patients were hypertension (16.2%/ 12.9%) and diarrhea (10.1%/ 9.7%). Serious TEAEs were lower in Vafseo-treated patients at 49.7% compared to 56.5% for darbepoetin alfa treated patients. The incidence of TEAEs during the prevalent dialysis patient study (Conversion) in the Vafseo-treated patients was 88.3%, and 89.3% in darbepoetin alfa treated patients. During the study, the most common TEAEs reported in Vafseo/darbepoetin alfa treated patients were diarrhea (13.0%/ 10.1%), pneumonia (11.0%/ 9.7%), hypertension (10.6%/ 13.8%), and hyperkalemia (9.0%/ 10.8%). Serious TEAEs were slightly lower for Vafseo-treated patients at 55.0% and 58.3% for darbepoetin alfa-treated patients. Patients with DD-CKD experienced an increased risk of thromboembolic events compared to darbepoetin alfa with a time to first event HR of 1.20 (95% CI 0.96 — 1.50) driven by thrombosis of vascular access.</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global PRO</w:t>
      </w:r>
      <w:r>
        <w:rPr>
          <w:rFonts w:ascii="Arial" w:cs="Arial" w:eastAsia="Arial" w:hAnsi="Arial"/>
          <w:sz w:val="23"/>
          <w:szCs w:val="23"/>
          <w:color w:val="auto"/>
          <w:vertAlign w:val="subscript"/>
        </w:rPr>
        <w:t>2</w:t>
      </w:r>
      <w:r>
        <w:rPr>
          <w:rFonts w:ascii="Arial" w:cs="Arial" w:eastAsia="Arial" w:hAnsi="Arial"/>
          <w:sz w:val="18"/>
          <w:szCs w:val="18"/>
          <w:color w:val="auto"/>
        </w:rPr>
        <w:t>TECT Phase 3 program, the incidence of TEAEs during the ESA untreated patients study (Correction) in the Vafseo-treated patients was 90.9%, and 91.6% in darbepoetin alfa-treated patients. During the study, the most common TEAEs reported in Vafseo/darbepoetin alfa-treated patients were end-stage renal disease (34.7%/ 35.2%), hypertension (17.7%/ 22.1.%), hyperkalemia (12.3.%/ 15.6%), urinary tract infection (12.9%/ 12.0%), diarrhea (13.9%/ 10.0%), peripheral oedema (12.5%/ 10.5%), fall (9.6%/ 10%) and nausea (10%/ 8.2%). Serious TEAEs were 65.3% for Vafseo-treated patients and 64.5% for darbepoetin alfa-treated patients. The incidence of TEAEs during the ESA-treated patients study (Conversion) in Vafseo-treated patients was 89.1% and 87.7% in darbepoetin alfa-treated patients. During the study, the most common TEAEs reported in Vafseo/darbepoetin alfa-treated patients were end-stage renal disease (27.5%/ 28.4%), hypertension (14.4%/ 14.8%), urinary tract infection (12.2%/ 14.5%), diarrhea (13.8.%/ 8.8.%), peripheral oedema (9.9%/ 10.1%) and pneumonia (10.0%/ 9.7%). Serious TEAEs were 58.5% for Vafseo-treated patients and 56.6% for darbepoetin alfa-treated patients.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conduct of our Phase 3 program for Vafseo, our team and hepatic experts analyzed hepatic cases (unblinded to treatment) and, following the completion of our global Phase 3 clinical program for Vafseo, there was a review of hepatic safety across the Vafseo clinical program, which included eight completed Phase 2 and 3 studies in NDD-CKD patients, 10 completed Phase 1, 2, and 3 studies, and two then-ongoing Phase 3b studies in DD-CKD patients, and 18 completed studies in healthy subjects (17 Phase 1 and one Phase 3). This review consisted of a blinded re-assessment of hepatic events conducted by a separate panel of hepatic experts. While hepatocellular injury attributed to Vafseo was reported in less than 1% of patients, there was one case of severe hepatocellular injury with jaundice, and we cannot guarantee that similar events will not happen in the future. Additionally, the FDA expressed safety concerns related to the risk of drug-induced liver injury in the CRL that it issued in March 2022, and these safety concerns were addressed following the FDRR and resubmission to our NDA.</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Serious adverse events related to Vafseo, including those noted in the CRL and label, and any other product candidates could have material adverse consequences on the development and potential label expansion of Vafseo or the approval of our other product candidates and our business as a whole. Our understanding of adverse events in prior clinical trials of Vafseo or our product candidates may change as we gather more information, the FDA may not agree with our assessment of adverse events and additional unexpected adverse events may be observed in future clinical trials or in the market.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of the above safety data or other occurrences could delay or prevent us from achieving or maintaining marketing approval, harm or prevent sales of Auryxia, Vafseo or any other product or product candidate, including those that may be in-licensed or acquired, increase our expenses and impair or prevent our ability to successfully commercialize Auryxia, Vafseo or any other products or product candidates.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any post-marketing clinical trials conducted, if successful, may expand the patient populations treated with Auryxia, Vafseo or any other product we acquire or for which we receive marketing approval, within or outside of their current indications or patient populations, which could result in the identification of previously unknown undesirable effects, increased frequency or severity of known undesirable effects, or result in the identification of unexpected safety signals. In addition, Vafseo and any other products are commercialized, they will be used in significantly larger patient populations, in less rigorously controlled environments and, in some cases, by less experienced and less expert treating practitioners, than in clinical trials, which could result in increased or more serious adverse effects being reported. As a result, regulatory authorities, healthcare practitioners, third party payors or patients may perceive or conclude that the use of Auryxia, Vafseo or any other products are associated with serious adverse effects, undermining our commercialization efforts.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may not be able to obtain marketing approval for any label expansion for Vafseo or any current or future product candidate, or we may experience significant delays in doing so, any of which would materially harm our business.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trials, manufacturing and marketing of any product or product candidate are subject to extensive and rigorous review and regulation by numerous governmental authorities in the U.S. and other jurisdictions. Before obtaining marketing approval for the commercial sale of any product candidate, we must demonstrate through rigorous and extensive preclinical development and clinical trials that the product candidate is safe and effective for use in each target indication. This process can take many years and marketing approval may never be achieved. Of the large number of drugs in development in the U.S. and in other jurisdictions, only a small percentage successfully complete the FDA’s and other regulatory jurisdictions’ marketing approval processes and are commercialized. Accordingly, even if we are able to obtain the requisite capital to continue to fund our development efforts, we may be unable to successfully obtain regulatory approval for any label expansion for Vafseo or for any product candidate, including those that may be in-licensed or acquired. Further, any product candidate may not receive marketing approval in the U.S. even if it is approved in other countries. Each regulatory authority makes their own assessment as to the safety and efficacy of a drug, and the FDA’s concern about the safety or efficacy of any product candidate could impact the regulatory authority’s decision in another country.</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2022, we received the CRL from the FDA regarding our NDA for vadadustat for the treatment of anemia due to CKD. Following a FDRR in 2022, we filed a resubmission to our NDA in 2023. On March 27, 2024, the FDA approved our NDA for vadadustat under the trade name Vafseo for the treatment of anemia due to CKD in adults who have been receiving dialysis for at least three months. However, we expended significant additional resources to obtain the approval of Vafseo, the approved indication is limited to the treatment of anemia due to CKD in adults who have been receiving dialysis for at least three months and the commercialization of Vafseo was delayed, which had and could continue to have an adverse effect on our business.</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Vafseo is currently approved as a treatment for anemia due to CKD for dialysis dependent patients in the U.S., European Union, United Kingdom, Switzerland and Australia. In Japan, Vafseo is approved as a treatment for anemia due to CKD in both dialysis dependent and non-dialysis dependent patients and is marketed and sold by our collaborator MTPC. In Taiwan and South Korea, Vafseo is approved for the treatment of symptomatic anemia due to CKD in adult patients on chronic maintenance dialysis. We are not permitted to market Vafseo in any additional jurisdictions or other indications until the requisite approval from regulatory authorities in such jurisdiction is received. As a condition to receiving marketing approval for Vafseo in additional territories or for other indications, we may be required by regulatory authorities to conduct additional preclinical studies or clinical trials. For example, we have several lifecycle management and label expansion opportunities currently under evaluation for Vafseo, one of which is the potential for alternative dosing, and another of which is label expansion for the treatment of adult patients with NDD-CKD. However, we may be required to complete additional clinical trials before seeking approval for additional indications, which are time consuming and expensive, and even though Vafseo is approved as a treatment for anemia due to CKD for dialysis dependent patients, we may not be successful in any of our lifecycle management or label expansion opportunities in the timeframe anticipated by us, or at all. For example, we initially submitted a NDA to the FDA for vadadustat in March 2021 and in March 2022 the FDA issued a CRL to our NDA. The FDA concluded that the data in the NDA did not support a favorable benefit-risk assessment of vadadustat for dialysis and non-dialysis patients. The FDA expressed safety concerns, noting failure to meet non-inferiority in MACE in the non-dialysis patient population. While we have since secured FDA approval for use in dialysis patients, we believe there are compelling data supporting a positive benefit-risk profile for the use of Vafseo broadly in U.S. patients with CKD. We continue to work towards our goal to initiate VALOR, a Phase 3 cardiovascular outcome study of approximately 1,500 U.S. subjects with late-stage CKD anemia not on dialysis with a comparator to ESA, by the end of 2025 and recently requested a Type-C meeting with the FDA. However, we may not successfully demonstrate safety and/or efficacy needed to obtain regulatory approval or we may be unable to start the trial when anticipated or complete the trial when anticipated or at all. If we do not obtain the approval of label expansion for the treatment of adult patients with NDD-CKD or for alternative dosing in a timely manner, or at all, it could impact future revenue and have an adverse effect on our business.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Obtaining marketing approval in the U.S. and other jurisdictions for any product candidate depends upon numerous factors, many of which are subject to the substantial discretion of the regulatory authorities, including that regulatory agencies may not complete their review processes in a timely manner and/or, following completion of the review process, may not grant marketing approval or such marketing approval may be limited. Furthermore, approval of a drug does not ensure successful commercialization. For example, on September 23, 2015, the European Commission, or EC, approved Fexeric (ferric citrate coordination complex) for the control of hyperphosphatemia in adult patients with CKD. Pursuant to the sunset clause under EU law, the EC’s approval of Fexeric in the EU was contingent on, among other things, our commencing marketing of Fexeric within three years; although we successfully negotiated an extension to December 23, 2019, we did not commence marketing Fexeric by such date and therefore the Fexeric approval in the EU has ceased to be valid. In April 2024, our partner Averoa submitted its marketing authorization application for ferric citrate in Europe. In March 2025, the Committee for Medicinal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Products for Human Use of the European Medicines Agency adopted a positive opinion recommending the European Commission, or </w:t>
      </w:r>
      <w:r>
        <w:rPr>
          <w:rFonts w:ascii="Arial" w:cs="Arial" w:eastAsia="Arial" w:hAnsi="Arial"/>
          <w:sz w:val="18"/>
          <w:szCs w:val="18"/>
          <w:u w:val="single" w:color="auto"/>
          <w:color w:val="auto"/>
        </w:rPr>
        <w:t>EC</w:t>
      </w:r>
      <w:r>
        <w:rPr>
          <w:rFonts w:ascii="Arial" w:cs="Arial" w:eastAsia="Arial" w:hAnsi="Arial"/>
          <w:sz w:val="18"/>
          <w:szCs w:val="18"/>
          <w:color w:val="auto"/>
        </w:rPr>
        <w:t>, to approve Averoa’s marketing authorization. The EC granted marketing authorization in June 2025.</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Safety concerns with a given product may impact marketing approval. For example, safety concerns associated with the current standard of care for the indications for Vafseo may affect the FDA’s or other regulatory authorities’ review of the safety results of Vafseo. In addition, these regulatory authorities may not agree with our assessment of adverse events. Further, the policies or regulations, or the type and amount of clinical data necessary to gain approval, may change during the course of a product candidate’s clinical development and may vary among jurisdictions. It is possible that our product candidates will never obtain marketing approval in the U.S. or certain other jurisdictions or for some or all of the indications for which we seek approval.</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FDA or other regulatory authorities may delay, limit or deny approval of any product candidate for many reasons including, among others:</w:t>
      </w:r>
    </w:p>
    <w:p>
      <w:pPr>
        <w:spacing w:after="0" w:line="45"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clinical trials may only be modestly positive, or there may be concerns with the profile due to efficacy or safety;</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relevant regulatory authority for review and/or marketing approval;</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disagree with our interpretation of data from our preclinical studies and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disagree with the number, design, size, conduct or implementation of our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not approve the label expansion we request for Vafseo;</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approve any product candidate for use only in a small patient population or for fewer or more limited indications than we request;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require that we conduct additional clinical trials or repeat one or more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or other relevant regulatory authority may require development of a REMS as a condition of approval or post-approval;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grant approval contingent on the performance of costly post-marketing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authority's onsite inspections may be delayed;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CROs or other vendors, may fail to comply with GxP or fail to pass any regulatory inspections or audits;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third-party manufacturers may fail to perform in accordance with the FDA’s or other relevant regulatory authority's cGMP requirements and guidance;</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could deem that our financial relationships with certain principal investigators constitute a conflict of interest, such that the data from those principal investigators may not be used to support our applications;</w:t>
      </w:r>
    </w:p>
    <w:p>
      <w:pPr>
        <w:spacing w:after="0" w:line="1"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373737"/>
        </w:rPr>
        <w:t xml:space="preserve">as part of any future regulatory process, </w:t>
      </w:r>
      <w:r>
        <w:rPr>
          <w:rFonts w:ascii="Arial" w:cs="Arial" w:eastAsia="Arial" w:hAnsi="Arial"/>
          <w:sz w:val="18"/>
          <w:szCs w:val="18"/>
          <w:color w:val="000000"/>
        </w:rPr>
        <w:t>the FDA may ask an Advisory Committee to review portions of the NDA, the FDA may have</w:t>
      </w:r>
      <w:r>
        <w:rPr>
          <w:rFonts w:ascii="Arial" w:cs="Arial" w:eastAsia="Arial" w:hAnsi="Arial"/>
          <w:sz w:val="18"/>
          <w:szCs w:val="18"/>
          <w:color w:val="373737"/>
        </w:rPr>
        <w:t xml:space="preserve"> </w:t>
      </w:r>
      <w:r>
        <w:rPr>
          <w:rFonts w:ascii="Arial" w:cs="Arial" w:eastAsia="Arial" w:hAnsi="Arial"/>
          <w:sz w:val="18"/>
          <w:szCs w:val="18"/>
          <w:color w:val="000000"/>
        </w:rPr>
        <w:t>difficulty scheduling an Advisory Committee meeting in a timely manner or, if convened, an FDA Advisory Committee could recommend non-approval, conditions of approval or restrictions on approval, and the FDA may ultimately agree with the recommendations;</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authority’s review process and decision-making regarding any product candidate may be impacted by the results of our and our competitors’ clinical trials and safety concerns of marketed products used to treat the same indications as the indications for which Vafseo and any other product candidate are being developed;</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not approve the manufacturing processes or facilities of third-party manufacturers with whom we contract; or</w:t>
      </w:r>
    </w:p>
    <w:p>
      <w:pPr>
        <w:spacing w:after="0" w:line="1"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policies or regulations of the relevant regulatory authority may significantly change in a manner that renders our clinical data insufficient for approval or requires us to amend or submit new clinical protocols.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Securities and Exchange Commission v. Jarkesy,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did not have standing to bring this legal action against the FDA. On October 11, 2024, the Attorneys General of three states (Missouri, Idaho and Kansas) filed an amended complaint in the U.S. District Court for the Northern District of Texas challenging the FDA’s actions. On January 16, 2025, the district court agreed to allow these states to file an amended complaint and continue to pursue this challenge. Depending on the outcome of this litigation, our ability to develop new drug product candidates and to maintain approval of existing drug products could be delayed, undermined or subject to protracted litigation.</w:t>
      </w:r>
    </w:p>
    <w:p>
      <w:pPr>
        <w:spacing w:after="0" w:line="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obtain or maintain marketing approval in jurisdictions outside the United States, we and our partners will not be able to market any of our products or product candidates outside of the United States.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market and sell our products and product candidates in the European Union, Japan and many other jurisdictions, we or our partners must obtain or maintain separate marketing approvals and comply with numerous and varying regulatory requirements. Approval by the FDA does not ensure approval by regulatory authorities in other countries or jurisdictions, and approval by one regulatory authority outside the United States does not ensure approval by regulatory authorities in other countries or jurisdictions or by the FDA. The approval procedure varies among countries and can involve additional testing. In addition, clinical trials conducted in one country may not be accepted by regulatory authorities in other countries. The time required to obtain or maintain approval may differ substantially from that required to obtain or maintain FDA approval. The regulatory approval process outside the United States generally includes all of the risks associated with obtaining or maintaining FDA approval. In addition, in many countries outside the United States, it is required that the product be approved for reimbursement before the product can be approved for sale in that country. We and our partners may not obtain or maintain approvals from regulatory authorities outside the United States on a timely basis or at all.</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Additionally, we and our partners could face heightened risks with respect to obtaining or maintaining marketing authorizations in the UK as a result of the withdrawal of the UK from the EU, commonly referred to as Brexit. The UK is no longer part of the European Single Market and EU Customs Union. As of January 1, 2025, the Medicines and Healthcare Products Regulatory Agency, or </w:t>
      </w:r>
      <w:r>
        <w:rPr>
          <w:rFonts w:ascii="Arial" w:cs="Arial" w:eastAsia="Arial" w:hAnsi="Arial"/>
          <w:sz w:val="18"/>
          <w:szCs w:val="18"/>
          <w:u w:val="single" w:color="auto"/>
          <w:color w:val="auto"/>
        </w:rPr>
        <w:t>MHRA</w:t>
      </w:r>
      <w:r>
        <w:rPr>
          <w:rFonts w:ascii="Arial" w:cs="Arial" w:eastAsia="Arial" w:hAnsi="Arial"/>
          <w:sz w:val="18"/>
          <w:szCs w:val="18"/>
          <w:color w:val="auto"/>
        </w:rPr>
        <w:t>, is responsible for approving all medicinal products destined for the United Kingdom market (i.e., Great Britain and Northern Ireland). On April 28, 2025, the UK</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CTR took effect, the UK legal framework did not benefit from the same revisions as occurred at EU level.</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At the same time, a new international recognition procedure, or </w:t>
      </w:r>
      <w:r>
        <w:rPr>
          <w:rFonts w:ascii="Arial" w:cs="Arial" w:eastAsia="Arial" w:hAnsi="Arial"/>
          <w:sz w:val="18"/>
          <w:szCs w:val="18"/>
          <w:u w:val="single" w:color="auto"/>
          <w:color w:val="auto"/>
        </w:rPr>
        <w:t>IRP</w:t>
      </w:r>
      <w:r>
        <w:rPr>
          <w:rFonts w:ascii="Arial" w:cs="Arial" w:eastAsia="Arial" w:hAnsi="Arial"/>
          <w:sz w:val="18"/>
          <w:szCs w:val="18"/>
          <w:color w:val="auto"/>
        </w:rPr>
        <w:t>, will apply, which intends to facilitate approval of pharmaceutical products in the UK. The IRP is open to applicants that have already received an authorization for the same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from one of the MHRA’s specified Reference Regulators, or RRs. The RRs notably include EMA and regulators in the EEA member states for approvals in the EU centralized procedure and mutual recognition procedure as well as the FDA (for product approvals granted in the U.S.). However, the concrete functioning of the IRP is currently unclear. Any delay in obtaining, maintaining or an inability to obtain or maintain, any marketing approvals may force us or our partners to restrict or delay efforts to seek regulatory approval in the UK for our product candidates, which could significantly and materially harm our business.</w:t>
      </w:r>
    </w:p>
    <w:p>
      <w:pPr>
        <w:spacing w:after="0" w:line="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 On June 4, 2025, after almost two years of negotiations among the EU Member States, the Council of the European Union adopted its position on the proposed overhaul of the EU general pharmaceutical legislative framework, which is known as the new Pharma Package. This proposal will now be the subject of additional negotiations and technical meetings, with the objective of reaching agreement on issues such as the regulatory data protection framework and the access and supply obligations.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Products approved for marketing are subject to extensive post-marketing regulatory requirements, including post-approval pediatric studies for Auryxia and Vafseo, and could be subject to post-marketing restrictions or withdrawal from the market, and we may be subject to penalties, including withdrawal of marketing approval, if we fail to comply with regulatory requirements or if we experience unanticipated problems with our products, or product candidates, when and if approved.</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Marketing approvals may be subject to limitations on the approved indicated uses for which the product may be marketed, other conditions of approval, or contain requirements or commitments for potentially costly post-marketing studies and surveillance to monitor the safety and efficacy of the product, including REMS, or registries or observational studies. For example, in connection with the FDA approvals of Auryxia and Vafseo, we committed to the FDA to conduct certain post-approval pediatric studies of Auryxia and Vafseo under the Pediatric Research Equity Act of 2003, or </w:t>
      </w:r>
      <w:r>
        <w:rPr>
          <w:rFonts w:ascii="Arial" w:cs="Arial" w:eastAsia="Arial" w:hAnsi="Arial"/>
          <w:sz w:val="18"/>
          <w:szCs w:val="18"/>
          <w:u w:val="single" w:color="auto"/>
          <w:color w:val="auto"/>
        </w:rPr>
        <w:t>PREA</w:t>
      </w:r>
      <w:r>
        <w:rPr>
          <w:rFonts w:ascii="Arial" w:cs="Arial" w:eastAsia="Arial" w:hAnsi="Arial"/>
          <w:sz w:val="18"/>
          <w:szCs w:val="18"/>
          <w:color w:val="auto"/>
        </w:rPr>
        <w:t xml:space="preserve">. Under PREA, an NDA or supplement to an NDA for certain drug products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With regard to the Hyperphosphatemia Indication for Auryxia, we initially committed to completing the original post-approval pediatric study and submitting a final report to the FDA by December 31, 2019. However, we did not complete the study according to the original schedule and therefore did not submit the required final report by December 31, 2019. Consequently, we received a notification of noncompliance with PREA. We have since been released from the original post marketing requirement, or </w:t>
      </w:r>
      <w:r>
        <w:rPr>
          <w:rFonts w:ascii="Arial" w:cs="Arial" w:eastAsia="Arial" w:hAnsi="Arial"/>
          <w:sz w:val="18"/>
          <w:szCs w:val="18"/>
          <w:u w:val="single" w:color="auto"/>
          <w:color w:val="auto"/>
        </w:rPr>
        <w:t>PMR</w:t>
      </w:r>
      <w:r>
        <w:rPr>
          <w:rFonts w:ascii="Arial" w:cs="Arial" w:eastAsia="Arial" w:hAnsi="Arial"/>
          <w:sz w:val="18"/>
          <w:szCs w:val="18"/>
          <w:color w:val="auto"/>
        </w:rPr>
        <w:t>, and a new PMR was issued that provided that the final report was due in April 2024. In June 2023 we requested an extension of time for the submission of the final report and such request was denied by the FDA in August 2023. The PMR trial is ongoing and actively recruiting patients, but the final report for the trial was due in April 2024, so the trial is considered delayed. If we are unable to complete the study with respect to the Hyperphosphatemia Indication successfully or have further delays in completing the study, we will need to inform the FDA, have further discussions and, if the FDA finds that we failed to comply with the pediatric study requirement with regard to the Hyperphosphatemia Indication, in violation of applicable law, it could institute enforcement proceedings to seize or enjoin the sale of Auryxia, seek civil penalties or other adverse consequences, which would have a material adverse impact on our ability to commercialize Auryxia and our ability to generate revenues from Auryxia.</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manufacturing processes, labeling, packaging, distribution, adverse event reporting, storage, advertising, promotion and recordkeeping for Auryxia, Vafseo and any other product for which we receive regulatory approval will be subject to extensive and ongoing regulatory requirements and guidance. These requirements and guidance include manufacturing processes and procedures (including record keeping), the implementation and operation of quality systems to control and assure the quality of the product, submissions of safety and other post-marketing information and reports, as well as continued compliance with cGMPs and GCPs for any clinical trials that we conduct post-approval. If we, our contract manufacturing organizations, or </w:t>
      </w:r>
      <w:r>
        <w:rPr>
          <w:rFonts w:ascii="Arial" w:cs="Arial" w:eastAsia="Arial" w:hAnsi="Arial"/>
          <w:sz w:val="18"/>
          <w:szCs w:val="18"/>
          <w:u w:val="single" w:color="auto"/>
          <w:color w:val="auto"/>
        </w:rPr>
        <w:t>CMOs,</w:t>
      </w:r>
      <w:r>
        <w:rPr>
          <w:rFonts w:ascii="Arial" w:cs="Arial" w:eastAsia="Arial" w:hAnsi="Arial"/>
          <w:sz w:val="18"/>
          <w:szCs w:val="18"/>
          <w:color w:val="auto"/>
        </w:rPr>
        <w:t xml:space="preserve"> or other third parties we engage fail to adhere to such regulatory requirements and guidance, we could suffer significant consequences, including product seizures or recalls, loss of product approval, fines and sanctions, reputational damage, loss of customer confidence, shipment delays, inventory shortages, inventory write-offs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product-related charges and increased manufacturing costs, and our development or commercialization efforts may be materially harmed.</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63" w:lineRule="exact"/>
        <w:rPr>
          <w:sz w:val="20"/>
          <w:szCs w:val="20"/>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the marketing, distribution, use or manufacturing of the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the product from the market, or product recalls;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warning or untitled letters or clinical holds;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filed by us, or suspension or revocation of product approvals;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REMS;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we previously had three limited, voluntary recalls of Auryxia. These and any other recalls or any supply, quality or manufacturing issues in the future related to Auryxia or Vafseo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in the U.S. and Vafseo in the U.S., Japan, Europe or in other countries, for commercial and clinical use.</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Non-compliance with the FDA, the EMA, the PMDA and other regulatory authorities’ requirements regarding safety monitoring or pharmacovigilance can also result in significant financial penalties.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policies and those of other regulatory authorities may change, and additional government regulations may be enacted. We cannot predict the likelihood, nature or extent of government regulations that may arise from future legislation or administrative action, either in the U.S. or in other jurisdictions. If we are slow or unable to adapt to changes in existing requirements or the adoption of new requirements or policies, or are not able to maintain regulatory compliance, we may lose any marketing approval that we may have obtained and we may not achieve or sustain profitability, which would materially adversely affect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 and Compliance</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are subject to complex regulatory schemes that require significant resources to ensure compliance and our failure to comply with applicable laws could subject us to government scrutiny or enforcement, potentially resulting in costly investigations, fines, penalties or sanctions, contractual damages, reputational harm, administrative burdens and diminished profits and future earnings.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 general, a variety of laws apply to us or may otherwise restrict our activities, including the following:</w:t>
      </w:r>
    </w:p>
    <w:p>
      <w:pPr>
        <w:spacing w:after="0" w:line="158" w:lineRule="exact"/>
        <w:rPr>
          <w:sz w:val="20"/>
          <w:szCs w:val="20"/>
          <w:color w:val="auto"/>
        </w:rPr>
      </w:pPr>
    </w:p>
    <w:p>
      <w:pPr>
        <w:ind w:left="660" w:right="20" w:hanging="328"/>
        <w:spacing w:after="0" w:line="236" w:lineRule="auto"/>
        <w:tabs>
          <w:tab w:leader="none" w:pos="655"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l</w:t>
      </w:r>
      <w:r>
        <w:rPr>
          <w:rFonts w:ascii="Arial" w:cs="Arial" w:eastAsia="Arial" w:hAnsi="Arial"/>
          <w:sz w:val="18"/>
          <w:szCs w:val="18"/>
          <w:color w:val="auto"/>
        </w:rPr>
        <w:t>aws and regulations governing the conduct of preclinical studies and clinical trials in the U.S. and other countries in which we are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conducting such studies;</w:t>
      </w:r>
    </w:p>
    <w:p>
      <w:pPr>
        <w:spacing w:after="0" w:line="32" w:lineRule="exact"/>
        <w:rPr>
          <w:rFonts w:ascii="Arial" w:cs="Arial" w:eastAsia="Arial" w:hAnsi="Arial"/>
          <w:sz w:val="22"/>
          <w:szCs w:val="22"/>
          <w:color w:val="auto"/>
        </w:rPr>
      </w:pPr>
    </w:p>
    <w:p>
      <w:pPr>
        <w:ind w:left="660" w:hanging="328"/>
        <w:spacing w:after="0" w:line="281" w:lineRule="auto"/>
        <w:tabs>
          <w:tab w:leader="none" w:pos="6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anti-corruption and anti-bribery laws, including the FCPA, the UK Bribery Act and various other anti-corruption laws in countries outside of the U.S.;</w:t>
      </w:r>
    </w:p>
    <w:p>
      <w:pPr>
        <w:spacing w:after="0" w:line="1" w:lineRule="exact"/>
        <w:rPr>
          <w:rFonts w:ascii="Arial" w:cs="Arial" w:eastAsia="Arial" w:hAnsi="Arial"/>
          <w:sz w:val="18"/>
          <w:szCs w:val="18"/>
          <w:color w:val="auto"/>
        </w:rPr>
      </w:pPr>
    </w:p>
    <w:p>
      <w:pPr>
        <w:jc w:val="both"/>
        <w:ind w:left="660" w:hanging="328"/>
        <w:spacing w:after="0" w:line="256" w:lineRule="auto"/>
        <w:tabs>
          <w:tab w:leader="none" w:pos="6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data privacy laws existing in the U.S., the EU, the UK and other countries in which we operate, including the U.S. Health Insurance Portability and Accountability Act of 1996, or </w:t>
      </w:r>
      <w:r>
        <w:rPr>
          <w:rFonts w:ascii="Arial" w:cs="Arial" w:eastAsia="Arial" w:hAnsi="Arial"/>
          <w:sz w:val="18"/>
          <w:szCs w:val="18"/>
          <w:u w:val="single" w:color="auto"/>
          <w:color w:val="auto"/>
        </w:rPr>
        <w:t>HIPAA</w:t>
      </w:r>
      <w:r>
        <w:rPr>
          <w:rFonts w:ascii="Arial" w:cs="Arial" w:eastAsia="Arial" w:hAnsi="Arial"/>
          <w:sz w:val="18"/>
          <w:szCs w:val="18"/>
          <w:color w:val="auto"/>
        </w:rPr>
        <w:t xml:space="preserve">, as amended by the Health Information Technology for Economic and Clinical Health Act, or </w:t>
      </w:r>
      <w:r>
        <w:rPr>
          <w:rFonts w:ascii="Arial" w:cs="Arial" w:eastAsia="Arial" w:hAnsi="Arial"/>
          <w:sz w:val="18"/>
          <w:szCs w:val="18"/>
          <w:u w:val="single" w:color="auto"/>
          <w:color w:val="auto"/>
        </w:rPr>
        <w:t>HITECH</w:t>
      </w:r>
      <w:r>
        <w:rPr>
          <w:rFonts w:ascii="Arial" w:cs="Arial" w:eastAsia="Arial" w:hAnsi="Arial"/>
          <w:sz w:val="18"/>
          <w:szCs w:val="18"/>
          <w:color w:val="auto"/>
        </w:rPr>
        <w:t xml:space="preserve">, state privacy and data protection laws, such as the California Consumer Privacy Act, or </w:t>
      </w:r>
      <w:r>
        <w:rPr>
          <w:rFonts w:ascii="Arial" w:cs="Arial" w:eastAsia="Arial" w:hAnsi="Arial"/>
          <w:sz w:val="18"/>
          <w:szCs w:val="18"/>
          <w:u w:val="single" w:color="auto"/>
          <w:color w:val="auto"/>
        </w:rPr>
        <w:t>CCPA</w:t>
      </w:r>
      <w:r>
        <w:rPr>
          <w:rFonts w:ascii="Arial" w:cs="Arial" w:eastAsia="Arial" w:hAnsi="Arial"/>
          <w:sz w:val="18"/>
          <w:szCs w:val="18"/>
          <w:color w:val="auto"/>
        </w:rPr>
        <w:t xml:space="preserve">, as amended by the California Privacy Rights Act of 2020, or </w:t>
      </w:r>
      <w:r>
        <w:rPr>
          <w:rFonts w:ascii="Arial" w:cs="Arial" w:eastAsia="Arial" w:hAnsi="Arial"/>
          <w:sz w:val="18"/>
          <w:szCs w:val="18"/>
          <w:u w:val="single" w:color="auto"/>
          <w:color w:val="auto"/>
        </w:rPr>
        <w:t>CPRA</w:t>
      </w:r>
      <w:r>
        <w:rPr>
          <w:rFonts w:ascii="Arial" w:cs="Arial" w:eastAsia="Arial" w:hAnsi="Arial"/>
          <w:sz w:val="18"/>
          <w:szCs w:val="18"/>
          <w:color w:val="auto"/>
        </w:rPr>
        <w:t xml:space="preserve">, as well as other state consumer protection laws, GDPR, any additional applicable EU member state, or </w:t>
      </w:r>
      <w:r>
        <w:rPr>
          <w:rFonts w:ascii="Arial" w:cs="Arial" w:eastAsia="Arial" w:hAnsi="Arial"/>
          <w:sz w:val="18"/>
          <w:szCs w:val="18"/>
          <w:u w:val="single" w:color="auto"/>
          <w:color w:val="auto"/>
        </w:rPr>
        <w:t>EU Member State</w:t>
      </w:r>
      <w:r>
        <w:rPr>
          <w:rFonts w:ascii="Arial" w:cs="Arial" w:eastAsia="Arial" w:hAnsi="Arial"/>
          <w:sz w:val="18"/>
          <w:szCs w:val="18"/>
          <w:color w:val="auto"/>
        </w:rPr>
        <w:t>, data protection laws in force from time to time, the retained EU law version of the General Data Protection Regulation as saved into United Kingdom law by virtue of section 3 of the United Kingdom's European Union (Withdrawal) Act 2018;</w:t>
      </w:r>
    </w:p>
    <w:p>
      <w:pPr>
        <w:spacing w:after="0" w:line="20"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and state laws requiring the submission of accurate product prices and notifications of price increases;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and state securities laws;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environmental, health and safety laws and regulations;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87"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international trade laws, which are laws that regulate the sale, purchase, import, export, re-export, transfer and shipment of goods, products, materials, services and technology.</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relationships with healthcare providers, physicians and third party payors expose us to broadly applicable fraud and abuse laws that may constrain the business or financial arrangements and relationships through which we market, sell and distribute Auryxia and Vafseo and any other products for which we may obtain marketing approval. As such, these arrangements are subject to applicable anti-kickback, fraud and abuse, false claims, transparency, health information privacy and security, and other healthcare laws and regulations at federal, state and international levels. These restrictions include, but are not limited to, the following:</w:t>
      </w:r>
    </w:p>
    <w:p>
      <w:pPr>
        <w:spacing w:after="0" w:line="71" w:lineRule="exact"/>
        <w:rPr>
          <w:sz w:val="20"/>
          <w:szCs w:val="20"/>
          <w:color w:val="auto"/>
        </w:rPr>
      </w:pPr>
    </w:p>
    <w:p>
      <w:pPr>
        <w:ind w:left="660" w:right="800" w:hanging="328"/>
        <w:spacing w:after="0" w:line="281"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Food, Drug and Cosmetic Act of 1938, as amended, or </w:t>
      </w:r>
      <w:r>
        <w:rPr>
          <w:rFonts w:ascii="Arial" w:cs="Arial" w:eastAsia="Arial" w:hAnsi="Arial"/>
          <w:sz w:val="18"/>
          <w:szCs w:val="18"/>
          <w:u w:val="single" w:color="auto"/>
          <w:color w:val="auto"/>
        </w:rPr>
        <w:t>FDCA</w:t>
      </w:r>
      <w:r>
        <w:rPr>
          <w:rFonts w:ascii="Arial" w:cs="Arial" w:eastAsia="Arial" w:hAnsi="Arial"/>
          <w:sz w:val="18"/>
          <w:szCs w:val="18"/>
          <w:color w:val="auto"/>
        </w:rPr>
        <w:t>, which among other things, strictly regulates drug product marketing and promotion and prohibits manufacturers from marketing such products for off-label use;</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 and laws requiring notification of price increases;</w:t>
      </w:r>
    </w:p>
    <w:p>
      <w:pPr>
        <w:spacing w:after="0" w:line="8"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4" w:lineRule="exact"/>
        <w:rPr>
          <w:rFonts w:ascii="Arial" w:cs="Arial" w:eastAsia="Arial" w:hAnsi="Arial"/>
          <w:sz w:val="18"/>
          <w:szCs w:val="18"/>
          <w:color w:val="auto"/>
        </w:rPr>
      </w:pPr>
    </w:p>
    <w:p>
      <w:pPr>
        <w:jc w:val="both"/>
        <w:ind w:left="660" w:hanging="328"/>
        <w:spacing w:after="0" w:line="257"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False Claims Act, which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and violations of the FDCA, the federal government pricing laws, and the federal Anti-Kickback Statute trigger liability under the federal False Claims Act;</w:t>
      </w:r>
    </w:p>
    <w:p>
      <w:pPr>
        <w:spacing w:after="0" w:line="20"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or making false statements relating to healthcare matters;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HIPAA, as amended by the HITECH, and their respective implementing regulations, also imposes obligations, including mandatory contractual terms, with respect to safeguarding the privacy, security and transmission of individually identifiable health information;</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Open Payments Act (the former Physician Payments Sunshine Act) requires applicable manufacturers of covered drugs to report payments and other transfers of value to physicians, other healthcare providers and teaching hospitals, as well as ownership and investment interests held by physicians and their immediate family members;</w:t>
      </w:r>
    </w:p>
    <w:p>
      <w:pPr>
        <w:spacing w:after="0" w:line="8"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gift ban and transparency statutes, which may apply to sales or marketing arrangements and claims involving healthcare items or services reimbursed by state Medicaid or other programs, or non-governmental third party payors, including private insurers, and which are not preempted by federal laws and often differ from state to state, thus complicating compliance efforts; and</w:t>
      </w:r>
    </w:p>
    <w:p>
      <w:pPr>
        <w:spacing w:after="0" w:line="1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 state laws restricting interactions with healthcare providers and other members of the healthcare community or requiring pharmaceutical manufacturers to implement certain compliance standards, which vary from state to state.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 breadth of these U.S. laws, and their non-U.S. equivalents, and the narrowness of the statutory exceptions and safe harbors available, it is possible that some of our business activities could be subject to challenge under one or more of such laws. In addition, recent healthcare reforms have strengthened these laws. For example, the Health Care Reform Act, among other things, amended the intent requirement of the federal Anti-Kickback Statute. A person or entity no longer needs to have actual knowledge of the statute or specific intent to violate the law. The Health Care Reform Act also amended the False Claims Act, such that violations of the Anti-Kickback Statute are now deemed violations of the False Claims Act.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such as the Pharmaceutical Research and Manufacturers of America Code on Interactions with Health Care Professionals. Additionally, some state and local laws require the registration and specific training of pharmaceutical sales representatives in the jurisdiction. State and foreign laws also govern the privacy and security of health information in some circumstances, many of which differ from each other in significant ways and often are not preempted by HIPAA.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Efforts to ensure that our business complies with applicable healthcare laws and regulations involve substantial costs and require us to expend significant resources. One of the potential areas for governmental scrutiny involves federal and state requirements for pharmaceutical manufacturers to submit accurate price reports to the government.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or potential qui tam complaints, and it is possible that such reviews could result in changes, recalculations, or defense costs that may have adverse legal or financial consequences.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any of which could materially adversely affect our business and would result in increased costs and diversion of management attention and could negatively impact the development, regulatory approval and commercialization of Auryxia or Vafseo, any of which could have a material adverse effect on our business. Further,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will incur significant liability if it is determined that we are promoting any “off-label” use of Auryxia, Vafseo or any other product we may develop, in-license or acquire or if it is determined that any of our activities violates the federal Anti-Kickback Statute.</w:t>
      </w:r>
    </w:p>
    <w:p>
      <w:pPr>
        <w:spacing w:after="0" w:line="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Physicians are permitted to prescribe drug products for uses that differ from those approved by the FDA or other applicable regulatory agencies. Although the FDA and other regulatory agencies do not regulate a physician’s choice of treatments, the FDA and other regulatory agencies do restrict manufacturer communications regarding unapproved uses of an approved drug. Companies are not permitted to promote drugs for unapproved uses or in a manner that is inconsistent with the FDA-approved labeling. There are also restrictions about making comparative or superiority claims based on safety or efficacy that are not supported by substantial evidence. Accordingly, we may not promote Auryxia in the U.S. for use in any indications other than the Hyperphosphatemia Indication and for the treatment of IDA in adult</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NDD-CKD patients, and Vafseo for the treatment of anemia due to CKD in adults who have been receiving dialysis for at least three months, and all promotional claims must be consistent with the FDA-approved labeling for Auryxia or Vafseo, as applicable.</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Promoting a drug off-label is a violation of the FDCA and can give rise to liability under the federal False Claims Act, as well as under additional federal and state laws and insurance statutes. The FDA, the Department of Justice and other regulatory and enforcement authorities enforce laws and regulations prohibiting promotion of off-label uses and the promotion of products for which marketing approval has not been obtained, as well as the false advertising or misleading promotion of drugs. In September 2021, the FDA published final regulations which describe the types of evidence that the agency will consider in determining the intended use of a drug product. In addition, laws and regulations govern the distribution and tracing of prescription drugs and prescription drug samples, including the Prescription Drug Marketing Act of 1976 and the Drug Supply Chain Security Act, which regulate the distribution and tracing of prescription drugs and prescription drug samples at the federal level and set minimum standards for the regulation of drug distributors by the states. A company that is found to have improperly promoted off-label uses or to have otherwise engaged in false or misleading promotion or improper distribution of drugs will be subject to significant liability, potentially including civil and administrative remedies as well as criminal sanctions. It may also be subject to exclusion and debarment from federal healthcare reimbursement programs.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the agency’s non-binding policies governing the distribution of scientific information</w:t>
      </w:r>
    </w:p>
    <w:p>
      <w:pPr>
        <w:jc w:val="both"/>
        <w:spacing w:after="0" w:line="256" w:lineRule="auto"/>
        <w:rPr>
          <w:sz w:val="20"/>
          <w:szCs w:val="20"/>
          <w:color w:val="auto"/>
        </w:rPr>
      </w:pPr>
      <w:r>
        <w:rPr>
          <w:rFonts w:ascii="Arial" w:cs="Arial" w:eastAsia="Arial" w:hAnsi="Arial"/>
          <w:sz w:val="18"/>
          <w:szCs w:val="18"/>
          <w:color w:val="auto"/>
        </w:rPr>
        <w:t xml:space="preserve">on unapproved uses of approved products to healthcare providers. This final guidance calls for such communications to be truthful, non-misleading, factual, and unbiased and includes all information necessary for healthcare providers to interpret the strengths and weaknesses and validity and utility of the information about unapproved use. In addition, under some relatively recent guidance from the FDA and the Pre-Approval Information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signed into law as part of the Consolidated Appropriations Act of 2023, or the </w:t>
      </w:r>
      <w:r>
        <w:rPr>
          <w:rFonts w:ascii="Arial" w:cs="Arial" w:eastAsia="Arial" w:hAnsi="Arial"/>
          <w:sz w:val="18"/>
          <w:szCs w:val="18"/>
          <w:u w:val="single" w:color="auto"/>
          <w:color w:val="auto"/>
        </w:rPr>
        <w:t>Consolidated Appropriations Act</w:t>
      </w:r>
      <w:r>
        <w:rPr>
          <w:rFonts w:ascii="Arial" w:cs="Arial" w:eastAsia="Arial" w:hAnsi="Arial"/>
          <w:sz w:val="18"/>
          <w:szCs w:val="18"/>
          <w:color w:val="auto"/>
        </w:rPr>
        <w:t>, companies may also provide information that is consistent with a product's FDA approved-labeling and proactively speak to formulary committee members of payors regarding certain types of data and information for an unapproved drug or unapproved uses of an approved drug. We intend to engage in these discussions and communicate with healthcare providers, payors and other constituencies in compliance with all applicable laws, regulatory guidance and industry best practices. Although we believe we have put in place a robust compliance program and processes designed to ensure that all such activities are performed in a legal and compliant manner, such program and processes may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not be sufficient to deter or detect all violations, and we will need to carefully navigate the FDA’s various regulations, guidance and policies, along with recently enacted legislation, to ensure compliance with restrictions governing promotion of our products.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if a company’s activities are determined to have violated the federal Anti-Kickback Statute, this will also give rise to liability under the federal False Claims Act and such violations can result in significant fines, criminal and civil remedies, and exclusion from Medicare and Medicaid. There is increased government focus on relationships between the pharmaceutical industry and physicians, pharmacies (especially specialty pharmacies), and other sources of referrals. Common industry activities, such as speaker programs, insurance assistance and support, relationships with foundations providing copayment assistance, and relationships with patient organizations and patients are receiving increased governmental attention. If any of our relationships or activities is determined to violate applicable federal and state anti-kickback laws, false claims laws, or other laws or regulations, the company and/or company executives, employees, and other representatives could be subject to significant fines and criminal sanctions, imprisonment, and potential exclusion from Medicare and Medicaid, and could harm our reputation or result in significant legal expenses and distraction of management.</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and comparable regulatory agencies in foreign jurisdictions, such as the EMA and The Committee for Medicinal Products,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recent loss of FDA leadership and personnel could lead to disruptions and delays in FDA guidance, or review and approval of our products and product candidates. Pursuant to President Trump's E.O. 14210, “Implementing the President’s ‘Department of Government Efficiency’ Workforce Optimization Initiative,” the Secretary of HHS announced on March 27, 2025, a reorganization and reduction in force across HHS of approximately 20,000 employees (82,000 to 62,000), with FDA’s workforce of approximately 20,000 to decrease by 3,500 full-time employees. Subsequently, the FDA indicated that roughly a quarter of those employees who received termination notices had been reinstated. On July 14, 2025, following litigation reaching the U.S. Supreme Court, the administration began to carry out these layoffs across HHS, including the FDA. There are also ongoing deliberations within the administration and Congress over potentially substantial proposed cuts to the overall budget for HHS and funding of the FDA for the 2026 federal fiscal year.</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while the FDA’s review of marketing applications and other activities for new drugs and biologics is largely funded through the user fee program established under PDUFA, it remains unclear how the administration’s reduction in force and budget cuts will impact this program and the ability of the FDA to provide guidance and review our product candidates in a timely manner. For example, while the FDA reduction in force did not reportedly specifically target FDA reviewers, many operations, administrative and policy staff that help support such reviews were affected and those losses could lead to delays in PDUFA reviews and related activities. As of July 15, 2025, there has been at least one report in which the FDA failed to meet a PDUFA goal date for approval of an NDA due to heavy workload and limited resources. In addition, while currently unclear, there is a risk that the reduction in 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several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R&amp;D, and clinical testing. These U.S. government actions have included,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R&amp;D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to properly capitalize and continue our operations.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same time, disruptions at the FDA and other government agencies may result from public health events similar to the COVID-19 pandemic. For example, during the pandemic, several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Accordingly, if any of the foregoing developments and others impact the ability of the FDA to provide us with guidance regarding our clinical development programs or delay the agency’s review and processing of our regulatory submissions, including INDs and NDAs, our business would be negatively impacted. Further, any future government shutdown could impact our ability to access the public markets and obtain necessary capital to properly capitalize and continue our operations.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Compliance with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GDPR, which took effect across all member states of the EEA, in May 2018. Following the withdrawal of the UK from the EU, the UK Data Protection Act 2018 applies to the processing of personal data that takes place in the UK and includes parallel obligations to those set forth by GDPR. The GDPR is wide-ranging in scope and imposes numerous requirements on companies that process personal data when required, including requirements relating to processing health and other sensitive data, obtaining consent of the individuals to whom the personal data relates, when required, providing information to individuals regarding data processing activities, implementing safeguards to protect the security and confidentiality of personal data, providing notification of data breaches, and taking certain measures when engaging third party processors. The GDPR increases our obligations as a sponsor in clinical trials in the EEA by expanding the definition of personal data to include coded data and requiring changes to informed consent practices and more detailed notices for clinical trial patients and investigators. The GDPR also permits data protection authorities to require destruction of improperly gathered or used personal information and/or impose substantial fines for violations of the GDPR, which can be up to four percent of the total worldwide annual turnover of a group of companies from the preceding financial year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 and permits EU Member States to adopt further penalties for violations that are not subject to the administrative fines outlined in the GDPR.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GDPR also imposes strict rules on the transfer of personal data to countries outside the EU, including the U.S. and, as a result, increases the scrutiny that we should apply to transfers of personal data from such sites to countries that are considered to lack an adequate level of data protection, such as the U.S. There is ongoing uncertainty about the transfer mechanisms that companies rely upon to enable the legal transfer of personal data from the EU to other countries. For example, in July 2020, the Court of Justice of the European Union invalidated the EU-U.S. Privacy Shield, one of the mechanisms used to legitimize the transfer of personal data from the EEA to the U.S. Although a new Data Privacy Framework has been adopted, as court decisions and regulatory guidance evolves, challenges remain with respect to GDPR compliance. Companies must continue to monitor the regulatory landscape and implement necessary changes, all of which may be costly and may put the company out of compliance while any changes are being implemented.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and the GDPR, respectively. The UK and the U.S. have also agreed to a U.S.-UK “Data Bridge”, which functions similarly to the EU-U.S. Data Privacy Framework and provides an additional legal mechanism for companies to transfer data from the UK to the U.S. In addition to the UK, Switzerland has approved an adequacy decision in relation to the Swiss-U.S. Data Privacy Framework (which would function similarly to the EU-U.S. Data Privacy Framework and the U.S.-UK Data Bridge in relation to data transfers from Switzerland to the U.S.). Any changes or updates to these developments have the potential to impact our business.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October 2022, President Biden signed an executive order to implement the EU-U.S. Data Privacy Framework, which serves as a replacement to the EU-U.S. Privacy Shield. The EU initiated the process to adopt an adequacy decision for the EU-U.S. Data Privacy Framework in December 2022, and the EC adopted the adequacy decision on July 10, 2023. The adequacy decision permits U.S. companies who self-certify to the EU-U.S. Data Privacy Framework to rely on it as a valid data transfer mechanism for data transfers from the EU to the U.S. However, some privacy advocacy groups have challenged or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 internationally.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 privacy and data security requirements are either in place or underway in the U.S. There are a broad variety of data protection laws that may be applicable to our activities, and a range of enforcement agencies at both the state and federal levels that can review companies for privacy and data security concerns. The Federal Trade Commission, or the FTC, and state Attorneys General all are aggressive in reviewing privacy and data security protections for consumers.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Laws also are being considered at both the state and federal levels. For example, the CCPA, which went into effect on January 1, 2020, and the CPRA, which amends CCPA by expanding the scope and applicability, while also introducing new privacy protections, is creating similar risks and obligations as those created by GDPR. In November 2020, California voters passed a ballot initiative for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protections for sensitive personal information, and requiring greater disclosures related to notice to residents regarding retention of information. The CPRA also creates a new agency that is specifically responsible for enforcing the new law and other California privacy laws. Because of this, we may need to engage in additional activities (e.g., data mapping) to identify the personal information we are collecting and the purposes for which such information is collected. In addition, we will need to ensure that our policies recognize the rights granted to consumers (as that phrase is broadly defined in the CCPA and can include business contact information).</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recent months, the Officer of Civil Rights, or </w:t>
      </w:r>
      <w:r>
        <w:rPr>
          <w:rFonts w:ascii="Arial" w:cs="Arial" w:eastAsia="Arial" w:hAnsi="Arial"/>
          <w:sz w:val="18"/>
          <w:szCs w:val="18"/>
          <w:u w:val="single" w:color="auto"/>
          <w:color w:val="auto"/>
        </w:rPr>
        <w:t>OCR</w:t>
      </w:r>
      <w:r>
        <w:rPr>
          <w:rFonts w:ascii="Arial" w:cs="Arial" w:eastAsia="Arial" w:hAnsi="Arial"/>
          <w:sz w:val="18"/>
          <w:szCs w:val="18"/>
          <w:color w:val="auto"/>
        </w:rPr>
        <w:t>, has been especially active in enforcing the HIPAA rules.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Additionally, OCR is looking to amend the HIPAA Security Rule, which (if and when finalized) could create additional compliance obligations and risk for our business.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are also increased restrictions at the federal level relating to transferring sensitive data outside of the U.S.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could lead to government enforcement actions, private litigation and significant fines and penalties against us, all of which could increase our cost of doing business and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Legislative and regulatory healthcare reform may increase the difficulty and cost for us to obtain marketing approval of and commercialize our product candidates and affect the prices we may obtain for any products that are approved in the U.S. or foreign jurisdictions.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U.S. and some foreign jurisdictions, there have been several legislative and regulatory changes and proposed changes regarding the healthcare system that could prevent or delay marketing approval of any product candidate, restrict or regulate post-approval activities and affect our ability to profitably sell Auryxia and Vafseo. The pharmaceutical industry has been a particular focus of these efforts and has been significantly affected by legislative initiatives. Current laws, as well as other healthcare reform measures that may be adopted in the future, may result in more rigorous coverage criteria and additional downward pressure on the price that we receive for any FDA approved product, such as Auryxia or Vafseo or any reimbursement that physicians receive for administering any approved product.</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the U.S. the Medicare Prescription Drug, Improvement, and Modernization Act of 2003, or the </w:t>
      </w:r>
      <w:r>
        <w:rPr>
          <w:rFonts w:ascii="Arial" w:cs="Arial" w:eastAsia="Arial" w:hAnsi="Arial"/>
          <w:sz w:val="18"/>
          <w:szCs w:val="18"/>
          <w:u w:val="single" w:color="auto"/>
          <w:color w:val="auto"/>
        </w:rPr>
        <w:t>MMA</w:t>
      </w:r>
      <w:r>
        <w:rPr>
          <w:rFonts w:ascii="Arial" w:cs="Arial" w:eastAsia="Arial" w:hAnsi="Arial"/>
          <w:sz w:val="18"/>
          <w:szCs w:val="18"/>
          <w:color w:val="auto"/>
        </w:rPr>
        <w:t>,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Auryxia and any other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March 2010, President Obama signed into law the Patient Protection and Affordable Care Act, as amended by the Health Care and Education Reconciliation Act of 2010, or, collectively, the </w:t>
      </w:r>
      <w:r>
        <w:rPr>
          <w:rFonts w:ascii="Arial" w:cs="Arial" w:eastAsia="Arial" w:hAnsi="Arial"/>
          <w:sz w:val="18"/>
          <w:szCs w:val="18"/>
          <w:u w:val="single" w:color="auto"/>
          <w:color w:val="auto"/>
        </w:rPr>
        <w:t>ACA</w:t>
      </w:r>
      <w:r>
        <w:rPr>
          <w:rFonts w:ascii="Arial" w:cs="Arial" w:eastAsia="Arial" w:hAnsi="Arial"/>
          <w:sz w:val="18"/>
          <w:szCs w:val="18"/>
          <w:color w:val="auto"/>
        </w:rPr>
        <w:t>. In addition, other legislative and regulatory changes have been proposed and adopted since the ACA was enacted. These changes include the Budget Control Act of 2011, which, among other things, led to aggregate reductions to Medicare payments to providers of up to 2% per fiscal year, which will remain in effect through 2031.</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current legislation, the actual reductions in Medicare payments may vary up to 4%. The Consolidated Appropriations Act, which was signed into law by President Biden in December 2022, made several changes to sequestration of the Medicare program. Section 1001 of the Consolidated Appropriations Act delays the 4% Statutory Pay-As-You-Go Act of 2010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American Taxpayer Relief Act of 2012, which, among other things, reduced Medicare payments to several types of providers and increased the statute of limitations period for the government to recover overpayments to providers from three to five years. In addition, other legislative and regulatory changes have been proposed, but not yet adopted. For example, in July 2019, HHS proposed regulatory changes in kidney health policy and reimbursement. Any new legislative or regulatory changes may result in additional reductions in Medicare and other healthcare funding and otherwise affect the prices we may obtain for Auryxia or Vafseo or the frequency with which Auryxia and Vafseo is prescribed or used.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and prices of prescription pharmaceuticals have also been the subject of considerable discussion in the U.S.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addition, in October 2020, the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w:t>
      </w:r>
      <w:r>
        <w:rPr>
          <w:rFonts w:ascii="Arial" w:cs="Arial" w:eastAsia="Arial" w:hAnsi="Arial"/>
          <w:sz w:val="18"/>
          <w:szCs w:val="18"/>
          <w:u w:val="single" w:color="auto"/>
          <w:color w:val="auto"/>
        </w:rPr>
        <w:t>PhRMA</w:t>
      </w:r>
      <w:r>
        <w:rPr>
          <w:rFonts w:ascii="Arial" w:cs="Arial" w:eastAsia="Arial" w:hAnsi="Arial"/>
          <w:sz w:val="18"/>
          <w:szCs w:val="18"/>
          <w:color w:val="auto"/>
        </w:rPr>
        <w:t>, but the case was dismissed by a federal district court in February 2023 after the court found that PhRMA did not have standing to sue HHS. Seven states (Colorado, Florida, Maine, New Hampshire, New Mexico, Texas and Vermont) have passed laws allowing for the importation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 drugs from Canada. North Dakota and Virginia have passed legislation establishing workgroups to examine the impact of a state importation program. As of May 2024, five states (Colorado, Florida, Maine, New Hampshire and New Mexico) have submitted Section 804 Importation Program proposals to the FDA. Vermont has submitted a concept letter to HHS. On January 5, 2024, the FDA approved Florida’s plan for Canadian drug importation. Florida now has authority to import certain drugs from Canada for a period of two years once certain conditions are met. Florida will first need to submit a pre-import request for each drug selected for importation, which must be approved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FDA. The state will also need to relabel the drugs and perform quality testing of the products to meet FDA standards. On May 21, 2025,</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FDA announced that it would offer individual states the opportunity to submit a draft proposal for pre-review and meet with the agency to obtain initial feedback from FDA prior to formally submitting their section 804 importation program (SIP) proposal. The intent of these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meetings is to assist states in developing their proposals by further clarifying requirements, enhancing the quality of proposals submitted to the agency and ultimately shortening the review timeline.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an oral drug, Auryxia was covered by Medicare under Part D until January 1, 2025. In January 2011, CMS implemented the ESRD PPS, a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w:t>
      </w:r>
    </w:p>
    <w:p>
      <w:pPr>
        <w:spacing w:after="0" w:line="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of January 2025, oral-only ESRD-related drugs without injectable or intravenous equivalents, including Auryxia and other phosphate lowering medications, are included in the ESRD bundle and separate Medicare payment for these drugs is no longer available under Medicare Part D. However, ESRD facilities will receive a TDAPA for Auryxia for a period of at least two years starting on January 1, 2025 based on ASP. After the TDAPA period for Auryxia and other oral-only phosphorus lowering drugs, a permanent adjustment will be made by CMS to the base rate payment for each Medicare dialysis treatment to account for these drug costs. Vafseo, which we began selling in January 2025, is also included in the ESRD bundle and ESRD facilities will receive a TDAPA for Vafseo as a new renal dialysis drug meeting certain criteria for a period of no more than two years starting on January 1, 2025. The TDAPA provides separate payment based on Vafseo's ASP that will be in addition to the base rate to facilitate the adoption of innovative therapies. After the two-year TDAPA period for Vafseo, for a period of three additional years, a Medicare payment adjustment will be made for each dialysis treatment to account for the costs of Vafseo, based on 65% of its ASP. If the TDAPA reimbursement amount for Auryxia or Vafseo is lower than anticipated, or if TDAPA is eliminated, it would have an adverse impact on our revenue. There can be no assurances that any increase in the Medicare bundled payment will be sufficient to adequately reimburse dialysis facilities for the costs of Auryxia or Vafseo at an amount that allows us to continue to sell our products at a profit.</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July 2024, Ardelyx filed a complaint in the United States District Court for the District of Columbia against HHS, CMS and other parties, which alleged that CMS’s plan to include oral-only phosphate lowering therapies in the ESRD PPS violated its statutory and regulatory authority under the Medicare Improvements for Patients and Providers Act, which established the ESRD PPS bundled payment system for dialysis services. In October 2024, Ardelyx filed a motion for a preliminary injunction to enjoin CMS from including oral-only phosphate lowering therapies in the ESRD PPS. CMS had earlier filed a motion to dismiss the complaint on jurisdictional grounds. On November 8, 2024, the district court denied Ardelyx’s motion for a preliminary injunction and it granted the government’s motion to dismiss. Thereafter, Ardelyx moved for reconsideration, but the district court also denied that request. On December 26, 2024, Ardelyx filed a notice of appeal with the US Court of Appeals for the DC Circuit. Briefing of the case has been completed and oral argument is scheduled for September 25, 2025. If Ardelyx is successful in its claims, oral-only phosphate lowering therapies, including Auryxia, may be removed from the ESRD bundle, which could reduce anticipated revenue for Auryxia.</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16, 2022, the Inflation Reduction Act of 2022, or IRA, was signed into law by President Biden. The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 We consider many factors when we implement a price increase for a product, including historical and potential future inflation rates. However, there are many variables that are outside of our control and if we increase the price of Auryxia or Vafseo faster than the pace of inflation, we would be subject to additional rebates under Medicare, which could have a material adverse effect on our product revenues.</w:t>
      </w:r>
    </w:p>
    <w:p>
      <w:pPr>
        <w:spacing w:after="0" w:line="5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With respect to price negotiations, Congress authorized Medicare to negotiate lower prices for certain costly single-source drug and biologic products that do not have competing generics or biosimilars and are reimbursed under Medicare Part B and Part D. CMS may negotiate</w:t>
      </w:r>
    </w:p>
    <w:p>
      <w:pPr>
        <w:jc w:val="both"/>
        <w:spacing w:after="0" w:line="226" w:lineRule="auto"/>
        <w:rPr>
          <w:sz w:val="20"/>
          <w:szCs w:val="20"/>
          <w:color w:val="auto"/>
        </w:rPr>
      </w:pPr>
      <w:r>
        <w:rPr>
          <w:rFonts w:ascii="Arial" w:cs="Arial" w:eastAsia="Arial" w:hAnsi="Arial"/>
          <w:sz w:val="18"/>
          <w:szCs w:val="18"/>
          <w:color w:val="auto"/>
        </w:rPr>
        <w:t>prices for ten high-cost drugs paid for by Medicare Part D starting in 2026, followed by 15 Part D drugs in 2027, 15 Part B or Part D drugs in 2028, and 20 Part B or Part D drugs in 2029 and beyond. This provision applies to drug products that have been approved for at least 9</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years and biologics that have been licensed for 13 years, but it does not apply to drugs and biologics that have been approved for a single rare disease or condition. With passage of the One Big Beautiful Bill Act on July 3, 2025, which was signed into law on July 4, 2025, Congress extended this exemption to drugs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biologics with multiple orphan drug designations. On August 15, 2024, HHS published the results of the first Medicare drug price negotiations for ten selected drugs that treat a range of conditions, including diabetes, CKD and rheumatoid arthritis. The prices of these ten drugs will become effective January 1, 2026. Subsequently, on January 17, 2025, HHS announced its selection of 15 additional drugs covered by Part D for the second cycle of negotiations. This second cycle of negotiations with participating drug companies will occur during 2025, and any negotiated prices for this second set of drugs will be effective starting January 1, 2027. CMS issued a public statement on January 29, 2025, declaring that lowering the cost of prescription drugs is a top priority of the new administration and CMS is committed to considering opportunities to bring greater transparency in the negotiation program.</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law also caps Medicare out-of-pocket drug costs at an estimated $2,000.</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June 6, 2023, Merck &amp; Co. Inc.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Boehringer Ingelheim, and Teva also filed lawsuits in various courts with constitutional and APA claims against the HHS and CMS. There have been various decisions by the courts considering these cases since they were filed. The HHS has generally won the substantive disputes in these cases or succeeded in getting claims dismissed for lack of standing. Most of these cases are now on appeal. On October 30, 2024, the U.S. Court of Appeals for the Third Circuit heard oral argument in three of these cases. On May 8, 2025, the Third Circuit rejected AstraZeneca’s challenge to the Medicare price negotiation program, finding that the program did not violate the company’s due process rights under the constitution since there is no protected property interest in selling goods to Medicare beneficiaries at a price higher than what the government is willing to pay in reimbursement.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 recently, on April 15, 2025, President Trump issued an Executive Order which directs HHS to take steps to reduce the prices of pharmaceutical products. The new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Further, on May 12, 2025, President Trump issued an additional Executive Order calling on pharmaceutical manufacturers to voluntarily reduce the prices of medicines in the United States. The Order directs the Secretary of HHS to communicate most-favored-nation, or </w:t>
      </w:r>
      <w:r>
        <w:rPr>
          <w:rFonts w:ascii="Arial" w:cs="Arial" w:eastAsia="Arial" w:hAnsi="Arial"/>
          <w:sz w:val="18"/>
          <w:szCs w:val="18"/>
          <w:u w:val="single" w:color="auto"/>
          <w:color w:val="auto"/>
        </w:rPr>
        <w:t>MFN,</w:t>
      </w:r>
      <w:r>
        <w:rPr>
          <w:rFonts w:ascii="Arial" w:cs="Arial" w:eastAsia="Arial" w:hAnsi="Arial"/>
          <w:sz w:val="18"/>
          <w:szCs w:val="18"/>
          <w:color w:val="auto"/>
        </w:rPr>
        <w:t xml:space="preserve">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Thereafter, on May 20, 2025, HHS indicated that the proposed MFN pricing will apply only to brand products without generic or biosimilar competition and the reference foreign countries will include only those in which the branded product similarly does not have generic or biosimilar competition. Second, HHS indicated that the MFN target price will be the lowest price in a country that is a member of the Organization for Economic Co-operation and Development, or </w:t>
      </w:r>
      <w:r>
        <w:rPr>
          <w:rFonts w:ascii="Arial" w:cs="Arial" w:eastAsia="Arial" w:hAnsi="Arial"/>
          <w:sz w:val="18"/>
          <w:szCs w:val="18"/>
          <w:u w:val="single" w:color="auto"/>
          <w:color w:val="auto"/>
        </w:rPr>
        <w:t>OECD</w:t>
      </w:r>
      <w:r>
        <w:rPr>
          <w:rFonts w:ascii="Arial" w:cs="Arial" w:eastAsia="Arial" w:hAnsi="Arial"/>
          <w:sz w:val="18"/>
          <w:szCs w:val="18"/>
          <w:color w:val="auto"/>
        </w:rPr>
        <w:t xml:space="preserve">, with a gross domestic product, or </w:t>
      </w:r>
      <w:r>
        <w:rPr>
          <w:rFonts w:ascii="Arial" w:cs="Arial" w:eastAsia="Arial" w:hAnsi="Arial"/>
          <w:sz w:val="18"/>
          <w:szCs w:val="18"/>
          <w:u w:val="single" w:color="auto"/>
          <w:color w:val="auto"/>
        </w:rPr>
        <w:t>GDP</w:t>
      </w:r>
      <w:r>
        <w:rPr>
          <w:rFonts w:ascii="Arial" w:cs="Arial" w:eastAsia="Arial" w:hAnsi="Arial"/>
          <w:sz w:val="18"/>
          <w:szCs w:val="18"/>
          <w:color w:val="auto"/>
        </w:rPr>
        <w:t>, per capita of at least 60% of the U.S. GDP per capita. Based on previous estimates, there are likely at least 22 OECD countries that would satisfy this criterion.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More recently, 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products in the U.S. The letters called for engagement with the FDA and CMS within 60 days to implement these changes and</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threatened to use “every tool in our arsenal” to address what the letter characterized as “abusive drug pricing practices.” The implications and consequences of these actions and subsequent actions by the Trump Administration to compel an MFN regulatory pricing requirement in the U.S. remain unclear and uncertain and are likely to result in litigation.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or put pressure on our product pricing.</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expect that additional state and federal healthcare reform measures will be adopted in the future, any of which could limit the amounts that federal and state governments will pay for healthcare products and services, which could result in reduced demand for Auryxia or Vafseo and any product candidates for which we receive marketing approval or additional pricing pressures.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5" w:lineRule="exact"/>
        <w:rPr>
          <w:sz w:val="20"/>
          <w:szCs w:val="20"/>
          <w:color w:val="auto"/>
        </w:rPr>
      </w:pPr>
    </w:p>
    <w:p>
      <w:pPr>
        <w:ind w:left="620" w:hanging="288"/>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demand for Auryxia, Vafseo and any product candidates for which we receive marketing approval;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obtain and maintain coverage and reimbursement approval for Auryxia, Vafseo or any other approved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July 2025, changes to the Medicaid program were enacted as part of new federal legislation, H.R. 1, “One Big Beautiful Bill Act,” (Public Law 119-21). These changes include reductions in federal Medicaid funding. As a result, in some states a significant number of individuals may lose Medicaid coverage and become uninsured. These coverage losses could reduce patients’ ability to access Auryxia and Vafseo, particularly among low-income individuals receiving dialysis care. If a significant number of patients become uninsured or lose access to Medicaid benefits, our revenues from Auryxia and Vafseo could be adversely affected.</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in some countries, including EU Member States,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reporting and payment obligations under the Medicaid Drug Rebate Program, Medicare and other governmental drug pricing programs are complex and may involve subjective decisions. Any failure to properly comply with those obligations could subject us to penalties and sanctions.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condition of reimbursement by various federal and state health insurance programs, we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We are required to report any revisions to our calculation, price reporting and payment obligations previously reported or paid. Such revisions could affect our liability to federal and state payors and also adversely impact our reported financial results of operations in the period of such restatement. Further,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several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several states are authorized to impose civil monetary penalties or pursue other enforcement mechanisms against manufacturers for the untimely, inaccurate, or incomplete reporting of drug pricing information or for otherwise failing to comply with drug price transparency requirements. If we are found to have violated state law requirements, we may become subject to significant penalties or other enforcement mechanisms, which could have a material adverse effect on our business.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we become subject to investigations, restatements, or other inquiries concerning our compliance with price reporting laws and regulations, we could be required to pay or be subject to additional reimbursements, penalties, sanctions or fines, which could have a material adverse effect on our business, financial condition and results of operations. In addition, it is possible that future healthcare reform measures could be adopted, which could result in changes to how we calculate or report certain pricing information to federal and state agencies, or increased pressure on pricing and reimbursement of our products and thus have an adverse impact on our financial position or business operations.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state Medicaid programs may be slow to invoice pharmaceutical companies for calculated rebates resulting in a lag between the time a sale is recorded and the time the rebate is paid. This results in us having to carry a liability on our consolidated balance sheet for the estimate of rebate claims expected for Medicaid patients. If actual claims are higher than current estimates, our financial position and results of operations could be adversely affected.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retroactive rebates and the potential for 340B Program refunds, if we are found to have knowingly submitted any false price information related to the Medicaid Drug Rebate Program to CMS, we may be liable for civil monetary penalties. Such failure could also be grounds for CMS to terminate our Medicaid drug rebate agreement, pursuant to which we participate in the Medicaid program. In the event that CMS terminates our rebate agreement, federal payments may not be available under government programs, including Medicaid or Medicare Part B, for our covered outpatient drugs.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if we overcharge the government in connection with the Federal Supply Schedule pricing program or Tricare Retail Pharmacy Program, whether due to a misstated Federal Ceiling Price or otherwise, we are required to refund the difference to the government. Failure to make necessary disclosures and/or to identify contract overcharges can result in allegations against us under the FDCA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collaborators are also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With the passage of the CREATES Act, we are exposed to possible litigation and damages by competitors who may claim that we are not providing sufficient quantities of our approved products on commercially reasonable, market-based terms for testing in support of their ANDAs, 505(b)(2) NDAs and biosimilar product applications.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President Trump signed legislation intended to facilitate the development of generic and biosimilar products. The bill, previously known as the CREATES Act, authorizes sponsors of ANDAs, 505(b)(2) NDAs or biosimilar product applications to file lawsuits against companies holding NDAs or BLAs that decline to provide sufficient quantities of an approved reference drug or biological product on commercially reasonable, market-based terms. Drug or biological products on FDA’s drug shortage list are exempt from these new provisions unless the product has been on the list for more than six continuous months or the FDA determines that the supply of the product will help alleviate or prevent a shortage.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bring an action under the statute, the developer of a product candidate that seeks to develop the product and seek approval under an ANDA, 505(b)(2) NDA, or biosimilar product application must take certain steps to request the reference product from the reference product manufacturer, which, in the case of products covered by a REMS with elements to assure safe use, include obtaining authorization from the FDA for the acquisition of the reference product. If the reference product manufacturer does not provide the reference product and the ANDA, 505(b)(2) NDA, or biosimilar product sponsor does bring an action for failure to provide a reference product, there are certain affirmative defenses available to the reference product manufacturer, which must be shown by a preponderance of evidence, including that the NDA or BLA holder sells the reference product through agents, distributors, or wholesalers and has placed no restrictions, explicit or implicit, on selling the reference product to ANDA, 505(b)(2) or biosimilar sponsors. If the sponsor prevails in litigation, it is entitled to a court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order directing the reference product manufacturer to provide, without delay, sufficient quantities of the applicable product on commercially reasonable, market-based terms, plus reasonable attorney fees and costs.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new statutory provisions authorize a federal court to award the product developer an amount “sufficient to deter” the reference product manufacturer from refusing to provide sufficient product quantities on commercially reasonable, market-based terms, up to a certain maximum amount based on revenue earned while in noncompliance, if the court finds, by a preponderance of the evidence, that the reference product manufacturer did not have a legitimate business justification to delay providing the product or failed to comply with the court’s order. For the purposes of the statute, the term “commercially reasonable, market-based terms” is defined as (1) the nondiscriminatory price at or below the most recent wholesale acquisition cost for the product, (2) a delivery schedule that meets the statutorily defined timetable, and (3) no additional conditions on the sale.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intend to comply fully with the terms of these statutory provisions, we are still exposed to potential litigation and damages by competitors who may claim that we are not providing sufficient quantities of our approved products on commercially reasonable, market-based terms for testing in support of ANDAs, 505(b)(2) NDA applications or biosimilar product applications. Such litigation would subject us to additional litigation costs, damages and reputational harm, which could lead to lower revenues. The CREATES Act may facilitate future competition with Auryxia or Vafseo and any of our product candidates, if approved, which could impact our ability to maximize product revenue.</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use and disposal of these materials and wastes. We cannot eliminate the risk of contamination or injury from these materials. In the event of contamination or injury resulting from the use of hazardous materials by our employees, contractors or consultants,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depend on collaborations with third parties for the development and commercialization of Auryxia, an authorized generic version of Auryxia, Riona and Vafseo. If these collaborations are not successful or if our collaborators terminate their agreements with us, we may not be able to capitalize on the market potential of Auryxia, Riona and Vafseo, and our business could be materially harmed.</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Auryxia, we sublicensed the rights to commercialize Riona to JT and Torii in Japan. In addition, we granted Averoa an exclusive license to develop and commercialize ferric citrate in the Averoa Territory. In February 2025, in advance of the market entry of generic competition to our branded Auryxia following LoE, we entered into an Authorized Generic Distribution and Supply Agreement with our AG Partner, pursuant to which, since March 2025, our AG Partner has been selling an authorized generic version of Auryxia. We will be relying on our AG Partner for the commercialization of this authorized generic. If competition, including from generics other than our AG Partner, capture sales or if generics other than our authorized generic are sold at a greater discount to Auryxia’s price than anticipated, it could materially and adversely affect our expected revenues. In addition, we are responsible for supplying product to our AG Partner, and if there are problems in the supply chain, we could be subject to certain penalties, which could be substantial.</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Vafseo, we entered into a collaboration agreement with MTPC to develop and commercialize Vafseo in Japan and certain other Asian countries. Furthermore, we granted Medice an exclusive license to develop and commercialize Vafseo for the treatment of anemia in patients with CKD in the Medice Territory.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may not be able to maintain our collaborations for development and commercialization. For example, on May 13, 2022, Otsuka Pharmaceutical Co. Ltd., or </w:t>
      </w:r>
      <w:r>
        <w:rPr>
          <w:rFonts w:ascii="Arial" w:cs="Arial" w:eastAsia="Arial" w:hAnsi="Arial"/>
          <w:sz w:val="18"/>
          <w:szCs w:val="18"/>
          <w:u w:val="single" w:color="auto"/>
          <w:color w:val="auto"/>
        </w:rPr>
        <w:t>Otsuka</w:t>
      </w:r>
      <w:r>
        <w:rPr>
          <w:rFonts w:ascii="Arial" w:cs="Arial" w:eastAsia="Arial" w:hAnsi="Arial"/>
          <w:sz w:val="18"/>
          <w:szCs w:val="18"/>
          <w:color w:val="auto"/>
        </w:rPr>
        <w:t>, elected to terminate our collaboration agreements related to Vafseo, and we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subsequently negotiated a Termination and Settlement Agreement with Otsuka. This termination by Otsuka may have delayed the launch of Vafseo in Europe or other territories previously licensed to Otsuka or adversely affected how we are perceived in scientific and financial communities. In August 2023, Medice informed us that their launch of Vafseo in certain countries in the Medice Territory was going to be later than previously anticipated due to some prerequisite activities required to enable the launch. If we are unable to maintain our collaborations, we may not be able to capitalize on the market potential of our products or product candidates, and our business could be materially harmed.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any future collaborations may not be successful due to a number of important factors, including the following:</w:t>
      </w:r>
    </w:p>
    <w:p>
      <w:pPr>
        <w:spacing w:after="0" w:line="117" w:lineRule="exact"/>
        <w:rPr>
          <w:sz w:val="20"/>
          <w:szCs w:val="20"/>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63"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collaborations may be terminated in accordance with the terms of the collaboration agreements and, if terminated, may make it difficult for us to attract new collaborators or adversely affect how we are perceived in scientific and financial communities, and may result in a need for additional capital and expansion of our internal capabilities to pursue further development or commercialization of the applicable products and product candidates;</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collaborators may elect not to continue or renew development or commercialization programs based on clinical trial results, changes in their strategic focus, availability of funding or other external factors such as a business combination that diverts resources or creates competing priorities;</w:t>
      </w:r>
    </w:p>
    <w:p>
      <w:pPr>
        <w:spacing w:after="0" w:line="8" w:lineRule="exact"/>
        <w:rPr>
          <w:rFonts w:ascii="Arial" w:cs="Arial" w:eastAsia="Arial" w:hAnsi="Arial"/>
          <w:sz w:val="18"/>
          <w:szCs w:val="18"/>
          <w:color w:val="auto"/>
        </w:rPr>
      </w:pPr>
    </w:p>
    <w:p>
      <w:pPr>
        <w:jc w:val="both"/>
        <w:ind w:left="660" w:right="20" w:hanging="328"/>
        <w:spacing w:after="0" w:line="268"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our products may not commit sufficient resources to their marketing and distribution;</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we and our collaborator may have a difference of opinion regarding the development or commercialization strategy for a particular product or product candidate, and our collaborator may have ultimate decision making authority;</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activities related to research, development, supply or commercialization of Auryxia, Riona or Vafseo and any other product candidate, or that result in costly litigation or arbitration that diverts management attention and resources;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collaborations may not lead to development or commercialization of products and product candidates, if approved, in the most efficient manner or at all;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inefficiencies or structural changes in internal operations or processes of our collaborators may lead to increased expenses associated with commercializing a product, including manufacturing costs, rebates, product returns and other adjustments which would negatively impact net product revenue;</w:t>
      </w:r>
    </w:p>
    <w:p>
      <w:pPr>
        <w:spacing w:after="0" w:line="8"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significant change in the senior management team, a change in the financial condition or a change in the business operations, including a change in control or internal corporate restructuring, of any of our collaborators, could result in delayed timelines, re-prioritization of our programs, decreasing resources or funding allocated to support our programs, or termination of the collaborations; and</w:t>
      </w:r>
    </w:p>
    <w:p>
      <w:pPr>
        <w:spacing w:after="0" w:line="14"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and legal requirements.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any of these events occur, the market potential of Auryxia, including our authorized generic, Riona or Vafseo, where approved, and any other products or product candidates, could be reduced, and our business could be materially harmed. Collaborations may also divert resources, including the attention of management and other employees, from other parts of our business, which could have an adverse effect on other parts of our business, and we cannot be certain that the benefits of the collaboration will outweigh the potential risks.</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decide to enter into additional collaborations, strategic alliances, or joint ventures, or enter into additional licensing arrangements with third parties that we believe will complement or augment our and our partners' development and/or commercialization efforts with respect to Auryxia, Vafseo or any other products or product candidates both within and outside of the U.S. For example, in May 2023, we entered into the license agreement with Medice, pursuant to which we granted Medice an exclusive license to develop and commercialize Vafseo for the treatment of anemia in patients with CKD in the Medice Territory. Any of these relationships may require us to incur non-recurring and other charges, increase our near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and long-term expenditures, issue securities that dilute our existing stockholders, divert management’s attention, or disrupt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entering into additional collaborations as a result of many factors, including the following:</w:t>
      </w:r>
    </w:p>
    <w:p>
      <w:pPr>
        <w:spacing w:after="0" w:line="117" w:lineRule="exact"/>
        <w:rPr>
          <w:sz w:val="20"/>
          <w:szCs w:val="20"/>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competition in seeking appropriate collaborators;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reduced number of potential collaborators due to recent business combinations in the pharmaceutical industry;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to negotiate collaborations on acceptable terms, on a timely basis or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international rules, regulations, guidance, laws, risks or uncertainties with respect to potential partners outside of the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potential collaborator’s evaluation of Auryxia, Vafseo or any other product or product candidate may differ substantially from ours;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potential collaborator’s evaluation of our financial stability and resources;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potential collaborator’s resources and expertise;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due to an existing collaboration agreement.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are unable to enter into additional collaborations in a timely manner, or at all, we may have to delay or curtail the commercialization of Auryxia, Vafseo or the development and potential commercialization of any of our product candidates, reduce or delay our development programs, or increase our expenditures and undertake additional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or commercialize Auryxia, Vafseo or our other product candidates. For example, following the termination of our collaboration agreements with Otsuka in 2022, we incurred additional expenses in connection with the development of Vafseo in Europe and other countries.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Even if we enter into additional collaboration agreements and strategic partnerships or license our intellectual property, we may not be able to maintain them or they may be unsuccessful, which could delay our timelines or otherwise adversely affect our business.</w:t>
      </w:r>
    </w:p>
    <w:p>
      <w:pPr>
        <w:spacing w:after="0" w:line="47"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Royalties from commercial sales of Vafseo under our MTPC Agreement will likely fluctuate and will impact our rights to receive future payments under our Royalty Agreement with HCR.</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Royalty Agreement with HCR, we sold to HCR our right to receive the Royalty Interest Payments payable to us under the MTPC Agreement, subject to the Annual Cap and the Aggregate Cap. After HCR receives Royalty Interest Payments equal to the Annual Cap in a given calendar year, we will receive 85% of the Royalty Interest Payments for the remainder of that year. After HCR receives Royalty Interest Payments equal to the Aggregate Cap, or we pay the Aggregate Cap to HCR (net of the Royalty Interest Payments already received by HCR), the Royalty Interest Payments will revert back to us, and HCR would have no further right to any Royalty Interest Payments. We received $44.8 million from HCR (net of certain transaction expenses) under the Royalty Agreement.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royalty revenues under the MTPC Agreement may fluctuate considerably because they depend upon, among other things, the rate of growth of sales of Vafseo in the territory covered by the MTPC Agreement. Negative fluctuations in these royalty revenues could delay, diminish or eliminate our ability to receive 85% of the Royalty Interest Payments after the Annual Cap is achieved in a given calendar year, or our ability to receive 100% of the Royalty Interest Payments after the Aggregate Cap is achieved.</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rely upon third parties to conduct all aspects of our product manufacturing and commercial distribution, and in many instances only have a single supplier or distributor, and the loss of these manufacturers or distributors, their failure to supply us on a timely basis, or at all, or their failure to successfully carry out their contractual duties or comply with regulatory requirements, cGMP requirements or guidance could cause delays in or disruptions to our supply chain and substantially harm our business.</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have any manufacturing facilities and do not expect to independently manufacture any products or product candidates. We currently rely, and expect to continue to rely, on third-party manufacturers to produce all of our commercial, clinical and preclinical supply. We also utilize third parties for the commercial distribution of Auryxia and Vafseo, including wholesale distributors and certain specialty pharmacy providers. Our reliance on third-party manufacturers, who have control over the manufacturing process, increases the risk that we will not have or be able to maintain or distribute sufficient quantities of Auryxia, Vafseo or any of our product candidates or the ability to obtain such quantities at an acceptable cost or quality, which could delay, prevent or impair our and our partners' development or commercialization efforts.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currently rely on a single source supplier for Auryxia drug substance and drug product, including for our authorized generic, and commercial supply from other suppliers may not be readily available. We have also engaged Cardinal Health, Inc., as the exclusive third-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party logistics distribution agent for commercial sales of Auryxia and Vafseo. If any of the following occurs, we may not have sufficient quantities of Auryxia, Vafseo or our product candidates to support our clinical trials, development, commercialization, or obtaining and maintaining marketing approvals, which could materially and adversely impact our business and results of operations:</w:t>
      </w:r>
    </w:p>
    <w:p>
      <w:pPr>
        <w:spacing w:after="0" w:line="4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we are unsuccessful in maintaining our current supply arrangements for commercial quantities of Auryxia and Vafseo;</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are unsuccessful in validating new sites;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commercial supply arrangements for Auryxia or Vafseo are terminated;</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our third-party manufacturers are unable to fulfill the terms of their agreements with us due to technical issues, natural disasters or other reasons, including with respect to quality and quantity, or are unable or unwilling to continue to manufacture on the manufacturing lines included in our regulatory filings;</w:t>
      </w:r>
    </w:p>
    <w:p>
      <w:pPr>
        <w:spacing w:after="0" w:line="8"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our third-party manufacturers breach our supply agreements, do not comply with quality or regulatory requirements and guidance, including cGMP or are subject to regulatory review or ceases their operations for any reason;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our third-party distributors fail to perform or encounter any damage or other disruption at their facilities.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or any of our third-party manufacturers or distributors cannot or do not perform as agreed or expected, or any of our customers were to experience further shutdowns, delays or other business disruptions, including as a result of catastrophic events, including pandemics, terrorist attacks, wars or other armed conflicts, geopolitical tensions, tariffs, trade agreement disputes, or natural disasters, if they misappropriate our proprietary information, if they terminate their engagements with us, if we terminate our engagements with them, or if there is a significant disagreement, we may be forced to manufacture or distribute the materials ourselves, for which we currently do not have the capabilities or resources, or enter into agreements with other third-party manufacturers or distributors, which we may not be able to do in a timely manner or on favorable or reasonable terms, if at all. If any of these events occur, especially with respect to one of our sole source suppliers, we may not have sufficient quantities of product for the commercial distribution of Auryxia and/or Vafseo or may experience delays in the development of our products or product candidates, which could materially and adversely impact our business and results of operation. In addition, if we do not have sufficient quantities of Auryxia, including our authorized generic, or Vafseo to satisfy the requirements of our customer and supply contracts, we may be subject to contractual penalties, which could be substantial. In some cases, there may be a limited number of qualified replacement manufacturers, or the technical skills or equipment required to manufacture a product or product candidate may be unique or proprietary to the original manufacturer and we may have difficulty transferring such skills or technology to another third party, or a feasible alternative may not exist. These factors would increase our reliance on our current manufacturers or require us to obtain necessary regulatory approvals and licenses in order to have another third-party manufacture Auryxia or Vafseo. If we are required to change manufacturers for any reason, we will be required to verify that the new manufacturer maintains facilities and procedures that comply with quality standards and with all applicable regulations and guidelines. The delays and costs associated with the qualification of a new manufacturer and validation of manufacturing processes would negatively affect our ability to supply clinical trials, obtain and maintain marketing approval, or commercialize or satisfy patient demand for Auryxia and Vafseo, where approved, in a timely manner, within budget, or at all.</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cost of obtaining Auryxia and Vafseo is subject to adjustment based on our third-party manufacturers’ costs of obtaining raw materials and producing the product. We have limited control over the production costs of Auryxia and Vafseo, including the costs of raw materials, and have seen increases in the production costs of Auryxia and Vafseo, and any significant increase in the cost of obtaining our products could materially adversely affect our revenue for Auryxia and Vafseo.</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issues that may arise in any scale-up and technology transfer and/or continued commercial scale manufacture of our products may lead to significant delays in our development, marketing approval and commercial timelines for new products or affect commercial supply of Auryxia or Vafseo and negatively impact our financial performance. For example, a production-related issue resulted in an interruption in the supply of Auryxia in the third and fourth quarters of 2016. This supply interruption negatively impacted our revenues in 2016. This supply interruption was resolved, and we have taken and continue to take actions designed to prevent future interruptions in the supply of Auryxia. However, we have experienced issues in manufacturing Auryxia, and if we experience manufacturing issues going forward, or incur additional costs, or our actions to prevent future interruptions are not successful, we may experience additional supply issues. In addition, before we can manufacture product at a new site, we must validate the process at that site. If the process validation is unsuccessful, or takes longer than we anticipate, we may have to expend additional resources and could experience a supply interruption. Any future supply interruptions, whether quality or quantity based, for Auryxia or Vafseo where approved, would negatively and materially impact our reputation and financial condition.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a limited number of manufacturers that are capable of manufacturing Auryxia and Vafseo for us and complying with cGMP regulations and guidance and other stringent regulatory requirements and guidance enforced by the FDA, EMA, PMDA and other global regulatory authorities. These requirements include, among other things, quality control, cGMP compliance, global regulatory requirements, and the maintenance of records and documentation. The facilities and processes used by our third-party manufacturers to manufacture Auryxia and Vafseo may be inspected by the FDA and other regulatory authorities at any time. Although we have oversight into the manufacturing processes of our third-party manufacturers, we do not ultimately control such manufacturing processes of, and have little control over, our third-party manufacturers, including, without limitation, their compliance with cGMP requirements and guidance for the manufacture of certain starting materials, drug substance and finished drug product. Similarly, although we review final production, we have little control over the ability of our third-party manufacturers to maintain adequate quality control, quality assurance and qualified personnel. Our third-party manufacturers may experience problems with their manufacturing and distribution operations and processes, including, for example, quality issues, such as product specification and stability failures, procedural deviations, improper equipment installation or operation, utility failures, contamination, natural disasters and public health epidemics. We may also encounter difficulties relating to our own quality processes and procedures, including regulatory compliance, lot release, quality control and quality assurance, as well as shortages of qualified personnel. If our third-party manufacturers cannot successfully manufacture material that conforms to our specifications and regulatory requirements and guidance, or if we or our third-party manufacturers experience manufacturing, operations and/or quality issues, including an inability or unwillingness to continue manufacturing our products at all, in accordance with agreed-upon processes or on currently validated manufacturing lines, we may not be able to supply patient demand or maintain marketing approval for Auryxia or Vafseo, and we might be required to expend additional resources to obtain material from other manufacturers. If any of these events occur, our reputation and financial condition would be negatively and materially impacted. In addition, if we have high amounts of write-downs to inventory reserves in the future, it could negatively impact our ability to supply Auryxia or Vafseo, and our financial condition could be harmed.</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FDA, EMA or other regulatory authorities withdraws any approval of the facilities being used to manufacture Auryxia, Vafseo or any of our product candidates, we may need to find alternative manufacturing facilities, which would significantly impact our ability to continue commercializing Auryxia or Vafseo in Japan, or to commercialize Vafseo in Europe and other countries, or to develop, obtain marketing approval for or market Vafseo our other product candidates, if approved.</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failure or the failure of our third-party manufacturers or distributors to comply with applicable regulations or guidance, or our failure to oversee or facilitate such compliance, could result in sanctions being imposed on us or our third-party manufacturers or distributors, including, where applicable, clinical holds, fines, injunctions, civil penalties, delays in, suspension of or withdrawal of approvals, license revocation, seizures or recalls of Auryxia or Vafseo in the U.S., Japan or Europe, operating restrictions, receipt of a Form 483 or warning letter, or criminal prosecutions, any of which could significantly and adversely affect the supply of Auryxia or Vafseo. For example, we previously conducted three limited, voluntary recalls of Auryxia. These and any other recalls or any supply, quality or manufacturing issues in the future and any related write-downs of inventory or other consequences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or Vafseo for clinical and commercial use. Also, if our starting materials, drug substance or drug product are damaged or lost while in our or our third-party manufacturers’ or distributors' control, it may adversely impact our ability to supply Auryxia or Vafseo, and we may incur significant financial harm.</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Auryxia, Vafseo and our product candidates may compete with other products and product candidates for access to third-party manufacturing facilities. A third-party manufacturer or distributor may also encounter delays or operational issues brought on by sudden internal resource constraints, labor disputes, shifting priorities or shifting regulatory protocols. Certain of these third-party manufacturing facilities may be contractually prohibited from manufacturing Auryxia, Vafseo or our product candidates due to exclusivity provisions in agreements with our competitors. Any of the foregoing could negatively impact our third-party manufacturers' or distributors' ability to meet our demand, which could adversely impact our ability to supply Auryxia, Vafseo or our product candidates, and we may incur significant financial harm.</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current and anticipated future dependence on third parties for the manufacture and distribution of Auryxia, Vafseo and our product candidates may adversely affect our and our partners' ability to commercialize Auryxia, Vafseo and our product candidates, where approved, on a timely and competitive basis and may reduce any future profit margins.</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rely upon third parties to conduct our clinical trials and certain of our preclinical studies. If they do not successfully carry out their contractual duties, comply with regulatory requirements or meet expected deadlines, we may not be able to</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obtain or maintain marketing approval for Auryxia, Vafseo or any of our product candidates, and our business could be substantially harmed.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have the ability to independently conduct certain preclinical studies and clinical trials. We are currently relying, and expect to continue to rely, upon third parties, such as CROs, clinical data management organizations, medical institutions and clinical investigators, to conduct our current and future preclinical studies and clinical trials. The third parties upon whom we rely may fail to perform effectively, or terminate their engagement with us, for a number of reasons, including the following:</w:t>
      </w:r>
    </w:p>
    <w:p>
      <w:pPr>
        <w:spacing w:after="0" w:line="9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if they experience staffing difficulties;</w:t>
      </w:r>
    </w:p>
    <w:p>
      <w:pPr>
        <w:spacing w:after="0" w:line="31" w:lineRule="exact"/>
        <w:rPr>
          <w:rFonts w:ascii="Arial" w:cs="Arial" w:eastAsia="Arial" w:hAnsi="Arial"/>
          <w:sz w:val="22"/>
          <w:szCs w:val="22"/>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we fail to communicate effectively or provide the appropriate level of oversight;</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they undergo changes in priorities or corporate structure including as a result of a merger or acquisition or other transaction, or become financially distressed;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they form relationships with other entities, some of which may be our competitors.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third parties upon whom we rely to conduct our trials fail to adhere to clinical trial protocols or to regulatory requirements, the quantity, quality or accuracy of the data obtained by the third parties may be compromised. We are exposed to risk of fraud or other misconduct by such third parties.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of these events could cause our preclinical studies and clinical trials, including post-approval clinical trials, to be extended, delayed, suspended, required to be repeated or terminated, or we may receive untitled warning letters or be the subject of an enforcement action, which could result in our failing to maintain marketing approval of Auryxia or Vafseo, or failing to obtain or maintain marketing approval for any other product candidates on a timely basis or at all, any of which would adversely affect our business operations. In addition, if the third parties upon whom we rely fail to perform effectively or terminate their engagement with us, we may need to enter into alternative arrangements, which could delay, perhaps significantly, the development and commercialization of Auryxia, Vafseo or any other product candidates.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though we do not directly control the third parties upon whom we rely to conduct our preclinical studies and clinical trials and therefore cannot guarantee the satisfactory and timely performance of their obligations to us, we are nevertheless responsible for ensuring that each of our clinical trials and preclinical studies is conducted in accordance with the applicable protocol, legal and regulatory requirements, including GxP requirements, and scientific standards, and our reliance on these third parties, including CROs, will not relieve us of our regulatory responsibilities. If we or any of our CROs, their subcontractors, or clinical or preclinical trial sites fail to comply with applicable GxP requirements, the clinical data generated in our trials may be deemed unreliable or insufficient, our clinical trials could be put on hold, and/or the FDA, the EMA or other regulatory authorities may require us to perform additional clinical trials before approving our marketing applications. In addition, our clinical and preclinical trials must be conducted with drug product that meets certain specifications and is manufactured under applicable cGMP regulations. These requirements include, among other things, quality control, quality assurance, and the satisfactory maintenance of records and documentation.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rely upon third parties to store and distribute drug product for our clinical trials. For example, we use third parties to store product at various sites in the U.S. to distribute to our clinical trial sites. Any performance failure on the part of our storage or distributor partners could delay clinical development, marketing approval or commercialization, resulting in additional costs and depriving us of potential product revenue.</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the licensor of certain intellectual property relating to Auryxia terminates, modifies or threatens to terminate existing contracts or relationships with us, our business may be materially harmed.</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do not own all of the rights to our product, Auryxia. We have licensed and sublicensed certain rights, patent and otherwise, to Auryxia from a third party, Panion, who in turn licenses certain rights to Auryxia from one of the inventors of Auryxia. The license agreement with Panion, or the </w:t>
      </w:r>
      <w:r>
        <w:rPr>
          <w:rFonts w:ascii="Arial" w:cs="Arial" w:eastAsia="Arial" w:hAnsi="Arial"/>
          <w:sz w:val="18"/>
          <w:szCs w:val="18"/>
          <w:u w:val="single" w:color="auto"/>
          <w:color w:val="auto"/>
        </w:rPr>
        <w:t>Panion License Agreement</w:t>
      </w:r>
      <w:r>
        <w:rPr>
          <w:rFonts w:ascii="Arial" w:cs="Arial" w:eastAsia="Arial" w:hAnsi="Arial"/>
          <w:sz w:val="18"/>
          <w:szCs w:val="18"/>
          <w:color w:val="auto"/>
        </w:rPr>
        <w:t xml:space="preserve">, requires us to meet development milestones and imposes development and commercialization due diligence requirements on us. In addition, under the Panion License Agreement, we must pay royalties based on a mid-single digit percentage of net sales of product resulting from the licensed technologies, including Auryxia, and pay the patent filing, prosecution and maintenance costs related to the license. If we do not meet our obligations in a timely manner, or if we otherwise breach the terms of the Panion License Agreement, Panion could terminate the agreement, and we would lose the rights to Auryxia. For example, following announcement of the Merger, Panion notified us in writing that Panion would terminate the Panion License Agreement on November 21, 2018 if we did not cure the breach alleged by Panion, specifically, that we failed to use commercially reasonable best efforts to commercialize Auryxia outside the U.S. We disagreed with Panion’s claims, and the parties entered discussions to resolve this dispute. On October 24, 2018, prior to the consummation of the Merger, we and Panion entered into a letter agreement, or the </w:t>
      </w:r>
      <w:r>
        <w:rPr>
          <w:rFonts w:ascii="Arial" w:cs="Arial" w:eastAsia="Arial" w:hAnsi="Arial"/>
          <w:sz w:val="18"/>
          <w:szCs w:val="18"/>
          <w:u w:val="single" w:color="auto"/>
          <w:color w:val="auto"/>
        </w:rPr>
        <w:t>Panion Letter Agreement</w:t>
      </w:r>
      <w:r>
        <w:rPr>
          <w:rFonts w:ascii="Arial" w:cs="Arial" w:eastAsia="Arial" w:hAnsi="Arial"/>
          <w:sz w:val="18"/>
          <w:szCs w:val="18"/>
          <w:color w:val="auto"/>
        </w:rPr>
        <w:t>, pursuant to which Panion agreed to rescind any and all prior termination threats or notices relating to the Panion License Agreement and waived its rights to terminate the license agreement based on any breach by us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of our obligation to use commercially reasonable efforts to commercialize Auryxia outside the U.S. until the parties executed an amendment to the Panion License Agreement in accordance with the terms of the Panion Letter Agreement, following consummation of the Merger. On April 17, 2019, we and Panion entered into an amendment and restatement of the Panion License Agreement, or the </w:t>
      </w:r>
      <w:r>
        <w:rPr>
          <w:rFonts w:ascii="Arial" w:cs="Arial" w:eastAsia="Arial" w:hAnsi="Arial"/>
          <w:sz w:val="18"/>
          <w:szCs w:val="18"/>
          <w:u w:val="single" w:color="auto"/>
          <w:color w:val="auto"/>
        </w:rPr>
        <w:t>Panion Amended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 Agreement</w:t>
      </w:r>
      <w:r>
        <w:rPr>
          <w:rFonts w:ascii="Arial" w:cs="Arial" w:eastAsia="Arial" w:hAnsi="Arial"/>
          <w:sz w:val="18"/>
          <w:szCs w:val="18"/>
          <w:color w:val="auto"/>
        </w:rPr>
        <w:t xml:space="preserve">, which reflects certain revisions consistent with the terms of the Panion Letter Agreement. See Note 10,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to our unaudited condensed consolidated financial statements in Part I, Item 1. Financial Statements of this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for additional information regarding the Panion Amended License Agreement. Even though we entered into the Panion Amended License Agreement, there are no assurances that Panion will not allege other breaches of the Panion Amended License Agreement or otherwise attempt to terminate the Panion Amended License Agreement in the future. In addition, if Panion breaches its agreement with the inventor from whom it licenses rights to Auryxia, Panion could lose its license, which could impair or delay our ability to develop and commercialize Auryxia.</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may have disagreements with Panion, or Panion may have disagreements with the inventor from whom it licenses rights to Auryxia, regarding the terms of the agreements or ownership of proprietary rights, which could impact the commercialization of Auryxia, could require or result in litigation or arbitration, which would be time-consuming and expensive, could lead to the termination of the Panion Amended License Agreement, or force us to negotiate a revised or new license agreement on terms less favorable than the original. In addition, in the event that the owners and/or licensors of the rights we license were to enter into bankruptcy or similar proceedings, we could potentially lose our rights to Auryxia or our rights could otherwise be adversely affected, which could prevent us from continuing to commercialize Auryxia.</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and uncertainty surrounding U.S. trade policy on tariffs could have a material adverse impact on our business, financial condition and results of operations.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Since February 2025, the Trump Administration has imposed a series of tariff-related actions against U.S. trading partners. In February 2025, the Trump Administration imposed a 25% tariff on Canada and Mexico for goods not covered by the United States-Mexico-Canada Agreement, or the </w:t>
      </w:r>
      <w:r>
        <w:rPr>
          <w:rFonts w:ascii="Arial" w:cs="Arial" w:eastAsia="Arial" w:hAnsi="Arial"/>
          <w:sz w:val="18"/>
          <w:szCs w:val="18"/>
          <w:u w:val="single" w:color="auto"/>
          <w:color w:val="auto"/>
        </w:rPr>
        <w:t>USMCA</w:t>
      </w:r>
      <w:r>
        <w:rPr>
          <w:rFonts w:ascii="Arial" w:cs="Arial" w:eastAsia="Arial" w:hAnsi="Arial"/>
          <w:sz w:val="18"/>
          <w:szCs w:val="18"/>
          <w:color w:val="auto"/>
        </w:rPr>
        <w:t xml:space="preserve">, and a 20% tariff on China. On April 2, 2025, the President imposed a 10% “baseline” reciprocal tariff on all U.S. trading partners effective April 5, 2025, and higher individualized reciprocal tariffs on 57 countries (with certain product exemptions for pharmaceutical-related products, among others). The Trump Administration has announced trade agreements with several countries – including China and the EU – with baseline tariffs ranging from 10% to 20%. On July 31, 2025, President Trump announced new reciprocal tariff rates for all U.S. trading partners. In response to the U.S. tariff changes, certain foreign countries, including China, have imposed retaliatory measures. Sustained uncertainty about, or the further escalation of, trade and political tensions between the United States and China could result in a disadvantageous research and manufacturing environment in China, particularly for U.S. based companies, including retaliatory restrictions that hinder or potentially inhibit our ability to rely on contract development and manufacturing organizations, or </w:t>
      </w:r>
      <w:r>
        <w:rPr>
          <w:rFonts w:ascii="Arial" w:cs="Arial" w:eastAsia="Arial" w:hAnsi="Arial"/>
          <w:sz w:val="18"/>
          <w:szCs w:val="18"/>
          <w:u w:val="single" w:color="auto"/>
          <w:color w:val="auto"/>
        </w:rPr>
        <w:t>CDMO</w:t>
      </w:r>
      <w:r>
        <w:rPr>
          <w:rFonts w:ascii="Arial" w:cs="Arial" w:eastAsia="Arial" w:hAnsi="Arial"/>
          <w:sz w:val="18"/>
          <w:szCs w:val="18"/>
          <w:color w:val="auto"/>
        </w:rPr>
        <w:t>s, and other service providers that operate in China.</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Separately, on April 16, 2025, the U.S. Department of Commerce announced an investigation under Section 232 of the Trade Expansion Act of 1962 into imports of pharmaceuticals and pharmaceutical ingredients, including finished drug products, active pharmaceutical ingredients, and related chemicals. President Trump has indicated he may impose tariffs of up to 200% on pharmaceutical products pursuant to this investigation.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may be negatively affected by these tariffs and any new tariff actions or trade restrictions and the underlying uncertainty and supply chain disruptions created thereby.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the geopolitical environment, including U.S. and international trade policies, particularly with respect to China, Europe or Canada, may adversely impact our business and operating results.</w:t>
      </w:r>
    </w:p>
    <w:p>
      <w:pPr>
        <w:spacing w:after="0" w:line="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Many of our manufacturers and suppliers for Auryxia and Vafseo are located in China, Europe and Canada, and we will likely continue to rely on foreign CMOs in the future. The manufacturing of our drug product for commercial use of both Auryxia and Vafseo takes place in Canada through a third-party manufacturer, Patheon Inc., or </w:t>
      </w:r>
      <w:r>
        <w:rPr>
          <w:rFonts w:ascii="Arial" w:cs="Arial" w:eastAsia="Arial" w:hAnsi="Arial"/>
          <w:sz w:val="17"/>
          <w:szCs w:val="17"/>
          <w:u w:val="single" w:color="auto"/>
          <w:color w:val="auto"/>
        </w:rPr>
        <w:t>Patheon</w:t>
      </w:r>
      <w:r>
        <w:rPr>
          <w:rFonts w:ascii="Arial" w:cs="Arial" w:eastAsia="Arial" w:hAnsi="Arial"/>
          <w:sz w:val="17"/>
          <w:szCs w:val="17"/>
          <w:color w:val="auto"/>
        </w:rPr>
        <w:t xml:space="preserve">. The manufacturing for commercial use of both Auryxia and Vafseo drug substance takes place in France and Spain, respectively. Also, the manufacturing of our drug substance and drug product for commercial supply of Vafseo takes place in China through a third-party manufacturer, STA Pharmaceutical Hong Kong Limited, a subsidiary of WuXi AppTec, or </w:t>
      </w:r>
      <w:r>
        <w:rPr>
          <w:rFonts w:ascii="Arial" w:cs="Arial" w:eastAsia="Arial" w:hAnsi="Arial"/>
          <w:sz w:val="17"/>
          <w:szCs w:val="17"/>
          <w:u w:val="single" w:color="auto"/>
          <w:color w:val="auto"/>
        </w:rPr>
        <w:t>WuXi STA</w:t>
      </w:r>
      <w:r>
        <w:rPr>
          <w:rFonts w:ascii="Arial" w:cs="Arial" w:eastAsia="Arial" w:hAnsi="Arial"/>
          <w:sz w:val="17"/>
          <w:szCs w:val="17"/>
          <w:color w:val="auto"/>
        </w:rPr>
        <w:t>. We also rely on third parties in China for the supply of raw materials used in the manufacture of Vafseo and for certain early-stage research services. Trade tensions and conflicts between the U.S. and China, Europe, Canada or other countries have recently been escalating and, as such, we are exposed to the possibility of product supply disruption and increased costs and expenses in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event of changes to the laws, rules, regulations and policies of the governments of the U.S., China, Europe, Canada or other countries, trade agreement disputes or due to geopolitical unrest and unstable economic conditions.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economic sanctions against Chinese biotechnology companies WuXi AppTec and WuXi Biologics, or collectively </w:t>
      </w:r>
      <w:r>
        <w:rPr>
          <w:rFonts w:ascii="Arial" w:cs="Arial" w:eastAsia="Arial" w:hAnsi="Arial"/>
          <w:sz w:val="18"/>
          <w:szCs w:val="18"/>
          <w:u w:val="single" w:color="auto"/>
          <w:color w:val="auto"/>
        </w:rPr>
        <w:t>WuXi</w:t>
      </w:r>
      <w:r>
        <w:rPr>
          <w:rFonts w:ascii="Arial" w:cs="Arial" w:eastAsia="Arial" w:hAnsi="Arial"/>
          <w:sz w:val="18"/>
          <w:szCs w:val="18"/>
          <w:color w:val="auto"/>
        </w:rPr>
        <w:t>, over alleged ties to the Chinese military. Escalating tensions between the United States and China may prevent or hinder the export of materials or technical information between us and our</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CDMO and third parties, such as pharmaceutical manufacturers. These third parties may voluntarily require compliance or supply chain requirements that go above and beyond potential legislation to address perceived risk of “pass through,” which would make it difficult for us to operate our business.</w:t>
      </w:r>
    </w:p>
    <w:p>
      <w:pPr>
        <w:spacing w:after="0" w:line="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in September 2024 during the 118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Congress, the U.S. House of Representatives passed the BIOSECURE Act (H.R. 8333). This bill names the following as biotechnology companies of concern: BGI, MGI, Complete Genomics, WuXi AppTec, and WuXi Biologics. The Senate advanced a substantially similar bill (S. 3558) but it did not pass. The Senate bill named the following as biotechnology companies of concern: BGI, MGI, Complete Genomics, WuXi AppTec, and any subsidiary, parent affiliate, or successor of such entities. If this legislation had been enacted into law, and while both bills had certain grandfather provision, the legislation would have potentially restricted the ability of U.S. biotechnology companies like ours to purchase services or products from, or otherwise collaborate with, specifically named Chinese biotechnology companies, including WuXi, and it would have authorized the U.S. government to impose such restrictions on entities' transactions with additional Chinese biotechnology companies as a condition of U.S. government contract, grant and loan funding. We anticipate these bills will be reintroduced during the 119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Congress but, currently, they have not been introduced in either chamber. If these bills become law, or similar laws are passed, they would have the potential to severely restrict the ability of companies like ours to contract with certain Chinese biotechnology companies of concern without losing the ability to contract with, or otherwise receive funding from, the U.S. government. Such disruptions could have adverse effects on our ability to commercialize Auryxia and Vafseo or the development of our product candidates and our business operations.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unfavorable government policies on international trade, such as export controls, capital controls or tariffs, may increase the cost of manufacturing our products and product candidates, affect the demand for our products, the competitive position of our products or product candidates, and import or export of raw materials and finished product candidate used in our preclinical studies and clinical trials, particularly with respect to any product candidates and materials that we import from China and Canada, including pursuant to our manufacturing service arrangements with WuXi STA and Patheon. If any new tariffs, export controls, legislation and/or regulations are implemented, or if existing trade agreements are renegotiated or, in particular, if either the U.S., Chinese, European, Canadian or other government takes retaliatory trade actions due to the recent trade tensions, such changes could have an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third parties may be able to use our intellectual property, which could adversely affect our ability to compete in the market.</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will depend in part on our ability, and the ability of our licensors, to obtain and maintain patent protection on our drug product and technologies, and to successfully defend these patents against third party challenges. We seek to protect our proprietary products and technology by filing patent applications in the U.S. and certain foreign jurisdictions. The process for obtaining patent protection is expensive and time consuming, and we may not be able to file and prosecute all necessary or desirable patent applications in a cost effective or timely manner. In addition, we may fail to identify patentable subject matter early enough to obtain patent protection. Further, license agreements with third parties may not allow us to control the preparation, filing and prosecution of patent applications, or the maintenance or enforcement of patents. Such third parties may decide not to enforce such patents or enforce such patents without our involvement. Thus, these patent applications and patents may not, under these circumstances, be prosecuted or enforced in a manner consistent with the best interests of the company.</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pending patent applications may not issue as patents and may not issue in all countries in which we develop, manufacture or potentially sell our products or in countries where others develop, manufacture and potentially sell products using our technologies. Moreover, our pending patent applications, if issued as patents, may not provide additional protection for our products.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patent positions of pharmaceutical and biotechnology companies can be highly uncertain and involve complex legal and factual questions. No consistent policy regarding the breadth of claims allowed in pharmaceutical and biotechnology patents has emerged to date. Changes in the patent laws or the interpretation of the patent laws in the U.S. and other jurisdictions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may diminish the value of our patents or narrow the scope of our patent protection. Accordingly, the patents we own or license may not be sufficiently broad to prevent others from practicing our technologies or from developing competing products. Furthermore, others may independently develop similar or alternative drug products or technologies or design around our patented drug products and technologies which may have an adverse effect on our business. If our competitors prepare and file patent applications in the U.S. that claim technology also claimed by us, we may have to participate in interference or derivation proceedings in front of the U.S. Patent and Trademark Office, or USPTO, to determine priority of invention, which could result in substantial cost, even if the eventual outcome is favorable to us. Because of the extensive time required for development, testing and regulatory review of a potential product, it is possible that any related patent may expire prior to, or remain in existence for only a short period following, commercialization, which may significantly diminish our ability to exclude others from commercializing products that are similar or identical to ours. The patents we own or license may be challenged or invalidated or may fail to provide us with any competitive advantage. Since we have licensed or sublicensed many patents from third parties, we may not be able to enforce such licensed patents against third party infringers without the cooperation of the patent owner and the licensor, which may not be forthcoming. In addition, we may not be successful or timely in obtaining any patents for which we submit applications.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Generally, the first to file a patent application is entitled to the patent if all other requirements of patentability are met. However, prior to March 16, 2013, in the U.S., the first to invent was entitled to the patent. Since publications of discoveries in the scientific literature often lag behind the actual discoveries, and patent applications in the U.S. and other jurisdictions are typically not published until 18 months after filing, or in some cases not at all, we cannot know with certainty whether we were the first to make the inventions claimed in our patents or pending patent applications, or that we were the first to file for patent protection of such inventions. Moreover, the laws enacted by the Leahy-Smith America Invents Act of 2011, which reformed certain patent laws in the U.S., introduce procedures that permit competitors to challenge our patents in the USPTO after grant, including inter partes review and post grant review. Similar laws exist outside of the U.S. The laws of the European Patent Convention, for example, provide for post-grant opposition procedures that permit competitors to challenge, or oppose, our European patents administratively at the European Patent Office, or </w:t>
      </w:r>
      <w:r>
        <w:rPr>
          <w:rFonts w:ascii="Arial" w:cs="Arial" w:eastAsia="Arial" w:hAnsi="Arial"/>
          <w:sz w:val="18"/>
          <w:szCs w:val="18"/>
          <w:u w:val="single" w:color="auto"/>
          <w:color w:val="auto"/>
        </w:rPr>
        <w:t>EPO</w:t>
      </w:r>
      <w:r>
        <w:rPr>
          <w:rFonts w:ascii="Arial" w:cs="Arial" w:eastAsia="Arial" w:hAnsi="Arial"/>
          <w:sz w:val="18"/>
          <w:szCs w:val="18"/>
          <w:color w:val="auto"/>
        </w:rPr>
        <w: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become involved in addressing patentability objections based on third party submission of references, or we may become involved in defending our patent rights in oppositions, derivation proceedings, reexamination, inter partes review, post grant review, interference proceedings or other patent office proceedings or litigation, in the U.S. or elsewhere, challenging our patent rights or the patent rights of others. An adverse result in any such proceeding or litigation could reduce the scope of, or invalidate, our patent rights, allow third parties to commercialize our technology or products and compete directly with us, without payment to us.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on such a basis in the courts or patent offices in the U.S. and abroad. As a result of such challenges, we may lose exclusivity or freedom-to-operate or patent claims may be narrowed, invalidated or held unenforceable, in whole or in part, which could limit our ability to prevent third parties from using or commercializing similar or identical products, or limit the duration of the patent protection for our products.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governmental patent agencies in other jurisdictions also require compliance with a number of procedural, documentary, fee payment (such as annuities) and other similar provisions during the patent application process. While an inadvertent lapse in many cases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patents protecting our product candidate might expire before or shortly after such candidate is commercialized. Thus, our patent portfolio may not provide sufficient rights to exclude others from commercializing products similar or identical to ours.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rely on trade secrets and know-how to protect our intellectual property where we believe patent protection is not appropriate or obtainable. Trade secrets are difficult to protect. While we require our employees, licensees, collaborators and consultants to enter into confidentiality agreements, this may not be sufficient to adequately protect our trade secrets or other proprietary information. In addition, in some cases, we share certain ownership and publication rights to data relating to some of our products and product candidates with research collaborators, licensees and other third parties. If we cannot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maintain the confidentiality of this information, our ability to receive patent protection or protect our trade secrets or other proprietary information will be at risk.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Filing, prosecuting and defending patents on our products and product candidates in all countries throughout the world would be prohibitively expensive. Consequently, the breadth of our intellectual property rights in some countries outside the U.S. may be less extensive than those in the U.S. In addition, the laws of some countries do not protect intellectual property rights to the same extent as laws in the U.S. As a result, we may not be able to prevent third parties from practicing our inventions in all countries outside the U.S., or from selling or importing products made using our inventions in and into the U.S. or other countries. Competitors may use our technologies in countries where we have not obtained patent protection to develop their own products and, further, may infringe our patents in territories where we have patent protection, but where enforcement is not as strong as in the U.S. These products may compete with our products and our patents or other intellectual property rights may not be effective or sufficient to prevent them from competing.</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the marketing of competing products in violation of our proprietary rights generally. Proceedings to enforce our patent rights in countries outside of the U.S.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for our products and product candidates from the intellectual property that we develop or license.</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The intellectual property that we own or have licensed and related non-patent exclusivity relating to our current and future products is, and may be, limited, which could adversely affect our ability to compete in the market and adversely affect the value of Auryxia, Vafseo or other future products.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patent rights and related non-patent exclusivity that we own or have licensed relating to Auryxia, Vafseo or other future products, are, or may be limited in ways that may affect our ability to exclude third parties from competing against us. For example, a third party may design around our owned or licensed composition of matter patent claims or market a product for the methods of use not covered by our owned or licensed patents.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Obtaining proof of direct infringement by a competitor for a method of use patent requires us to demonstrate that the competitors make and market a product for the patented use(s). Alternatively, we can prove that our competitors induce or contribute to others in engaging in direct infringement. Proving that a competitor contributes to or induces infringement of a patented method by another has additional proof requirements. For example, proving inducement of infringement requires proof of intent by the competitor. If we are required to defend ourselves against claims or to protect our own proprietary rights against others, it could result in substantial costs to us and the distraction of our management. An adverse ruling in any litigation or administrative proceeding could prevent us or our partners from marketing and selling Auryxia, Vafseo or other future products, increase the risk that a generic or other similar version of Auryxia, Vafseo or other future products could enter the market to compete with Auryxia, Vafseo or other future products, limit our or our partners' development and commercialization of Auryxia, Vafseo or other future products, or otherwise harm our competitive position and result in additional significant costs.</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Moreover, physicians may prescribe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any limitations of our patent protection described above may adversely affect the value of our drug product and may inhibit our ability to obtain a collaboration partner at terms acceptable to us, if at all.</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addition to patent rights in the U.S., we may seek non-patent exclusivity for any approved or future products under other provisions of the FDCA such as new chemical entity, or </w:t>
      </w:r>
      <w:r>
        <w:rPr>
          <w:rFonts w:ascii="Arial" w:cs="Arial" w:eastAsia="Arial" w:hAnsi="Arial"/>
          <w:sz w:val="18"/>
          <w:szCs w:val="18"/>
          <w:u w:val="single" w:color="auto"/>
          <w:color w:val="auto"/>
        </w:rPr>
        <w:t>NCE</w:t>
      </w:r>
      <w:r>
        <w:rPr>
          <w:rFonts w:ascii="Arial" w:cs="Arial" w:eastAsia="Arial" w:hAnsi="Arial"/>
          <w:sz w:val="18"/>
          <w:szCs w:val="18"/>
          <w:color w:val="auto"/>
        </w:rPr>
        <w:t>, exclusivity, or exclusivity for a new use or new formulation, but there is no guarantee that any products will receive such exclusivity. The FDCA provides a five-year period of non-patent exclusivity within the U.S. to the first sponsor to gain approval of an NDA for an NCE. A drug is an NCE if the FDA has not previously approved any other new drug containing the same active moiety, which consists of the molecule(s) or ion(s) responsible for the action of the drug substance (but not including those portions of the molecule that cause it to be a salt 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ester or which are not bound to the molecule by covalent or similar bonds). Vafseo was granted NCE status following its approval in March 2024 and received a five-year NCE exclusivity. During the exclusivity period, the FDA may not accept for review an ANDA or a 505(b)(2) NDA submitted by another company for another version of such drug where the sponsor does not own or have a legal right of reference to all the data required for approval.</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ANDA that references an NDA product with NCE exclusivity may be submitted after four years if it contains a certification of patent invalidity or non-infringement. The FDCA also provides three years of exclusivity for an NDA, particularly a 505(b)(2) NDA or supplement to an existing NDA, if new clinical investigations, other than bioavailability studies, that were conducted or sponsored by the sponsor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The three-year exclusivity period, unlike five-year exclusivity, does not prevent the submission of a competing ANDA or 505(b)(2) NDA. Instead, it only prevents the FDA from granting final approval to such a product until expiration of the exclusivity period. Five-year and three-year exclusivity will not delay the submission (in the case of five-year exclusivity) or the approval (in the case of three-year exclusivity) of a full NDA submitted under section 505(b)(1) of the FDCA; however, a sponsor submitting a full NDA would be required to conduct all of its own studies needed to independently support a finding of safety and effectiveness for the proposed product, or have a full right of reference to all studies not conducted by the sponsor.</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cases where NCE exclusivity has been granted to a new drug product, the 30-month stay triggered by such litigation is extended by the amount of time such that seven years and six months will elapse from the date of approval of the NDA for that product. Without NCE exclusivity, the 30-month stay on FDA final approval of an ANDA runs from the date on which the sponsor of the reference listed drug receives notice of a Paragraph IV certification from the ANDA sponsor.</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NCE, in the U.S., the FDA has the authority to grant additional regulatory exclusivity protection for approved drugs where the sponsor conducts specified testing in pediatric or adolescent populations. If granted, this pediatric exclusivity may provide an additional six months which are added to the term of any non-patent exclusivity that has been awarded as well as to the regulatory protection related to the term of a relevant patent, to the extent these protections have not already expired.</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foreign regulatory authorities may change their approval policies and new regulations may be enacted regarding non-patent exclusivity. For example, EU pharmaceutical legislation is currently undergoing a complete review process, in the context of the Pharmaceutical Strategy for Europe initiative, launched by the EC in November 2020. The EC’s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cannot assure you that Auryxia, Vafseo or any of our potential future products will obtain such pediatric exclusivity, NCE exclusivity or any other market exclusivity in the U.S., EU or any other territory, or that we will be the first to receive the respective regulatory approval for such drugs so as to be eligible for any non-patent exclusivity protection. We also cannot assure you that Auryxia, Vafseo or any of our potential future products will obtain patent term extension.</w:t>
      </w:r>
    </w:p>
    <w:p>
      <w:pPr>
        <w:spacing w:after="0" w:line="70"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The market entry of one or more generic competitors or any third party’s attempt to challenge our intellectual property rights will likely limit Auryxia and Vafseo sales and have an adverse impact on our business and results of operation.</w:t>
      </w:r>
    </w:p>
    <w:p>
      <w:pPr>
        <w:spacing w:after="0" w:line="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Although the composition and use of Auryxia is currently claimed by 3 issued patents that are listed in the FDA’s Orange Book, or </w:t>
      </w:r>
      <w:r>
        <w:rPr>
          <w:rFonts w:ascii="Arial" w:cs="Arial" w:eastAsia="Arial" w:hAnsi="Arial"/>
          <w:sz w:val="18"/>
          <w:szCs w:val="18"/>
          <w:u w:val="single" w:color="auto"/>
          <w:color w:val="auto"/>
        </w:rPr>
        <w:t>OB</w:t>
      </w:r>
      <w:r>
        <w:rPr>
          <w:rFonts w:ascii="Arial" w:cs="Arial" w:eastAsia="Arial" w:hAnsi="Arial"/>
          <w:sz w:val="18"/>
          <w:szCs w:val="18"/>
          <w:color w:val="auto"/>
        </w:rPr>
        <w:t>, and the composition and use of Vafseo is currently claimed by 13 issued patents that are listed in the OB, we cannot assure you that we will be</w:t>
      </w:r>
    </w:p>
    <w:p>
      <w:pPr>
        <w:jc w:val="both"/>
        <w:spacing w:after="0" w:line="226" w:lineRule="auto"/>
        <w:rPr>
          <w:sz w:val="20"/>
          <w:szCs w:val="20"/>
          <w:color w:val="auto"/>
        </w:rPr>
      </w:pPr>
      <w:r>
        <w:rPr>
          <w:rFonts w:ascii="Arial" w:cs="Arial" w:eastAsia="Arial" w:hAnsi="Arial"/>
          <w:sz w:val="18"/>
          <w:szCs w:val="18"/>
          <w:color w:val="auto"/>
        </w:rPr>
        <w:t>successful in defending against third parties attempting to invalidate or design around our patents or asserting that our patents are invalid or otherwise unenforceable or not infringed, or in competing against third parties introducing generic equivalents of Auryxia, Vafseo or any of</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potential future products. If our OB-listed patents are successfully challenged by a third party and a generic version of Auryxia or Vafseo is approved and launched sooner than we anticipate, revenue from Auryxia or Vafseo, respectively, could decline significantly, which would have a material adverse effect on our sales, results of operations and financial condition.</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previously received Paragraph IV certification notice letters regarding ANDAs submitted to the FDA requesting approval for generic versions of Auryxia tablets (210 mg ferric iron per tablet). We filed complaints for patent infringement relating to such ANDAs, and subsequently entered into settlement and license agreements with all such ANDA filers that allowed such ANDA filers to market a generic version of Auryxia in the U.S. as of March 20, 2025. It is possible that we may receive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Paragraph IV certification notice letters from additional ANDA filers and may not ultimately be successful in an ANDA litigation.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While we expect that the availability of the authorized generic version of Auryxia and any additional generic versions of Auryxia will negatively impact our net product revenue for Auryxia and our results of operations, it is difficult to estimate the impact of generics on Auryxia net product revenue, and if the impact is greater than we currently anticipate, it may materially adversely impact our business and results of operations. Generic competition for Auryxia or any of our potential future products could have a material adverse effect on our sales, results of operations and financial condition.</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Litigation and administrative proceedings, including third party claims of intellectual property infringement and opposition/invalidation proceedings against third party patents, may be costly and time consuming and may delay or harm our drug discovery, development and commercialization efforts.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be forced to initiate litigation to enforce our contractual and intellectual property rights, or we may be sued by third parties asserting claims based on contract, tort or intellectual property infringement. Competitors may infringe our patents or misappropriate our trade secrets or confidential information. We may not be able to prevent infringement of our patents or misappropriation of our trade secrets or confidential information, particularly in countries where the laws may not protect those rights as fully as in the U.S. In addition, third parties may have or may obtain patents in the future and claim that our products or other technologies infringe their patents. If we are required to defend against suits brought by third parties, or if we sue third parties to protect our rights, we may be required to pay substantial litigation costs, and our management’s attention may be diverted from operating our business. In addition, any legal action against our licensor, licensees or us that seeks damages or an injunction of commercial activities relating to Auryxia, Vafseo or any product candidates or other technologies, including those that may be in-licensed or acquired, could subject us to monetary liability, a temporary or permanent injunction preventing the development, marketing and sale of such products or such technologies, and/or require our licensor, licensees or us to obtain a license to continue to develop, market or sell such products or other technologies. In addition, in an infringement proceeding, a court may decide that a patent of ours is not valid or is unenforceable, or may refuse to stop the other party from using the technology at issue on the grounds that our patents do not cover the technology in question. We cannot predict whether our licensor, licensees or we would prevail in any of these types of actions or that any required license would be made available on commercially acceptable terms, if at all.</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However, there may be patents of third parties of which we are currently unaware with claims to compounds, materials, formulations, methods of manufacture or methods for treatment related to the use or manufacture of our product candidates. Also, because patent applications can take many years to issue, there may be currently pending patent applications which may later result in issued patents that our product candidates may infringe. The pharmaceutical and biotechnology industries are characterized by extensive litigation over patent and other intellectual property rights. We have in the past and may in the future become a party to, or be threatened with, future adversarial litigation or other proceedings regarding intellectual property rights with respect to our product and product candidates. As the pharmaceutical and biotechnology industries expand and more patents are issued, the risk increases that our product candidates may give rise to claims of infringement of the patent rights of others.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our product candidates are in preclinical studies and clinical trials, we believe that the use of our product candidates in these preclinical studies and clinical trials in the U.S. falls within the scope of the exemptions provided by 35 U.S.C. Section 271(e), which provides that it shall not be an act of infringement to make, use, offer to sell, or sell within the U.S. or import into the U.S. a patented invention solely for uses reasonably related to the development and submission of information to the FDA. There is an increased possibility of a patent infringement claim against us with respect to commercial products. Our portfolio includes two commercial products: Auryxia and Vafseo. We attempt to ensure that our products and product candidates and the methods we employ to manufacture them, as well as the methods for their use which we intend to promote, do not infringe other parties’ patents and other proprietary rights. There can be no assurance they do not, however, and competitors or other parties may assert that we infringe their proprietary rights in any event.</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FibroGen, Inc., or </w:t>
      </w:r>
      <w:r>
        <w:rPr>
          <w:rFonts w:ascii="Arial" w:cs="Arial" w:eastAsia="Arial" w:hAnsi="Arial"/>
          <w:sz w:val="18"/>
          <w:szCs w:val="18"/>
          <w:u w:val="single" w:color="auto"/>
          <w:color w:val="auto"/>
        </w:rPr>
        <w:t>FibroGen</w:t>
      </w:r>
      <w:r>
        <w:rPr>
          <w:rFonts w:ascii="Arial" w:cs="Arial" w:eastAsia="Arial" w:hAnsi="Arial"/>
          <w:sz w:val="18"/>
          <w:szCs w:val="18"/>
          <w:color w:val="auto"/>
        </w:rPr>
        <w:t xml:space="preserve">, has filed patent applications in the U.S. and other countries directed to purportedly new methods of using previously known heterocyclic carboxamide compounds for purposes of treating or affecting specified conditions, and some of these applications have since issued as patents. In November 2023, we and our collaboration partner, MTPC, entered into a Settlement and Cross License Agreement, or the </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xml:space="preserve"> with FibroGen and its collaboration partner, Astellas. The Settlement Agreement resolves all patent disputes between us, MTPC, FibroGen and Astellas in the EU, the contracting states to the European Patent Convention, the UK and Japan, or the </w:t>
      </w:r>
      <w:r>
        <w:rPr>
          <w:rFonts w:ascii="Arial" w:cs="Arial" w:eastAsia="Arial" w:hAnsi="Arial"/>
          <w:sz w:val="18"/>
          <w:szCs w:val="18"/>
          <w:u w:val="single" w:color="auto"/>
          <w:color w:val="auto"/>
        </w:rPr>
        <w:t>Settlement Territory</w:t>
      </w:r>
      <w:r>
        <w:rPr>
          <w:rFonts w:ascii="Arial" w:cs="Arial" w:eastAsia="Arial" w:hAnsi="Arial"/>
          <w:sz w:val="18"/>
          <w:szCs w:val="18"/>
          <w:color w:val="auto"/>
        </w:rPr>
        <w:t>. We may in the future initiate invalidity actions or other legal proceedings with respect to FibroGen patents outside of the Settlement Territory. If we are not successful in such proceedings, FibroGen could try to claim that our products infringe their patent rights.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 parties, including FibroGen, may in the future claim that our products and product candidates and other technologies infringe upon their patents and may challenge our ability to commercialize Auryxia and Vafseo. Parties making claims against us or our licensees may seek and obtain injunctive or other equitable relief, which could effectively block our or their ability to continue to commercialize Auryxia or Vafseo or further develop and commercialize any product candidates, including those that may be in-licensed or acquired. If any third 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 or product candidate unless we obtained a license under the applicable patents, or until such patents expire or they are finally determined to be held invalid or unenforceable. Similarly, if any third party patent were held by a court of competent jurisdiction to cover aspects of our formulations, processes for manufacture or our intended methods of use,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products or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or product candidate may be impaired or delayed, which could in turn significantly harm our business.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there may be a challenge or dispute regarding inventorship or ownership of patents or applications currently identified as being owned by or licensed to us. Defense of these claims, regardless of their merit, would involve substantial litigation expense and would be a substantial diversion of employee resources from our business. Interference proceedings provoked by third parties or brought by the USPTO may be necessary to determine the priority of inventions with respect to our patents or patent applications.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administrative proceedings are also available for challenging patents, including interference, reexamination, inter partes review, and post-grant review proceedings before the USPTO or oppositions and other comparable proceedings in foreign jurisdictions. Competitors may initiate an administrative proceeding challenging our issued patents or pending patent applications, which can be expensive and time-consuming to defend. An adverse result in any current or future defense proceedings could put one or more of our patents at risk of being invalidated, held unenforceable, or interpreted narrowly and held not infringed and could put our patent applications at risk of not issuing. In addition, an unfavorable outcome in any current or future proceeding in which we are challenging third party patents could require us to cease using the patented technology or to attempt to license rights to it from the prevailing party. Our business could be harmed if the prevailing party does not offer us a license on commercially reasonable terms or at all. Even if we are successful, participation in interference or other administrative proceedings before the USPTO or a foreign patent office may result in substantial costs and distract our management and other employees.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involved in opposition proceedings in the Indian Patent Office and the European Patent Office. The proceedings may be ongoing for a number of years, may be resolved in a manner adverse to the Company and may involve substantial expense and diversion of employee resources from our business, which could have an adverse effect on our business. In addition, we may become involved in additional opposition proceedings or other legal or administrative proceedings in the future. For more information, see the other risk factors under “Risks Related to our Intellectual Property”.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and some administrative proceedings, there is a risk that some of our confidential information could be compromised by disclosure during discovery.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0"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received confidential and proprietary information from potential collaborators, prospective licensees and other third parties. In addition, we employ individuals who were previously employed at other biotechnology or pharmaceutical companies. We may be subject to claims that we or our employees, consultants or independent contractors have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Managing Growth</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attract, retain and motivate senior management and qualified personnel, we may be unable to successfully develop and commercialize Auryxia, Vafseo or any of our product candidates.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Recruiting and retaining qualified personnel is critical to our success. We are also highly dependent on our executives, certain members of our senior management and certain key personnel. The loss of the services of our executives, senior managers or other employees could impede the achievement of our research, development, regulatory and commercialization objectives and seriously harm our ability to successfully implement our business strategy. Specifically, following receipt of the CRL, we implemented a reduction of our workforce in April and May 2022 by approximately 42% across all areas of our Company (47% inclusive of the closing of the majority of open positions), including several members of management. In November 2022, we also implemented a reduction of our workforce, by approximately 14% consisting of individuals within our commercial organization as a result of our decision to shift to a strategic account management focused model for our commercial efforts. Losing members of management and other key personnel could subject us to a number of risks, including the failure to coordinate responsibilities and tasks, the necessity to create new management systems and processes, the impact on corporate culture, and the retention of historical knowledge.</w:t>
      </w:r>
    </w:p>
    <w:p>
      <w:pPr>
        <w:spacing w:after="0" w:line="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Furthermore, replacing executives, senior managers and other key employees may be difficult and may take an extended period of time because of the limited number of individuals in our industry with the breadth of skills and experience required to successfully develop and commercialize Auryxia, Vafseo and any product candidates. Our future financial performance and our ability to develop and commercialize Auryxia and Vafseo and to compete effectively will depend, in part, on our ability to manage any future growth effectively. To that end, we must be able to hire, train, integrate, and retain additional qualified personnel with sufficient experience. We may be unable to hire, train, retain or motivate these personnel on acceptable terms given the intense competition for our personnel from our competitors and other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companies throughout our industry, particularly in our geographic region. The pharmaceutical and biotechnology industries continue to face challenges in recruiting and retaining qualified employees.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contractors, consultants and advisors, including scientific and clinical advisors, to assist us in formulating and executing our R&amp;D and commercialization strategy. Our contractors, consultants and advisors may become employed by companies other than ours and may have commitments with other entities that may limit their availability to us. If additional members of management or other personnel leave, or we are unable to continue to attract and retain high quality personnel, our ability to grow and pursue our business strategy will be limited.</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encounter difficulties in managing our growth, including with respect to our employee base, and managing our partnerships and operations successfully.</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day-to-day operations, we may encounter difficulties in managing the size of our operations as well as challenges associated with managing our business. We have strategic collaborations for the commercialization of Riona in Japan, the development and commercialization of ferric citrate in Europe, and the development and commercialization of vadadustat, which is now being marketed under the trade name Vafseo by our collaboration partner, MTPC, in Japan and potentially other Asian countries and our collaboration partner, Medice, in the Medice Territory. As our operations continue, we expect that we will need to manage our current relationships and enter into new relationships with various strategic collaborators, consultants, vendors, suppliers and other third parties. These relationships are complex and create numerous risks as we deal with issues that arise.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we supply or have agreed to supply, as applicable, ferric citrate in Europe to Averoa and Vafseo in Japan, Europe and other territories where it is approved for commercial use to MTPC and Medice, which will require us to successfully manage our limited financial and managerial resources. In addition, we may not be able to obtain the raw materials or product that we need, or the cost of the raw materials or product may be higher than expected. If we are unable to successfully manage our supply obligations, our ability to commercialize our products or supply such products to our partners could have a material adverse effect on our relationships with our partners and our results of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financial performance and our ability to commercialize Auryxia and Vafseo, if and where approved, and to compete effectively will depend, in part, on our ability to manage any future growth effectively. This future growth will impose significant added responsibilities on the business and members of management. To manage any future growth, we must continue to implement and improve our managerial, operational and financial systems, procedures and processes. We may not be able to implement these improvements in an efficient or timely manner and may discover deficiencies in existing systems, procedures and processes. Moreover, the systems, procedures and processes currently in place or to be implemented may not be adequate for any such growth. Any expansion of our operations may lead to significant costs and may divert our management and business development resources. Any inability to manage growth could delay the execution of our business plans or disrupt our operations. We may not be able to accomplish these tasks, and our failure to accomplish any of them could prevent us from successfully managing and, as applicable, growing our Company.</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may need to adjust the size of our workforce as a result of changes to our expectations for our business, which can result in management being required to divert a disproportionate amount of its attention away from our day-to-day activities and devote a substantial amount of time to managing these growth-related activities and related expenses. Further, we rely on independent third parties to provide certain services to us. We structure our relationships with these outside service providers in a manner that we believe results in an independent contractor relationship, not an employee relationship. If any of our service providers are later legally deemed to be employees, we could be subject to employment and tax withholding liabilities and other additional costs as well as other multiple damages and attorneys’ fees.</w:t>
      </w:r>
    </w:p>
    <w:p>
      <w:pPr>
        <w:spacing w:after="0" w:line="7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as of December 31, 2024 relating to our accounting for inventory and inventory related transactions.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is designed to prevent fraud. Any failure to maintain or implement required new or improved controls, or difficulties encountered in implementation could cause us to fail to meet our reporting obligations. In addition, any testing by us, as and when required, conducted in connection with Section 404 of the Sarbanes-Oxley Act, or Section 404, or any testing by our independent registered public accounting firm may reveal deficiencies in our internal control over financial reporting that are deemed to be material weaknesses or that may require prospective or retroactive changes to our consolidated financial statements or identify other areas for further attention or improvement.</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our 2024 Form 10-K, we identified a material weakness in our internal control over financial reporting as of December 31, 2024.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Our management concluded that we did not design and maintain effective controls over inventory. Specifically, we did not maintain effective review controls that operated with a sufficient level of precision to evaluate the completeness, accuracy and reasonableness of the product sales forecast, which is used in the evaluation of excess inventory, including the calculation of excess firm purchase commitments and the classification of current and non-current inventory. For further discussion of the material weakness, see Part I, Item 4, “Controls and Procedures.”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taken and plan to continue to take actions to remediate this material weakness: increasing the level of precision of our review controls that support the completeness, accuracy and reasonableness of the sales forecast used to support our inventory evaluations, including the identification and consideration of contrary evidence that could detect a potential error in the sales forecast. However, we cannot provide assurance that we will be able to correct this material weakness in a timely manner or that our remediation efforts will be adequate to allow us to conclude that our internal control over financial reporting will be effective in the future. Even if this material weakness is remediated in the future, we could identify additional material weaknesses or deficiencies in our internal control over financial reporting that could require correction or remediation. For example, we previously identified a material weakness in our internal control over financial reporting as of December 31, 2022 relating to our product return reserves that resulted in a revision of our financial statements for the years ended December 31, 2022, 2021 and 2020.</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our conclusion that we have a material weakness could give rise to increased scrutiny, review, audit and investigation over our accounting controls and procedures, which could then lead to additional areas of deficiency or errors in our financial statements.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will need to continue to dedicate internal resources, engage outside consultants and maintain a detailed work plan to assess and document the adequacy of internal control over financial reporting, continue steps to remediate the material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weakness relating to our accounting for inventory and inventory related transactions described above and any future control deficiencies or material weaknesses, and improve control processes as appropriate, validate through testing that controls are functioning as documented and maintain a continuous reporting and improvement process for internal control over financial reporting. If we are not able to correct material weaknesses or deficiencies in internal controls in a timely manner or otherwise comply with the requirements of Section 404 in a timely manner, our ability to record, process, summarize and report financial information accurately and within applicable time periods may be adversely affected, and we could be subject to sanctions or investigations by the Securities Exchange Commission, or the </w:t>
      </w:r>
      <w:r>
        <w:rPr>
          <w:rFonts w:ascii="Arial" w:cs="Arial" w:eastAsia="Arial" w:hAnsi="Arial"/>
          <w:sz w:val="18"/>
          <w:szCs w:val="18"/>
          <w:u w:val="single" w:color="auto"/>
          <w:color w:val="auto"/>
        </w:rPr>
        <w:t>SEC</w:t>
      </w:r>
      <w:r>
        <w:rPr>
          <w:rFonts w:ascii="Arial" w:cs="Arial" w:eastAsia="Arial" w:hAnsi="Arial"/>
          <w:sz w:val="18"/>
          <w:szCs w:val="18"/>
          <w:color w:val="auto"/>
        </w:rPr>
        <w:t>, the Nasdaq Stock Market or other regulatory authorities as well as stockholder litigation which, even if resolved in our favor, would require additional financial and management resources and could adversely affect the market price of our common stock.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fraud, our business and results of operations could be harmed. Inferior internal controls could also cause investors to lose confidence in our reported financial information, which could have a negative effect on the trading price of our common stock and could also affect our ability to raise capital to fund future business initiatives.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Security breaches and unauthorized use of our information technology systems and information, or the information technology systems or information in the possession of our collaborators, contractors and other third parties, could damage the integrity of our clinical trials, impact our regulatory filings, compromise our ability to protect our intellectual property, and subject us to regulatory actions that could result in significant fines or other penalties.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our collaborators, contractors and other third parties rely significantly upon information technology, and any failure, inadequacy, interruption or security lapse of that technology, including any cybersecurity incidents, could harm our ability to operate our business effectively. In addition, we and our collaborators, contractors and other third parties rely on information technology networks and systems, including the Internet and artificial intelligence based software, to process, transmit and store clinical trial data, patient information, and other electronic information, and manage or support a variety of business processes, including operational and financial transactions and records, personal identifying information, payroll data and workforce scheduling information. We purchase most of our information technology from vendors or service providers, on whom our systems depend. We rely on commercially available systems, software, tools and monitoring to provide security for the processing, transmission and storage of company and customer information.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patients and business partners. In particular, we rely on CROs and other third parties to store and manage information from our clinical trials. We also rely on third parties to manage patient information for Auryxia and Vafseo. Additionally, the use of artificial intelligence based software is increasingly being used in the biopharmaceutical industry. Use of artificial intelligence based software may lead to the release of confidential proprietary information, which may impact our ability to realize the benefit of our intellectual property. The secure maintenance of this sensitive information is critical to our business and reputation.</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Companies and other entities and individuals have been increasingly subject to a wide variety of security incidents, cyber-attacks and other attempts to gain unauthorized access to systems and information that could impact our business operations, including our clinical trials. These threats can come from a variety of sources, ranging in sophistication from individual hackers to state-sponsored attacks. Attackers have used artificial intelligence and machine learning to launch more automated, targeted and coordinated attacks against targets. Cyber threats may be broadly targeted, or they may be custom-crafted against our information systems or those of our vendors or third-party service providers. A security incident, cyber attack or other unauthorized access to our systems, could affect our ability to operate our business or the ability of our vendors or third-party service providers to provide services pursuant to their contractual obligations. A security breach, cyberattack or unauthorized access of our clinical data or other data could damage the integrity of our clinical trials, impact our regulatory filings, cause significant risk to our business, compromise our ability to protect our intellectual property, and subject us to regulatory actions, including under the GDPR and CCPA discussed elsewhere in these risk factors and the privacy or security rules under federal, state, or other local laws outside of the U.S. protecting confidential or personal information, that could be expensive to defend and could result in significant fines or other penalties. Cyberattacks can include malware, computer viruses, hacking, social engineering, zero day vulnerabilities or other unauthorized access or other significant compromise of our computer, communications and related systems. Although we take steps to manage and avoid these risks and to be prepared to respond to attacks, our preventive and any remedial actions may not be successful and no such measures can eliminate the possibility of the systems’ improper functioning or the improper access or disclosure of confidential or personally identifiable information such as in the event of cyberattacks. Security breaches, whether through physical or electronic break-ins, computer viruses, ransomware, impersonation of authorized users, attacks by hackers 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means, can create system disruptions or shutdowns that impact our business operations or the unauthorized disclosure of confidential information.</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believe our collaborators, vendors and service providers, such as our CROs, take steps to manage, mitigate and avoid information security risks and respond to attacks, we may be adversely affected by attacks against our collaborators, vendors or service providers, and we may not have adequate contractual remedies against such collaborators, vendors and service providers to remedy any harm to our business caused by such event. Additionally, outside parties may attempt to fraudulently induce employees, collaborators, or other contractors to disclose sensitive information or take other actions, including making fraudulent payments or downloading malware, by using “spoofing” and “phishing” emails or other types of attacks. Our employees may be targeted by such fraudulent activities. Outside parties may also subject us to distributed denial of services attacks or introduce viruses or other malware through “trojan horse” programs to our users’ computers in order to gain access to our systems and the data stored therein. Cyber-attacks have become more prevalent and much harder to detect and defend against. Because the techniques used to obtain unauthorized access, disable or degrade service, or sabotage systems change frequently and continuously become more sophisticated, including the use of artificial intelligence to generate sophisticated spoofed emails and deep fake voice and video, often are not recognized until launched against a target and may be difficult to detect for a long time, we may be unable to anticipate these techniques or to implement adequate preventive or detective measures, and we might not immediately detect such incidents and the damage caused by such incidents.</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Such attacks, whether successful or unsuccessful, or other compromises with respect to our information security and the measures we implement to prevent, detect and respond to them, could:</w:t>
      </w:r>
    </w:p>
    <w:p>
      <w:pPr>
        <w:spacing w:after="0" w:line="45" w:lineRule="exact"/>
        <w:rPr>
          <w:sz w:val="20"/>
          <w:szCs w:val="20"/>
          <w:color w:val="auto"/>
        </w:rPr>
      </w:pPr>
    </w:p>
    <w:p>
      <w:pPr>
        <w:ind w:left="660" w:hanging="328"/>
        <w:spacing w:after="0" w:line="28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 in our incurring significant costs related to, for example, rebuilding internal systems, defending against litigation, responding to regulatory inquiries or actions, paying damages or fines, or taking other remedial steps with respect to third parties;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lead to public exposure of personal information of participants in our clinical trials, Auryxia patients and others;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damage the integrity of our studies or delay their completion, disrupt our development programs, our business operations and commercialization efforts;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compromise our ability to protect our trade secrets and proprietary information;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damage our reputation and deter business partners from working with us; or</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divert the attention of our management and key information technology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failure to maintain proper functionality and security of our internal computer and information systems could result in a loss of, or damage to, our data or marketing applications or inappropriate disclosure of confidential or proprietary information, interrupt our operations, damage our reputation, subject us to liability claims or regulatory penalties, under a variety of federal, state or other applicable privacy laws, such as HIPAA, the GDPR, or state data protection laws including the CCPA, harm our competitive position and delay the further development and commercialization of our products and product candidates, or impact our relationships with customers and patients.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CMOs, consultants and vendors may engage in misconduct or other improper activities, including non-compliance with regulatory standards and requirements and insider</w:t>
      </w:r>
    </w:p>
    <w:p>
      <w:pPr>
        <w:spacing w:after="0" w:line="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trading. In addition, laws and regulations governing any international operations we have or may have in the future may require us to develop and implement costly compliance programs.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the risk that our employees, independent contractors, principal investigators, CROs, CMOs, consultants and vendors may engage in fraudulent conduct or other illegal activity. Misconduct by these parties could include intentional, reckless and/or negligent conduct or unauthorized activities that violate applicable laws, including the following:</w:t>
      </w:r>
    </w:p>
    <w:p>
      <w:pPr>
        <w:spacing w:after="0" w:line="63" w:lineRule="exact"/>
        <w:rPr>
          <w:sz w:val="20"/>
          <w:szCs w:val="20"/>
          <w:color w:val="auto"/>
        </w:rPr>
      </w:pPr>
    </w:p>
    <w:p>
      <w:pPr>
        <w:jc w:val="both"/>
        <w:ind w:left="660" w:hanging="328"/>
        <w:spacing w:after="0" w:line="268"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FDA and other healthcare authorities’ regulations, including those laws that require the reporting of true, complete and accurate information to regulatory authorities, and those prohibiting the promotion of unapproved drugs or approved drugs for an unapproved use;</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quality standards, including GxP;</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their non-U.S. equivalents;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anti-bribery and anti-corruption laws, such as the FCPA and the UK Bribery Act or country-specific anti-bribery or anti-corruption laws, as well as various import and export laws and regulations;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laws that require the reporting of true and accurate financial information and data;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state and federal securities laws and regulations and their non-U.S. equivalents, including those related to insider trading.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global clinical trials for Vafseo, and may in the future conduct additional trials, in countries where corruption is prevalent, and violations of any of these laws by our personnel or by any of our vendors or agents, such as our CROs or CMOs, could have a material adverse impact on our clinical trials and our business and could result in criminal or civil fines and sanctions. We are subject to complex laws that govern our international business practices. These laws include the FCPA, which prohibits U.S. companies and their intermediaries, such as CROs or CMOs, from making improper payments to foreign government officials for the purpose of obtaining or keeping business or obtaining any kind of advantage for the company. The FCPA also requires companies to keep accurate books and records and maintain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adequate accounting controls. A number of past and recent FCPA investigations by the Department of Justice and the SEC have focused on the life sciences sector.</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Some of the countries in which we have conducted clinical trials and in which we have CMOs have a history of corruption, which increases our risks of FCPA violations. In addition, the FCPA presents unique challenges in the pharmaceutical industry because in many countries’ hospitals are operated by the government, and doctors and other hospital employees are considered foreign government officials. Certain payments made by pharmaceutical companies, or on their behalf by CROs, to hospitals in connection with clinical trials and other work have been deemed to be improper payments to government officials and have led to FCPA enforcement actions.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the UK Bribery Act applies to our global activities and prohibits bribery of private individuals as well as public officials. The UK Bribery Act prohibits both the offering and accepting of a bribe and imposes strict liability on companies for failing to prevent bribery, unless the company can show that it had “adequate procedures” in place to prevent bribery. There are also local anti-bribery and anti-corruption laws in countries where we have conducted clinical trials, and many of these also carry the risk of significant financial or criminal penalties.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trade control regulations and trade sanction laws that restrict the movement of certain goods, currency, products, materials, services and technology to, and certain operations in, various countries or with certain persons. Our ability to transfer commercial and clinical product and other clinical trial supplies, and for our employees, independent contractors, principal investigators, CROs, CMOs, consultants and vendors ability to travel, between certain countries is subject to maintaining required licenses and complying with these laws and regulations.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and serious harm to our reputation. This could include violations of HIPAA, other U.S. federal and state laws, and requirements of non-U.S. jurisdictions, including the GDPR. We are also exposed to risks in connection with any insider trading violations by employees or others affiliated with us.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internal controls, policies and procedures, and training and compliance programs we have implemented to deter prohibited practices may not be effective in preventing our employees, contractors, consultants, agents or other representatives from violating or circumventing such internal policies or violating applicable laws and regulations. The failure to comply with laws governing international business practices may impact any future clinical trials, result in substantial civil or criminal penalties for us and any such individuals, including imprisonment, suspension or debarment from government contracting, withdrawal of our products, if approved, from the market, or being delisted from The Nasdaq Capital Market. In addition, we may incur significant costs in implementing sufficient systems, controls and processes to ensure compliance with the aforementioned laws. The laws and regulations referenced above may restrict or prohibit a wide range of pricing, discounting, marketing and promotion, sales commission, customer incentive programs and other business arrangements that could adversely affect our business.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it is not always possible to identify and deter misconduct by employees and third parties, and the precautions we take to detect and prevent this activity may not be effective in controlling known or unknown risks or preventing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or if any such action is instituted against our employees, consultants, independent contractors, CROs, CMOs, vendors or principal investigators,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curtailment of our operations, disclosure of our confidential information and imprisonment, any of which could adversely affect our ability to operate our business and our results of operations.</w:t>
      </w:r>
    </w:p>
    <w:p>
      <w:pPr>
        <w:spacing w:after="0" w:line="7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financial statements include long-lived assets, including goodwill as a result of the Merger. Other long-lived assets, including property and equipment, right-of-use assets or goodwill, could become impaired in the future under certain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conditions. Any potential future impairment of property and equipment, our right-of-use assets or goodwill may significantly impact our results of operations and financial condition.</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June 30, 2025, we had approximately $59.0 million of goodwill from the Merger, $ 1.7 million of property and equipment and $6.0 million right-of-use assets. In accordance with ASC 350,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we are required annually for goodwill, or more frequently upon certain indicators of impairment, to review our estimates and assumptions underlying the fair value of our goodwill. In addition, under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we are required to review our property and equipment and right-of-use assets whenever events 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circumstances indicate that the carrying amount of an asset or asset group may not be recoverable. Events giving rise to impairment of long-lived assets are an inherent risk in the pharmaceutical industry and often cannot be predicted.</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Conditions that could indicate impairment and necessitate such a review include, but are not limited to, Auryxia’s and Vafseo's commercial performance, our inability to execute on our strategic initiatives, the deterioration of our market capitalization such that it is significantly below our net book value, a significant adverse change in legal factors, unexpected adverse business conditions, and an adverse action or assessment by a regulator. To the extent we conclude our long-lived assets have become impaired, we may be required to incur material write-offs relating to such impairment and any such write-offs could have a material impact on our future operating results and financial position. The estimates, judgments and assumptions used in our impairment analyses, and the results of our analyses, are discussed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unaudited condensed consolidated financial statements in Part I, Item 1. Financial Statements and Supplementary Data of this Form 10-Q. If these estimates, judgments and assumptions change in the future, additional impairment charges related to plant and equipment, and right-of-use assets or goodwill could be recorded in the future, which could materially impact our financial position, certain of our material agreements, and our future operating results.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Auryxia or Vafseo.</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and commercial use of Auryxia and Vafseo and our product candidates. For example, we may be sued if Auryxia, Vafseo or our product candidates allegedly causes injury or is found to be otherwise unsuitable during clinical trials or commercial use. Any such product liability claims may include allegations of defects in manufacturing, defects in design, a failure to warn of dangers inherent in the product or product candidate, negligence, strict liability and breach of warranties. Claims could also be asserted under state consumer protection acts. If we cannot successfully defend ourselves against product liability claims, we may incur substantial liabilities or be required to limit commercialization of Auryxia or Vafseo or affect the development of our product candidates. Even a successful defense would require significant financial and management resources. Regardless of the merits or eventual outcome, product liability claims may result in:</w:t>
      </w:r>
    </w:p>
    <w:p>
      <w:pPr>
        <w:spacing w:after="0" w:line="77" w:lineRule="exact"/>
        <w:rPr>
          <w:sz w:val="20"/>
          <w:szCs w:val="20"/>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decreased demand for Auryxia or Vafseo;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continue to develop Auryxia, Vafseo or our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substantial monetary awards to study subjects or patients;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recalls or withdrawals, or labeling, marketing or promotional restrictions;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decreased demand for Auryxia or Vafseo;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to commercialize Auryxia or Vafseo;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that we believe is appropriate for our Company.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insufficient or no coverage. If we have to pay any amounts awarded by a court or negotiated in a settlement that exceed our coverage limitations or that are not covered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by our insurance, we may not have, or be able to obtain, sufficient capital to pay such amounts. In addition, insurance coverage is becoming increasingly expensive, and we may not be able to maintain insurance coverage at a reasonable cost. We also may not be able to obtain additional insurance coverage that will be adequate to cover additional product liability risks that may arise. Consequently, a product liability claim may result in losses that could be material to our business.</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initiatives and corporate governance practices.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a public company, we operate in a demanding regulatory environment, and we have and will continue to incur significant legal, accounting, auditing, directors and officers insurance and other expenses. The Sarbanes-Oxley Act of 2002, or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certain corporate governance practices. In particular, our compliance with Section 404 of the Sarbanes-Oxley Act has required and will continue to require that we incur substantial accounting-related expenses and expend significant management efforts. Our testing, or the testing by our independent registered public accounting firm, may reveal deficiencies in our internal controls that we would be required to remediate in a timely manner. If we are not able to comply with the requirements of the Sarbanes-Oxley Act, we could be subject to sanctions or investigations by the SEC, the Nasdaq Capital Market or other regulatory authorities, which would require additional financial and management resources and could adversely affect the market price of our securities. Furthermore, if we cannot provide reliable financial reports or prevent fraud, including as a result of remote working by our employees, our business and results of operations would likely be materially and adversely affected.</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or estimate the amount of additional costs we may incur to continue to operate as a public company, nor can we predict the timing of such costs. These rules and regulations are often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w:t>
      </w:r>
    </w:p>
    <w:p>
      <w:pPr>
        <w:spacing w:after="0" w:line="7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r>
        <w:rPr>
          <w:rFonts w:ascii="Arial" w:cs="Arial" w:eastAsia="Arial" w:hAnsi="Arial"/>
          <w:sz w:val="21"/>
          <w:szCs w:val="21"/>
          <w:b w:val="1"/>
          <w:bCs w:val="1"/>
          <w:i w:val="1"/>
          <w:iCs w:val="1"/>
          <w:color w:val="auto"/>
        </w:rPr>
        <w:t>.</w:t>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Ninth Amended and Restated Certificate of Incorporation, as amended, or </w:t>
      </w:r>
      <w:r>
        <w:rPr>
          <w:rFonts w:ascii="Arial" w:cs="Arial" w:eastAsia="Arial" w:hAnsi="Arial"/>
          <w:sz w:val="18"/>
          <w:szCs w:val="18"/>
          <w:u w:val="single" w:color="auto"/>
          <w:color w:val="auto"/>
        </w:rPr>
        <w:t>Charter,</w:t>
      </w:r>
      <w:r>
        <w:rPr>
          <w:rFonts w:ascii="Arial" w:cs="Arial" w:eastAsia="Arial" w:hAnsi="Arial"/>
          <w:sz w:val="18"/>
          <w:szCs w:val="18"/>
          <w:color w:val="auto"/>
        </w:rPr>
        <w:t xml:space="preserve"> and our Second Amended and Restated Bylaws, or </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as amended to date, contain provisions that eliminate, to the maximum extent permitted by the General Corporation Law of the State of Delaware, or </w:t>
      </w:r>
      <w:r>
        <w:rPr>
          <w:rFonts w:ascii="Arial" w:cs="Arial" w:eastAsia="Arial" w:hAnsi="Arial"/>
          <w:sz w:val="18"/>
          <w:szCs w:val="18"/>
          <w:u w:val="single" w:color="auto"/>
          <w:color w:val="auto"/>
        </w:rPr>
        <w:t>DGCL</w:t>
      </w:r>
      <w:r>
        <w:rPr>
          <w:rFonts w:ascii="Arial" w:cs="Arial" w:eastAsia="Arial" w:hAnsi="Arial"/>
          <w:sz w:val="18"/>
          <w:szCs w:val="18"/>
          <w:color w:val="auto"/>
        </w:rPr>
        <w:t>, the personal liability of our directors and executive officers for monetary damages for breach of their fiduciary duties as a director or officer. Our Charter and our Bylaws also provide that we will indemnify our directors and executive officers and may indemnify our employees and other agents to the fullest extent permitted by the DGCL.</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addition, as permitted by Section 145 of the DGCL our Bylaws and our indemnification agreements that we have entered into with our directors and executive officers provide that:</w:t>
      </w:r>
    </w:p>
    <w:p>
      <w:pPr>
        <w:spacing w:after="0" w:line="45" w:lineRule="exact"/>
        <w:rPr>
          <w:sz w:val="20"/>
          <w:szCs w:val="20"/>
          <w:color w:val="auto"/>
        </w:rPr>
      </w:pPr>
    </w:p>
    <w:p>
      <w:pPr>
        <w:jc w:val="both"/>
        <w:ind w:left="660" w:hanging="328"/>
        <w:spacing w:after="0" w:line="259" w:lineRule="auto"/>
        <w:tabs>
          <w:tab w:leader="none" w:pos="6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will indemnify our directors and officers, as defined in our Bylaws, for serving us in those capacities or for serving other related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Akebia and, with respect to any criminal proceeding, had no reasonable cause to believe such person’s conduct was unlawful.</w:t>
      </w:r>
    </w:p>
    <w:p>
      <w:pPr>
        <w:spacing w:after="0" w:line="17"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rights conferred in our Bylaws are not exclusive, and we are authorized to enter into indemnification agreements with our directors, officers, employees and agents and to obtain insurance to indemnify such persons.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Any claims for indemnification made by our directors or officers could impact our cash resources and our ability to fund the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Under Section 382 of the Internal Revenue Code, or Section 382, a corporation that undergoes an “ownership change” is subject to limitations on its ability to utilize its pre-change net operating losses, or </w:t>
      </w:r>
      <w:r>
        <w:rPr>
          <w:rFonts w:ascii="Arial" w:cs="Arial" w:eastAsia="Arial" w:hAnsi="Arial"/>
          <w:sz w:val="18"/>
          <w:szCs w:val="18"/>
          <w:u w:val="single" w:color="auto"/>
          <w:color w:val="auto"/>
        </w:rPr>
        <w:t>NOLs</w:t>
      </w:r>
      <w:r>
        <w:rPr>
          <w:rFonts w:ascii="Arial" w:cs="Arial" w:eastAsia="Arial" w:hAnsi="Arial"/>
          <w:sz w:val="18"/>
          <w:szCs w:val="18"/>
          <w:color w:val="auto"/>
        </w:rPr>
        <w:t>, to offset future taxable income. On December 12, 2018, we completed the Merger, which we believe has resulted in an ownership change under Section 382.</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Future changes in our stock ownership, many of which are outside of our control, could result in an additional ownership change under Section 382. In addition, the deduction for NOLs arising in taxable years beginning after December 31, 2017 is limited to 80% of current-year taxable income. As a result, if we generate taxable income, our ability to use our pre-change NOL carryforwards to offset federal taxable income may be subject to limitations, which could potentially result in increased future tax liability to us. At the state level, state NOLs generated in one state cannot be used to offset income generated in another state and there may be periods during which the use of NOL carryforwards is suspended or otherwise limited, which could accelerate or permanently increase state taxes owed.</w:t>
      </w:r>
    </w:p>
    <w:p>
      <w:pPr>
        <w:spacing w:after="0" w:line="8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Furthermore, our ability to utilize our NOLs is conditioned upon our attaining profitability and generating U.S. taxable income. As described above under “—Risks Related to our Financial Position, Need for Additional Capital and Growth Strategy,” we have incurred significant net losses since our inception and anticipate that we will continue to incur losses for the foreseeable future; thus, we do not know whether or when we will generate the U.S. taxable income necessary to utilize our NOLs.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our Charter or our Bylaws, or (iv) any other action asserting a claim against us, our directors, officers or other employees that is governed by the internal affairs doctrine. Under our Charter,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w:t>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federal securities laws, including suits brought to enforce any liability or duty created by the Exchange Act, or the rules and regulations thereunder. Any person or entity purchasing or otherwise acquiring any interest in shares of our capital stock shall be deemed to have notice of and to have consented to the provisions of our Charter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Charter inapplicable to, or unenforceable with respect to, one or more of the specified types of actions or proceedings, we may incur additional costs associated with resolving such matters in other jurisdictions, which could adversely affect our business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stock price has been and may continue to be volatile, which could result in substantial losses for holders or future purchasers of our common stock and lawsuits against us and our officers and directors and could result in substantial costs and divert management's attention.</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stock price has been and will likely continue to be volatile. The stock market in general and the market for similarly situated biopharmaceutical companies specifically have experienced extreme volatility that has often been unrelated to the operating performance of particular companies, such as rising inflation and increasing interest rates. The market price of shares of our common stock could be subject to wide fluctuations in response to many risk factors listed in this section, including, among others, developments related to and results of our research or clinical trials, developments related to our regulatory submissions and meetings with regulatory authorities, commercialization of Auryxia, Vafseo, and any other product candidates, announcements by us or our competitors of significant transactions or strategic collaborations, market entry of additional generic competition to Auryxia, negative publicity around Auryxia or Vafseo, regulatory or legal developments in the U.S. and other countries, developments or disputes concerning our intellectual property, the recruitment or departure of key personnel, actual or anticipated changes in estimates as to financial results, changes in the structure of healthcare payment systems, market conditions in the biopharmaceutical sector, potential delisting from The Nasdaq Stock Market and other factors beyond our control. As a result of this volatility, our stockholders may not be able to sell their common stock at or above the price at which they purchased it.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securities class actions, shareholder derivative lawsuits and other legal proceedings are often brought against companies for any of the risks described in this Form 10 -Q following a decline or volatility in the market price of their securities. We could be the target of such litigation or other legal proceedings in the future. Class actions, shareholder derivative lawsuits and other legal proceedings, whether successful or not, could result in substantial costs, damage or settlement awards and such costs and any related settlements or judgments may not be covered by insurance. Monetary damages or any other adverse judgment would have a material adverse effect on our business and financial position. In addition, if other resolution or actions taken as a result of legal proceedings were to restrain our ability to operate or market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products and services, our consolidated financial position, results of operations or cash flows could be materially adversely affected. We could also suffer an adverse impact on our reputation, negative publicity and a diversion of management’s attention and resources, which could have a material adverse effect on our business.</w:t>
      </w:r>
    </w:p>
    <w:p>
      <w:pPr>
        <w:spacing w:after="0" w:line="65"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satisfy Nasdaq’s continued listing requirements, including, among other things, a minimum closing bid price of $1.00 per share and timely filing of all periodic financial reports, or risk delisting, which would have a material adverse effect on our business. If we fail to maintain compliance with Nasdaq's continued listing requirements, it could affect our ability to raise capital on acceptable terms, or at all. 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issuance of additional shares of our common stock or the sale of shares of our common stock by any of our directors, officers or significant stockholders will dilute our stockholders’ ownership interest in Akebia and may cause the market price of our common stock to decline.</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Most of our outstanding common stock can be traded without restriction at any time. As such, sales of a substantial number of shares of our common stock in the public market could occur at any time. These sales, or the perception in the market that the holders of a large number of shares intend to sell such shares, could reduce the market price of our common stock.</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June 30, 2025 and based on the amounts reported in the most recent filings made under Section 13(g) of the Exchange Act, BlackRock beneficially owned approximately 5.8% of our outstanding shares of common stock and the Vanguard Group, or </w:t>
      </w:r>
      <w:r>
        <w:rPr>
          <w:rFonts w:ascii="Arial" w:cs="Arial" w:eastAsia="Arial" w:hAnsi="Arial"/>
          <w:sz w:val="18"/>
          <w:szCs w:val="18"/>
          <w:u w:val="single" w:color="auto"/>
          <w:color w:val="auto"/>
        </w:rPr>
        <w:t>Vanguard</w:t>
      </w:r>
      <w:r>
        <w:rPr>
          <w:rFonts w:ascii="Arial" w:cs="Arial" w:eastAsia="Arial" w:hAnsi="Arial"/>
          <w:sz w:val="18"/>
          <w:szCs w:val="18"/>
          <w:color w:val="auto"/>
        </w:rPr>
        <w:t>, beneficially owned approximately 4.8% of our outstanding shares of common stock. By selling a large number of shares of common stock, BlackRock or Vanguard could cause the price of our common stock to decline. In addition, as of June 30, 2025, CSL Vifor beneficially owned 7,571,429 shares of common stock, which have not been registered pursuant to the Securities Act and were issued and sold in reliance upon the exemption from registration contained in Section 4(a)(2) of the Securities Act and Rule 506 promulgated thereunder, but if they are registered in the future, those shares would become freely tradable and, if a large portion of such shares are sold, could cause the price of our common stock to decline.</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Further, we entered into a warrant agreement with Kreos Capital VII Aggregator SCSp, an affiliate of Kreos,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xml:space="preserve">, pursuant to which (i) we issued a warrant to the Warrant Holder to purchase 3,076,923 shares of our common stock, or the </w:t>
      </w:r>
      <w:r>
        <w:rPr>
          <w:rFonts w:ascii="Arial" w:cs="Arial" w:eastAsia="Arial" w:hAnsi="Arial"/>
          <w:sz w:val="18"/>
          <w:szCs w:val="18"/>
          <w:u w:val="single" w:color="auto"/>
          <w:color w:val="auto"/>
        </w:rPr>
        <w:t>Initial Warrant</w:t>
      </w:r>
      <w:r>
        <w:rPr>
          <w:rFonts w:ascii="Arial" w:cs="Arial" w:eastAsia="Arial" w:hAnsi="Arial"/>
          <w:sz w:val="18"/>
          <w:szCs w:val="18"/>
          <w:color w:val="auto"/>
        </w:rPr>
        <w:t xml:space="preserve">, at an exercise price per share of $1.30 (subject to standard adjustments for stock splits, stock dividends, rights offerings and pro rata distributions), or the </w:t>
      </w:r>
      <w:r>
        <w:rPr>
          <w:rFonts w:ascii="Arial" w:cs="Arial" w:eastAsia="Arial" w:hAnsi="Arial"/>
          <w:sz w:val="18"/>
          <w:szCs w:val="18"/>
          <w:u w:val="single" w:color="auto"/>
          <w:color w:val="auto"/>
        </w:rPr>
        <w:t>Exercise Price</w:t>
      </w:r>
      <w:r>
        <w:rPr>
          <w:rFonts w:ascii="Arial" w:cs="Arial" w:eastAsia="Arial" w:hAnsi="Arial"/>
          <w:sz w:val="18"/>
          <w:szCs w:val="18"/>
          <w:color w:val="auto"/>
        </w:rPr>
        <w:t>, and (ii) we issued a warrant to the Warrant Holder to purchase 1,153,846 shares of our common stock, at an exercise price per share equal to the Exercise Price. Each warrant is exercisable for eight years from the date of issuance. If any or all of the warrants are exercised, our stockholders could realize dilution, and the value of their shares could decrease. For example, on July 21, 2025, the Warrant Holder exercised its option to purchase 2,115,384 shares of our common stock under the Initial Warrant on a cashless basis at the Exercise Price. A cashless exercise allows the Warrant Holder to convert the warrants into shares of our common stock without the need for a cash payment. Instead of paying cash upon exercise, the Warrant Holder received a reduced number of shares based on a predetermined formula. As a result of the cashless exercise, we issued 1,408,588 shares to the Warrant Holder under the Initial Warrant.</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number of shares that are subject to outstanding options, restricted stock units and other securities convertible into our common stock, and in the future we may issue additional options, restricted stock units, or other securities convertible into our common stock. The exercise or vesting of any such options, restricted stock units, or other securities, and the subsequent sale of the underlying common stock, could cause a further decline in our stock price. These sales also might make it difficult for us to sell equity securities in the future at a time and at a price that we deem appropriate. Such sales of our common stock could result in higher than average trading volume and may cause the market price for our common stock to decline.</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currently have on file with the SEC a shelf registration statement on Form S-3, which allows us to offer and sell up to $250.0 million in registered securities, such as common stock, preferred stock, debt securities, warrants and units, from time to time pursuant to one or more offerings at prices and terms to be determined at the time of sale, including a sales agreement prospectus that covers the offering, issuance and sale by us of up to a maximum aggregate offering price of up to $75.0 million of our common stock that may be issued and sold from time to time under a sales agreement with Jefferies LLC, of which $32.0 million remains available for future issuance and sale.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of substantial amounts of shares of our common stock or other securities by our employees or our other stockholders or by us under our shelf registration statement, pursuant to at-the-market offerings or otherwise, could dilute our stockholders, lower the market price of our common stock and impair our ability to raise capital through the sale of equity securities.</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maintain the ability to significantly influence all matters submitted to stockholders for approval.</w:t>
      </w:r>
    </w:p>
    <w:p>
      <w:pPr>
        <w:spacing w:after="0" w:line="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June 30, 2025, our executive officers, directors and principal stockholders, in the aggregate, beneficially owned shares representing a significant percentage of our capital stock. As a result, if these stockholders were to choose to act together, they would be able to significantly influence all matters submitted to our stockholders for approval, as well as our management and affairs. For example, these persons could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Provisions in our organizational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Provisions in our Charter and our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certain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4" w:lineRule="exact"/>
        <w:rPr>
          <w:sz w:val="20"/>
          <w:szCs w:val="20"/>
          <w:color w:val="auto"/>
        </w:rPr>
      </w:pPr>
    </w:p>
    <w:p>
      <w:pPr>
        <w:ind w:left="660" w:right="20" w:hanging="328"/>
        <w:spacing w:after="0" w:line="281"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a supermajority vote of 75% of the holders of our capital stock entitled to vote or the majority vote of our Board of Directors to amend our Bylaws; and</w:t>
      </w:r>
    </w:p>
    <w:p>
      <w:pPr>
        <w:spacing w:after="0" w:line="1"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a supermajority vote of 85% of the holders of our capital stock entitled to vote to amend the classification of our Board of Directors and to amend certain other provisions of our Charter.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changes in control or changes in our management.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never declared or paid cash dividends on our capital stock and we currently intend to retain all of our future earnings, if any, to finance the development and growth of our business. Any payment of cash dividends in the future would be at the discretion of our Board of Directors and would depend on, among other things, our earnings, financial condition, capital requirements, level of indebtedness, statutory and contractual restrictions applying to the payment of dividends and other considerations that the Board of Directors deems relevant. In addition, the terms of the BlackRock Credit Agreement preclude us from paying cash dividends without prior written consent of the lender and future debt agreements may preclude us from paying cash dividends. As a result, capital appreciation, if any, of our common stock will be our stockholders’ sole source of gain for the foreseeable future.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quarter ended June 30, 2025, we did not have any sales of unregistered securities, other than pursuant to transactions previously disclosed in our Current Reports on Form 8-K.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10b5-1—Director and Officer Trading Arrangements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From time to time, the Company's directors and officers (as defined in Rule 16a-1(f) under the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engage in open-market transactions with respect to Company securities, including to satisfy tax withholding obligations when equity awards vest or are exercised, and for diversification or other personal reasons.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in Company securities by directors and officers are required to be made in accordance with the Company’s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None of the Company's directors or officers adopted or terminated a Rule 10b5-1 trading arrangement or a non-Rule 10b5-1 trading arrangement (as each term is defined in Item 408(c) of Regulation S-K) during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rPr>
              <w:t>3.1</w:t>
            </w:r>
          </w:p>
        </w:tc>
        <w:tc>
          <w:tcPr>
            <w:tcW w:w="8580" w:type="dxa"/>
            <w:vAlign w:val="bottom"/>
            <w:gridSpan w:val="16"/>
          </w:tcPr>
          <w:p>
            <w:pPr>
              <w:spacing w:after="0"/>
              <w:rPr>
                <w:rFonts w:ascii="Arial" w:cs="Arial" w:eastAsia="Arial" w:hAnsi="Arial"/>
                <w:sz w:val="18"/>
                <w:szCs w:val="18"/>
                <w:color w:val="3051F2"/>
              </w:rPr>
            </w:pPr>
            <w:hyperlink r:id="rId126">
              <w:r>
                <w:rPr>
                  <w:rFonts w:ascii="Arial" w:cs="Arial" w:eastAsia="Arial" w:hAnsi="Arial"/>
                  <w:sz w:val="18"/>
                  <w:szCs w:val="18"/>
                  <w:color w:val="3051F2"/>
                </w:rPr>
                <w:t>Ninth Amended and Restated Certificate of Incorporation (incorporated by reference to Exhibit 3.1 to the</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6320" w:type="dxa"/>
            <w:vAlign w:val="bottom"/>
            <w:tcBorders>
              <w:top w:val="single" w:sz="8" w:color="3051F2"/>
              <w:bottom w:val="single" w:sz="8" w:color="3051F2"/>
            </w:tcBorders>
            <w:gridSpan w:val="6"/>
          </w:tcPr>
          <w:p>
            <w:pPr>
              <w:spacing w:after="0" w:line="142" w:lineRule="exact"/>
              <w:rPr>
                <w:rFonts w:ascii="Arial" w:cs="Arial" w:eastAsia="Arial" w:hAnsi="Arial"/>
                <w:sz w:val="16"/>
                <w:szCs w:val="16"/>
                <w:color w:val="3051F2"/>
              </w:rPr>
            </w:pPr>
            <w:hyperlink r:id="rId126">
              <w:r>
                <w:rPr>
                  <w:rFonts w:ascii="Arial" w:cs="Arial" w:eastAsia="Arial" w:hAnsi="Arial"/>
                  <w:sz w:val="16"/>
                  <w:szCs w:val="16"/>
                  <w:color w:val="3051F2"/>
                </w:rPr>
                <w:t>Company’s Current Report on Form 8-K (001-36352), filed on March 28, 2014).</w:t>
              </w:r>
            </w:hyperlink>
          </w:p>
        </w:tc>
        <w:tc>
          <w:tcPr>
            <w:tcW w:w="1960" w:type="dxa"/>
            <w:vAlign w:val="bottom"/>
            <w:tcBorders>
              <w:top w:val="single" w:sz="8" w:color="3051F2"/>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3051F2"/>
              </w:rPr>
            </w:pPr>
            <w:hyperlink r:id="rId127">
              <w:r>
                <w:rPr>
                  <w:rFonts w:ascii="Arial" w:cs="Arial" w:eastAsia="Arial" w:hAnsi="Arial"/>
                  <w:sz w:val="18"/>
                  <w:szCs w:val="18"/>
                  <w:color w:val="3051F2"/>
                </w:rPr>
                <w:t>Certificate of Amendment of Ninth Amended and Restated Certificate of Incorporation of Akebia</w:t>
              </w:r>
            </w:hyperlink>
          </w:p>
        </w:tc>
        <w:tc>
          <w:tcPr>
            <w:tcW w:w="0" w:type="dxa"/>
            <w:vAlign w:val="bottom"/>
          </w:tcPr>
          <w:p>
            <w:pPr>
              <w:spacing w:after="0"/>
              <w:rPr>
                <w:sz w:val="1"/>
                <w:szCs w:val="1"/>
                <w:color w:val="auto"/>
              </w:rPr>
            </w:pPr>
          </w:p>
        </w:tc>
      </w:tr>
      <w:tr>
        <w:trPr>
          <w:trHeight w:val="162"/>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rPr>
              <w:t>3.2</w:t>
            </w:r>
          </w:p>
        </w:tc>
        <w:tc>
          <w:tcPr>
            <w:tcW w:w="7600" w:type="dxa"/>
            <w:vAlign w:val="bottom"/>
            <w:tcBorders>
              <w:top w:val="single" w:sz="8" w:color="3051F2"/>
            </w:tcBorders>
            <w:gridSpan w:val="8"/>
          </w:tcPr>
          <w:p>
            <w:pPr>
              <w:spacing w:after="0" w:line="162" w:lineRule="exact"/>
              <w:rPr>
                <w:rFonts w:ascii="Arial" w:cs="Arial" w:eastAsia="Arial" w:hAnsi="Arial"/>
                <w:sz w:val="18"/>
                <w:szCs w:val="18"/>
                <w:color w:val="3051F2"/>
                <w:w w:val="99"/>
              </w:rPr>
            </w:pPr>
            <w:hyperlink r:id="rId127">
              <w:r>
                <w:rPr>
                  <w:rFonts w:ascii="Arial" w:cs="Arial" w:eastAsia="Arial" w:hAnsi="Arial"/>
                  <w:sz w:val="18"/>
                  <w:szCs w:val="18"/>
                  <w:color w:val="3051F2"/>
                  <w:w w:val="99"/>
                </w:rPr>
                <w:t>Therapeutics, Inc. (incorporated by reference to Exhibit 3.1 to the Company's Current Report on</w:t>
              </w:r>
            </w:hyperlink>
          </w:p>
        </w:tc>
        <w:tc>
          <w:tcPr>
            <w:tcW w:w="980" w:type="dxa"/>
            <w:vAlign w:val="bottom"/>
            <w:gridSpan w:val="8"/>
          </w:tcPr>
          <w:p>
            <w:pPr>
              <w:ind w:left="80"/>
              <w:spacing w:after="0" w:line="162" w:lineRule="exact"/>
              <w:rPr>
                <w:rFonts w:ascii="Arial" w:cs="Arial" w:eastAsia="Arial" w:hAnsi="Arial"/>
                <w:sz w:val="18"/>
                <w:szCs w:val="18"/>
                <w:color w:val="3051F2"/>
              </w:rPr>
            </w:pPr>
            <w:hyperlink r:id="rId127">
              <w:r>
                <w:rPr>
                  <w:rFonts w:ascii="Arial" w:cs="Arial" w:eastAsia="Arial" w:hAnsi="Arial"/>
                  <w:sz w:val="18"/>
                  <w:szCs w:val="18"/>
                  <w:color w:val="3051F2"/>
                </w:rPr>
                <w:t>Form 8-K</w:t>
              </w:r>
            </w:hyperlink>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420" w:type="dxa"/>
            <w:vAlign w:val="bottom"/>
            <w:tcBorders>
              <w:top w:val="single" w:sz="8" w:color="3051F2"/>
            </w:tcBorders>
            <w:gridSpan w:val="12"/>
          </w:tcPr>
          <w:p>
            <w:pPr>
              <w:spacing w:after="0" w:line="169" w:lineRule="exact"/>
              <w:rPr>
                <w:rFonts w:ascii="Arial" w:cs="Arial" w:eastAsia="Arial" w:hAnsi="Arial"/>
                <w:sz w:val="18"/>
                <w:szCs w:val="18"/>
                <w:color w:val="3051F2"/>
              </w:rPr>
            </w:pPr>
            <w:hyperlink r:id="rId127">
              <w:r>
                <w:rPr>
                  <w:rFonts w:ascii="Arial" w:cs="Arial" w:eastAsia="Arial" w:hAnsi="Arial"/>
                  <w:sz w:val="18"/>
                  <w:szCs w:val="18"/>
                  <w:color w:val="3051F2"/>
                </w:rPr>
                <w:t>(001-36352), filed on June 9, 2020).</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rPr>
              <w:t>3.3</w:t>
            </w:r>
          </w:p>
        </w:tc>
        <w:tc>
          <w:tcPr>
            <w:tcW w:w="8580" w:type="dxa"/>
            <w:vAlign w:val="bottom"/>
            <w:gridSpan w:val="16"/>
          </w:tcPr>
          <w:p>
            <w:pPr>
              <w:spacing w:after="0"/>
              <w:rPr>
                <w:rFonts w:ascii="Arial" w:cs="Arial" w:eastAsia="Arial" w:hAnsi="Arial"/>
                <w:sz w:val="18"/>
                <w:szCs w:val="18"/>
                <w:color w:val="3051F2"/>
              </w:rPr>
            </w:pPr>
            <w:hyperlink r:id="rId128">
              <w:r>
                <w:rPr>
                  <w:rFonts w:ascii="Arial" w:cs="Arial" w:eastAsia="Arial" w:hAnsi="Arial"/>
                  <w:sz w:val="18"/>
                  <w:szCs w:val="18"/>
                  <w:color w:val="3051F2"/>
                </w:rPr>
                <w:t>Second Amended and Restated Bylaws (incorporated by reference to Exhibit 3.1 to the Company’s Current</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4580" w:type="dxa"/>
            <w:vAlign w:val="bottom"/>
            <w:tcBorders>
              <w:top w:val="single" w:sz="8" w:color="3051F2"/>
              <w:bottom w:val="single" w:sz="8" w:color="3051F2"/>
            </w:tcBorders>
            <w:gridSpan w:val="4"/>
          </w:tcPr>
          <w:p>
            <w:pPr>
              <w:spacing w:after="0" w:line="142" w:lineRule="exact"/>
              <w:rPr>
                <w:rFonts w:ascii="Arial" w:cs="Arial" w:eastAsia="Arial" w:hAnsi="Arial"/>
                <w:sz w:val="16"/>
                <w:szCs w:val="16"/>
                <w:color w:val="3051F2"/>
              </w:rPr>
            </w:pPr>
            <w:hyperlink r:id="rId128">
              <w:r>
                <w:rPr>
                  <w:rFonts w:ascii="Arial" w:cs="Arial" w:eastAsia="Arial" w:hAnsi="Arial"/>
                  <w:sz w:val="16"/>
                  <w:szCs w:val="16"/>
                  <w:color w:val="3051F2"/>
                </w:rPr>
                <w:t>Report on Form 8-K (001-36352), filed on April 28, 2023).</w:t>
              </w:r>
            </w:hyperlink>
          </w:p>
        </w:tc>
        <w:tc>
          <w:tcPr>
            <w:tcW w:w="1140" w:type="dxa"/>
            <w:vAlign w:val="bottom"/>
            <w:tcBorders>
              <w:top w:val="single" w:sz="8" w:color="3051F2"/>
            </w:tcBorders>
          </w:tcPr>
          <w:p>
            <w:pPr>
              <w:spacing w:after="0"/>
              <w:rPr>
                <w:sz w:val="13"/>
                <w:szCs w:val="13"/>
                <w:color w:val="auto"/>
              </w:rPr>
            </w:pPr>
          </w:p>
        </w:tc>
        <w:tc>
          <w:tcPr>
            <w:tcW w:w="1380" w:type="dxa"/>
            <w:vAlign w:val="bottom"/>
            <w:tcBorders>
              <w:top w:val="single" w:sz="8" w:color="3051F2"/>
            </w:tcBorders>
            <w:gridSpan w:val="2"/>
          </w:tcPr>
          <w:p>
            <w:pPr>
              <w:spacing w:after="0"/>
              <w:rPr>
                <w:sz w:val="13"/>
                <w:szCs w:val="13"/>
                <w:color w:val="auto"/>
              </w:rPr>
            </w:pPr>
          </w:p>
        </w:tc>
        <w:tc>
          <w:tcPr>
            <w:tcW w:w="1100" w:type="dxa"/>
            <w:vAlign w:val="bottom"/>
            <w:tcBorders>
              <w:top w:val="single" w:sz="8" w:color="3051F2"/>
            </w:tcBorders>
            <w:gridSpan w:val="2"/>
          </w:tcPr>
          <w:p>
            <w:pPr>
              <w:spacing w:after="0"/>
              <w:rPr>
                <w:sz w:val="13"/>
                <w:szCs w:val="13"/>
                <w:color w:val="auto"/>
              </w:rPr>
            </w:pPr>
          </w:p>
        </w:tc>
        <w:tc>
          <w:tcPr>
            <w:tcW w:w="180" w:type="dxa"/>
            <w:vAlign w:val="bottom"/>
            <w:tcBorders>
              <w:top w:val="single" w:sz="8" w:color="3051F2"/>
            </w:tcBorders>
            <w:gridSpan w:val="2"/>
          </w:tcPr>
          <w:p>
            <w:pPr>
              <w:spacing w:after="0"/>
              <w:rPr>
                <w:sz w:val="13"/>
                <w:szCs w:val="13"/>
                <w:color w:val="auto"/>
              </w:rPr>
            </w:pPr>
          </w:p>
        </w:tc>
        <w:tc>
          <w:tcPr>
            <w:tcW w:w="140" w:type="dxa"/>
            <w:vAlign w:val="bottom"/>
            <w:tcBorders>
              <w:top w:val="single" w:sz="8" w:color="3051F2"/>
            </w:tcBorders>
            <w:gridSpan w:val="2"/>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10.1</w:t>
            </w:r>
          </w:p>
        </w:tc>
        <w:tc>
          <w:tcPr>
            <w:tcW w:w="8580" w:type="dxa"/>
            <w:vAlign w:val="bottom"/>
            <w:gridSpan w:val="16"/>
          </w:tcPr>
          <w:p>
            <w:pPr>
              <w:spacing w:after="0"/>
              <w:rPr>
                <w:rFonts w:ascii="Arial" w:cs="Arial" w:eastAsia="Arial" w:hAnsi="Arial"/>
                <w:sz w:val="18"/>
                <w:szCs w:val="18"/>
                <w:color w:val="0000FF"/>
              </w:rPr>
            </w:pPr>
            <w:hyperlink r:id="rId129">
              <w:r>
                <w:rPr>
                  <w:rFonts w:ascii="Arial" w:cs="Arial" w:eastAsia="Arial" w:hAnsi="Arial"/>
                  <w:sz w:val="18"/>
                  <w:szCs w:val="18"/>
                  <w:color w:val="0000FF"/>
                </w:rPr>
                <w:t>Akebia Therapeutics, Inc. 2023 Stock Incentive Plan, as amended (incorporated by reference to Exhibit</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71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99.1 to the Company's Current Report on Form 8-K (001-36352), filed on June 13, 2025).</w:t>
              </w:r>
            </w:hyperlink>
          </w:p>
        </w:tc>
        <w:tc>
          <w:tcPr>
            <w:tcW w:w="1100" w:type="dxa"/>
            <w:vAlign w:val="bottom"/>
            <w:tcBorders>
              <w:top w:val="single" w:sz="8" w:color="0000FF"/>
            </w:tcBorders>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31.1*</w:t>
            </w:r>
          </w:p>
        </w:tc>
        <w:tc>
          <w:tcPr>
            <w:tcW w:w="8580" w:type="dxa"/>
            <w:vAlign w:val="bottom"/>
            <w:gridSpan w:val="16"/>
          </w:tcPr>
          <w:p>
            <w:pPr>
              <w:spacing w:after="0"/>
              <w:rPr>
                <w:sz w:val="20"/>
                <w:szCs w:val="20"/>
                <w:color w:val="auto"/>
              </w:rPr>
            </w:pPr>
            <w:r>
              <w:rPr>
                <w:rFonts w:ascii="Arial" w:cs="Arial" w:eastAsia="Arial" w:hAnsi="Arial"/>
                <w:sz w:val="18"/>
                <w:szCs w:val="18"/>
                <w:color w:val="3051F2"/>
              </w:rPr>
              <w:t>Certification of Principal Executive Officer Required Under Rule 13a-14(a) of the Securities Exchange Act</w:t>
            </w: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8380" w:type="dxa"/>
            <w:vAlign w:val="bottom"/>
            <w:tcBorders>
              <w:top w:val="single" w:sz="8" w:color="3051F2"/>
            </w:tcBorders>
            <w:gridSpan w:val="11"/>
          </w:tcPr>
          <w:p>
            <w:pPr>
              <w:spacing w:after="0" w:line="142" w:lineRule="exact"/>
              <w:rPr>
                <w:sz w:val="20"/>
                <w:szCs w:val="20"/>
                <w:color w:val="auto"/>
              </w:rPr>
            </w:pPr>
            <w:r>
              <w:rPr>
                <w:rFonts w:ascii="Arial" w:cs="Arial" w:eastAsia="Arial" w:hAnsi="Arial"/>
                <w:sz w:val="16"/>
                <w:szCs w:val="16"/>
                <w:color w:val="3051F2"/>
              </w:rPr>
              <w:t>of 1934, as amended.</w:t>
            </w: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31.2*</w:t>
            </w:r>
          </w:p>
        </w:tc>
        <w:tc>
          <w:tcPr>
            <w:tcW w:w="8580" w:type="dxa"/>
            <w:vAlign w:val="bottom"/>
            <w:gridSpan w:val="16"/>
          </w:tcPr>
          <w:p>
            <w:pPr>
              <w:spacing w:after="0"/>
              <w:rPr>
                <w:sz w:val="20"/>
                <w:szCs w:val="20"/>
                <w:color w:val="auto"/>
              </w:rPr>
            </w:pPr>
            <w:r>
              <w:rPr>
                <w:rFonts w:ascii="Arial" w:cs="Arial" w:eastAsia="Arial" w:hAnsi="Arial"/>
                <w:sz w:val="18"/>
                <w:szCs w:val="18"/>
                <w:color w:val="0000FF"/>
              </w:rPr>
              <w:t>Certification of Principal Financial Officer Required Under Rule 13a-14(a) of the Securities Exchange Act of</w:t>
            </w: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854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1934, as amended.</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32.1*</w:t>
            </w:r>
          </w:p>
        </w:tc>
        <w:tc>
          <w:tcPr>
            <w:tcW w:w="858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and Principal Financial Officer Required Under Rule 13a-14(b) of</w:t>
            </w: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the Securities Exchange Act of 1934, as amended, and 18 U.S.C. 1350.</w:t>
            </w:r>
          </w:p>
        </w:tc>
        <w:tc>
          <w:tcPr>
            <w:tcW w:w="280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101.INS*</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47"/>
        </w:trPr>
        <w:tc>
          <w:tcPr>
            <w:tcW w:w="1140" w:type="dxa"/>
            <w:vAlign w:val="bottom"/>
            <w:vMerge w:val="continue"/>
          </w:tcPr>
          <w:p>
            <w:pPr>
              <w:spacing w:after="0"/>
              <w:rPr>
                <w:sz w:val="21"/>
                <w:szCs w:val="21"/>
                <w:color w:val="auto"/>
              </w:rPr>
            </w:pPr>
          </w:p>
        </w:tc>
        <w:tc>
          <w:tcPr>
            <w:tcW w:w="8580" w:type="dxa"/>
            <w:vAlign w:val="bottom"/>
            <w:gridSpan w:val="16"/>
          </w:tcPr>
          <w:p>
            <w:pPr>
              <w:spacing w:after="0"/>
              <w:rPr>
                <w:sz w:val="20"/>
                <w:szCs w:val="20"/>
                <w:color w:val="auto"/>
              </w:rPr>
            </w:pPr>
            <w:r>
              <w:rPr>
                <w:rFonts w:ascii="Arial" w:cs="Arial" w:eastAsia="Arial" w:hAnsi="Arial"/>
                <w:sz w:val="18"/>
                <w:szCs w:val="18"/>
                <w:color w:val="auto"/>
              </w:rPr>
              <w:t>because XBRL tags are embedded within the Inline XBRL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50"/>
              <w:spacing w:after="0"/>
              <w:rPr>
                <w:sz w:val="20"/>
                <w:szCs w:val="20"/>
                <w:color w:val="auto"/>
              </w:rPr>
            </w:pPr>
            <w:r>
              <w:rPr>
                <w:rFonts w:ascii="Arial" w:cs="Arial" w:eastAsia="Arial" w:hAnsi="Arial"/>
                <w:sz w:val="18"/>
                <w:szCs w:val="18"/>
                <w:color w:val="auto"/>
                <w:w w:val="99"/>
              </w:rPr>
              <w:t>101.SCH*</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70"/>
              <w:spacing w:after="0"/>
              <w:rPr>
                <w:sz w:val="20"/>
                <w:szCs w:val="20"/>
                <w:color w:val="auto"/>
              </w:rPr>
            </w:pPr>
            <w:r>
              <w:rPr>
                <w:rFonts w:ascii="Arial" w:cs="Arial" w:eastAsia="Arial" w:hAnsi="Arial"/>
                <w:sz w:val="18"/>
                <w:szCs w:val="18"/>
                <w:color w:val="auto"/>
              </w:rPr>
              <w:t>101.CAL*</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9"/>
              </w:rPr>
              <w:t>101.DEF*</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50"/>
              <w:spacing w:after="0"/>
              <w:rPr>
                <w:sz w:val="20"/>
                <w:szCs w:val="20"/>
                <w:color w:val="auto"/>
              </w:rPr>
            </w:pPr>
            <w:r>
              <w:rPr>
                <w:rFonts w:ascii="Arial" w:cs="Arial" w:eastAsia="Arial" w:hAnsi="Arial"/>
                <w:sz w:val="18"/>
                <w:szCs w:val="18"/>
                <w:color w:val="auto"/>
                <w:w w:val="99"/>
              </w:rPr>
              <w:t>101.LAB*</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8"/>
              </w:rPr>
              <w:t>101.PRE*</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70"/>
              <w:spacing w:after="0"/>
              <w:rPr>
                <w:sz w:val="20"/>
                <w:szCs w:val="20"/>
                <w:color w:val="auto"/>
              </w:rPr>
            </w:pPr>
            <w:r>
              <w:rPr>
                <w:rFonts w:ascii="Arial" w:cs="Arial" w:eastAsia="Arial" w:hAnsi="Arial"/>
                <w:sz w:val="18"/>
                <w:szCs w:val="18"/>
                <w:color w:val="auto"/>
              </w:rPr>
              <w:t>104*</w:t>
            </w:r>
          </w:p>
        </w:tc>
        <w:tc>
          <w:tcPr>
            <w:tcW w:w="858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Filed, or 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Akebia Therapeutics, Inc. | Form 10-Q |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AKEBIA THERAPEUTICS, INC.</w:t>
      </w:r>
    </w:p>
    <w:p>
      <w:pPr>
        <w:sectPr>
          <w:pgSz w:w="11900" w:h="16838" w:orient="portrait"/>
          <w:cols w:equalWidth="0" w:num="1">
            <w:col w:w="11220"/>
          </w:cols>
          <w:pgMar w:left="320" w:top="229" w:right="359" w:bottom="1440" w:gutter="0" w:footer="0" w:header="0"/>
        </w:sectPr>
      </w:pPr>
    </w:p>
    <w:p>
      <w:pPr>
        <w:spacing w:after="0" w:line="293"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August 7, 2025</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August 7, 2025</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August 7, 2025</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John P.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Butler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Erik J.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Erik J. Ostrowski</w:t>
      </w:r>
    </w:p>
    <w:p>
      <w:pPr>
        <w:spacing w:after="0" w:line="32" w:lineRule="exact"/>
        <w:rPr>
          <w:sz w:val="20"/>
          <w:szCs w:val="20"/>
          <w:color w:val="auto"/>
        </w:rPr>
      </w:pPr>
    </w:p>
    <w:p>
      <w:pPr>
        <w:ind w:right="580"/>
        <w:spacing w:after="0" w:line="216" w:lineRule="auto"/>
        <w:rPr>
          <w:sz w:val="20"/>
          <w:szCs w:val="20"/>
          <w:color w:val="auto"/>
        </w:rPr>
      </w:pPr>
      <w:r>
        <w:rPr>
          <w:rFonts w:ascii="Arial" w:cs="Arial" w:eastAsia="Arial" w:hAnsi="Arial"/>
          <w:sz w:val="18"/>
          <w:szCs w:val="18"/>
          <w:i w:val="1"/>
          <w:iCs w:val="1"/>
          <w:color w:val="auto"/>
        </w:rPr>
        <w:t>Senior Vice President, Chief Financial Officer, Chief Business Officer and Treasurer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Richard C. Malabre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C. Malabre</w:t>
      </w:r>
    </w:p>
    <w:p>
      <w:pPr>
        <w:spacing w:after="0" w:line="32" w:lineRule="exact"/>
        <w:rPr>
          <w:sz w:val="20"/>
          <w:szCs w:val="20"/>
          <w:color w:val="auto"/>
        </w:rPr>
      </w:pPr>
    </w:p>
    <w:p>
      <w:pPr>
        <w:ind w:right="900"/>
        <w:spacing w:after="0" w:line="234" w:lineRule="auto"/>
        <w:rPr>
          <w:sz w:val="20"/>
          <w:szCs w:val="20"/>
          <w:color w:val="auto"/>
        </w:rPr>
      </w:pPr>
      <w:r>
        <w:rPr>
          <w:rFonts w:ascii="Arial" w:cs="Arial" w:eastAsia="Arial" w:hAnsi="Arial"/>
          <w:sz w:val="18"/>
          <w:szCs w:val="18"/>
          <w:i w:val="1"/>
          <w:iCs w:val="1"/>
          <w:color w:val="auto"/>
        </w:rPr>
        <w:t>Senior Vice President, Chief Accounting Officer (Principal Accounting Officer)</w:t>
      </w:r>
    </w:p>
    <w:p>
      <w:pPr>
        <w:spacing w:after="0" w:line="200" w:lineRule="exact"/>
        <w:rPr>
          <w:sz w:val="20"/>
          <w:szCs w:val="20"/>
          <w:color w:val="auto"/>
        </w:rPr>
      </w:pPr>
    </w:p>
    <w:p>
      <w:pPr>
        <w:sectPr>
          <w:pgSz w:w="11900" w:h="16838" w:orient="portrait"/>
          <w:cols w:equalWidth="0" w:num="2">
            <w:col w:w="5200" w:space="560"/>
            <w:col w:w="5460"/>
          </w:cols>
          <w:pgMar w:left="320" w:top="2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108</w:t>
      </w:r>
    </w:p>
    <w:p>
      <w:pPr>
        <w:sectPr>
          <w:pgSz w:w="11900" w:h="16838" w:orient="portrait"/>
          <w:cols w:equalWidth="0" w:num="1">
            <w:col w:w="11220"/>
          </w:cols>
          <w:pgMar w:left="320" w:top="229" w:right="35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John P. Butler, certify that:</w:t>
      </w:r>
    </w:p>
    <w:p>
      <w:pPr>
        <w:spacing w:after="0" w:line="117" w:lineRule="exact"/>
        <w:rPr>
          <w:sz w:val="20"/>
          <w:szCs w:val="20"/>
          <w:color w:val="auto"/>
        </w:rPr>
      </w:pPr>
    </w:p>
    <w:p>
      <w:pPr>
        <w:ind w:left="980" w:hanging="972"/>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Akebia Therapeutics, Inc.;</w:t>
      </w:r>
    </w:p>
    <w:p>
      <w:pPr>
        <w:spacing w:after="0" w:line="117" w:lineRule="exact"/>
        <w:rPr>
          <w:rFonts w:ascii="Arial" w:cs="Arial" w:eastAsia="Arial" w:hAnsi="Arial"/>
          <w:sz w:val="18"/>
          <w:szCs w:val="18"/>
          <w:color w:val="auto"/>
        </w:rPr>
      </w:pPr>
    </w:p>
    <w:p>
      <w:pPr>
        <w:ind w:left="980" w:right="120" w:hanging="972"/>
        <w:spacing w:after="0" w:line="268"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980" w:right="480" w:hanging="972"/>
        <w:spacing w:after="0" w:line="268"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980" w:hanging="972"/>
        <w:spacing w:after="0" w:line="268"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60" w:hanging="980"/>
        <w:spacing w:after="0" w:line="262" w:lineRule="auto"/>
        <w:tabs>
          <w:tab w:leader="none" w:pos="19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960" w:right="120" w:hanging="980"/>
        <w:spacing w:after="0" w:line="262"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960" w:right="220" w:hanging="980"/>
        <w:spacing w:after="0" w:line="268" w:lineRule="auto"/>
        <w:tabs>
          <w:tab w:leader="none" w:pos="1981"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20" w:hanging="980"/>
        <w:spacing w:after="0" w:line="262"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980" w:right="20" w:hanging="972"/>
        <w:spacing w:after="0" w:line="268"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960" w:right="320" w:hanging="980"/>
        <w:spacing w:after="0" w:line="268" w:lineRule="auto"/>
        <w:tabs>
          <w:tab w:leader="none" w:pos="19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120" w:hanging="980"/>
        <w:spacing w:after="0" w:line="287"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Date: August 7, 2025</w:t>
            </w:r>
          </w:p>
        </w:tc>
        <w:tc>
          <w:tcPr>
            <w:tcW w:w="3000" w:type="dxa"/>
            <w:vAlign w:val="bottom"/>
          </w:tcPr>
          <w:p>
            <w:pPr>
              <w:ind w:left="24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18"/>
        </w:trPr>
        <w:tc>
          <w:tcPr>
            <w:tcW w:w="4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230"/>
        </w:trPr>
        <w:tc>
          <w:tcPr>
            <w:tcW w:w="4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9"/>
        </w:trPr>
        <w:tc>
          <w:tcPr>
            <w:tcW w:w="4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Erik J. Ostrowski, certify that:</w:t>
      </w:r>
    </w:p>
    <w:p>
      <w:pPr>
        <w:spacing w:after="0" w:line="27" w:lineRule="exact"/>
        <w:rPr>
          <w:sz w:val="20"/>
          <w:szCs w:val="20"/>
          <w:color w:val="auto"/>
        </w:rPr>
      </w:pPr>
    </w:p>
    <w:p>
      <w:pPr>
        <w:ind w:left="980" w:hanging="972"/>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Akebia Therapeutics, Inc.;</w:t>
      </w:r>
    </w:p>
    <w:p>
      <w:pPr>
        <w:spacing w:after="0" w:line="99" w:lineRule="exact"/>
        <w:rPr>
          <w:rFonts w:ascii="Arial" w:cs="Arial" w:eastAsia="Arial" w:hAnsi="Arial"/>
          <w:sz w:val="18"/>
          <w:szCs w:val="18"/>
          <w:color w:val="auto"/>
        </w:rPr>
      </w:pPr>
    </w:p>
    <w:p>
      <w:pPr>
        <w:ind w:left="980" w:right="120" w:hanging="972"/>
        <w:spacing w:after="0" w:line="268" w:lineRule="auto"/>
        <w:tabs>
          <w:tab w:leader="none" w:pos="9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980" w:right="480" w:hanging="972"/>
        <w:spacing w:after="0" w:line="268" w:lineRule="auto"/>
        <w:tabs>
          <w:tab w:leader="none" w:pos="9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980" w:hanging="972"/>
        <w:spacing w:after="0" w:line="268" w:lineRule="auto"/>
        <w:tabs>
          <w:tab w:leader="none" w:pos="9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60" w:hanging="980"/>
        <w:spacing w:after="0" w:line="262" w:lineRule="auto"/>
        <w:tabs>
          <w:tab w:leader="none" w:pos="197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960" w:right="120" w:hanging="980"/>
        <w:spacing w:after="0" w:line="262" w:lineRule="auto"/>
        <w:tabs>
          <w:tab w:leader="none" w:pos="19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960" w:right="220" w:hanging="980"/>
        <w:spacing w:after="0" w:line="268" w:lineRule="auto"/>
        <w:tabs>
          <w:tab w:leader="none" w:pos="1981"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20" w:hanging="980"/>
        <w:spacing w:after="0" w:line="262" w:lineRule="auto"/>
        <w:tabs>
          <w:tab w:leader="none" w:pos="19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980" w:right="20" w:hanging="972"/>
        <w:spacing w:after="0" w:line="268" w:lineRule="auto"/>
        <w:tabs>
          <w:tab w:leader="none" w:pos="9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960" w:right="320" w:hanging="980"/>
        <w:spacing w:after="0" w:line="268" w:lineRule="auto"/>
        <w:tabs>
          <w:tab w:leader="none" w:pos="197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120" w:hanging="980"/>
        <w:spacing w:after="0" w:line="287" w:lineRule="auto"/>
        <w:tabs>
          <w:tab w:leader="none" w:pos="19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20"/>
        <w:spacing w:after="0"/>
        <w:tabs>
          <w:tab w:leader="none" w:pos="6540" w:val="left"/>
          <w:tab w:leader="none" w:pos="7140" w:val="left"/>
        </w:tabs>
        <w:rPr>
          <w:sz w:val="20"/>
          <w:szCs w:val="20"/>
          <w:color w:val="auto"/>
        </w:rPr>
      </w:pPr>
      <w:r>
        <w:rPr>
          <w:rFonts w:ascii="Arial" w:cs="Arial" w:eastAsia="Arial" w:hAnsi="Arial"/>
          <w:sz w:val="18"/>
          <w:szCs w:val="18"/>
          <w:color w:val="auto"/>
        </w:rPr>
        <w:t>Date: August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J.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17780</wp:posOffset>
            </wp:positionV>
            <wp:extent cx="25806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Erik J. Ostrowski</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Senior Vice President, Chief Financial Officer,</w:t>
      </w:r>
    </w:p>
    <w:p>
      <w:pPr>
        <w:ind w:left="7160"/>
        <w:spacing w:after="0"/>
        <w:rPr>
          <w:sz w:val="20"/>
          <w:szCs w:val="20"/>
          <w:color w:val="auto"/>
        </w:rPr>
      </w:pPr>
      <w:r>
        <w:rPr>
          <w:rFonts w:ascii="Arial" w:cs="Arial" w:eastAsia="Arial" w:hAnsi="Arial"/>
          <w:sz w:val="18"/>
          <w:szCs w:val="18"/>
          <w:color w:val="auto"/>
        </w:rPr>
        <w:t>Chief Business Officer and Treasurer</w:t>
      </w:r>
    </w:p>
    <w:p>
      <w:pPr>
        <w:spacing w:after="0" w:line="1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accompanying Quarterly Report of Akebia Therapeutics, Inc. (the “Company”) on Form 10-Q for the quarter ended June 30, 2025 (the “Report”), I, John P. Butler, as Chief Executive Officer and President of the Company, and I, Erik J. Ostrowski, as Senior Vice President, Chief Financial Officer, Chief Business Officer and Treasurer of the Company, certify, pursuant to 18 U.S.C. Section 1350, as adopted pursuant to Section 906 of the Sarbanes-Oxley Act of 2002, that, to my knowledge:</w:t>
      </w:r>
    </w:p>
    <w:p>
      <w:pPr>
        <w:spacing w:after="0" w:line="68" w:lineRule="exact"/>
        <w:rPr>
          <w:sz w:val="20"/>
          <w:szCs w:val="20"/>
          <w:color w:val="auto"/>
        </w:rPr>
      </w:pPr>
    </w:p>
    <w:p>
      <w:pPr>
        <w:ind w:left="980" w:right="160" w:hanging="972"/>
        <w:spacing w:after="0" w:line="287" w:lineRule="auto"/>
        <w:tabs>
          <w:tab w:leader="none" w:pos="9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44" w:lineRule="exact"/>
        <w:rPr>
          <w:rFonts w:ascii="Arial" w:cs="Arial" w:eastAsia="Arial" w:hAnsi="Arial"/>
          <w:sz w:val="18"/>
          <w:szCs w:val="18"/>
          <w:color w:val="auto"/>
        </w:rPr>
      </w:pPr>
    </w:p>
    <w:p>
      <w:pPr>
        <w:ind w:left="980" w:right="180" w:hanging="972"/>
        <w:spacing w:after="0" w:line="287" w:lineRule="auto"/>
        <w:tabs>
          <w:tab w:leader="none" w:pos="9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60" w:type="dxa"/>
            <w:vAlign w:val="bottom"/>
          </w:tcPr>
          <w:p>
            <w:pPr>
              <w:spacing w:after="0"/>
              <w:rPr>
                <w:sz w:val="20"/>
                <w:szCs w:val="20"/>
                <w:color w:val="auto"/>
              </w:rPr>
            </w:pPr>
            <w:r>
              <w:rPr>
                <w:rFonts w:ascii="Arial" w:cs="Arial" w:eastAsia="Arial" w:hAnsi="Arial"/>
                <w:sz w:val="18"/>
                <w:szCs w:val="18"/>
                <w:color w:val="auto"/>
              </w:rPr>
              <w:t>Date: August 7, 2025</w:t>
            </w:r>
          </w:p>
        </w:tc>
        <w:tc>
          <w:tcPr>
            <w:tcW w:w="2860" w:type="dxa"/>
            <w:vAlign w:val="bottom"/>
          </w:tcPr>
          <w:p>
            <w:pPr>
              <w:ind w:left="236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18"/>
        </w:trPr>
        <w:tc>
          <w:tcPr>
            <w:tcW w:w="4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230"/>
        </w:trPr>
        <w:tc>
          <w:tcPr>
            <w:tcW w:w="40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9"/>
        </w:trPr>
        <w:tc>
          <w:tcPr>
            <w:tcW w:w="40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4060" w:type="dxa"/>
            <w:vAlign w:val="bottom"/>
          </w:tcPr>
          <w:p>
            <w:pPr>
              <w:spacing w:after="0"/>
              <w:rPr>
                <w:sz w:val="20"/>
                <w:szCs w:val="20"/>
                <w:color w:val="auto"/>
              </w:rPr>
            </w:pPr>
            <w:r>
              <w:rPr>
                <w:rFonts w:ascii="Arial" w:cs="Arial" w:eastAsia="Arial" w:hAnsi="Arial"/>
                <w:sz w:val="18"/>
                <w:szCs w:val="18"/>
                <w:color w:val="auto"/>
              </w:rPr>
              <w:t>Date: August 7, 2025</w:t>
            </w:r>
          </w:p>
        </w:tc>
        <w:tc>
          <w:tcPr>
            <w:tcW w:w="2860" w:type="dxa"/>
            <w:vAlign w:val="bottom"/>
          </w:tcPr>
          <w:p>
            <w:pPr>
              <w:ind w:left="236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Erik J. Ostrowski</w:t>
            </w:r>
          </w:p>
        </w:tc>
      </w:tr>
      <w:tr>
        <w:trPr>
          <w:trHeight w:val="218"/>
        </w:trPr>
        <w:tc>
          <w:tcPr>
            <w:tcW w:w="4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Erik J. Ostrowski</w:t>
            </w:r>
          </w:p>
        </w:tc>
      </w:tr>
      <w:tr>
        <w:trPr>
          <w:trHeight w:val="181"/>
        </w:trPr>
        <w:tc>
          <w:tcPr>
            <w:tcW w:w="40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960" w:type="dxa"/>
            <w:vAlign w:val="bottom"/>
          </w:tcPr>
          <w:p>
            <w:pPr>
              <w:ind w:left="20"/>
              <w:spacing w:after="0" w:line="181" w:lineRule="exact"/>
              <w:rPr>
                <w:sz w:val="20"/>
                <w:szCs w:val="20"/>
                <w:color w:val="auto"/>
              </w:rPr>
            </w:pPr>
            <w:r>
              <w:rPr>
                <w:rFonts w:ascii="Arial" w:cs="Arial" w:eastAsia="Arial" w:hAnsi="Arial"/>
                <w:sz w:val="18"/>
                <w:szCs w:val="18"/>
                <w:color w:val="auto"/>
              </w:rPr>
              <w:t>Senior Vice President, Chief Financial Officer,</w:t>
            </w:r>
          </w:p>
        </w:tc>
      </w:tr>
      <w:tr>
        <w:trPr>
          <w:trHeight w:val="238"/>
        </w:trPr>
        <w:tc>
          <w:tcPr>
            <w:tcW w:w="40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Chief Business Officer and Treasurer</w:t>
            </w:r>
          </w:p>
        </w:tc>
      </w:tr>
      <w:tr>
        <w:trPr>
          <w:trHeight w:val="239"/>
        </w:trPr>
        <w:tc>
          <w:tcPr>
            <w:tcW w:w="40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5"/>
    </w:lvl>
  </w:abstractNum>
  <w:abstractNum w:abstractNumId="8">
    <w:nsid w:val="614FD4A1"/>
    <w:multiLevelType w:val="hybridMultilevel"/>
    <w:lvl w:ilvl="0">
      <w:lvlJc w:val="left"/>
      <w:lvlText w:val="%1."/>
      <w:numFmt w:val="decimal"/>
      <w:start w:val="8"/>
    </w:lvl>
  </w:abstractNum>
  <w:abstractNum w:abstractNumId="9">
    <w:nsid w:val="419AC241"/>
    <w:multiLevelType w:val="hybridMultilevel"/>
    <w:lvl w:ilvl="0">
      <w:lvlJc w:val="left"/>
      <w:lvlText w:val="%1."/>
      <w:numFmt w:val="decimal"/>
      <w:start w:val="9"/>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lowerRoman"/>
      <w:start w:val="1"/>
    </w:lvl>
  </w:abstractNum>
  <w:abstractNum w:abstractNumId="13">
    <w:nsid w:val="3804823E"/>
    <w:multiLevelType w:val="hybridMultilevel"/>
    <w:lvl w:ilvl="0">
      <w:lvlJc w:val="left"/>
      <w:lvlText w:val="%1."/>
      <w:numFmt w:val="decimal"/>
      <w:start w:val="14"/>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amp;"/>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lowerRoman"/>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
      <w:numFmt w:val="bullet"/>
      <w:start w:val="1"/>
    </w:lvl>
  </w:abstractNum>
  <w:abstractNum w:abstractNumId="39">
    <w:nsid w:val="579478FE"/>
    <w:multiLevelType w:val="hybridMultilevel"/>
    <w:lvl w:ilvl="0">
      <w:lvlJc w:val="left"/>
      <w:lvlText w:val=" "/>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26" Type="http://schemas.openxmlformats.org/officeDocument/2006/relationships/hyperlink" Target="https://www.sec.gov/Archives/edgar/data/1517022/000119312514121774/d700849dex31.htm" TargetMode="External"/><Relationship Id="rId127" Type="http://schemas.openxmlformats.org/officeDocument/2006/relationships/hyperlink" Target="https://www.sec.gov/Archives/edgar/data/1517022/000119312520164639/d934672dex31.htm" TargetMode="External"/><Relationship Id="rId128" Type="http://schemas.openxmlformats.org/officeDocument/2006/relationships/hyperlink" Target="https://www.sec.gov/Archives/edgar/data/1517022/000119312523124259/d455889dex31.htm" TargetMode="External"/><Relationship Id="rId129" Type="http://schemas.openxmlformats.org/officeDocument/2006/relationships/hyperlink" Target="https://www.sec.gov/Archives/edgar/data/1517022/000151702225000030/ex9912023stockincentivep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2025-08-07T06:47:53Z</dcterms:created>
  <dcterms:modified xsi:type="dcterms:W3CDTF">2025-08-07T06:47:53Z</dcterms:modified>
</cp:coreProperties>
</file>