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Ostrowski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AKEBIA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FIRST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Akebia Therapeutics, Inc.</w:t>
              </w:r>
            </w:hyperlink>
            <w:r>
              <w:rPr/>
              <w:t xml:space="preserve"> [ </w:t>
            </w:r>
            <w:r>
              <w:rPr>
                <w:rFonts w:ascii="Times;serif" w:hAnsi="Times;serif"/>
                <w:color w:val="0000FF"/>
                <w:sz w:val="24"/>
                <w:shd w:fill="FFFFFF" w:val="clear"/>
              </w:rPr>
              <w:t>AKBA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CFO, CBO &amp; Treasurer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56,019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616,616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represents an automatic "sell to cover" transaction to cover tax withholding obligations in connection with the vesting of restricted stock units granted on June 28, 2024. The sale was effected pursuant to durable automatic sell-to-cover instructions adopted by the reporting person on September 8,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Carolyn M. Rucci, attorney-in-fact for Erik Ostrowski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2507" TargetMode="External"/><Relationship Id="rId5" Type="http://schemas.openxmlformats.org/officeDocument/2006/relationships/hyperlink" Target="http://www.sec.gov/cgi-bin/browse-edgar?action=getcompany&amp;CIK=00015170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3373</Characters>
  <CharactersWithSpaces>3930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